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8F3E59">
      <w:pPr>
        <w:spacing w:line="240" w:lineRule="auto"/>
        <w:ind w:left="-105" w:right="-105"/>
        <w:rPr>
          <w:rFonts w:eastAsia="仿宋_GB2312" w:cs="仿宋_GB2312"/>
          <w:color w:val="000000" w:themeColor="text1"/>
          <w:sz w:val="36"/>
          <w:szCs w:val="36"/>
          <w:highlight w:val="green"/>
          <w14:textFill>
            <w14:solidFill>
              <w14:schemeClr w14:val="tx1"/>
            </w14:solidFill>
          </w14:textFill>
        </w:rPr>
      </w:pPr>
      <w:bookmarkStart w:id="23" w:name="_GoBack"/>
      <w:bookmarkEnd w:id="23"/>
    </w:p>
    <w:p w14:paraId="5583212F">
      <w:pPr>
        <w:spacing w:line="240" w:lineRule="auto"/>
        <w:ind w:left="-105" w:right="-105"/>
        <w:rPr>
          <w:rFonts w:eastAsia="仿宋_GB2312" w:cs="仿宋_GB2312"/>
          <w:color w:val="000000" w:themeColor="text1"/>
          <w:sz w:val="36"/>
          <w:szCs w:val="36"/>
          <w:highlight w:val="green"/>
          <w14:textFill>
            <w14:solidFill>
              <w14:schemeClr w14:val="tx1"/>
            </w14:solidFill>
          </w14:textFill>
        </w:rPr>
      </w:pPr>
    </w:p>
    <w:p w14:paraId="258F74A0">
      <w:pPr>
        <w:spacing w:line="240" w:lineRule="auto"/>
        <w:ind w:left="-105" w:right="-105"/>
        <w:rPr>
          <w:rFonts w:eastAsia="仿宋_GB2312" w:cs="仿宋_GB2312"/>
          <w:color w:val="000000" w:themeColor="text1"/>
          <w:sz w:val="36"/>
          <w:szCs w:val="36"/>
          <w:highlight w:val="green"/>
          <w14:textFill>
            <w14:solidFill>
              <w14:schemeClr w14:val="tx1"/>
            </w14:solidFill>
          </w14:textFill>
        </w:rPr>
      </w:pPr>
    </w:p>
    <w:p w14:paraId="2C832065">
      <w:pPr>
        <w:spacing w:line="240" w:lineRule="auto"/>
        <w:ind w:left="-105" w:right="-105"/>
        <w:rPr>
          <w:rFonts w:eastAsia="仿宋_GB2312" w:cs="仿宋_GB2312"/>
          <w:color w:val="000000" w:themeColor="text1"/>
          <w:sz w:val="36"/>
          <w:szCs w:val="36"/>
          <w:highlight w:val="green"/>
          <w14:textFill>
            <w14:solidFill>
              <w14:schemeClr w14:val="tx1"/>
            </w14:solidFill>
          </w14:textFill>
        </w:rPr>
      </w:pPr>
    </w:p>
    <w:p w14:paraId="7344D8EB">
      <w:pPr>
        <w:spacing w:line="240" w:lineRule="auto"/>
        <w:ind w:left="-105" w:right="-105"/>
        <w:rPr>
          <w:rFonts w:eastAsia="仿宋_GB2312" w:cs="仿宋_GB2312"/>
          <w:color w:val="000000" w:themeColor="text1"/>
          <w:sz w:val="36"/>
          <w:szCs w:val="36"/>
          <w:highlight w:val="green"/>
          <w14:textFill>
            <w14:solidFill>
              <w14:schemeClr w14:val="tx1"/>
            </w14:solidFill>
          </w14:textFill>
        </w:rPr>
      </w:pPr>
    </w:p>
    <w:p w14:paraId="48ADA0AE">
      <w:pPr>
        <w:spacing w:line="240" w:lineRule="auto"/>
        <w:ind w:left="-105" w:right="-105"/>
        <w:rPr>
          <w:rFonts w:ascii="宋体" w:hAnsi="宋体" w:cs="仿宋_GB2312"/>
          <w:color w:val="000000" w:themeColor="text1"/>
          <w:sz w:val="36"/>
          <w:szCs w:val="36"/>
          <w:highlight w:val="green"/>
          <w14:textFill>
            <w14:solidFill>
              <w14:schemeClr w14:val="tx1"/>
            </w14:solidFill>
          </w14:textFill>
        </w:rPr>
      </w:pPr>
    </w:p>
    <w:p w14:paraId="0872D39D">
      <w:pPr>
        <w:adjustRightInd w:val="0"/>
        <w:snapToGrid w:val="0"/>
        <w:spacing w:line="240" w:lineRule="auto"/>
        <w:ind w:left="-105" w:right="-105"/>
        <w:jc w:val="center"/>
        <w:outlineLvl w:val="0"/>
        <w:rPr>
          <w:rFonts w:ascii="宋体" w:hAnsi="宋体"/>
          <w:bCs/>
          <w:color w:val="000000" w:themeColor="text1"/>
          <w:sz w:val="72"/>
          <w:szCs w:val="72"/>
          <w:highlight w:val="none"/>
          <w14:textFill>
            <w14:solidFill>
              <w14:schemeClr w14:val="tx1"/>
            </w14:solidFill>
          </w14:textFill>
        </w:rPr>
      </w:pPr>
      <w:bookmarkStart w:id="0" w:name="_Toc112747262"/>
      <w:r>
        <w:rPr>
          <w:rFonts w:hint="eastAsia" w:ascii="宋体" w:hAnsi="宋体"/>
          <w:bCs/>
          <w:color w:val="000000" w:themeColor="text1"/>
          <w:sz w:val="72"/>
          <w:szCs w:val="72"/>
          <w:highlight w:val="none"/>
          <w14:textFill>
            <w14:solidFill>
              <w14:schemeClr w14:val="tx1"/>
            </w14:solidFill>
          </w14:textFill>
        </w:rPr>
        <w:t>建设项目环境影响报告表</w:t>
      </w:r>
      <w:bookmarkEnd w:id="0"/>
    </w:p>
    <w:p w14:paraId="7211A90D">
      <w:pPr>
        <w:adjustRightInd w:val="0"/>
        <w:snapToGrid w:val="0"/>
        <w:spacing w:beforeLines="80" w:line="240" w:lineRule="auto"/>
        <w:ind w:left="-105" w:right="-105"/>
        <w:jc w:val="center"/>
        <w:rPr>
          <w:rFonts w:ascii="宋体" w:hAnsi="宋体"/>
          <w:bCs/>
          <w:color w:val="000000" w:themeColor="text1"/>
          <w:sz w:val="48"/>
          <w:szCs w:val="48"/>
          <w:highlight w:val="none"/>
          <w14:textFill>
            <w14:solidFill>
              <w14:schemeClr w14:val="tx1"/>
            </w14:solidFill>
          </w14:textFill>
        </w:rPr>
      </w:pPr>
      <w:r>
        <w:rPr>
          <w:rFonts w:hint="eastAsia" w:ascii="宋体" w:hAnsi="宋体"/>
          <w:bCs/>
          <w:color w:val="000000" w:themeColor="text1"/>
          <w:sz w:val="48"/>
          <w:szCs w:val="48"/>
          <w:highlight w:val="none"/>
          <w14:textFill>
            <w14:solidFill>
              <w14:schemeClr w14:val="tx1"/>
            </w14:solidFill>
          </w14:textFill>
        </w:rPr>
        <w:t>（污染影响类）</w:t>
      </w:r>
    </w:p>
    <w:p w14:paraId="24FFEC02">
      <w:pPr>
        <w:adjustRightInd w:val="0"/>
        <w:snapToGrid w:val="0"/>
        <w:spacing w:line="288" w:lineRule="auto"/>
        <w:ind w:left="-105" w:right="-105"/>
        <w:jc w:val="center"/>
        <w:outlineLvl w:val="0"/>
        <w:rPr>
          <w:rFonts w:ascii="宋体" w:hAnsi="宋体" w:cs="华文仿宋"/>
          <w:color w:val="000000" w:themeColor="text1"/>
          <w:kern w:val="44"/>
          <w:sz w:val="44"/>
          <w:szCs w:val="44"/>
          <w:highlight w:val="none"/>
          <w14:textFill>
            <w14:solidFill>
              <w14:schemeClr w14:val="tx1"/>
            </w14:solidFill>
          </w14:textFill>
        </w:rPr>
      </w:pPr>
    </w:p>
    <w:p w14:paraId="2B7D804F">
      <w:pPr>
        <w:spacing w:line="240" w:lineRule="auto"/>
        <w:ind w:left="-105" w:right="-105"/>
        <w:jc w:val="center"/>
        <w:rPr>
          <w:rFonts w:ascii="宋体" w:hAnsi="宋体"/>
          <w:color w:val="000000" w:themeColor="text1"/>
          <w:sz w:val="52"/>
          <w:szCs w:val="52"/>
          <w:highlight w:val="none"/>
          <w14:textFill>
            <w14:solidFill>
              <w14:schemeClr w14:val="tx1"/>
            </w14:solidFill>
          </w14:textFill>
        </w:rPr>
      </w:pPr>
    </w:p>
    <w:p w14:paraId="7F0F48BC">
      <w:pPr>
        <w:spacing w:line="240" w:lineRule="auto"/>
        <w:ind w:left="-105" w:right="-105" w:firstLine="1040"/>
        <w:rPr>
          <w:rFonts w:ascii="宋体" w:hAnsi="宋体"/>
          <w:color w:val="000000" w:themeColor="text1"/>
          <w:sz w:val="44"/>
          <w:szCs w:val="44"/>
          <w:highlight w:val="none"/>
          <w14:textFill>
            <w14:solidFill>
              <w14:schemeClr w14:val="tx1"/>
            </w14:solidFill>
          </w14:textFill>
        </w:rPr>
      </w:pPr>
    </w:p>
    <w:p w14:paraId="082C2E5A">
      <w:pPr>
        <w:spacing w:line="240" w:lineRule="auto"/>
        <w:ind w:left="-105" w:right="-105" w:firstLine="1040"/>
        <w:rPr>
          <w:rFonts w:ascii="宋体" w:hAnsi="宋体"/>
          <w:color w:val="000000" w:themeColor="text1"/>
          <w:sz w:val="44"/>
          <w:szCs w:val="44"/>
          <w:highlight w:val="none"/>
          <w14:textFill>
            <w14:solidFill>
              <w14:schemeClr w14:val="tx1"/>
            </w14:solidFill>
          </w14:textFill>
        </w:rPr>
      </w:pPr>
    </w:p>
    <w:p w14:paraId="7F03FD43">
      <w:pPr>
        <w:spacing w:line="240" w:lineRule="auto"/>
        <w:ind w:left="-105" w:right="-105" w:firstLine="1040"/>
        <w:rPr>
          <w:rFonts w:ascii="宋体" w:hAnsi="宋体"/>
          <w:color w:val="000000" w:themeColor="text1"/>
          <w:sz w:val="44"/>
          <w:szCs w:val="44"/>
          <w:highlight w:val="none"/>
          <w14:textFill>
            <w14:solidFill>
              <w14:schemeClr w14:val="tx1"/>
            </w14:solidFill>
          </w14:textFill>
        </w:rPr>
      </w:pPr>
    </w:p>
    <w:p w14:paraId="18BC74CE">
      <w:pPr>
        <w:ind w:left="-105" w:right="-105"/>
        <w:rPr>
          <w:rFonts w:ascii="宋体" w:hAnsi="宋体"/>
          <w:color w:val="000000" w:themeColor="text1"/>
          <w:sz w:val="44"/>
          <w:szCs w:val="44"/>
          <w:highlight w:val="none"/>
          <w14:textFill>
            <w14:solidFill>
              <w14:schemeClr w14:val="tx1"/>
            </w14:solidFill>
          </w14:textFill>
        </w:rPr>
      </w:pPr>
    </w:p>
    <w:p w14:paraId="6FA679EC">
      <w:pPr>
        <w:ind w:left="-105" w:right="-105"/>
        <w:rPr>
          <w:rFonts w:ascii="宋体" w:hAnsi="宋体"/>
          <w:color w:val="000000" w:themeColor="text1"/>
          <w:sz w:val="44"/>
          <w:szCs w:val="44"/>
          <w:highlight w:val="none"/>
          <w14:textFill>
            <w14:solidFill>
              <w14:schemeClr w14:val="tx1"/>
            </w14:solidFill>
          </w14:textFill>
        </w:rPr>
      </w:pPr>
    </w:p>
    <w:p w14:paraId="37A7A88F">
      <w:pPr>
        <w:adjustRightInd w:val="0"/>
        <w:snapToGrid w:val="0"/>
        <w:spacing w:line="288" w:lineRule="auto"/>
        <w:ind w:left="15" w:leftChars="7" w:right="-105"/>
        <w:rPr>
          <w:rFonts w:ascii="宋体" w:hAnsi="宋体"/>
          <w:bCs/>
          <w:color w:val="000000" w:themeColor="text1"/>
          <w:sz w:val="36"/>
          <w:szCs w:val="36"/>
          <w:highlight w:val="none"/>
          <w:u w:val="single"/>
          <w14:textFill>
            <w14:solidFill>
              <w14:schemeClr w14:val="tx1"/>
            </w14:solidFill>
          </w14:textFill>
        </w:rPr>
      </w:pPr>
      <w:r>
        <w:rPr>
          <w:rFonts w:hint="eastAsia" w:ascii="宋体" w:hAnsi="宋体"/>
          <w:color w:val="000000" w:themeColor="text1"/>
          <w:sz w:val="36"/>
          <w:szCs w:val="36"/>
          <w:highlight w:val="none"/>
          <w14:textFill>
            <w14:solidFill>
              <w14:schemeClr w14:val="tx1"/>
            </w14:solidFill>
          </w14:textFill>
        </w:rPr>
        <w:t>项目名称：</w:t>
      </w:r>
      <w:r>
        <w:rPr>
          <w:rFonts w:hint="eastAsia" w:ascii="宋体" w:hAnsi="宋体"/>
          <w:bCs/>
          <w:color w:val="000000" w:themeColor="text1"/>
          <w:sz w:val="36"/>
          <w:szCs w:val="36"/>
          <w:highlight w:val="none"/>
          <w:u w:val="single"/>
          <w14:textFill>
            <w14:solidFill>
              <w14:schemeClr w14:val="tx1"/>
            </w14:solidFill>
          </w14:textFill>
        </w:rPr>
        <w:t>年产32000万块烧结粉煤灰页岩多孔砖</w:t>
      </w:r>
    </w:p>
    <w:p w14:paraId="5BEFBBFF">
      <w:pPr>
        <w:adjustRightInd w:val="0"/>
        <w:snapToGrid w:val="0"/>
        <w:spacing w:line="288" w:lineRule="auto"/>
        <w:ind w:left="15" w:leftChars="7" w:right="-105" w:firstLine="720" w:firstLineChars="200"/>
        <w:rPr>
          <w:rFonts w:ascii="宋体" w:hAnsi="宋体"/>
          <w:bCs/>
          <w:color w:val="000000" w:themeColor="text1"/>
          <w:sz w:val="36"/>
          <w:szCs w:val="36"/>
          <w:highlight w:val="none"/>
          <w:u w:val="single"/>
          <w14:textFill>
            <w14:solidFill>
              <w14:schemeClr w14:val="tx1"/>
            </w14:solidFill>
          </w14:textFill>
        </w:rPr>
      </w:pPr>
      <w:r>
        <w:rPr>
          <w:rFonts w:hint="eastAsia" w:ascii="宋体" w:hAnsi="宋体"/>
          <w:bCs/>
          <w:color w:val="000000" w:themeColor="text1"/>
          <w:sz w:val="36"/>
          <w:szCs w:val="36"/>
          <w:highlight w:val="none"/>
          <w:u w:val="single"/>
          <w14:textFill>
            <w14:solidFill>
              <w14:schemeClr w14:val="tx1"/>
            </w14:solidFill>
          </w14:textFill>
        </w:rPr>
        <w:t>生产线及10万立方米加气混凝土砌块建设项目</w:t>
      </w:r>
    </w:p>
    <w:p w14:paraId="473FCE1C">
      <w:pPr>
        <w:adjustRightInd w:val="0"/>
        <w:snapToGrid w:val="0"/>
        <w:spacing w:line="288" w:lineRule="auto"/>
        <w:ind w:left="-105" w:right="-105" w:firstLine="180" w:firstLineChars="50"/>
        <w:rPr>
          <w:rFonts w:ascii="宋体" w:hAnsi="宋体"/>
          <w:color w:val="000000" w:themeColor="text1"/>
          <w:sz w:val="36"/>
          <w:szCs w:val="36"/>
          <w:highlight w:val="none"/>
          <w:u w:val="single"/>
          <w14:textFill>
            <w14:solidFill>
              <w14:schemeClr w14:val="tx1"/>
            </w14:solidFill>
          </w14:textFill>
        </w:rPr>
      </w:pPr>
      <w:r>
        <w:rPr>
          <w:rFonts w:hint="eastAsia" w:ascii="宋体" w:hAnsi="宋体"/>
          <w:color w:val="000000" w:themeColor="text1"/>
          <w:sz w:val="36"/>
          <w:szCs w:val="36"/>
          <w:highlight w:val="none"/>
          <w14:textFill>
            <w14:solidFill>
              <w14:schemeClr w14:val="tx1"/>
            </w14:solidFill>
          </w14:textFill>
        </w:rPr>
        <w:t>建设单位（盖章）：</w:t>
      </w:r>
      <w:r>
        <w:rPr>
          <w:rFonts w:hint="eastAsia" w:ascii="宋体" w:hAnsi="宋体"/>
          <w:color w:val="000000" w:themeColor="text1"/>
          <w:sz w:val="36"/>
          <w:szCs w:val="36"/>
          <w:highlight w:val="none"/>
          <w:u w:val="single"/>
          <w14:textFill>
            <w14:solidFill>
              <w14:schemeClr w14:val="tx1"/>
            </w14:solidFill>
          </w14:textFill>
        </w:rPr>
        <w:t xml:space="preserve">  </w:t>
      </w:r>
      <w:r>
        <w:rPr>
          <w:rFonts w:ascii="宋体" w:hAnsi="宋体"/>
          <w:color w:val="000000" w:themeColor="text1"/>
          <w:sz w:val="36"/>
          <w:szCs w:val="36"/>
          <w:highlight w:val="none"/>
          <w:u w:val="single"/>
          <w14:textFill>
            <w14:solidFill>
              <w14:schemeClr w14:val="tx1"/>
            </w14:solidFill>
          </w14:textFill>
        </w:rPr>
        <w:t>滦县翼翔新型建材有限公司</w:t>
      </w:r>
      <w:r>
        <w:rPr>
          <w:rFonts w:hint="eastAsia" w:ascii="宋体" w:hAnsi="宋体"/>
          <w:color w:val="000000" w:themeColor="text1"/>
          <w:sz w:val="36"/>
          <w:szCs w:val="36"/>
          <w:highlight w:val="none"/>
          <w:u w:val="single"/>
          <w14:textFill>
            <w14:solidFill>
              <w14:schemeClr w14:val="tx1"/>
            </w14:solidFill>
          </w14:textFill>
        </w:rPr>
        <w:t xml:space="preserve">  </w:t>
      </w:r>
    </w:p>
    <w:p w14:paraId="40E685BA">
      <w:pPr>
        <w:adjustRightInd w:val="0"/>
        <w:snapToGrid w:val="0"/>
        <w:spacing w:line="288" w:lineRule="auto"/>
        <w:ind w:left="-105" w:right="-105" w:firstLine="180" w:firstLineChars="50"/>
        <w:rPr>
          <w:rFonts w:ascii="宋体" w:hAnsi="宋体"/>
          <w:color w:val="000000" w:themeColor="text1"/>
          <w:sz w:val="36"/>
          <w:szCs w:val="36"/>
          <w:highlight w:val="none"/>
          <w:u w:val="single"/>
          <w14:textFill>
            <w14:solidFill>
              <w14:schemeClr w14:val="tx1"/>
            </w14:solidFill>
          </w14:textFill>
        </w:rPr>
      </w:pPr>
      <w:r>
        <w:rPr>
          <w:rFonts w:hint="eastAsia" w:ascii="宋体" w:hAnsi="宋体"/>
          <w:color w:val="000000" w:themeColor="text1"/>
          <w:sz w:val="36"/>
          <w:szCs w:val="36"/>
          <w:highlight w:val="none"/>
          <w14:textFill>
            <w14:solidFill>
              <w14:schemeClr w14:val="tx1"/>
            </w14:solidFill>
          </w14:textFill>
        </w:rPr>
        <w:t>编制日期：</w:t>
      </w:r>
      <w:r>
        <w:rPr>
          <w:rFonts w:hint="eastAsia" w:ascii="宋体" w:hAnsi="宋体"/>
          <w:color w:val="000000" w:themeColor="text1"/>
          <w:sz w:val="36"/>
          <w:szCs w:val="36"/>
          <w:highlight w:val="none"/>
          <w:u w:val="single"/>
          <w14:textFill>
            <w14:solidFill>
              <w14:schemeClr w14:val="tx1"/>
            </w14:solidFill>
          </w14:textFill>
        </w:rPr>
        <w:t xml:space="preserve"> </w:t>
      </w:r>
      <w:r>
        <w:rPr>
          <w:rFonts w:ascii="宋体" w:hAnsi="宋体"/>
          <w:color w:val="000000" w:themeColor="text1"/>
          <w:sz w:val="36"/>
          <w:szCs w:val="36"/>
          <w:highlight w:val="none"/>
          <w:u w:val="single"/>
          <w14:textFill>
            <w14:solidFill>
              <w14:schemeClr w14:val="tx1"/>
            </w14:solidFill>
          </w14:textFill>
        </w:rPr>
        <w:t xml:space="preserve">  </w:t>
      </w:r>
      <w:r>
        <w:rPr>
          <w:rFonts w:hint="eastAsia" w:ascii="宋体" w:hAnsi="宋体"/>
          <w:color w:val="000000" w:themeColor="text1"/>
          <w:sz w:val="36"/>
          <w:szCs w:val="36"/>
          <w:highlight w:val="none"/>
          <w:u w:val="single"/>
          <w14:textFill>
            <w14:solidFill>
              <w14:schemeClr w14:val="tx1"/>
            </w14:solidFill>
          </w14:textFill>
        </w:rPr>
        <w:t xml:space="preserve">        2025年</w:t>
      </w:r>
      <w:r>
        <w:rPr>
          <w:rFonts w:hint="eastAsia" w:ascii="宋体" w:hAnsi="宋体"/>
          <w:color w:val="000000" w:themeColor="text1"/>
          <w:sz w:val="36"/>
          <w:szCs w:val="36"/>
          <w:highlight w:val="none"/>
          <w:u w:val="single"/>
          <w:lang w:val="en-US" w:eastAsia="zh-CN"/>
          <w14:textFill>
            <w14:solidFill>
              <w14:schemeClr w14:val="tx1"/>
            </w14:solidFill>
          </w14:textFill>
        </w:rPr>
        <w:t>11</w:t>
      </w:r>
      <w:r>
        <w:rPr>
          <w:rFonts w:hint="eastAsia" w:ascii="宋体" w:hAnsi="宋体"/>
          <w:color w:val="000000" w:themeColor="text1"/>
          <w:sz w:val="36"/>
          <w:szCs w:val="36"/>
          <w:highlight w:val="none"/>
          <w:u w:val="single"/>
          <w14:textFill>
            <w14:solidFill>
              <w14:schemeClr w14:val="tx1"/>
            </w14:solidFill>
          </w14:textFill>
        </w:rPr>
        <w:t>月</w:t>
      </w:r>
      <w:r>
        <w:rPr>
          <w:rFonts w:ascii="宋体" w:hAnsi="宋体"/>
          <w:color w:val="000000" w:themeColor="text1"/>
          <w:sz w:val="36"/>
          <w:szCs w:val="36"/>
          <w:highlight w:val="none"/>
          <w:u w:val="single"/>
          <w14:textFill>
            <w14:solidFill>
              <w14:schemeClr w14:val="tx1"/>
            </w14:solidFill>
          </w14:textFill>
        </w:rPr>
        <w:t xml:space="preserve">  </w:t>
      </w:r>
      <w:r>
        <w:rPr>
          <w:rFonts w:hint="eastAsia" w:ascii="宋体" w:hAnsi="宋体"/>
          <w:color w:val="000000" w:themeColor="text1"/>
          <w:sz w:val="36"/>
          <w:szCs w:val="36"/>
          <w:highlight w:val="none"/>
          <w:u w:val="single"/>
          <w14:textFill>
            <w14:solidFill>
              <w14:schemeClr w14:val="tx1"/>
            </w14:solidFill>
          </w14:textFill>
        </w:rPr>
        <w:t xml:space="preserve">          </w:t>
      </w:r>
      <w:r>
        <w:rPr>
          <w:rFonts w:ascii="宋体" w:hAnsi="宋体"/>
          <w:color w:val="000000" w:themeColor="text1"/>
          <w:sz w:val="36"/>
          <w:szCs w:val="36"/>
          <w:highlight w:val="none"/>
          <w:u w:val="single"/>
          <w14:textFill>
            <w14:solidFill>
              <w14:schemeClr w14:val="tx1"/>
            </w14:solidFill>
          </w14:textFill>
        </w:rPr>
        <w:t xml:space="preserve"> </w:t>
      </w:r>
    </w:p>
    <w:p w14:paraId="03795637">
      <w:pPr>
        <w:adjustRightInd w:val="0"/>
        <w:snapToGrid w:val="0"/>
        <w:spacing w:line="288" w:lineRule="auto"/>
        <w:ind w:left="-105" w:right="-105"/>
        <w:rPr>
          <w:rFonts w:ascii="宋体" w:hAnsi="宋体"/>
          <w:color w:val="000000" w:themeColor="text1"/>
          <w:sz w:val="36"/>
          <w:szCs w:val="36"/>
          <w:highlight w:val="none"/>
          <w:u w:val="single"/>
          <w14:textFill>
            <w14:solidFill>
              <w14:schemeClr w14:val="tx1"/>
            </w14:solidFill>
          </w14:textFill>
        </w:rPr>
      </w:pPr>
      <w:bookmarkStart w:id="1" w:name="_Hlk57884087"/>
    </w:p>
    <w:p w14:paraId="09183A10">
      <w:pPr>
        <w:adjustRightInd w:val="0"/>
        <w:snapToGrid w:val="0"/>
        <w:spacing w:line="288" w:lineRule="auto"/>
        <w:ind w:left="-105" w:right="-105"/>
        <w:rPr>
          <w:rFonts w:ascii="宋体" w:hAnsi="宋体"/>
          <w:color w:val="000000" w:themeColor="text1"/>
          <w:sz w:val="36"/>
          <w:szCs w:val="36"/>
          <w:highlight w:val="none"/>
          <w14:textFill>
            <w14:solidFill>
              <w14:schemeClr w14:val="tx1"/>
            </w14:solidFill>
          </w14:textFill>
        </w:rPr>
      </w:pPr>
    </w:p>
    <w:p w14:paraId="05F7E319">
      <w:pPr>
        <w:adjustRightInd w:val="0"/>
        <w:snapToGrid w:val="0"/>
        <w:spacing w:line="288" w:lineRule="auto"/>
        <w:ind w:left="-105" w:right="-105"/>
        <w:rPr>
          <w:rFonts w:ascii="宋体" w:hAnsi="宋体"/>
          <w:color w:val="000000" w:themeColor="text1"/>
          <w:sz w:val="36"/>
          <w:szCs w:val="36"/>
          <w:highlight w:val="none"/>
          <w14:textFill>
            <w14:solidFill>
              <w14:schemeClr w14:val="tx1"/>
            </w14:solidFill>
          </w14:textFill>
        </w:rPr>
      </w:pPr>
    </w:p>
    <w:bookmarkEnd w:id="1"/>
    <w:p w14:paraId="4AA50432">
      <w:pPr>
        <w:adjustRightInd w:val="0"/>
        <w:snapToGrid w:val="0"/>
        <w:spacing w:line="288" w:lineRule="auto"/>
        <w:ind w:left="-105" w:right="-105"/>
        <w:jc w:val="center"/>
        <w:rPr>
          <w:rFonts w:hint="eastAsia" w:ascii="宋体" w:hAnsi="宋体"/>
          <w:color w:val="000000" w:themeColor="text1"/>
          <w:sz w:val="36"/>
          <w:szCs w:val="36"/>
          <w:highlight w:val="none"/>
          <w14:textFill>
            <w14:solidFill>
              <w14:schemeClr w14:val="tx1"/>
            </w14:solidFill>
          </w14:textFill>
        </w:rPr>
        <w:sectPr>
          <w:footerReference r:id="rId5" w:type="default"/>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宋体" w:hAnsi="宋体"/>
          <w:color w:val="000000" w:themeColor="text1"/>
          <w:sz w:val="36"/>
          <w:szCs w:val="36"/>
          <w:highlight w:val="none"/>
          <w14:textFill>
            <w14:solidFill>
              <w14:schemeClr w14:val="tx1"/>
            </w14:solidFill>
          </w14:textFill>
        </w:rPr>
        <w:t>中华人民共和国生态环境部制</w:t>
      </w:r>
    </w:p>
    <w:p w14:paraId="72519ACD">
      <w:pPr>
        <w:adjustRightInd w:val="0"/>
        <w:snapToGrid w:val="0"/>
        <w:spacing w:line="288" w:lineRule="auto"/>
        <w:ind w:left="-105" w:right="-105"/>
        <w:jc w:val="center"/>
        <w:rPr>
          <w:rFonts w:hint="eastAsia" w:ascii="宋体" w:hAnsi="宋体"/>
          <w:color w:val="000000" w:themeColor="text1"/>
          <w:sz w:val="36"/>
          <w:szCs w:val="36"/>
          <w:highlight w:val="none"/>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368B1C16">
      <w:pPr>
        <w:adjustRightInd w:val="0"/>
        <w:snapToGrid w:val="0"/>
        <w:spacing w:line="288" w:lineRule="auto"/>
        <w:ind w:right="-105"/>
        <w:jc w:val="both"/>
        <w:rPr>
          <w:rFonts w:ascii="宋体" w:hAnsi="宋体"/>
          <w:color w:val="000000" w:themeColor="text1"/>
          <w:sz w:val="36"/>
          <w:szCs w:val="36"/>
          <w:highlight w:val="green"/>
          <w14:textFill>
            <w14:solidFill>
              <w14:schemeClr w14:val="tx1"/>
            </w14:solidFill>
          </w14:textFill>
        </w:rPr>
      </w:pPr>
    </w:p>
    <w:p w14:paraId="6A078566">
      <w:pPr>
        <w:adjustRightInd w:val="0"/>
        <w:snapToGrid w:val="0"/>
        <w:spacing w:line="288" w:lineRule="auto"/>
        <w:ind w:left="-105" w:right="-105"/>
        <w:jc w:val="center"/>
        <w:rPr>
          <w:rFonts w:ascii="宋体" w:hAnsi="宋体"/>
          <w:b/>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14:textFill>
            <w14:solidFill>
              <w14:schemeClr w14:val="tx1"/>
            </w14:solidFill>
          </w14:textFill>
        </w:rPr>
        <w:t>目录</w:t>
      </w:r>
      <w:r>
        <w:rPr>
          <w:rFonts w:ascii="楷体" w:hAnsi="楷体" w:eastAsia="楷体"/>
          <w:b/>
          <w:color w:val="000000" w:themeColor="text1"/>
          <w:szCs w:val="21"/>
          <w:highlight w:val="none"/>
          <w14:textFill>
            <w14:solidFill>
              <w14:schemeClr w14:val="tx1"/>
            </w14:solidFill>
          </w14:textFill>
        </w:rPr>
        <w:fldChar w:fldCharType="begin"/>
      </w:r>
      <w:r>
        <w:rPr>
          <w:rFonts w:ascii="楷体" w:hAnsi="楷体" w:eastAsia="楷体"/>
          <w:b/>
          <w:color w:val="000000" w:themeColor="text1"/>
          <w:szCs w:val="21"/>
          <w:highlight w:val="none"/>
          <w14:textFill>
            <w14:solidFill>
              <w14:schemeClr w14:val="tx1"/>
            </w14:solidFill>
          </w14:textFill>
        </w:rPr>
        <w:instrText xml:space="preserve"> </w:instrText>
      </w:r>
      <w:r>
        <w:rPr>
          <w:rFonts w:hint="eastAsia" w:ascii="楷体" w:hAnsi="楷体" w:eastAsia="楷体"/>
          <w:b/>
          <w:color w:val="000000" w:themeColor="text1"/>
          <w:szCs w:val="21"/>
          <w:highlight w:val="none"/>
          <w14:textFill>
            <w14:solidFill>
              <w14:schemeClr w14:val="tx1"/>
            </w14:solidFill>
          </w14:textFill>
        </w:rPr>
        <w:instrText xml:space="preserve">TOC \o "1-1" \h \z \u</w:instrText>
      </w:r>
      <w:r>
        <w:rPr>
          <w:rFonts w:ascii="楷体" w:hAnsi="楷体" w:eastAsia="楷体"/>
          <w:b/>
          <w:color w:val="000000" w:themeColor="text1"/>
          <w:szCs w:val="21"/>
          <w:highlight w:val="none"/>
          <w14:textFill>
            <w14:solidFill>
              <w14:schemeClr w14:val="tx1"/>
            </w14:solidFill>
          </w14:textFill>
        </w:rPr>
        <w:instrText xml:space="preserve"> </w:instrText>
      </w:r>
      <w:r>
        <w:rPr>
          <w:rFonts w:ascii="楷体" w:hAnsi="楷体" w:eastAsia="楷体"/>
          <w:b/>
          <w:color w:val="000000" w:themeColor="text1"/>
          <w:szCs w:val="21"/>
          <w:highlight w:val="none"/>
          <w14:textFill>
            <w14:solidFill>
              <w14:schemeClr w14:val="tx1"/>
            </w14:solidFill>
          </w14:textFill>
        </w:rPr>
        <w:fldChar w:fldCharType="separate"/>
      </w:r>
    </w:p>
    <w:p w14:paraId="487B714D">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"_Toc112747263"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一、建设项目基本情况</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_Toc112747263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1</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7E45D770">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"_Toc112747264"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二、建设项目工程分析</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_Toc112747264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25</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10055694">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"_Toc112747265"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三、区域环境质量现状、环境保护目标及评价标准</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_Toc112747265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68</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722003DF">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"_Toc112747266"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四、主要环境影响和保护措施</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_Toc112747266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80</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41A6C09C">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"_Toc112747267"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五、环境保护措施监督检查清单</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_Toc112747267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119</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573B4419">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"_Toc112747268"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六、结论</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_Toc112747268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126</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0D0B68A7">
      <w:pPr>
        <w:pStyle w:val="17"/>
        <w:tabs>
          <w:tab w:val="right" w:leader="dot" w:pos="8834"/>
        </w:tabs>
        <w:spacing w:line="360" w:lineRule="auto"/>
        <w:ind w:left="-105" w:right="-105"/>
        <w:rPr>
          <w:rFonts w:ascii="Calibri" w:hAnsi="Calibri"/>
          <w:b/>
          <w:color w:val="000000" w:themeColor="text1"/>
          <w:sz w:val="24"/>
          <w:highlight w:val="none"/>
          <w14:textFill>
            <w14:solidFill>
              <w14:schemeClr w14:val="tx1"/>
            </w14:solidFill>
          </w14:textFill>
        </w:rPr>
      </w:pPr>
      <w:r>
        <w:rPr>
          <w:highlight w:val="none"/>
        </w:rPr>
        <w:fldChar w:fldCharType="begin"/>
      </w:r>
      <w:r>
        <w:rPr>
          <w:highlight w:val="none"/>
        </w:rPr>
        <w:instrText xml:space="preserve"> HYPERLINK \l "_Toc112747269" </w:instrText>
      </w:r>
      <w:r>
        <w:rPr>
          <w:highlight w:val="none"/>
        </w:rPr>
        <w:fldChar w:fldCharType="separate"/>
      </w:r>
      <w:r>
        <w:rPr>
          <w:rStyle w:val="28"/>
          <w:rFonts w:hint="eastAsia" w:ascii="黑体" w:hAnsi="黑体" w:eastAsia="黑体"/>
          <w:b/>
          <w:snapToGrid w:val="0"/>
          <w:color w:val="000000" w:themeColor="text1"/>
          <w:sz w:val="24"/>
          <w:highlight w:val="none"/>
          <w14:textFill>
            <w14:solidFill>
              <w14:schemeClr w14:val="tx1"/>
            </w14:solidFill>
          </w14:textFill>
        </w:rPr>
        <w:t>附表</w:t>
      </w:r>
      <w:r>
        <w:rPr>
          <w:b/>
          <w:color w:val="000000" w:themeColor="text1"/>
          <w:sz w:val="24"/>
          <w:highlight w:val="none"/>
          <w14:textFill>
            <w14:solidFill>
              <w14:schemeClr w14:val="tx1"/>
            </w14:solidFill>
          </w14:textFill>
        </w:rPr>
        <w:tab/>
      </w:r>
      <w:r>
        <w:rPr>
          <w:b/>
          <w:color w:val="000000" w:themeColor="text1"/>
          <w:sz w:val="24"/>
          <w:highlight w:val="none"/>
          <w14:textFill>
            <w14:solidFill>
              <w14:schemeClr w14:val="tx1"/>
            </w14:solidFill>
          </w14:textFill>
        </w:rPr>
        <w:fldChar w:fldCharType="begin"/>
      </w:r>
      <w:r>
        <w:rPr>
          <w:b/>
          <w:color w:val="000000" w:themeColor="text1"/>
          <w:sz w:val="24"/>
          <w:highlight w:val="none"/>
          <w14:textFill>
            <w14:solidFill>
              <w14:schemeClr w14:val="tx1"/>
            </w14:solidFill>
          </w14:textFill>
        </w:rPr>
        <w:instrText xml:space="preserve"> PAGEREF _Toc112747269 \h </w:instrText>
      </w:r>
      <w:r>
        <w:rPr>
          <w:b/>
          <w:color w:val="000000" w:themeColor="text1"/>
          <w:sz w:val="24"/>
          <w:highlight w:val="none"/>
          <w14:textFill>
            <w14:solidFill>
              <w14:schemeClr w14:val="tx1"/>
            </w14:solidFill>
          </w14:textFill>
        </w:rPr>
        <w:fldChar w:fldCharType="separate"/>
      </w:r>
      <w:r>
        <w:rPr>
          <w:b/>
          <w:color w:val="000000" w:themeColor="text1"/>
          <w:sz w:val="24"/>
          <w:highlight w:val="none"/>
          <w14:textFill>
            <w14:solidFill>
              <w14:schemeClr w14:val="tx1"/>
            </w14:solidFill>
          </w14:textFill>
        </w:rPr>
        <w:t>127</w:t>
      </w:r>
      <w:r>
        <w:rPr>
          <w:b/>
          <w:color w:val="000000" w:themeColor="text1"/>
          <w:sz w:val="24"/>
          <w:highlight w:val="none"/>
          <w14:textFill>
            <w14:solidFill>
              <w14:schemeClr w14:val="tx1"/>
            </w14:solidFill>
          </w14:textFill>
        </w:rPr>
        <w:fldChar w:fldCharType="end"/>
      </w:r>
      <w:r>
        <w:rPr>
          <w:b/>
          <w:color w:val="000000" w:themeColor="text1"/>
          <w:sz w:val="24"/>
          <w:highlight w:val="none"/>
          <w14:textFill>
            <w14:solidFill>
              <w14:schemeClr w14:val="tx1"/>
            </w14:solidFill>
          </w14:textFill>
        </w:rPr>
        <w:fldChar w:fldCharType="end"/>
      </w:r>
    </w:p>
    <w:p w14:paraId="010329D5">
      <w:pPr>
        <w:adjustRightInd w:val="0"/>
        <w:snapToGrid w:val="0"/>
        <w:spacing w:line="320" w:lineRule="exact"/>
        <w:ind w:left="-105" w:right="-105"/>
        <w:rPr>
          <w:rFonts w:ascii="宋体" w:hAnsi="宋体"/>
          <w:color w:val="000000" w:themeColor="text1"/>
          <w:sz w:val="24"/>
          <w:szCs w:val="24"/>
          <w:highlight w:val="none"/>
          <w14:textFill>
            <w14:solidFill>
              <w14:schemeClr w14:val="tx1"/>
            </w14:solidFill>
          </w14:textFill>
        </w:rPr>
      </w:pPr>
      <w:r>
        <w:rPr>
          <w:rFonts w:ascii="楷体" w:hAnsi="楷体" w:eastAsia="楷体"/>
          <w:b/>
          <w:color w:val="000000" w:themeColor="text1"/>
          <w:szCs w:val="21"/>
          <w:highlight w:val="none"/>
          <w14:textFill>
            <w14:solidFill>
              <w14:schemeClr w14:val="tx1"/>
            </w14:solidFill>
          </w14:textFill>
        </w:rPr>
        <w:fldChar w:fldCharType="end"/>
      </w:r>
      <w:r>
        <w:rPr>
          <w:rFonts w:hint="eastAsia" w:ascii="宋体" w:hAnsi="宋体"/>
          <w:color w:val="000000" w:themeColor="text1"/>
          <w:sz w:val="24"/>
          <w:szCs w:val="24"/>
          <w:highlight w:val="none"/>
          <w14:textFill>
            <w14:solidFill>
              <w14:schemeClr w14:val="tx1"/>
            </w14:solidFill>
          </w14:textFill>
        </w:rPr>
        <w:t>附图</w:t>
      </w:r>
    </w:p>
    <w:p w14:paraId="1A4B70E7">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Ansi="宋体"/>
          <w:color w:val="000000" w:themeColor="text1"/>
          <w:sz w:val="24"/>
          <w:szCs w:val="24"/>
          <w:highlight w:val="none"/>
          <w14:textFill>
            <w14:solidFill>
              <w14:schemeClr w14:val="tx1"/>
            </w14:solidFill>
          </w14:textFill>
        </w:rPr>
        <w:t>附图</w:t>
      </w:r>
      <w:r>
        <w:rPr>
          <w:color w:val="000000" w:themeColor="text1"/>
          <w:sz w:val="24"/>
          <w:szCs w:val="24"/>
          <w:highlight w:val="none"/>
          <w14:textFill>
            <w14:solidFill>
              <w14:schemeClr w14:val="tx1"/>
            </w14:solidFill>
          </w14:textFill>
        </w:rPr>
        <w:t xml:space="preserve">1 </w:t>
      </w:r>
      <w:r>
        <w:rPr>
          <w:rFonts w:hAnsi="宋体"/>
          <w:color w:val="000000" w:themeColor="text1"/>
          <w:sz w:val="24"/>
          <w:szCs w:val="24"/>
          <w:highlight w:val="none"/>
          <w14:textFill>
            <w14:solidFill>
              <w14:schemeClr w14:val="tx1"/>
            </w14:solidFill>
          </w14:textFill>
        </w:rPr>
        <w:t>项目地理位置图</w:t>
      </w:r>
    </w:p>
    <w:p w14:paraId="6C5B271D">
      <w:pPr>
        <w:adjustRightInd w:val="0"/>
        <w:snapToGrid w:val="0"/>
        <w:spacing w:line="320" w:lineRule="exact"/>
        <w:ind w:left="-105" w:right="-105"/>
        <w:rPr>
          <w:rFonts w:hAnsi="宋体"/>
          <w:color w:val="000000" w:themeColor="text1"/>
          <w:sz w:val="24"/>
          <w:szCs w:val="24"/>
          <w:highlight w:val="none"/>
          <w14:textFill>
            <w14:solidFill>
              <w14:schemeClr w14:val="tx1"/>
            </w14:solidFill>
          </w14:textFill>
        </w:rPr>
      </w:pPr>
      <w:r>
        <w:rPr>
          <w:rFonts w:hAnsi="宋体"/>
          <w:color w:val="000000" w:themeColor="text1"/>
          <w:sz w:val="24"/>
          <w:szCs w:val="24"/>
          <w:highlight w:val="none"/>
          <w14:textFill>
            <w14:solidFill>
              <w14:schemeClr w14:val="tx1"/>
            </w14:solidFill>
          </w14:textFill>
        </w:rPr>
        <w:t>附图</w:t>
      </w:r>
      <w:r>
        <w:rPr>
          <w:color w:val="000000" w:themeColor="text1"/>
          <w:sz w:val="24"/>
          <w:szCs w:val="24"/>
          <w:highlight w:val="none"/>
          <w14:textFill>
            <w14:solidFill>
              <w14:schemeClr w14:val="tx1"/>
            </w14:solidFill>
          </w14:textFill>
        </w:rPr>
        <w:t xml:space="preserve">2 </w:t>
      </w:r>
      <w:r>
        <w:rPr>
          <w:rFonts w:hAnsi="宋体"/>
          <w:color w:val="000000" w:themeColor="text1"/>
          <w:sz w:val="24"/>
          <w:szCs w:val="24"/>
          <w:highlight w:val="none"/>
          <w14:textFill>
            <w14:solidFill>
              <w14:schemeClr w14:val="tx1"/>
            </w14:solidFill>
          </w14:textFill>
        </w:rPr>
        <w:t>平面布置及周边关系图</w:t>
      </w:r>
    </w:p>
    <w:p w14:paraId="75441BF2">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Ansi="宋体"/>
          <w:color w:val="000000" w:themeColor="text1"/>
          <w:sz w:val="24"/>
          <w:szCs w:val="24"/>
          <w:highlight w:val="none"/>
          <w14:textFill>
            <w14:solidFill>
              <w14:schemeClr w14:val="tx1"/>
            </w14:solidFill>
          </w14:textFill>
        </w:rPr>
        <w:t>附图</w:t>
      </w:r>
      <w:r>
        <w:rPr>
          <w:color w:val="000000" w:themeColor="text1"/>
          <w:sz w:val="24"/>
          <w:szCs w:val="24"/>
          <w:highlight w:val="none"/>
          <w14:textFill>
            <w14:solidFill>
              <w14:schemeClr w14:val="tx1"/>
            </w14:solidFill>
          </w14:textFill>
        </w:rPr>
        <w:t>3</w:t>
      </w:r>
      <w:r>
        <w:rPr>
          <w:rFonts w:hint="eastAsia"/>
          <w:color w:val="000000" w:themeColor="text1"/>
          <w:sz w:val="24"/>
          <w:szCs w:val="24"/>
          <w:highlight w:val="none"/>
          <w14:textFill>
            <w14:solidFill>
              <w14:schemeClr w14:val="tx1"/>
            </w14:solidFill>
          </w14:textFill>
        </w:rPr>
        <w:t xml:space="preserve"> 项目与唐山市生态红线位置</w:t>
      </w:r>
      <w:r>
        <w:rPr>
          <w:color w:val="000000" w:themeColor="text1"/>
          <w:sz w:val="24"/>
          <w:szCs w:val="24"/>
          <w:highlight w:val="none"/>
          <w14:textFill>
            <w14:solidFill>
              <w14:schemeClr w14:val="tx1"/>
            </w14:solidFill>
          </w14:textFill>
        </w:rPr>
        <w:t>关系图</w:t>
      </w:r>
    </w:p>
    <w:p w14:paraId="03522457">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附图4 项目与唐山市环境管控单元分布图位置关系</w:t>
      </w:r>
    </w:p>
    <w:p w14:paraId="1E62D248">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附图5 项目分区防渗图</w:t>
      </w:r>
    </w:p>
    <w:p w14:paraId="7FC697EF">
      <w:pPr>
        <w:adjustRightInd w:val="0"/>
        <w:snapToGrid w:val="0"/>
        <w:spacing w:line="320" w:lineRule="exact"/>
        <w:ind w:left="-105" w:right="-105"/>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附图6 项目环境保护目标分布图</w:t>
      </w:r>
    </w:p>
    <w:p w14:paraId="2A92E9AC">
      <w:pPr>
        <w:adjustRightInd w:val="0"/>
        <w:snapToGrid w:val="0"/>
        <w:spacing w:line="320" w:lineRule="exact"/>
        <w:ind w:left="-105" w:right="-105"/>
        <w:rPr>
          <w:rFonts w:hint="eastAsia"/>
          <w:color w:val="000000" w:themeColor="text1"/>
          <w:sz w:val="24"/>
          <w:szCs w:val="24"/>
          <w:highlight w:val="none"/>
          <w14:textFill>
            <w14:solidFill>
              <w14:schemeClr w14:val="tx1"/>
            </w14:solidFill>
          </w14:textFill>
        </w:rPr>
      </w:pPr>
    </w:p>
    <w:p w14:paraId="29DC011B">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p>
    <w:p w14:paraId="395068EF">
      <w:pPr>
        <w:adjustRightInd w:val="0"/>
        <w:snapToGrid w:val="0"/>
        <w:spacing w:line="320" w:lineRule="exact"/>
        <w:ind w:left="-105" w:right="-105"/>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14:textFill>
            <w14:solidFill>
              <w14:schemeClr w14:val="tx1"/>
            </w14:solidFill>
          </w14:textFill>
        </w:rPr>
        <w:t>备案证</w:t>
      </w:r>
    </w:p>
    <w:p w14:paraId="55594815">
      <w:pPr>
        <w:adjustRightInd w:val="0"/>
        <w:snapToGrid w:val="0"/>
        <w:spacing w:line="320" w:lineRule="exact"/>
        <w:ind w:left="-105" w:right="-105"/>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2现有工程</w:t>
      </w:r>
      <w:r>
        <w:rPr>
          <w:rFonts w:hint="eastAsia"/>
          <w:color w:val="000000" w:themeColor="text1"/>
          <w:sz w:val="24"/>
          <w:szCs w:val="24"/>
          <w:highlight w:val="none"/>
          <w14:textFill>
            <w14:solidFill>
              <w14:schemeClr w14:val="tx1"/>
            </w14:solidFill>
          </w14:textFill>
        </w:rPr>
        <w:t>环评</w:t>
      </w:r>
      <w:r>
        <w:rPr>
          <w:rFonts w:hint="eastAsia"/>
          <w:color w:val="000000" w:themeColor="text1"/>
          <w:sz w:val="24"/>
          <w:szCs w:val="24"/>
          <w:highlight w:val="none"/>
          <w:lang w:val="en-US" w:eastAsia="zh-CN"/>
          <w14:textFill>
            <w14:solidFill>
              <w14:schemeClr w14:val="tx1"/>
            </w14:solidFill>
          </w14:textFill>
        </w:rPr>
        <w:t>批复、验收意见</w:t>
      </w:r>
    </w:p>
    <w:p w14:paraId="1C24A3FD">
      <w:pPr>
        <w:adjustRightInd w:val="0"/>
        <w:snapToGrid w:val="0"/>
        <w:spacing w:line="320" w:lineRule="exact"/>
        <w:ind w:left="-105" w:right="-105"/>
        <w:rPr>
          <w:bCs/>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3</w:t>
      </w:r>
      <w:r>
        <w:rPr>
          <w:rFonts w:hint="eastAsia"/>
          <w:color w:val="000000" w:themeColor="text1"/>
          <w:sz w:val="24"/>
          <w:szCs w:val="24"/>
          <w:highlight w:val="none"/>
          <w14:textFill>
            <w14:solidFill>
              <w14:schemeClr w14:val="tx1"/>
            </w14:solidFill>
          </w14:textFill>
        </w:rPr>
        <w:t xml:space="preserve"> 排污</w:t>
      </w:r>
      <w:r>
        <w:rPr>
          <w:rFonts w:hint="eastAsia"/>
          <w:bCs/>
          <w:color w:val="000000" w:themeColor="text1"/>
          <w:sz w:val="24"/>
          <w:szCs w:val="24"/>
          <w:highlight w:val="none"/>
          <w14:textFill>
            <w14:solidFill>
              <w14:schemeClr w14:val="tx1"/>
            </w14:solidFill>
          </w14:textFill>
        </w:rPr>
        <w:t>许可证</w:t>
      </w:r>
    </w:p>
    <w:p w14:paraId="6A3158C0">
      <w:pPr>
        <w:adjustRightInd w:val="0"/>
        <w:snapToGrid w:val="0"/>
        <w:spacing w:line="320" w:lineRule="exact"/>
        <w:ind w:left="-105" w:right="-105"/>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4突发环境事件应急预案备案表</w:t>
      </w:r>
    </w:p>
    <w:p w14:paraId="3B4340E8">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5</w:t>
      </w:r>
      <w:r>
        <w:rPr>
          <w:rFonts w:hint="eastAsia"/>
          <w:color w:val="000000" w:themeColor="text1"/>
          <w:sz w:val="24"/>
          <w:szCs w:val="24"/>
          <w:highlight w:val="none"/>
          <w14:textFill>
            <w14:solidFill>
              <w14:schemeClr w14:val="tx1"/>
            </w14:solidFill>
          </w14:textFill>
        </w:rPr>
        <w:t>用地证明</w:t>
      </w:r>
    </w:p>
    <w:p w14:paraId="51F56F17">
      <w:pPr>
        <w:adjustRightInd w:val="0"/>
        <w:snapToGrid w:val="0"/>
        <w:spacing w:line="320" w:lineRule="exact"/>
        <w:ind w:left="-105" w:right="-105"/>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14:textFill>
            <w14:solidFill>
              <w14:schemeClr w14:val="tx1"/>
            </w14:solidFill>
          </w14:textFill>
        </w:rPr>
        <w:t>土地租赁协议</w:t>
      </w:r>
    </w:p>
    <w:p w14:paraId="1BC6A473">
      <w:pPr>
        <w:adjustRightInd w:val="0"/>
        <w:snapToGrid w:val="0"/>
        <w:spacing w:line="320" w:lineRule="exact"/>
        <w:ind w:left="-105" w:right="-105"/>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附件</w:t>
      </w:r>
      <w:r>
        <w:rPr>
          <w:rFonts w:hint="eastAsia"/>
          <w:color w:val="000000" w:themeColor="text1"/>
          <w:sz w:val="24"/>
          <w:szCs w:val="24"/>
          <w:highlight w:val="none"/>
          <w:lang w:val="en-US" w:eastAsia="zh-CN"/>
          <w14:textFill>
            <w14:solidFill>
              <w14:schemeClr w14:val="tx1"/>
            </w14:solidFill>
          </w14:textFill>
        </w:rPr>
        <w:t>7</w:t>
      </w:r>
      <w:r>
        <w:rPr>
          <w:rFonts w:hint="eastAsia"/>
          <w:color w:val="000000" w:themeColor="text1"/>
          <w:sz w:val="24"/>
          <w:szCs w:val="24"/>
          <w:highlight w:val="none"/>
          <w14:textFill>
            <w14:solidFill>
              <w14:schemeClr w14:val="tx1"/>
            </w14:solidFill>
          </w14:textFill>
        </w:rPr>
        <w:t>营业执照</w:t>
      </w:r>
    </w:p>
    <w:p w14:paraId="1317B3EF">
      <w:pPr>
        <w:adjustRightInd w:val="0"/>
        <w:snapToGrid w:val="0"/>
        <w:spacing w:line="320" w:lineRule="exact"/>
        <w:ind w:left="-105" w:right="-105"/>
        <w:rPr>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w:t>
      </w:r>
      <w:r>
        <w:rPr>
          <w:rFonts w:hint="eastAsia"/>
          <w:bCs/>
          <w:color w:val="000000" w:themeColor="text1"/>
          <w:sz w:val="24"/>
          <w:szCs w:val="24"/>
          <w:highlight w:val="none"/>
          <w:lang w:val="en-US" w:eastAsia="zh-CN"/>
          <w14:textFill>
            <w14:solidFill>
              <w14:schemeClr w14:val="tx1"/>
            </w14:solidFill>
          </w14:textFill>
        </w:rPr>
        <w:t>8</w:t>
      </w:r>
      <w:r>
        <w:rPr>
          <w:rFonts w:hint="eastAsia"/>
          <w:bCs/>
          <w:color w:val="000000" w:themeColor="text1"/>
          <w:sz w:val="24"/>
          <w:szCs w:val="24"/>
          <w:highlight w:val="none"/>
          <w14:textFill>
            <w14:solidFill>
              <w14:schemeClr w14:val="tx1"/>
            </w14:solidFill>
          </w14:textFill>
        </w:rPr>
        <w:t>工业污泥检测报告</w:t>
      </w:r>
    </w:p>
    <w:p w14:paraId="471DA8E6">
      <w:pPr>
        <w:adjustRightInd w:val="0"/>
        <w:snapToGrid w:val="0"/>
        <w:spacing w:line="320" w:lineRule="exact"/>
        <w:ind w:left="-105" w:right="-105"/>
        <w:rPr>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w:t>
      </w:r>
      <w:r>
        <w:rPr>
          <w:rFonts w:hint="eastAsia"/>
          <w:bCs/>
          <w:color w:val="000000" w:themeColor="text1"/>
          <w:sz w:val="24"/>
          <w:szCs w:val="24"/>
          <w:highlight w:val="none"/>
          <w:lang w:val="en-US" w:eastAsia="zh-CN"/>
          <w14:textFill>
            <w14:solidFill>
              <w14:schemeClr w14:val="tx1"/>
            </w14:solidFill>
          </w14:textFill>
        </w:rPr>
        <w:t>9</w:t>
      </w:r>
      <w:r>
        <w:rPr>
          <w:rFonts w:hint="eastAsia"/>
          <w:bCs/>
          <w:color w:val="000000" w:themeColor="text1"/>
          <w:sz w:val="24"/>
          <w:szCs w:val="24"/>
          <w:highlight w:val="none"/>
          <w14:textFill>
            <w14:solidFill>
              <w14:schemeClr w14:val="tx1"/>
            </w14:solidFill>
          </w14:textFill>
        </w:rPr>
        <w:t xml:space="preserve"> 生活污泥检测报告</w:t>
      </w:r>
    </w:p>
    <w:p w14:paraId="18FFA91F">
      <w:pPr>
        <w:adjustRightInd w:val="0"/>
        <w:snapToGrid w:val="0"/>
        <w:spacing w:line="320" w:lineRule="exact"/>
        <w:ind w:left="-105" w:right="-105"/>
        <w:rPr>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w:t>
      </w:r>
      <w:r>
        <w:rPr>
          <w:rFonts w:hint="eastAsia"/>
          <w:bCs/>
          <w:color w:val="000000" w:themeColor="text1"/>
          <w:sz w:val="24"/>
          <w:szCs w:val="24"/>
          <w:highlight w:val="none"/>
          <w:lang w:val="en-US" w:eastAsia="zh-CN"/>
          <w14:textFill>
            <w14:solidFill>
              <w14:schemeClr w14:val="tx1"/>
            </w14:solidFill>
          </w14:textFill>
        </w:rPr>
        <w:t>10</w:t>
      </w:r>
      <w:r>
        <w:rPr>
          <w:rFonts w:hint="eastAsia"/>
          <w:bCs/>
          <w:color w:val="000000" w:themeColor="text1"/>
          <w:sz w:val="24"/>
          <w:szCs w:val="24"/>
          <w:highlight w:val="none"/>
          <w14:textFill>
            <w14:solidFill>
              <w14:schemeClr w14:val="tx1"/>
            </w14:solidFill>
          </w14:textFill>
        </w:rPr>
        <w:t xml:space="preserve"> 引用环境质量现状检测报告（</w:t>
      </w:r>
      <w:r>
        <w:rPr>
          <w:bCs/>
          <w:color w:val="000000" w:themeColor="text1"/>
          <w:sz w:val="24"/>
          <w:szCs w:val="24"/>
          <w:highlight w:val="none"/>
          <w14:textFill>
            <w14:solidFill>
              <w14:schemeClr w14:val="tx1"/>
            </w14:solidFill>
          </w14:textFill>
        </w:rPr>
        <w:t>202311056</w:t>
      </w:r>
      <w:r>
        <w:rPr>
          <w:rFonts w:hint="eastAsia"/>
          <w:bCs/>
          <w:color w:val="000000" w:themeColor="text1"/>
          <w:sz w:val="24"/>
          <w:szCs w:val="24"/>
          <w:highlight w:val="none"/>
          <w14:textFill>
            <w14:solidFill>
              <w14:schemeClr w14:val="tx1"/>
            </w14:solidFill>
          </w14:textFill>
        </w:rPr>
        <w:t>）</w:t>
      </w:r>
    </w:p>
    <w:p w14:paraId="2BFAB476">
      <w:pPr>
        <w:adjustRightInd w:val="0"/>
        <w:snapToGrid w:val="0"/>
        <w:spacing w:line="320" w:lineRule="exact"/>
        <w:ind w:left="-105" w:right="-105"/>
        <w:rPr>
          <w:rFonts w:hint="eastAsia"/>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w:t>
      </w:r>
      <w:r>
        <w:rPr>
          <w:rFonts w:hint="eastAsia"/>
          <w:bCs/>
          <w:color w:val="000000" w:themeColor="text1"/>
          <w:sz w:val="24"/>
          <w:szCs w:val="24"/>
          <w:highlight w:val="none"/>
          <w:lang w:val="en-US" w:eastAsia="zh-CN"/>
          <w14:textFill>
            <w14:solidFill>
              <w14:schemeClr w14:val="tx1"/>
            </w14:solidFill>
          </w14:textFill>
        </w:rPr>
        <w:t>11</w:t>
      </w:r>
      <w:r>
        <w:rPr>
          <w:rFonts w:hint="eastAsia"/>
          <w:bCs/>
          <w:color w:val="000000" w:themeColor="text1"/>
          <w:sz w:val="24"/>
          <w:szCs w:val="24"/>
          <w:highlight w:val="none"/>
          <w14:textFill>
            <w14:solidFill>
              <w14:schemeClr w14:val="tx1"/>
            </w14:solidFill>
          </w14:textFill>
        </w:rPr>
        <w:t xml:space="preserve"> 引用环境质量现状检测报告（</w:t>
      </w:r>
      <w:r>
        <w:rPr>
          <w:bCs/>
          <w:color w:val="000000" w:themeColor="text1"/>
          <w:sz w:val="24"/>
          <w:szCs w:val="24"/>
          <w:highlight w:val="none"/>
          <w14:textFill>
            <w14:solidFill>
              <w14:schemeClr w14:val="tx1"/>
            </w14:solidFill>
          </w14:textFill>
        </w:rPr>
        <w:t>HC232764</w:t>
      </w:r>
      <w:r>
        <w:rPr>
          <w:rFonts w:hint="eastAsia"/>
          <w:bCs/>
          <w:color w:val="000000" w:themeColor="text1"/>
          <w:sz w:val="24"/>
          <w:szCs w:val="24"/>
          <w:highlight w:val="none"/>
          <w14:textFill>
            <w14:solidFill>
              <w14:schemeClr w14:val="tx1"/>
            </w14:solidFill>
          </w14:textFill>
        </w:rPr>
        <w:t>）</w:t>
      </w:r>
    </w:p>
    <w:p w14:paraId="4F1AB74E">
      <w:pPr>
        <w:adjustRightInd w:val="0"/>
        <w:snapToGrid w:val="0"/>
        <w:spacing w:line="320" w:lineRule="exact"/>
        <w:ind w:left="-105" w:right="-105"/>
        <w:rPr>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附件1</w:t>
      </w:r>
      <w:r>
        <w:rPr>
          <w:rFonts w:hint="eastAsia"/>
          <w:bCs/>
          <w:color w:val="000000" w:themeColor="text1"/>
          <w:sz w:val="24"/>
          <w:szCs w:val="24"/>
          <w:highlight w:val="none"/>
          <w:lang w:val="en-US" w:eastAsia="zh-CN"/>
          <w14:textFill>
            <w14:solidFill>
              <w14:schemeClr w14:val="tx1"/>
            </w14:solidFill>
          </w14:textFill>
        </w:rPr>
        <w:t>2</w:t>
      </w:r>
      <w:r>
        <w:rPr>
          <w:rFonts w:hint="eastAsia"/>
          <w:bCs/>
          <w:color w:val="000000" w:themeColor="text1"/>
          <w:sz w:val="24"/>
          <w:szCs w:val="24"/>
          <w:highlight w:val="none"/>
          <w14:textFill>
            <w14:solidFill>
              <w14:schemeClr w14:val="tx1"/>
            </w14:solidFill>
          </w14:textFill>
        </w:rPr>
        <w:t xml:space="preserve"> 取水许可证</w:t>
      </w:r>
    </w:p>
    <w:p w14:paraId="5410279D">
      <w:pPr>
        <w:adjustRightInd w:val="0"/>
        <w:snapToGrid w:val="0"/>
        <w:spacing w:line="320" w:lineRule="exact"/>
        <w:ind w:left="-105" w:right="-105"/>
        <w:rPr>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附件1</w:t>
      </w:r>
      <w:r>
        <w:rPr>
          <w:rFonts w:hint="eastAsia"/>
          <w:bCs/>
          <w:color w:val="000000" w:themeColor="text1"/>
          <w:sz w:val="24"/>
          <w:szCs w:val="24"/>
          <w:highlight w:val="none"/>
          <w:lang w:val="en-US" w:eastAsia="zh-CN"/>
          <w14:textFill>
            <w14:solidFill>
              <w14:schemeClr w14:val="tx1"/>
            </w14:solidFill>
          </w14:textFill>
        </w:rPr>
        <w:t>3</w:t>
      </w:r>
      <w:r>
        <w:rPr>
          <w:rFonts w:hint="eastAsia"/>
          <w:bCs/>
          <w:color w:val="000000" w:themeColor="text1"/>
          <w:sz w:val="24"/>
          <w:szCs w:val="24"/>
          <w:highlight w:val="none"/>
          <w14:textFill>
            <w14:solidFill>
              <w14:schemeClr w14:val="tx1"/>
            </w14:solidFill>
          </w14:textFill>
        </w:rPr>
        <w:t xml:space="preserve"> 环境质量现状检测报告</w:t>
      </w:r>
    </w:p>
    <w:p w14:paraId="7CF63503">
      <w:pPr>
        <w:adjustRightInd w:val="0"/>
        <w:snapToGrid w:val="0"/>
        <w:spacing w:line="320" w:lineRule="exact"/>
        <w:ind w:left="-105" w:right="-105"/>
        <w:rPr>
          <w:rFonts w:hint="default" w:eastAsia="宋体"/>
          <w:bCs/>
          <w:color w:val="000000" w:themeColor="text1"/>
          <w:sz w:val="24"/>
          <w:szCs w:val="24"/>
          <w:highlight w:val="none"/>
          <w:lang w:val="en-US" w:eastAsia="zh-CN"/>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附件1</w:t>
      </w:r>
      <w:r>
        <w:rPr>
          <w:rFonts w:hint="eastAsia"/>
          <w:bCs/>
          <w:color w:val="000000" w:themeColor="text1"/>
          <w:sz w:val="24"/>
          <w:szCs w:val="24"/>
          <w:highlight w:val="none"/>
          <w:lang w:val="en-US" w:eastAsia="zh-CN"/>
          <w14:textFill>
            <w14:solidFill>
              <w14:schemeClr w14:val="tx1"/>
            </w14:solidFill>
          </w14:textFill>
        </w:rPr>
        <w:t>4</w:t>
      </w:r>
      <w:r>
        <w:rPr>
          <w:rFonts w:hint="eastAsia"/>
          <w:bCs/>
          <w:color w:val="000000" w:themeColor="text1"/>
          <w:sz w:val="24"/>
          <w:szCs w:val="24"/>
          <w:highlight w:val="none"/>
          <w14:textFill>
            <w14:solidFill>
              <w14:schemeClr w14:val="tx1"/>
            </w14:solidFill>
          </w14:textFill>
        </w:rPr>
        <w:t xml:space="preserve"> </w:t>
      </w:r>
      <w:r>
        <w:rPr>
          <w:rFonts w:hint="eastAsia"/>
          <w:bCs/>
          <w:color w:val="000000" w:themeColor="text1"/>
          <w:sz w:val="24"/>
          <w:szCs w:val="24"/>
          <w:highlight w:val="none"/>
          <w:lang w:val="en-US" w:eastAsia="zh-CN"/>
          <w14:textFill>
            <w14:solidFill>
              <w14:schemeClr w14:val="tx1"/>
            </w14:solidFill>
          </w14:textFill>
        </w:rPr>
        <w:t>隧道窑废气</w:t>
      </w:r>
      <w:r>
        <w:rPr>
          <w:rFonts w:hint="eastAsia"/>
          <w:bCs/>
          <w:color w:val="000000" w:themeColor="text1"/>
          <w:sz w:val="24"/>
          <w:szCs w:val="24"/>
          <w:highlight w:val="none"/>
          <w14:textFill>
            <w14:solidFill>
              <w14:schemeClr w14:val="tx1"/>
            </w14:solidFill>
          </w14:textFill>
        </w:rPr>
        <w:t>检测报告</w:t>
      </w:r>
      <w:r>
        <w:rPr>
          <w:rFonts w:hint="eastAsia"/>
          <w:bCs/>
          <w:color w:val="000000" w:themeColor="text1"/>
          <w:sz w:val="24"/>
          <w:szCs w:val="24"/>
          <w:highlight w:val="none"/>
          <w:lang w:eastAsia="zh-CN"/>
          <w14:textFill>
            <w14:solidFill>
              <w14:schemeClr w14:val="tx1"/>
            </w14:solidFill>
          </w14:textFill>
        </w:rPr>
        <w:t>（</w:t>
      </w:r>
      <w:r>
        <w:rPr>
          <w:rFonts w:hint="eastAsia"/>
          <w:bCs/>
          <w:color w:val="000000" w:themeColor="text1"/>
          <w:sz w:val="24"/>
          <w:szCs w:val="24"/>
          <w:highlight w:val="none"/>
          <w:lang w:val="en-US" w:eastAsia="zh-CN"/>
          <w14:textFill>
            <w14:solidFill>
              <w14:schemeClr w14:val="tx1"/>
            </w14:solidFill>
          </w14:textFill>
        </w:rPr>
        <w:t>HFHJ[2025]WT1363</w:t>
      </w:r>
      <w:r>
        <w:rPr>
          <w:rFonts w:hint="eastAsia"/>
          <w:bCs/>
          <w:color w:val="000000" w:themeColor="text1"/>
          <w:sz w:val="24"/>
          <w:szCs w:val="24"/>
          <w:highlight w:val="none"/>
          <w:lang w:eastAsia="zh-CN"/>
          <w14:textFill>
            <w14:solidFill>
              <w14:schemeClr w14:val="tx1"/>
            </w14:solidFill>
          </w14:textFill>
        </w:rPr>
        <w:t>）</w:t>
      </w:r>
      <w:r>
        <w:rPr>
          <w:rFonts w:hint="eastAsia"/>
          <w:bCs/>
          <w:color w:val="000000" w:themeColor="text1"/>
          <w:sz w:val="24"/>
          <w:szCs w:val="24"/>
          <w:highlight w:val="none"/>
          <w:lang w:val="en-US" w:eastAsia="zh-CN"/>
          <w14:textFill>
            <w14:solidFill>
              <w14:schemeClr w14:val="tx1"/>
            </w14:solidFill>
          </w14:textFill>
        </w:rPr>
        <w:t>以及当日在线数据</w:t>
      </w:r>
    </w:p>
    <w:p w14:paraId="086B0742">
      <w:pPr>
        <w:adjustRightInd w:val="0"/>
        <w:snapToGrid w:val="0"/>
        <w:spacing w:line="320" w:lineRule="exact"/>
        <w:ind w:left="-105" w:right="-105"/>
        <w:rPr>
          <w:rFonts w:hint="eastAsia"/>
          <w:bCs/>
          <w:color w:val="000000" w:themeColor="text1"/>
          <w:sz w:val="24"/>
          <w:szCs w:val="24"/>
          <w:highlight w:val="none"/>
          <w:lang w:val="en-US" w:eastAsia="zh-CN"/>
          <w14:textFill>
            <w14:solidFill>
              <w14:schemeClr w14:val="tx1"/>
            </w14:solidFill>
          </w14:textFill>
        </w:rPr>
      </w:pPr>
      <w:r>
        <w:rPr>
          <w:rFonts w:hint="eastAsia"/>
          <w:bCs/>
          <w:color w:val="000000" w:themeColor="text1"/>
          <w:sz w:val="24"/>
          <w:szCs w:val="24"/>
          <w:highlight w:val="none"/>
          <w14:textFill>
            <w14:solidFill>
              <w14:schemeClr w14:val="tx1"/>
            </w14:solidFill>
          </w14:textFill>
        </w:rPr>
        <w:t>附件1</w:t>
      </w:r>
      <w:r>
        <w:rPr>
          <w:rFonts w:hint="eastAsia"/>
          <w:bCs/>
          <w:color w:val="000000" w:themeColor="text1"/>
          <w:sz w:val="24"/>
          <w:szCs w:val="24"/>
          <w:highlight w:val="none"/>
          <w:lang w:val="en-US" w:eastAsia="zh-CN"/>
          <w14:textFill>
            <w14:solidFill>
              <w14:schemeClr w14:val="tx1"/>
            </w14:solidFill>
          </w14:textFill>
        </w:rPr>
        <w:t>5</w:t>
      </w:r>
      <w:r>
        <w:rPr>
          <w:rFonts w:hint="eastAsia"/>
          <w:bCs/>
          <w:color w:val="000000" w:themeColor="text1"/>
          <w:sz w:val="24"/>
          <w:szCs w:val="24"/>
          <w:highlight w:val="none"/>
          <w14:textFill>
            <w14:solidFill>
              <w14:schemeClr w14:val="tx1"/>
            </w14:solidFill>
          </w14:textFill>
        </w:rPr>
        <w:t xml:space="preserve"> </w:t>
      </w:r>
      <w:r>
        <w:rPr>
          <w:rFonts w:hint="eastAsia"/>
          <w:bCs/>
          <w:color w:val="000000" w:themeColor="text1"/>
          <w:sz w:val="24"/>
          <w:szCs w:val="24"/>
          <w:highlight w:val="none"/>
          <w:lang w:val="en-US" w:eastAsia="zh-CN"/>
          <w14:textFill>
            <w14:solidFill>
              <w14:schemeClr w14:val="tx1"/>
            </w14:solidFill>
          </w14:textFill>
        </w:rPr>
        <w:t>公众意见调查表</w:t>
      </w:r>
    </w:p>
    <w:p w14:paraId="42E35F29">
      <w:pPr>
        <w:adjustRightInd w:val="0"/>
        <w:snapToGrid w:val="0"/>
        <w:spacing w:line="320" w:lineRule="exact"/>
        <w:ind w:left="-105" w:right="-105"/>
        <w:rPr>
          <w:rFonts w:hint="default"/>
          <w:bCs/>
          <w:color w:val="000000" w:themeColor="text1"/>
          <w:sz w:val="24"/>
          <w:szCs w:val="24"/>
          <w:highlight w:val="none"/>
          <w:lang w:val="en-US" w:eastAsia="zh-CN"/>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21BC95BF">
      <w:pPr>
        <w:adjustRightInd w:val="0"/>
        <w:snapToGrid w:val="0"/>
        <w:spacing w:line="288" w:lineRule="auto"/>
        <w:ind w:right="-105"/>
        <w:rPr>
          <w:rFonts w:ascii="仿宋_GB2312" w:eastAsia="仿宋_GB2312"/>
          <w:color w:val="000000" w:themeColor="text1"/>
          <w:sz w:val="36"/>
          <w:szCs w:val="36"/>
          <w:highlight w:val="green"/>
          <w14:textFill>
            <w14:solidFill>
              <w14:schemeClr w14:val="tx1"/>
            </w14:solidFill>
          </w14:textFill>
        </w:rPr>
      </w:pPr>
    </w:p>
    <w:p w14:paraId="13E24F2B">
      <w:pPr>
        <w:adjustRightInd w:val="0"/>
        <w:snapToGrid w:val="0"/>
        <w:spacing w:line="288" w:lineRule="auto"/>
        <w:ind w:left="-105" w:right="-105" w:firstLine="1040"/>
        <w:rPr>
          <w:rFonts w:ascii="仿宋_GB2312" w:eastAsia="仿宋_GB2312"/>
          <w:color w:val="000000" w:themeColor="text1"/>
          <w:sz w:val="36"/>
          <w:szCs w:val="36"/>
          <w:highlight w:val="green"/>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14380507">
      <w:pPr>
        <w:pStyle w:val="20"/>
        <w:ind w:left="-105" w:right="-105"/>
        <w:jc w:val="center"/>
        <w:outlineLvl w:val="0"/>
        <w:rPr>
          <w:rFonts w:ascii="黑体" w:hAnsi="黑体" w:eastAsia="黑体"/>
          <w:snapToGrid w:val="0"/>
          <w:color w:val="000000" w:themeColor="text1"/>
          <w:sz w:val="30"/>
          <w:szCs w:val="30"/>
          <w:highlight w:val="none"/>
          <w14:textFill>
            <w14:solidFill>
              <w14:schemeClr w14:val="tx1"/>
            </w14:solidFill>
          </w14:textFill>
        </w:rPr>
      </w:pPr>
      <w:bookmarkStart w:id="2" w:name="_Toc112747263"/>
      <w:r>
        <w:rPr>
          <w:rFonts w:hint="eastAsia" w:ascii="黑体" w:hAnsi="黑体" w:eastAsia="黑体"/>
          <w:snapToGrid w:val="0"/>
          <w:color w:val="000000" w:themeColor="text1"/>
          <w:sz w:val="30"/>
          <w:szCs w:val="30"/>
          <w:highlight w:val="none"/>
          <w14:textFill>
            <w14:solidFill>
              <w14:schemeClr w14:val="tx1"/>
            </w14:solidFill>
          </w14:textFill>
        </w:rPr>
        <w:t>一、建设项目基本情况</w:t>
      </w:r>
      <w:bookmarkEnd w:id="2"/>
    </w:p>
    <w:tbl>
      <w:tblPr>
        <w:tblStyle w:val="24"/>
        <w:tblW w:w="90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248"/>
        <w:gridCol w:w="1982"/>
        <w:gridCol w:w="1841"/>
        <w:gridCol w:w="3014"/>
      </w:tblGrid>
      <w:tr w14:paraId="5D0C68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71BEFE15">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建设项目名称</w:t>
            </w:r>
          </w:p>
        </w:tc>
        <w:tc>
          <w:tcPr>
            <w:tcW w:w="6837" w:type="dxa"/>
            <w:gridSpan w:val="3"/>
            <w:vAlign w:val="center"/>
          </w:tcPr>
          <w:p w14:paraId="4639B738">
            <w:pPr>
              <w:adjustRightInd w:val="0"/>
              <w:snapToGrid w:val="0"/>
              <w:spacing w:line="380" w:lineRule="exact"/>
              <w:jc w:val="center"/>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年产32000万块烧结粉煤灰页岩多孔砖生产线及10万立方米加气混凝土砌块建设项目</w:t>
            </w:r>
          </w:p>
        </w:tc>
      </w:tr>
      <w:tr w14:paraId="1C5323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0A96AAA0">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项目代码</w:t>
            </w:r>
          </w:p>
        </w:tc>
        <w:tc>
          <w:tcPr>
            <w:tcW w:w="6837" w:type="dxa"/>
            <w:gridSpan w:val="3"/>
            <w:vAlign w:val="center"/>
          </w:tcPr>
          <w:p w14:paraId="35576AE5">
            <w:pPr>
              <w:adjustRightInd w:val="0"/>
              <w:snapToGrid w:val="0"/>
              <w:spacing w:line="380" w:lineRule="exact"/>
              <w:jc w:val="center"/>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2510-130223-04-05-820316</w:t>
            </w:r>
          </w:p>
        </w:tc>
      </w:tr>
      <w:tr w14:paraId="37AF85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318363DF">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建设单位联系人</w:t>
            </w:r>
          </w:p>
        </w:tc>
        <w:tc>
          <w:tcPr>
            <w:tcW w:w="1982" w:type="dxa"/>
            <w:vAlign w:val="center"/>
          </w:tcPr>
          <w:p w14:paraId="6378248C">
            <w:pPr>
              <w:adjustRightInd w:val="0"/>
              <w:snapToGrid w:val="0"/>
              <w:spacing w:line="380" w:lineRule="exact"/>
              <w:jc w:val="center"/>
              <w:rPr>
                <w:rFonts w:hint="eastAsia"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周自山</w:t>
            </w:r>
          </w:p>
        </w:tc>
        <w:tc>
          <w:tcPr>
            <w:tcW w:w="1841" w:type="dxa"/>
            <w:vAlign w:val="center"/>
          </w:tcPr>
          <w:p w14:paraId="51FFFD69">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联系方式</w:t>
            </w:r>
          </w:p>
        </w:tc>
        <w:tc>
          <w:tcPr>
            <w:tcW w:w="3014" w:type="dxa"/>
            <w:vAlign w:val="center"/>
          </w:tcPr>
          <w:p w14:paraId="25A29DED">
            <w:pPr>
              <w:adjustRightInd w:val="0"/>
              <w:snapToGrid w:val="0"/>
              <w:spacing w:line="380" w:lineRule="exact"/>
              <w:jc w:val="center"/>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13091069754</w:t>
            </w:r>
          </w:p>
        </w:tc>
      </w:tr>
      <w:tr w14:paraId="7DA75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3EAF823D">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建设地点</w:t>
            </w:r>
          </w:p>
        </w:tc>
        <w:tc>
          <w:tcPr>
            <w:tcW w:w="6837" w:type="dxa"/>
            <w:gridSpan w:val="3"/>
            <w:vAlign w:val="center"/>
          </w:tcPr>
          <w:p w14:paraId="08E62C1B">
            <w:pPr>
              <w:adjustRightInd w:val="0"/>
              <w:snapToGrid w:val="0"/>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河北省唐山市滦州市响嘡街道田疃村</w:t>
            </w:r>
            <w:r>
              <w:rPr>
                <w:rFonts w:hint="eastAsia"/>
                <w:color w:val="000000" w:themeColor="text1"/>
                <w:sz w:val="24"/>
                <w:highlight w:val="none"/>
                <w14:textFill>
                  <w14:solidFill>
                    <w14:schemeClr w14:val="tx1"/>
                  </w14:solidFill>
                </w14:textFill>
              </w:rPr>
              <w:t>西北侧</w:t>
            </w:r>
          </w:p>
        </w:tc>
      </w:tr>
      <w:tr w14:paraId="039400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6C99E8DB">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地理坐标</w:t>
            </w:r>
          </w:p>
        </w:tc>
        <w:tc>
          <w:tcPr>
            <w:tcW w:w="6837" w:type="dxa"/>
            <w:gridSpan w:val="3"/>
            <w:vAlign w:val="center"/>
          </w:tcPr>
          <w:p w14:paraId="09D5E2DE">
            <w:pPr>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东经</w:t>
            </w:r>
            <w:r>
              <w:rPr>
                <w:color w:val="000000" w:themeColor="text1"/>
                <w:sz w:val="24"/>
                <w:highlight w:val="none"/>
                <w14:textFill>
                  <w14:solidFill>
                    <w14:schemeClr w14:val="tx1"/>
                  </w14:solidFill>
                </w14:textFill>
              </w:rPr>
              <w:t>118度44分41.</w:t>
            </w:r>
            <w:r>
              <w:rPr>
                <w:rFonts w:hint="eastAsia"/>
                <w:color w:val="000000" w:themeColor="text1"/>
                <w:sz w:val="24"/>
                <w:highlight w:val="none"/>
                <w14:textFill>
                  <w14:solidFill>
                    <w14:schemeClr w14:val="tx1"/>
                  </w14:solidFill>
                </w14:textFill>
              </w:rPr>
              <w:t>272</w:t>
            </w:r>
            <w:r>
              <w:rPr>
                <w:color w:val="000000" w:themeColor="text1"/>
                <w:sz w:val="24"/>
                <w:highlight w:val="none"/>
                <w14:textFill>
                  <w14:solidFill>
                    <w14:schemeClr w14:val="tx1"/>
                  </w14:solidFill>
                </w14:textFill>
              </w:rPr>
              <w:t>秒，</w:t>
            </w:r>
            <w:r>
              <w:rPr>
                <w:rFonts w:hint="eastAsia"/>
                <w:color w:val="000000" w:themeColor="text1"/>
                <w:sz w:val="24"/>
                <w:highlight w:val="none"/>
                <w14:textFill>
                  <w14:solidFill>
                    <w14:schemeClr w14:val="tx1"/>
                  </w14:solidFill>
                </w14:textFill>
              </w:rPr>
              <w:t>北纬</w:t>
            </w:r>
            <w:r>
              <w:rPr>
                <w:color w:val="000000" w:themeColor="text1"/>
                <w:sz w:val="24"/>
                <w:highlight w:val="none"/>
                <w14:textFill>
                  <w14:solidFill>
                    <w14:schemeClr w14:val="tx1"/>
                  </w14:solidFill>
                </w14:textFill>
              </w:rPr>
              <w:t>39度39分</w:t>
            </w:r>
            <w:r>
              <w:rPr>
                <w:rFonts w:hint="eastAsia"/>
                <w:color w:val="000000" w:themeColor="text1"/>
                <w:sz w:val="24"/>
                <w:highlight w:val="none"/>
                <w14:textFill>
                  <w14:solidFill>
                    <w14:schemeClr w14:val="tx1"/>
                  </w14:solidFill>
                </w14:textFill>
              </w:rPr>
              <w:t>53.960</w:t>
            </w:r>
            <w:r>
              <w:rPr>
                <w:color w:val="000000" w:themeColor="text1"/>
                <w:sz w:val="24"/>
                <w:highlight w:val="none"/>
                <w14:textFill>
                  <w14:solidFill>
                    <w14:schemeClr w14:val="tx1"/>
                  </w14:solidFill>
                </w14:textFill>
              </w:rPr>
              <w:t>秒）</w:t>
            </w:r>
          </w:p>
        </w:tc>
      </w:tr>
      <w:tr w14:paraId="36C4D1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6AB50694">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国民经济</w:t>
            </w:r>
          </w:p>
          <w:p w14:paraId="067B88B4">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行业类别</w:t>
            </w:r>
          </w:p>
        </w:tc>
        <w:tc>
          <w:tcPr>
            <w:tcW w:w="1982" w:type="dxa"/>
            <w:vAlign w:val="center"/>
          </w:tcPr>
          <w:p w14:paraId="3E688E5A">
            <w:pPr>
              <w:adjustRightInd w:val="0"/>
              <w:snapToGrid w:val="0"/>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w:t>
            </w:r>
            <w:r>
              <w:rPr>
                <w:rFonts w:hint="eastAsia"/>
                <w:color w:val="000000" w:themeColor="text1"/>
                <w:sz w:val="24"/>
                <w:highlight w:val="none"/>
                <w14:textFill>
                  <w14:solidFill>
                    <w14:schemeClr w14:val="tx1"/>
                  </w14:solidFill>
                </w14:textFill>
              </w:rPr>
              <w:t>3031</w:t>
            </w:r>
            <w:r>
              <w:rPr>
                <w:color w:val="000000" w:themeColor="text1"/>
                <w:sz w:val="24"/>
                <w:highlight w:val="none"/>
                <w14:textFill>
                  <w14:solidFill>
                    <w14:schemeClr w14:val="tx1"/>
                  </w14:solidFill>
                </w14:textFill>
              </w:rPr>
              <w:t>粘土砖瓦及建筑</w:t>
            </w:r>
            <w:r>
              <w:rPr>
                <w:rFonts w:hint="eastAsia"/>
                <w:color w:val="000000" w:themeColor="text1"/>
                <w:sz w:val="24"/>
                <w:highlight w:val="none"/>
                <w14:textFill>
                  <w14:solidFill>
                    <w14:schemeClr w14:val="tx1"/>
                  </w14:solidFill>
                </w14:textFill>
              </w:rPr>
              <w:t>砌块</w:t>
            </w:r>
            <w:r>
              <w:rPr>
                <w:color w:val="000000" w:themeColor="text1"/>
                <w:sz w:val="24"/>
                <w:highlight w:val="none"/>
                <w14:textFill>
                  <w14:solidFill>
                    <w14:schemeClr w14:val="tx1"/>
                  </w14:solidFill>
                </w14:textFill>
              </w:rPr>
              <w:t>制造</w:t>
            </w:r>
          </w:p>
          <w:p w14:paraId="3A222606">
            <w:pPr>
              <w:adjustRightInd w:val="0"/>
              <w:snapToGrid w:val="0"/>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N7723固体废物</w:t>
            </w:r>
          </w:p>
          <w:p w14:paraId="3FBEF579">
            <w:pPr>
              <w:adjustRightInd w:val="0"/>
              <w:snapToGrid w:val="0"/>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治理</w:t>
            </w:r>
          </w:p>
        </w:tc>
        <w:tc>
          <w:tcPr>
            <w:tcW w:w="1841" w:type="dxa"/>
            <w:vAlign w:val="center"/>
          </w:tcPr>
          <w:p w14:paraId="63ECCFE7">
            <w:pPr>
              <w:adjustRightInd w:val="0"/>
              <w:snapToGrid w:val="0"/>
              <w:spacing w:line="380" w:lineRule="exact"/>
              <w:jc w:val="center"/>
              <w:rPr>
                <w:color w:val="000000" w:themeColor="text1"/>
                <w:sz w:val="24"/>
                <w:highlight w:val="none"/>
                <w14:textFill>
                  <w14:solidFill>
                    <w14:schemeClr w14:val="tx1"/>
                  </w14:solidFill>
                </w14:textFill>
              </w:rPr>
            </w:pPr>
            <w:bookmarkStart w:id="3" w:name="_Hlk49843745"/>
            <w:r>
              <w:rPr>
                <w:color w:val="000000" w:themeColor="text1"/>
                <w:sz w:val="24"/>
                <w:highlight w:val="none"/>
                <w14:textFill>
                  <w14:solidFill>
                    <w14:schemeClr w14:val="tx1"/>
                  </w14:solidFill>
                </w14:textFill>
              </w:rPr>
              <w:t>建设项目</w:t>
            </w:r>
          </w:p>
          <w:p w14:paraId="54F70786">
            <w:pPr>
              <w:adjustRightInd w:val="0"/>
              <w:snapToGrid w:val="0"/>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行业类别</w:t>
            </w:r>
            <w:bookmarkEnd w:id="3"/>
          </w:p>
        </w:tc>
        <w:tc>
          <w:tcPr>
            <w:tcW w:w="3014" w:type="dxa"/>
            <w:vAlign w:val="center"/>
          </w:tcPr>
          <w:p w14:paraId="6B7D1FD1">
            <w:pPr>
              <w:adjustRightInd w:val="0"/>
              <w:snapToGrid w:val="0"/>
              <w:spacing w:line="380" w:lineRule="exact"/>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二十七</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 xml:space="preserve">56砖瓦、石材等建筑材料制造303  </w:t>
            </w:r>
            <w:r>
              <w:rPr>
                <w:rFonts w:hint="eastAsia"/>
                <w:color w:val="000000" w:themeColor="text1"/>
                <w:sz w:val="24"/>
                <w:highlight w:val="none"/>
                <w:lang w:val="en-US" w:eastAsia="zh-CN"/>
                <w14:textFill>
                  <w14:solidFill>
                    <w14:schemeClr w14:val="tx1"/>
                  </w14:solidFill>
                </w14:textFill>
              </w:rPr>
              <w:t>四十七</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103</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一般工业固体废物（含污水处理厂污泥）、建筑施工废弃物处置及综合利用</w:t>
            </w:r>
          </w:p>
        </w:tc>
      </w:tr>
      <w:tr w14:paraId="201156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4172B2FF">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建设性质</w:t>
            </w:r>
          </w:p>
        </w:tc>
        <w:tc>
          <w:tcPr>
            <w:tcW w:w="1982" w:type="dxa"/>
            <w:vAlign w:val="center"/>
          </w:tcPr>
          <w:p w14:paraId="20584819">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A3"/>
            </w:r>
            <w:r>
              <w:rPr>
                <w:rFonts w:hAnsi="宋体"/>
                <w:color w:val="000000" w:themeColor="text1"/>
                <w:sz w:val="24"/>
                <w:highlight w:val="none"/>
                <w14:textFill>
                  <w14:solidFill>
                    <w14:schemeClr w14:val="tx1"/>
                  </w14:solidFill>
                </w14:textFill>
              </w:rPr>
              <w:t>新建（迁建）</w:t>
            </w:r>
          </w:p>
          <w:p w14:paraId="7F36A293">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52"/>
            </w:r>
            <w:r>
              <w:rPr>
                <w:rFonts w:hAnsi="宋体"/>
                <w:color w:val="000000" w:themeColor="text1"/>
                <w:sz w:val="24"/>
                <w:highlight w:val="none"/>
                <w14:textFill>
                  <w14:solidFill>
                    <w14:schemeClr w14:val="tx1"/>
                  </w14:solidFill>
                </w14:textFill>
              </w:rPr>
              <w:t>改建</w:t>
            </w:r>
          </w:p>
          <w:p w14:paraId="3FB68E5B">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52"/>
            </w:r>
            <w:r>
              <w:rPr>
                <w:rFonts w:hAnsi="宋体"/>
                <w:color w:val="000000" w:themeColor="text1"/>
                <w:sz w:val="24"/>
                <w:highlight w:val="none"/>
                <w14:textFill>
                  <w14:solidFill>
                    <w14:schemeClr w14:val="tx1"/>
                  </w14:solidFill>
                </w14:textFill>
              </w:rPr>
              <w:t>扩建</w:t>
            </w:r>
          </w:p>
          <w:p w14:paraId="1FF71B3B">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A3"/>
            </w:r>
            <w:r>
              <w:rPr>
                <w:rFonts w:hAnsi="宋体"/>
                <w:color w:val="000000" w:themeColor="text1"/>
                <w:sz w:val="24"/>
                <w:highlight w:val="none"/>
                <w14:textFill>
                  <w14:solidFill>
                    <w14:schemeClr w14:val="tx1"/>
                  </w14:solidFill>
                </w14:textFill>
              </w:rPr>
              <w:t>技术改造</w:t>
            </w:r>
          </w:p>
        </w:tc>
        <w:tc>
          <w:tcPr>
            <w:tcW w:w="1841" w:type="dxa"/>
            <w:vAlign w:val="center"/>
          </w:tcPr>
          <w:p w14:paraId="3F91F255">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建设项目</w:t>
            </w:r>
          </w:p>
          <w:p w14:paraId="55B8EFA1">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申报情形</w:t>
            </w:r>
          </w:p>
        </w:tc>
        <w:tc>
          <w:tcPr>
            <w:tcW w:w="3014" w:type="dxa"/>
            <w:vAlign w:val="center"/>
          </w:tcPr>
          <w:p w14:paraId="644866B1">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A3"/>
            </w:r>
            <w:r>
              <w:rPr>
                <w:rFonts w:hAnsi="宋体"/>
                <w:color w:val="000000" w:themeColor="text1"/>
                <w:sz w:val="24"/>
                <w:highlight w:val="none"/>
                <w14:textFill>
                  <w14:solidFill>
                    <w14:schemeClr w14:val="tx1"/>
                  </w14:solidFill>
                </w14:textFill>
              </w:rPr>
              <w:t>首次申报项目</w:t>
            </w:r>
          </w:p>
          <w:p w14:paraId="17918FBF">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A3"/>
            </w:r>
            <w:r>
              <w:rPr>
                <w:rFonts w:hAnsi="宋体"/>
                <w:color w:val="000000" w:themeColor="text1"/>
                <w:sz w:val="24"/>
                <w:highlight w:val="none"/>
                <w14:textFill>
                  <w14:solidFill>
                    <w14:schemeClr w14:val="tx1"/>
                  </w14:solidFill>
                </w14:textFill>
              </w:rPr>
              <w:t>不予批准后再次申报项目</w:t>
            </w:r>
          </w:p>
          <w:p w14:paraId="2B7236AF">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A3"/>
            </w:r>
            <w:r>
              <w:rPr>
                <w:rFonts w:hAnsi="宋体"/>
                <w:color w:val="000000" w:themeColor="text1"/>
                <w:sz w:val="24"/>
                <w:highlight w:val="none"/>
                <w14:textFill>
                  <w14:solidFill>
                    <w14:schemeClr w14:val="tx1"/>
                  </w14:solidFill>
                </w14:textFill>
              </w:rPr>
              <w:t>超五年重新审核项目</w:t>
            </w:r>
          </w:p>
          <w:p w14:paraId="4E566CF3">
            <w:pPr>
              <w:spacing w:line="380" w:lineRule="exact"/>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52"/>
            </w:r>
            <w:r>
              <w:rPr>
                <w:rFonts w:hAnsi="宋体"/>
                <w:color w:val="000000" w:themeColor="text1"/>
                <w:sz w:val="24"/>
                <w:highlight w:val="none"/>
                <w14:textFill>
                  <w14:solidFill>
                    <w14:schemeClr w14:val="tx1"/>
                  </w14:solidFill>
                </w14:textFill>
              </w:rPr>
              <w:t>重大变动重新报批项目</w:t>
            </w:r>
          </w:p>
        </w:tc>
      </w:tr>
      <w:tr w14:paraId="794B0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1EE0A9E7">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项目审批（核准</w:t>
            </w:r>
            <w:r>
              <w:rPr>
                <w:color w:val="000000" w:themeColor="text1"/>
                <w:sz w:val="24"/>
                <w:highlight w:val="none"/>
                <w14:textFill>
                  <w14:solidFill>
                    <w14:schemeClr w14:val="tx1"/>
                  </w14:solidFill>
                </w14:textFill>
              </w:rPr>
              <w:t>/</w:t>
            </w:r>
          </w:p>
          <w:p w14:paraId="695B4815">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备案）部门（选填）</w:t>
            </w:r>
          </w:p>
        </w:tc>
        <w:tc>
          <w:tcPr>
            <w:tcW w:w="1982" w:type="dxa"/>
            <w:vAlign w:val="center"/>
          </w:tcPr>
          <w:p w14:paraId="5AAE3FD6">
            <w:pPr>
              <w:adjustRightInd w:val="0"/>
              <w:snapToGrid w:val="0"/>
              <w:spacing w:line="380" w:lineRule="exact"/>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滦县发展改革局</w:t>
            </w:r>
          </w:p>
        </w:tc>
        <w:tc>
          <w:tcPr>
            <w:tcW w:w="1841" w:type="dxa"/>
            <w:vAlign w:val="center"/>
          </w:tcPr>
          <w:p w14:paraId="5CB55E33">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项目审批（核准</w:t>
            </w:r>
            <w:r>
              <w:rPr>
                <w:color w:val="000000" w:themeColor="text1"/>
                <w:sz w:val="24"/>
                <w:highlight w:val="none"/>
                <w14:textFill>
                  <w14:solidFill>
                    <w14:schemeClr w14:val="tx1"/>
                  </w14:solidFill>
                </w14:textFill>
              </w:rPr>
              <w:t>/</w:t>
            </w:r>
          </w:p>
          <w:p w14:paraId="1A67F2D8">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备案）文号（选填）</w:t>
            </w:r>
          </w:p>
        </w:tc>
        <w:tc>
          <w:tcPr>
            <w:tcW w:w="3014" w:type="dxa"/>
            <w:vAlign w:val="center"/>
          </w:tcPr>
          <w:p w14:paraId="19355692">
            <w:pPr>
              <w:adjustRightInd w:val="0"/>
              <w:snapToGrid w:val="0"/>
              <w:spacing w:line="380" w:lineRule="exact"/>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滦发改备字（2011）006号</w:t>
            </w:r>
          </w:p>
        </w:tc>
      </w:tr>
      <w:tr w14:paraId="3C8A9A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79A8F69D">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总投资（万元）</w:t>
            </w:r>
          </w:p>
        </w:tc>
        <w:tc>
          <w:tcPr>
            <w:tcW w:w="1982" w:type="dxa"/>
            <w:vAlign w:val="center"/>
          </w:tcPr>
          <w:p w14:paraId="7C533E43">
            <w:pPr>
              <w:adjustRightInd w:val="0"/>
              <w:snapToGrid w:val="0"/>
              <w:spacing w:line="380" w:lineRule="exact"/>
              <w:jc w:val="center"/>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8000</w:t>
            </w:r>
          </w:p>
        </w:tc>
        <w:tc>
          <w:tcPr>
            <w:tcW w:w="1841" w:type="dxa"/>
            <w:tcMar>
              <w:top w:w="16" w:type="dxa"/>
              <w:left w:w="16" w:type="dxa"/>
              <w:right w:w="16" w:type="dxa"/>
            </w:tcMar>
            <w:vAlign w:val="center"/>
          </w:tcPr>
          <w:p w14:paraId="4C01E528">
            <w:pPr>
              <w:adjustRightInd w:val="0"/>
              <w:snapToGrid w:val="0"/>
              <w:spacing w:line="380" w:lineRule="exact"/>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环保投资（万元）</w:t>
            </w:r>
          </w:p>
        </w:tc>
        <w:tc>
          <w:tcPr>
            <w:tcW w:w="3014" w:type="dxa"/>
            <w:vAlign w:val="center"/>
          </w:tcPr>
          <w:p w14:paraId="2035F2D7">
            <w:pPr>
              <w:adjustRightInd w:val="0"/>
              <w:snapToGrid w:val="0"/>
              <w:spacing w:line="380" w:lineRule="exact"/>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98</w:t>
            </w:r>
          </w:p>
        </w:tc>
      </w:tr>
      <w:tr w14:paraId="4A3594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4945A6CA">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环保投资占比（</w:t>
            </w:r>
            <w:r>
              <w:rPr>
                <w:color w:val="000000" w:themeColor="text1"/>
                <w:sz w:val="24"/>
                <w:highlight w:val="none"/>
                <w14:textFill>
                  <w14:solidFill>
                    <w14:schemeClr w14:val="tx1"/>
                  </w14:solidFill>
                </w14:textFill>
              </w:rPr>
              <w:t>%</w:t>
            </w:r>
            <w:r>
              <w:rPr>
                <w:rFonts w:hAnsi="宋体"/>
                <w:color w:val="000000" w:themeColor="text1"/>
                <w:sz w:val="24"/>
                <w:highlight w:val="none"/>
                <w14:textFill>
                  <w14:solidFill>
                    <w14:schemeClr w14:val="tx1"/>
                  </w14:solidFill>
                </w14:textFill>
              </w:rPr>
              <w:t>）</w:t>
            </w:r>
          </w:p>
        </w:tc>
        <w:tc>
          <w:tcPr>
            <w:tcW w:w="1982" w:type="dxa"/>
            <w:vAlign w:val="center"/>
          </w:tcPr>
          <w:p w14:paraId="29AE8CF4">
            <w:pPr>
              <w:adjustRightInd w:val="0"/>
              <w:snapToGrid w:val="0"/>
              <w:spacing w:line="380" w:lineRule="exact"/>
              <w:jc w:val="center"/>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1.225</w:t>
            </w:r>
          </w:p>
        </w:tc>
        <w:tc>
          <w:tcPr>
            <w:tcW w:w="1841" w:type="dxa"/>
            <w:tcMar>
              <w:top w:w="16" w:type="dxa"/>
              <w:left w:w="16" w:type="dxa"/>
              <w:right w:w="16" w:type="dxa"/>
            </w:tcMar>
            <w:vAlign w:val="center"/>
          </w:tcPr>
          <w:p w14:paraId="21383A3C">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施工工期</w:t>
            </w:r>
          </w:p>
        </w:tc>
        <w:tc>
          <w:tcPr>
            <w:tcW w:w="3014" w:type="dxa"/>
            <w:vAlign w:val="center"/>
          </w:tcPr>
          <w:p w14:paraId="076842FA">
            <w:pPr>
              <w:adjustRightInd w:val="0"/>
              <w:snapToGrid w:val="0"/>
              <w:spacing w:line="380" w:lineRule="exact"/>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2个月</w:t>
            </w:r>
          </w:p>
        </w:tc>
      </w:tr>
      <w:tr w14:paraId="49F4AA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48" w:type="dxa"/>
            <w:tcMar>
              <w:top w:w="16" w:type="dxa"/>
              <w:left w:w="16" w:type="dxa"/>
              <w:right w:w="16" w:type="dxa"/>
            </w:tcMar>
            <w:vAlign w:val="center"/>
          </w:tcPr>
          <w:p w14:paraId="44C9386C">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是否开工建设</w:t>
            </w:r>
          </w:p>
        </w:tc>
        <w:tc>
          <w:tcPr>
            <w:tcW w:w="1982" w:type="dxa"/>
            <w:vAlign w:val="center"/>
          </w:tcPr>
          <w:p w14:paraId="61E88C2E">
            <w:pPr>
              <w:adjustRightInd w:val="0"/>
              <w:snapToGrid w:val="0"/>
              <w:spacing w:line="38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52"/>
            </w:r>
            <w:r>
              <w:rPr>
                <w:rFonts w:hAnsi="宋体"/>
                <w:color w:val="000000" w:themeColor="text1"/>
                <w:sz w:val="24"/>
                <w:highlight w:val="none"/>
                <w14:textFill>
                  <w14:solidFill>
                    <w14:schemeClr w14:val="tx1"/>
                  </w14:solidFill>
                </w14:textFill>
              </w:rPr>
              <w:t>否</w:t>
            </w:r>
          </w:p>
          <w:p w14:paraId="2BAA74BA">
            <w:pPr>
              <w:adjustRightInd w:val="0"/>
              <w:snapToGrid w:val="0"/>
              <w:spacing w:line="38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sym w:font="Wingdings 2" w:char="00A3"/>
            </w:r>
            <w:r>
              <w:rPr>
                <w:rFonts w:hAnsi="宋体"/>
                <w:color w:val="000000" w:themeColor="text1"/>
                <w:sz w:val="24"/>
                <w:highlight w:val="none"/>
                <w14:textFill>
                  <w14:solidFill>
                    <w14:schemeClr w14:val="tx1"/>
                  </w14:solidFill>
                </w14:textFill>
              </w:rPr>
              <w:t>是：</w:t>
            </w:r>
            <w:r>
              <w:rPr>
                <w:color w:val="000000" w:themeColor="text1"/>
                <w:sz w:val="24"/>
                <w:highlight w:val="none"/>
                <w:u w:val="single"/>
                <w14:textFill>
                  <w14:solidFill>
                    <w14:schemeClr w14:val="tx1"/>
                  </w14:solidFill>
                </w14:textFill>
              </w:rPr>
              <w:t xml:space="preserve">       </w:t>
            </w:r>
          </w:p>
        </w:tc>
        <w:tc>
          <w:tcPr>
            <w:tcW w:w="1841" w:type="dxa"/>
            <w:tcMar>
              <w:top w:w="16" w:type="dxa"/>
              <w:left w:w="16" w:type="dxa"/>
              <w:right w:w="16" w:type="dxa"/>
            </w:tcMar>
            <w:vAlign w:val="center"/>
          </w:tcPr>
          <w:p w14:paraId="0D0EE8EA">
            <w:pPr>
              <w:adjustRightInd w:val="0"/>
              <w:snapToGrid w:val="0"/>
              <w:spacing w:line="380" w:lineRule="exact"/>
              <w:jc w:val="center"/>
              <w:rPr>
                <w:color w:val="000000" w:themeColor="text1"/>
                <w:spacing w:val="-6"/>
                <w:sz w:val="24"/>
                <w:highlight w:val="none"/>
                <w14:textFill>
                  <w14:solidFill>
                    <w14:schemeClr w14:val="tx1"/>
                  </w14:solidFill>
                </w14:textFill>
              </w:rPr>
            </w:pPr>
            <w:r>
              <w:rPr>
                <w:rFonts w:hAnsi="宋体"/>
                <w:color w:val="000000" w:themeColor="text1"/>
                <w:spacing w:val="-6"/>
                <w:sz w:val="24"/>
                <w:highlight w:val="none"/>
                <w14:textFill>
                  <w14:solidFill>
                    <w14:schemeClr w14:val="tx1"/>
                  </w14:solidFill>
                </w14:textFill>
              </w:rPr>
              <w:t>用地（用海）</w:t>
            </w:r>
          </w:p>
          <w:p w14:paraId="0206DAEE">
            <w:pPr>
              <w:adjustRightInd w:val="0"/>
              <w:snapToGrid w:val="0"/>
              <w:spacing w:line="380" w:lineRule="exact"/>
              <w:jc w:val="center"/>
              <w:rPr>
                <w:color w:val="000000" w:themeColor="text1"/>
                <w:sz w:val="24"/>
                <w:highlight w:val="none"/>
                <w14:textFill>
                  <w14:solidFill>
                    <w14:schemeClr w14:val="tx1"/>
                  </w14:solidFill>
                </w14:textFill>
              </w:rPr>
            </w:pPr>
            <w:r>
              <w:rPr>
                <w:rFonts w:hAnsi="宋体"/>
                <w:color w:val="000000" w:themeColor="text1"/>
                <w:spacing w:val="-6"/>
                <w:sz w:val="24"/>
                <w:highlight w:val="none"/>
                <w14:textFill>
                  <w14:solidFill>
                    <w14:schemeClr w14:val="tx1"/>
                  </w14:solidFill>
                </w14:textFill>
              </w:rPr>
              <w:t>面积（</w:t>
            </w:r>
            <w:r>
              <w:rPr>
                <w:color w:val="000000" w:themeColor="text1"/>
                <w:spacing w:val="-6"/>
                <w:sz w:val="24"/>
                <w:highlight w:val="none"/>
                <w14:textFill>
                  <w14:solidFill>
                    <w14:schemeClr w14:val="tx1"/>
                  </w14:solidFill>
                </w14:textFill>
              </w:rPr>
              <w:t>m</w:t>
            </w:r>
            <w:r>
              <w:rPr>
                <w:color w:val="000000" w:themeColor="text1"/>
                <w:spacing w:val="-6"/>
                <w:sz w:val="24"/>
                <w:highlight w:val="none"/>
                <w:vertAlign w:val="superscript"/>
                <w14:textFill>
                  <w14:solidFill>
                    <w14:schemeClr w14:val="tx1"/>
                  </w14:solidFill>
                </w14:textFill>
              </w:rPr>
              <w:t>2</w:t>
            </w:r>
            <w:r>
              <w:rPr>
                <w:rFonts w:hAnsi="宋体"/>
                <w:color w:val="000000" w:themeColor="text1"/>
                <w:spacing w:val="-6"/>
                <w:sz w:val="24"/>
                <w:highlight w:val="none"/>
                <w14:textFill>
                  <w14:solidFill>
                    <w14:schemeClr w14:val="tx1"/>
                  </w14:solidFill>
                </w14:textFill>
              </w:rPr>
              <w:t>）</w:t>
            </w:r>
          </w:p>
        </w:tc>
        <w:tc>
          <w:tcPr>
            <w:tcW w:w="3014" w:type="dxa"/>
            <w:vAlign w:val="center"/>
          </w:tcPr>
          <w:p w14:paraId="120C80B6">
            <w:pPr>
              <w:adjustRightInd w:val="0"/>
              <w:snapToGrid w:val="0"/>
              <w:spacing w:line="380" w:lineRule="exact"/>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不新增</w:t>
            </w:r>
          </w:p>
        </w:tc>
      </w:tr>
      <w:tr w14:paraId="4648AC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48" w:type="dxa"/>
            <w:vAlign w:val="center"/>
          </w:tcPr>
          <w:p w14:paraId="677690B8">
            <w:pPr>
              <w:autoSpaceDE w:val="0"/>
              <w:autoSpaceDN w:val="0"/>
              <w:adjustRightInd w:val="0"/>
              <w:snapToGrid w:val="0"/>
              <w:spacing w:line="360" w:lineRule="exact"/>
              <w:jc w:val="center"/>
              <w:rPr>
                <w:color w:val="000000" w:themeColor="text1"/>
                <w:kern w:val="0"/>
                <w:sz w:val="24"/>
                <w:highlight w:val="none"/>
                <w14:textFill>
                  <w14:solidFill>
                    <w14:schemeClr w14:val="tx1"/>
                  </w14:solidFill>
                </w14:textFill>
              </w:rPr>
            </w:pPr>
            <w:r>
              <w:rPr>
                <w:rFonts w:hAnsi="宋体"/>
                <w:color w:val="000000" w:themeColor="text1"/>
                <w:kern w:val="0"/>
                <w:sz w:val="24"/>
                <w:highlight w:val="none"/>
                <w14:textFill>
                  <w14:solidFill>
                    <w14:schemeClr w14:val="tx1"/>
                  </w14:solidFill>
                </w14:textFill>
              </w:rPr>
              <w:t>专项评价设置情况</w:t>
            </w:r>
          </w:p>
        </w:tc>
        <w:tc>
          <w:tcPr>
            <w:tcW w:w="6837" w:type="dxa"/>
            <w:gridSpan w:val="3"/>
            <w:vAlign w:val="center"/>
          </w:tcPr>
          <w:p w14:paraId="49B55A36">
            <w:pPr>
              <w:autoSpaceDE w:val="0"/>
              <w:autoSpaceDN w:val="0"/>
              <w:adjustRightInd w:val="0"/>
              <w:snapToGrid w:val="0"/>
              <w:spacing w:line="360" w:lineRule="exact"/>
              <w:jc w:val="center"/>
              <w:rPr>
                <w:rFonts w:hint="eastAsia" w:hAnsi="宋体" w:eastAsia="宋体"/>
                <w:color w:val="000000" w:themeColor="text1"/>
                <w:kern w:val="0"/>
                <w:sz w:val="24"/>
                <w:highlight w:val="none"/>
                <w:lang w:eastAsia="zh-CN"/>
                <w14:textFill>
                  <w14:solidFill>
                    <w14:schemeClr w14:val="tx1"/>
                  </w14:solidFill>
                </w14:textFill>
              </w:rPr>
            </w:pPr>
            <w:r>
              <w:rPr>
                <w:rFonts w:hAnsi="宋体"/>
                <w:color w:val="000000" w:themeColor="text1"/>
                <w:kern w:val="0"/>
                <w:sz w:val="24"/>
                <w:highlight w:val="none"/>
                <w14:textFill>
                  <w14:solidFill>
                    <w14:schemeClr w14:val="tx1"/>
                  </w14:solidFill>
                </w14:textFill>
              </w:rPr>
              <w:t>《建设项目环境影响报告表编制技术指南（污染影响类）（试行）》</w:t>
            </w:r>
            <w:r>
              <w:rPr>
                <w:rFonts w:hint="eastAsia" w:hAnsi="宋体"/>
                <w:color w:val="000000" w:themeColor="text1"/>
                <w:kern w:val="0"/>
                <w:sz w:val="24"/>
                <w:highlight w:val="none"/>
                <w14:textFill>
                  <w14:solidFill>
                    <w14:schemeClr w14:val="tx1"/>
                  </w14:solidFill>
                </w14:textFill>
              </w:rPr>
              <w:t>中大气专项评价设置原则为：</w:t>
            </w:r>
            <w:r>
              <w:rPr>
                <w:rFonts w:hAnsi="宋体"/>
                <w:color w:val="000000" w:themeColor="text1"/>
                <w:kern w:val="0"/>
                <w:sz w:val="24"/>
                <w:highlight w:val="none"/>
                <w14:textFill>
                  <w14:solidFill>
                    <w14:schemeClr w14:val="tx1"/>
                  </w14:solidFill>
                </w14:textFill>
              </w:rPr>
              <w:t>排放废气含有毒有害污染物、二噁英、苯并[a]芘、氰化物、氯气且厂界外500m范围内有环境空气保护目标的建设项目</w:t>
            </w:r>
            <w:r>
              <w:rPr>
                <w:rFonts w:hint="eastAsia"/>
                <w:color w:val="000000" w:themeColor="text1"/>
                <w:sz w:val="18"/>
                <w:szCs w:val="18"/>
                <w:highlight w:val="none"/>
                <w14:textFill>
                  <w14:solidFill>
                    <w14:schemeClr w14:val="tx1"/>
                  </w14:solidFill>
                </w14:textFill>
              </w:rPr>
              <w:t>。</w:t>
            </w:r>
            <w:r>
              <w:rPr>
                <w:rFonts w:hAnsi="宋体"/>
                <w:color w:val="000000" w:themeColor="text1"/>
                <w:kern w:val="0"/>
                <w:sz w:val="24"/>
                <w:highlight w:val="none"/>
                <w14:textFill>
                  <w14:solidFill>
                    <w14:schemeClr w14:val="tx1"/>
                  </w14:solidFill>
                </w14:textFill>
              </w:rPr>
              <w:t>拟建项目废气污染物中含汞、镉、砷、铅及其化合物等有毒有害</w:t>
            </w:r>
            <w:r>
              <w:rPr>
                <w:rFonts w:hint="eastAsia" w:hAnsi="宋体"/>
                <w:color w:val="000000" w:themeColor="text1"/>
                <w:kern w:val="0"/>
                <w:sz w:val="24"/>
                <w:highlight w:val="none"/>
                <w14:textFill>
                  <w14:solidFill>
                    <w14:schemeClr w14:val="tx1"/>
                  </w14:solidFill>
                </w14:textFill>
              </w:rPr>
              <w:t>大气</w:t>
            </w:r>
            <w:r>
              <w:rPr>
                <w:rFonts w:hAnsi="宋体"/>
                <w:color w:val="000000" w:themeColor="text1"/>
                <w:kern w:val="0"/>
                <w:sz w:val="24"/>
                <w:highlight w:val="none"/>
                <w14:textFill>
                  <w14:solidFill>
                    <w14:schemeClr w14:val="tx1"/>
                  </w14:solidFill>
                </w14:textFill>
              </w:rPr>
              <w:t>污染物及二噁英，且厂界外500m范围内涉及环境空气保护目标，距离本项目最近的敏感目标为东南侧90m处</w:t>
            </w:r>
            <w:r>
              <w:rPr>
                <w:rFonts w:hint="eastAsia" w:hAnsi="宋体"/>
                <w:color w:val="000000" w:themeColor="text1"/>
                <w:kern w:val="0"/>
                <w:sz w:val="24"/>
                <w:highlight w:val="none"/>
                <w14:textFill>
                  <w14:solidFill>
                    <w14:schemeClr w14:val="tx1"/>
                  </w14:solidFill>
                </w14:textFill>
              </w:rPr>
              <w:t>的</w:t>
            </w:r>
            <w:r>
              <w:rPr>
                <w:rFonts w:hAnsi="宋体"/>
                <w:color w:val="000000" w:themeColor="text1"/>
                <w:kern w:val="0"/>
                <w:sz w:val="24"/>
                <w:highlight w:val="none"/>
                <w14:textFill>
                  <w14:solidFill>
                    <w14:schemeClr w14:val="tx1"/>
                  </w14:solidFill>
                </w14:textFill>
              </w:rPr>
              <w:t>田疃村</w:t>
            </w:r>
            <w:r>
              <w:rPr>
                <w:rFonts w:hint="eastAsia" w:hAnsi="宋体"/>
                <w:color w:val="000000" w:themeColor="text1"/>
                <w:kern w:val="0"/>
                <w:sz w:val="24"/>
                <w:highlight w:val="none"/>
                <w14:textFill>
                  <w14:solidFill>
                    <w14:schemeClr w14:val="tx1"/>
                  </w14:solidFill>
                </w14:textFill>
              </w:rPr>
              <w:t>，本项目设置大气专项评价。</w:t>
            </w:r>
          </w:p>
        </w:tc>
      </w:tr>
      <w:tr w14:paraId="45A649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48" w:type="dxa"/>
            <w:vAlign w:val="center"/>
          </w:tcPr>
          <w:p w14:paraId="593BA732">
            <w:pPr>
              <w:autoSpaceDE w:val="0"/>
              <w:autoSpaceDN w:val="0"/>
              <w:adjustRightInd w:val="0"/>
              <w:snapToGrid w:val="0"/>
              <w:spacing w:line="320" w:lineRule="exact"/>
              <w:jc w:val="center"/>
              <w:rPr>
                <w:color w:val="000000" w:themeColor="text1"/>
                <w:kern w:val="0"/>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规划情况</w:t>
            </w:r>
          </w:p>
        </w:tc>
        <w:tc>
          <w:tcPr>
            <w:tcW w:w="6837" w:type="dxa"/>
            <w:gridSpan w:val="3"/>
            <w:vAlign w:val="center"/>
          </w:tcPr>
          <w:p w14:paraId="6B03F371">
            <w:pPr>
              <w:autoSpaceDE w:val="0"/>
              <w:autoSpaceDN w:val="0"/>
              <w:adjustRightInd w:val="0"/>
              <w:snapToGrid w:val="0"/>
              <w:spacing w:line="320" w:lineRule="exact"/>
              <w:jc w:val="center"/>
              <w:rPr>
                <w:rFonts w:hAnsi="宋体"/>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无</w:t>
            </w:r>
          </w:p>
        </w:tc>
      </w:tr>
      <w:tr w14:paraId="6A3DF6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48" w:type="dxa"/>
            <w:vAlign w:val="center"/>
          </w:tcPr>
          <w:p w14:paraId="4F725A15">
            <w:pPr>
              <w:autoSpaceDE w:val="0"/>
              <w:autoSpaceDN w:val="0"/>
              <w:adjustRightInd w:val="0"/>
              <w:snapToGrid w:val="0"/>
              <w:spacing w:line="320" w:lineRule="exact"/>
              <w:jc w:val="center"/>
              <w:rPr>
                <w:rFonts w:hAnsi="宋体"/>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规划环境影响评价情况</w:t>
            </w:r>
          </w:p>
        </w:tc>
        <w:tc>
          <w:tcPr>
            <w:tcW w:w="6837" w:type="dxa"/>
            <w:gridSpan w:val="3"/>
            <w:vAlign w:val="center"/>
          </w:tcPr>
          <w:p w14:paraId="31057E5D">
            <w:pPr>
              <w:autoSpaceDE w:val="0"/>
              <w:autoSpaceDN w:val="0"/>
              <w:adjustRightInd w:val="0"/>
              <w:snapToGrid w:val="0"/>
              <w:spacing w:line="320" w:lineRule="exact"/>
              <w:jc w:val="center"/>
              <w:rPr>
                <w:rFonts w:hAnsi="宋体"/>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无</w:t>
            </w:r>
          </w:p>
        </w:tc>
      </w:tr>
      <w:tr w14:paraId="574C37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48" w:type="dxa"/>
            <w:vAlign w:val="center"/>
          </w:tcPr>
          <w:p w14:paraId="6117FAAC">
            <w:pPr>
              <w:autoSpaceDE w:val="0"/>
              <w:autoSpaceDN w:val="0"/>
              <w:adjustRightInd w:val="0"/>
              <w:snapToGrid w:val="0"/>
              <w:spacing w:line="320" w:lineRule="exact"/>
              <w:jc w:val="center"/>
              <w:rPr>
                <w:rFonts w:hAnsi="宋体"/>
                <w:color w:val="000000" w:themeColor="text1"/>
                <w:sz w:val="24"/>
                <w:highlight w:val="none"/>
                <w14:textFill>
                  <w14:solidFill>
                    <w14:schemeClr w14:val="tx1"/>
                  </w14:solidFill>
                </w14:textFill>
              </w:rPr>
            </w:pPr>
            <w:r>
              <w:rPr>
                <w:rFonts w:hAnsi="宋体"/>
                <w:color w:val="000000" w:themeColor="text1"/>
                <w:sz w:val="24"/>
                <w:highlight w:val="none"/>
                <w14:textFill>
                  <w14:solidFill>
                    <w14:schemeClr w14:val="tx1"/>
                  </w14:solidFill>
                </w14:textFill>
              </w:rPr>
              <w:t>规划及规划环境影响评价符合性分析</w:t>
            </w:r>
          </w:p>
        </w:tc>
        <w:tc>
          <w:tcPr>
            <w:tcW w:w="6837" w:type="dxa"/>
            <w:gridSpan w:val="3"/>
            <w:vAlign w:val="center"/>
          </w:tcPr>
          <w:p w14:paraId="2EEBA71C">
            <w:pPr>
              <w:autoSpaceDE w:val="0"/>
              <w:autoSpaceDN w:val="0"/>
              <w:adjustRightInd w:val="0"/>
              <w:snapToGrid w:val="0"/>
              <w:spacing w:line="320" w:lineRule="exact"/>
              <w:jc w:val="center"/>
              <w:rPr>
                <w:rFonts w:hAnsi="宋体"/>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无</w:t>
            </w:r>
          </w:p>
        </w:tc>
      </w:tr>
      <w:tr w14:paraId="71BF77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9085" w:type="dxa"/>
            <w:gridSpan w:val="4"/>
            <w:vAlign w:val="center"/>
          </w:tcPr>
          <w:p w14:paraId="478139E7">
            <w:pPr>
              <w:autoSpaceDE w:val="0"/>
              <w:autoSpaceDN w:val="0"/>
              <w:adjustRightInd w:val="0"/>
              <w:snapToGrid w:val="0"/>
              <w:spacing w:line="480" w:lineRule="exact"/>
              <w:rPr>
                <w:rFonts w:ascii="黑体" w:hAnsi="黑体" w:eastAsia="黑体"/>
                <w:b/>
                <w:color w:val="000000" w:themeColor="text1"/>
                <w:kern w:val="0"/>
                <w:sz w:val="28"/>
                <w:szCs w:val="28"/>
                <w:highlight w:val="none"/>
                <w14:textFill>
                  <w14:solidFill>
                    <w14:schemeClr w14:val="tx1"/>
                  </w14:solidFill>
                </w14:textFill>
              </w:rPr>
            </w:pPr>
            <w:r>
              <w:rPr>
                <w:rFonts w:ascii="黑体" w:hAnsi="黑体" w:eastAsia="黑体"/>
                <w:b/>
                <w:color w:val="000000" w:themeColor="text1"/>
                <w:kern w:val="0"/>
                <w:sz w:val="28"/>
                <w:szCs w:val="28"/>
                <w:highlight w:val="none"/>
                <w14:textFill>
                  <w14:solidFill>
                    <w14:schemeClr w14:val="tx1"/>
                  </w14:solidFill>
                </w14:textFill>
              </w:rPr>
              <w:t>其他符合性分析</w:t>
            </w:r>
          </w:p>
          <w:p w14:paraId="2EFC5973">
            <w:pPr>
              <w:pStyle w:val="52"/>
              <w:spacing w:line="480" w:lineRule="exact"/>
              <w:ind w:firstLine="0" w:firstLineChars="0"/>
              <w:jc w:val="left"/>
              <w:rPr>
                <w:b/>
                <w:color w:val="000000" w:themeColor="text1"/>
                <w:kern w:val="0"/>
                <w:sz w:val="24"/>
                <w:highlight w:val="none"/>
                <w14:textFill>
                  <w14:solidFill>
                    <w14:schemeClr w14:val="tx1"/>
                  </w14:solidFill>
                </w14:textFill>
              </w:rPr>
            </w:pPr>
            <w:r>
              <w:rPr>
                <w:rFonts w:hint="eastAsia"/>
                <w:b/>
                <w:color w:val="000000" w:themeColor="text1"/>
                <w:kern w:val="0"/>
                <w:sz w:val="24"/>
                <w:highlight w:val="none"/>
                <w14:textFill>
                  <w14:solidFill>
                    <w14:schemeClr w14:val="tx1"/>
                  </w14:solidFill>
                </w14:textFill>
              </w:rPr>
              <w:t>1、产业政策符合性</w:t>
            </w:r>
          </w:p>
          <w:p w14:paraId="3376D43B">
            <w:pPr>
              <w:pStyle w:val="52"/>
              <w:spacing w:line="480" w:lineRule="exact"/>
              <w:ind w:firstLine="48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本项目产业政策符合性分析情况见</w:t>
            </w:r>
            <w:r>
              <w:rPr>
                <w:rFonts w:hint="eastAsia"/>
                <w:color w:val="000000" w:themeColor="text1"/>
                <w:kern w:val="0"/>
                <w:sz w:val="24"/>
                <w:highlight w:val="none"/>
                <w14:textFill>
                  <w14:solidFill>
                    <w14:schemeClr w14:val="tx1"/>
                  </w14:solidFill>
                </w14:textFill>
              </w:rPr>
              <w:t>下表。</w:t>
            </w:r>
          </w:p>
          <w:p w14:paraId="4DD4F306">
            <w:pPr>
              <w:pStyle w:val="22"/>
              <w:adjustRightInd w:val="0"/>
              <w:spacing w:after="0" w:line="480" w:lineRule="exact"/>
              <w:ind w:firstLine="240"/>
              <w:jc w:val="center"/>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1-1</w:t>
            </w:r>
            <w:r>
              <w:rPr>
                <w:rFonts w:ascii="黑体" w:hAnsi="黑体" w:eastAsia="黑体"/>
                <w:bCs/>
                <w:color w:val="000000" w:themeColor="text1"/>
                <w:sz w:val="24"/>
                <w:highlight w:val="none"/>
                <w14:textFill>
                  <w14:solidFill>
                    <w14:schemeClr w14:val="tx1"/>
                  </w14:solidFill>
                </w14:textFill>
              </w:rPr>
              <w:t xml:space="preserve">    本项目与产业政策符合性分析</w:t>
            </w:r>
          </w:p>
          <w:tbl>
            <w:tblPr>
              <w:tblStyle w:val="24"/>
              <w:tblW w:w="89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4"/>
              <w:gridCol w:w="3685"/>
              <w:gridCol w:w="2977"/>
              <w:gridCol w:w="851"/>
            </w:tblGrid>
            <w:tr w14:paraId="357E6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48" w:type="dxa"/>
                  <w:gridSpan w:val="3"/>
                  <w:tcMar>
                    <w:top w:w="0" w:type="dxa"/>
                    <w:left w:w="51" w:type="dxa"/>
                    <w:bottom w:w="0" w:type="dxa"/>
                    <w:right w:w="51" w:type="dxa"/>
                  </w:tcMar>
                  <w:vAlign w:val="center"/>
                </w:tcPr>
                <w:p w14:paraId="1F8FC96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产业政策要求</w:t>
                  </w:r>
                </w:p>
              </w:tc>
              <w:tc>
                <w:tcPr>
                  <w:tcW w:w="2977" w:type="dxa"/>
                  <w:tcMar>
                    <w:top w:w="0" w:type="dxa"/>
                    <w:bottom w:w="0" w:type="dxa"/>
                  </w:tcMar>
                  <w:vAlign w:val="center"/>
                </w:tcPr>
                <w:p w14:paraId="38FBBCA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本项目相关内容</w:t>
                  </w:r>
                </w:p>
              </w:tc>
              <w:tc>
                <w:tcPr>
                  <w:tcW w:w="851" w:type="dxa"/>
                  <w:tcMar>
                    <w:top w:w="0" w:type="dxa"/>
                    <w:bottom w:w="0" w:type="dxa"/>
                  </w:tcMar>
                  <w:vAlign w:val="center"/>
                </w:tcPr>
                <w:p w14:paraId="100885A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对比结果</w:t>
                  </w:r>
                </w:p>
              </w:tc>
            </w:tr>
            <w:tr w14:paraId="06A8A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179" w:type="dxa"/>
                  <w:vMerge w:val="restart"/>
                  <w:tcBorders>
                    <w:top w:val="single" w:color="auto" w:sz="6" w:space="0"/>
                  </w:tcBorders>
                  <w:tcMar>
                    <w:top w:w="0" w:type="dxa"/>
                    <w:left w:w="51" w:type="dxa"/>
                    <w:bottom w:w="0" w:type="dxa"/>
                    <w:right w:w="51" w:type="dxa"/>
                  </w:tcMar>
                  <w:vAlign w:val="center"/>
                </w:tcPr>
                <w:p w14:paraId="545ECCC0">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《产业结构调整指导目录（2024年本）》</w:t>
                  </w:r>
                </w:p>
              </w:tc>
              <w:tc>
                <w:tcPr>
                  <w:tcW w:w="284" w:type="dxa"/>
                  <w:tcBorders>
                    <w:top w:val="single" w:color="auto" w:sz="6" w:space="0"/>
                  </w:tcBorders>
                  <w:tcMar>
                    <w:top w:w="0" w:type="dxa"/>
                    <w:bottom w:w="0" w:type="dxa"/>
                  </w:tcMar>
                  <w:vAlign w:val="center"/>
                </w:tcPr>
                <w:p w14:paraId="0AD2C71F">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鼓励类</w:t>
                  </w:r>
                </w:p>
              </w:tc>
              <w:tc>
                <w:tcPr>
                  <w:tcW w:w="3685" w:type="dxa"/>
                  <w:tcBorders>
                    <w:top w:val="single" w:color="auto" w:sz="6" w:space="0"/>
                  </w:tcBorders>
                  <w:tcMar>
                    <w:top w:w="0" w:type="dxa"/>
                    <w:bottom w:w="0" w:type="dxa"/>
                  </w:tcMar>
                  <w:vAlign w:val="center"/>
                </w:tcPr>
                <w:p w14:paraId="6044B9FA">
                  <w:pPr>
                    <w:adjustRightInd w:val="0"/>
                    <w:snapToGrid w:val="0"/>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十二、建材9、利用矿山尾矿、建筑废弃物、工业废弃物、城市污泥、江河湖（渠）海淤泥等大宗废弃物无害化生产制备砂石骨料、结构混凝土用高强陶粒、功能陶粒、墙体材料等建材及其工艺技术装备开发</w:t>
                  </w:r>
                </w:p>
              </w:tc>
              <w:tc>
                <w:tcPr>
                  <w:tcW w:w="2977" w:type="dxa"/>
                  <w:tcBorders>
                    <w:top w:val="single" w:color="auto" w:sz="6" w:space="0"/>
                  </w:tcBorders>
                  <w:tcMar>
                    <w:top w:w="0" w:type="dxa"/>
                    <w:bottom w:w="0" w:type="dxa"/>
                  </w:tcMar>
                  <w:vAlign w:val="center"/>
                </w:tcPr>
                <w:p w14:paraId="1B70DE8E">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本项目利用尾矿、污泥等废弃物生产烧结页岩砖，</w:t>
                  </w:r>
                  <w:r>
                    <w:rPr>
                      <w:color w:val="000000" w:themeColor="text1"/>
                      <w:szCs w:val="21"/>
                      <w:highlight w:val="none"/>
                      <w14:textFill>
                        <w14:solidFill>
                          <w14:schemeClr w14:val="tx1"/>
                        </w14:solidFill>
                      </w14:textFill>
                    </w:rPr>
                    <w:t>实现了污泥无害化处理及综合利用，为鼓励类项目，不属于限制类及淘汰类项目</w:t>
                  </w:r>
                  <w:r>
                    <w:rPr>
                      <w:rFonts w:hint="eastAsia"/>
                      <w:color w:val="000000" w:themeColor="text1"/>
                      <w:szCs w:val="21"/>
                      <w:highlight w:val="none"/>
                      <w14:textFill>
                        <w14:solidFill>
                          <w14:schemeClr w14:val="tx1"/>
                        </w14:solidFill>
                      </w14:textFill>
                    </w:rPr>
                    <w:t>。</w:t>
                  </w:r>
                </w:p>
              </w:tc>
              <w:tc>
                <w:tcPr>
                  <w:tcW w:w="851" w:type="dxa"/>
                  <w:tcBorders>
                    <w:top w:val="single" w:color="auto" w:sz="6" w:space="0"/>
                  </w:tcBorders>
                  <w:tcMar>
                    <w:top w:w="0" w:type="dxa"/>
                    <w:bottom w:w="0" w:type="dxa"/>
                  </w:tcMar>
                  <w:vAlign w:val="center"/>
                </w:tcPr>
                <w:p w14:paraId="1A8ADDE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属于鼓励类项目</w:t>
                  </w:r>
                </w:p>
              </w:tc>
            </w:tr>
            <w:tr w14:paraId="208EF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1179" w:type="dxa"/>
                  <w:vMerge w:val="continue"/>
                  <w:tcMar>
                    <w:top w:w="0" w:type="dxa"/>
                    <w:left w:w="51" w:type="dxa"/>
                    <w:bottom w:w="0" w:type="dxa"/>
                    <w:right w:w="51" w:type="dxa"/>
                  </w:tcMar>
                  <w:vAlign w:val="center"/>
                </w:tcPr>
                <w:p w14:paraId="3FA31A74">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284" w:type="dxa"/>
                  <w:tcBorders>
                    <w:top w:val="single" w:color="auto" w:sz="6" w:space="0"/>
                  </w:tcBorders>
                  <w:tcMar>
                    <w:top w:w="0" w:type="dxa"/>
                    <w:bottom w:w="0" w:type="dxa"/>
                  </w:tcMar>
                  <w:vAlign w:val="center"/>
                </w:tcPr>
                <w:p w14:paraId="2A9A500A">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限制类</w:t>
                  </w:r>
                </w:p>
              </w:tc>
              <w:tc>
                <w:tcPr>
                  <w:tcW w:w="3685" w:type="dxa"/>
                  <w:tcBorders>
                    <w:top w:val="single" w:color="auto" w:sz="6" w:space="0"/>
                  </w:tcBorders>
                  <w:tcMar>
                    <w:top w:w="0" w:type="dxa"/>
                    <w:bottom w:w="0" w:type="dxa"/>
                  </w:tcMar>
                  <w:vAlign w:val="center"/>
                </w:tcPr>
                <w:p w14:paraId="7C038B1E">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九、建材</w:t>
                  </w:r>
                </w:p>
                <w:p w14:paraId="78CA3091">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5、黏土空心砖生产线（陕西、青海、甘肃、新疆、西藏、宁夏除外）</w:t>
                  </w:r>
                </w:p>
                <w:p w14:paraId="720B88D5">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w:t>
                  </w:r>
                  <w:r>
                    <w:rPr>
                      <w:color w:val="000000" w:themeColor="text1"/>
                      <w:szCs w:val="21"/>
                      <w:highlight w:val="none"/>
                      <w14:textFill>
                        <w14:solidFill>
                          <w14:schemeClr w14:val="tx1"/>
                        </w14:solidFill>
                      </w14:textFill>
                    </w:rPr>
                    <w:t>15</w:t>
                  </w:r>
                  <w:r>
                    <w:rPr>
                      <w:rFonts w:hint="eastAsia"/>
                      <w:color w:val="000000" w:themeColor="text1"/>
                      <w:szCs w:val="21"/>
                      <w:highlight w:val="none"/>
                      <w14:textFill>
                        <w14:solidFill>
                          <w14:schemeClr w14:val="tx1"/>
                        </w14:solidFill>
                      </w14:textFill>
                    </w:rPr>
                    <w:t>万立方米</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年（不含）以下的加气混凝土生产线</w:t>
                  </w:r>
                </w:p>
                <w:p w14:paraId="376427F9">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8、6000万标砖/年（不含）以下的烧结砖及烧结空心砌块生产线</w:t>
                  </w:r>
                </w:p>
              </w:tc>
              <w:tc>
                <w:tcPr>
                  <w:tcW w:w="2977" w:type="dxa"/>
                  <w:tcBorders>
                    <w:top w:val="single" w:color="auto" w:sz="6" w:space="0"/>
                  </w:tcBorders>
                  <w:tcMar>
                    <w:top w:w="0" w:type="dxa"/>
                    <w:bottom w:w="0" w:type="dxa"/>
                  </w:tcMar>
                  <w:vAlign w:val="center"/>
                </w:tcPr>
                <w:p w14:paraId="00C027C5">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本项目不涉及黏土空心砖生产线。项目不再建设加气混凝土砌块生产线，本项目</w:t>
                  </w:r>
                  <w:r>
                    <w:rPr>
                      <w:rFonts w:hint="eastAsia"/>
                      <w:color w:val="000000" w:themeColor="text1"/>
                      <w:szCs w:val="21"/>
                      <w:highlight w:val="none"/>
                      <w:lang w:val="en-US" w:eastAsia="zh-CN"/>
                      <w14:textFill>
                        <w14:solidFill>
                          <w14:schemeClr w14:val="tx1"/>
                        </w14:solidFill>
                      </w14:textFill>
                    </w:rPr>
                    <w:t>2条</w:t>
                  </w:r>
                  <w:r>
                    <w:rPr>
                      <w:rFonts w:hint="eastAsia"/>
                      <w:color w:val="000000" w:themeColor="text1"/>
                      <w:szCs w:val="21"/>
                      <w:highlight w:val="none"/>
                      <w14:textFill>
                        <w14:solidFill>
                          <w14:schemeClr w14:val="tx1"/>
                        </w14:solidFill>
                      </w14:textFill>
                    </w:rPr>
                    <w:t>烧结普通页岩砖和多孔页岩砖生产线达到</w:t>
                  </w:r>
                  <w:r>
                    <w:rPr>
                      <w:rFonts w:hint="eastAsia"/>
                      <w:color w:val="000000" w:themeColor="text1"/>
                      <w:szCs w:val="21"/>
                      <w:highlight w:val="none"/>
                      <w:lang w:val="en-US" w:eastAsia="zh-CN"/>
                      <w14:textFill>
                        <w14:solidFill>
                          <w14:schemeClr w14:val="tx1"/>
                        </w14:solidFill>
                      </w14:textFill>
                    </w:rPr>
                    <w:t>40115</w:t>
                  </w:r>
                  <w:r>
                    <w:rPr>
                      <w:rFonts w:hint="eastAsia"/>
                      <w:color w:val="000000" w:themeColor="text1"/>
                      <w:szCs w:val="21"/>
                      <w:highlight w:val="none"/>
                      <w14:textFill>
                        <w14:solidFill>
                          <w14:schemeClr w14:val="tx1"/>
                        </w14:solidFill>
                      </w14:textFill>
                    </w:rPr>
                    <w:t>万标砖/年。</w:t>
                  </w:r>
                </w:p>
              </w:tc>
              <w:tc>
                <w:tcPr>
                  <w:tcW w:w="851" w:type="dxa"/>
                  <w:tcBorders>
                    <w:top w:val="single" w:color="auto" w:sz="6" w:space="0"/>
                  </w:tcBorders>
                  <w:tcMar>
                    <w:top w:w="0" w:type="dxa"/>
                    <w:bottom w:w="0" w:type="dxa"/>
                  </w:tcMar>
                  <w:vAlign w:val="center"/>
                </w:tcPr>
                <w:p w14:paraId="1FE60DE1">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不属于限制类项目</w:t>
                  </w:r>
                </w:p>
              </w:tc>
            </w:tr>
            <w:tr w14:paraId="54F73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1179" w:type="dxa"/>
                  <w:vMerge w:val="continue"/>
                  <w:tcMar>
                    <w:top w:w="0" w:type="dxa"/>
                    <w:left w:w="51" w:type="dxa"/>
                    <w:bottom w:w="0" w:type="dxa"/>
                    <w:right w:w="51" w:type="dxa"/>
                  </w:tcMar>
                  <w:vAlign w:val="center"/>
                </w:tcPr>
                <w:p w14:paraId="22570376">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284" w:type="dxa"/>
                  <w:tcBorders>
                    <w:top w:val="single" w:color="auto" w:sz="6" w:space="0"/>
                  </w:tcBorders>
                  <w:tcMar>
                    <w:top w:w="0" w:type="dxa"/>
                    <w:bottom w:w="0" w:type="dxa"/>
                  </w:tcMar>
                  <w:vAlign w:val="center"/>
                </w:tcPr>
                <w:p w14:paraId="4F29E8EE">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淘汰类</w:t>
                  </w:r>
                </w:p>
              </w:tc>
              <w:tc>
                <w:tcPr>
                  <w:tcW w:w="3685" w:type="dxa"/>
                  <w:tcBorders>
                    <w:top w:val="single" w:color="auto" w:sz="6" w:space="0"/>
                  </w:tcBorders>
                  <w:tcMar>
                    <w:top w:w="0" w:type="dxa"/>
                    <w:bottom w:w="0" w:type="dxa"/>
                  </w:tcMar>
                  <w:vAlign w:val="center"/>
                </w:tcPr>
                <w:p w14:paraId="69C86369">
                  <w:pPr>
                    <w:adjustRightInd w:val="0"/>
                    <w:snapToGrid w:val="0"/>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八、建材</w:t>
                  </w:r>
                </w:p>
                <w:p w14:paraId="0C574016">
                  <w:pPr>
                    <w:adjustRightInd w:val="0"/>
                    <w:snapToGrid w:val="0"/>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9、砖瓦轮窑以及立窑、无顶轮窑、马蹄窑等土窑</w:t>
                  </w:r>
                </w:p>
              </w:tc>
              <w:tc>
                <w:tcPr>
                  <w:tcW w:w="2977" w:type="dxa"/>
                  <w:tcBorders>
                    <w:top w:val="single" w:color="auto" w:sz="6" w:space="0"/>
                  </w:tcBorders>
                  <w:tcMar>
                    <w:top w:w="0" w:type="dxa"/>
                    <w:bottom w:w="0" w:type="dxa"/>
                  </w:tcMar>
                  <w:vAlign w:val="center"/>
                </w:tcPr>
                <w:p w14:paraId="6E8E0507">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本项目利用现有焙烧隧道窑、烘干窑，不属于落后生产工艺装备。</w:t>
                  </w:r>
                </w:p>
              </w:tc>
              <w:tc>
                <w:tcPr>
                  <w:tcW w:w="851" w:type="dxa"/>
                  <w:tcBorders>
                    <w:top w:val="single" w:color="auto" w:sz="6" w:space="0"/>
                  </w:tcBorders>
                  <w:tcMar>
                    <w:top w:w="0" w:type="dxa"/>
                    <w:bottom w:w="0" w:type="dxa"/>
                  </w:tcMar>
                  <w:vAlign w:val="center"/>
                </w:tcPr>
                <w:p w14:paraId="44FAB0EC">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不涉及落后生产工艺装备</w:t>
                  </w:r>
                </w:p>
              </w:tc>
            </w:tr>
            <w:tr w14:paraId="5852B3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tcMar>
                    <w:top w:w="0" w:type="dxa"/>
                    <w:left w:w="51" w:type="dxa"/>
                    <w:bottom w:w="0" w:type="dxa"/>
                    <w:right w:w="51" w:type="dxa"/>
                  </w:tcMar>
                  <w:vAlign w:val="center"/>
                </w:tcPr>
                <w:p w14:paraId="078C6947">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河北省禁止投资的产业目录（2014年版）</w:t>
                  </w:r>
                </w:p>
              </w:tc>
              <w:tc>
                <w:tcPr>
                  <w:tcW w:w="284" w:type="dxa"/>
                  <w:tcMar>
                    <w:top w:w="0" w:type="dxa"/>
                    <w:bottom w:w="0" w:type="dxa"/>
                  </w:tcMar>
                  <w:vAlign w:val="center"/>
                </w:tcPr>
                <w:p w14:paraId="6DB40A9B">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禁止</w:t>
                  </w:r>
                </w:p>
              </w:tc>
              <w:tc>
                <w:tcPr>
                  <w:tcW w:w="3685" w:type="dxa"/>
                  <w:tcMar>
                    <w:top w:w="0" w:type="dxa"/>
                    <w:bottom w:w="0" w:type="dxa"/>
                  </w:tcMar>
                  <w:vAlign w:val="center"/>
                </w:tcPr>
                <w:p w14:paraId="7F9FA6A3">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一、禁止投资国家产业结构调整指导目录淘汰类项目。淘汰类项目不得新建和改造升级，已有项目必须限期关停。</w:t>
                  </w:r>
                </w:p>
                <w:p w14:paraId="597F5DD2">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二、禁止投资国家产业结构调整指导目录限制类项目（不包括现有企业升级改造或等量置换）。</w:t>
                  </w:r>
                </w:p>
                <w:p w14:paraId="7C8CB30C">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三、禁止投资《河北省大气污染防治行动计划实施方案》明确要求的项目。</w:t>
                  </w:r>
                </w:p>
                <w:p w14:paraId="55C1187B">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1.禁止投资钢铁冶炼、水泥、电解铝、平板玻璃、船舶等产能严重过剩行业和炼焦、有色、电石、铁合金等新增产能项目。新、扩、改建项目实行产能等量或减量置换。</w:t>
                  </w:r>
                </w:p>
                <w:p w14:paraId="71885EBC">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2.禁止投资项目配套建设自备燃煤电站。</w:t>
                  </w:r>
                </w:p>
                <w:p w14:paraId="449A05DA">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3.除热电联产外，禁止投资燃煤发电项目；现有多台燃煤机组装机容量合计达到30万千瓦以上的，可按照煤炭等量替换的原则建设为大容量燃煤机组。</w:t>
                  </w:r>
                </w:p>
                <w:p w14:paraId="4D3AFF69">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四、外商投资按照国家外商投资产业指导目录执行。</w:t>
                  </w:r>
                </w:p>
              </w:tc>
              <w:tc>
                <w:tcPr>
                  <w:tcW w:w="2977" w:type="dxa"/>
                  <w:tcMar>
                    <w:top w:w="0" w:type="dxa"/>
                    <w:bottom w:w="0" w:type="dxa"/>
                  </w:tcMar>
                  <w:vAlign w:val="center"/>
                </w:tcPr>
                <w:p w14:paraId="35F82B66">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本项目利用煤矸石、页岩及一般工业固体废物生产烧结砖，产品为普通页岩砖和多孔页岩砖，不属于禁止投资的产业。</w:t>
                  </w:r>
                </w:p>
              </w:tc>
              <w:tc>
                <w:tcPr>
                  <w:tcW w:w="851" w:type="dxa"/>
                  <w:tcMar>
                    <w:top w:w="0" w:type="dxa"/>
                    <w:bottom w:w="0" w:type="dxa"/>
                  </w:tcMar>
                  <w:vAlign w:val="center"/>
                </w:tcPr>
                <w:p w14:paraId="03D4CFDF">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2066F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tcMar>
                    <w:top w:w="0" w:type="dxa"/>
                    <w:left w:w="51" w:type="dxa"/>
                    <w:bottom w:w="0" w:type="dxa"/>
                    <w:right w:w="51" w:type="dxa"/>
                  </w:tcMar>
                  <w:vAlign w:val="center"/>
                </w:tcPr>
                <w:p w14:paraId="09508D7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《市场准入负面清单》（202</w:t>
                  </w: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年版）</w:t>
                  </w:r>
                </w:p>
              </w:tc>
              <w:tc>
                <w:tcPr>
                  <w:tcW w:w="284" w:type="dxa"/>
                  <w:tcMar>
                    <w:top w:w="0" w:type="dxa"/>
                    <w:bottom w:w="0" w:type="dxa"/>
                  </w:tcMar>
                  <w:vAlign w:val="center"/>
                </w:tcPr>
                <w:p w14:paraId="4E79DB7B">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禁止</w:t>
                  </w:r>
                </w:p>
              </w:tc>
              <w:tc>
                <w:tcPr>
                  <w:tcW w:w="3685" w:type="dxa"/>
                  <w:tcMar>
                    <w:top w:w="0" w:type="dxa"/>
                    <w:bottom w:w="0" w:type="dxa"/>
                  </w:tcMar>
                  <w:vAlign w:val="center"/>
                </w:tcPr>
                <w:p w14:paraId="2AB4F24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制造业：在规定的期限和区域内，禁止生产、销售和使用粘土砖</w:t>
                  </w:r>
                </w:p>
              </w:tc>
              <w:tc>
                <w:tcPr>
                  <w:tcW w:w="2977" w:type="dxa"/>
                  <w:tcMar>
                    <w:top w:w="0" w:type="dxa"/>
                    <w:bottom w:w="0" w:type="dxa"/>
                  </w:tcMar>
                  <w:vAlign w:val="center"/>
                </w:tcPr>
                <w:p w14:paraId="0B348D9B">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本项目利用煤矸石、页岩及一般工业固体废物生产烧结砖，产品为普通页岩砖和多孔页岩砖，产品不属于粘土砖。</w:t>
                  </w:r>
                </w:p>
              </w:tc>
              <w:tc>
                <w:tcPr>
                  <w:tcW w:w="851" w:type="dxa"/>
                  <w:tcMar>
                    <w:top w:w="0" w:type="dxa"/>
                    <w:bottom w:w="0" w:type="dxa"/>
                  </w:tcMar>
                  <w:vAlign w:val="center"/>
                </w:tcPr>
                <w:p w14:paraId="40FB3A4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1DE354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179" w:type="dxa"/>
                  <w:vMerge w:val="restart"/>
                  <w:tcMar>
                    <w:top w:w="0" w:type="dxa"/>
                    <w:left w:w="51" w:type="dxa"/>
                    <w:bottom w:w="0" w:type="dxa"/>
                    <w:right w:w="51" w:type="dxa"/>
                  </w:tcMar>
                  <w:vAlign w:val="center"/>
                </w:tcPr>
                <w:p w14:paraId="77A2B1C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《新型墙体材料产品目录（2016年本）》</w:t>
                  </w:r>
                </w:p>
              </w:tc>
              <w:tc>
                <w:tcPr>
                  <w:tcW w:w="284" w:type="dxa"/>
                  <w:tcMar>
                    <w:top w:w="0" w:type="dxa"/>
                    <w:bottom w:w="0" w:type="dxa"/>
                  </w:tcMar>
                  <w:vAlign w:val="center"/>
                </w:tcPr>
                <w:p w14:paraId="6D714BB2">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砖类</w:t>
                  </w:r>
                </w:p>
              </w:tc>
              <w:tc>
                <w:tcPr>
                  <w:tcW w:w="3685" w:type="dxa"/>
                  <w:tcMar>
                    <w:top w:w="0" w:type="dxa"/>
                    <w:bottom w:w="0" w:type="dxa"/>
                  </w:tcMar>
                  <w:vAlign w:val="center"/>
                </w:tcPr>
                <w:p w14:paraId="5C025718">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1、烧结多孔砖、烧结空心、烧结保温砖、烧结符合保温砖（必须达到GB13544、GB13545、GB26538、GB/T29060要求）</w:t>
                  </w:r>
                </w:p>
              </w:tc>
              <w:tc>
                <w:tcPr>
                  <w:tcW w:w="2977" w:type="dxa"/>
                  <w:tcMar>
                    <w:top w:w="0" w:type="dxa"/>
                    <w:bottom w:w="0" w:type="dxa"/>
                  </w:tcMar>
                  <w:vAlign w:val="center"/>
                </w:tcPr>
                <w:p w14:paraId="6734A25E">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本项目利用煤矸石、页岩及一般工业固体废物生产烧结砖，产品为普通页岩砖和多孔页岩砖</w:t>
                  </w:r>
                  <w:r>
                    <w:rPr>
                      <w:color w:val="000000" w:themeColor="text1"/>
                      <w:szCs w:val="21"/>
                      <w:highlight w:val="none"/>
                      <w14:textFill>
                        <w14:solidFill>
                          <w14:schemeClr w14:val="tx1"/>
                        </w14:solidFill>
                      </w14:textFill>
                    </w:rPr>
                    <w:t>，普通页岩砖满足《烧结普通砖》（GB/T5101-2017），多孔页岩砖满足《烧结多孔砖和多孔砌块》（GB/T13544-2011）</w:t>
                  </w:r>
                  <w:r>
                    <w:rPr>
                      <w:rFonts w:hint="eastAsia"/>
                      <w:color w:val="000000" w:themeColor="text1"/>
                      <w:szCs w:val="21"/>
                      <w:highlight w:val="none"/>
                      <w14:textFill>
                        <w14:solidFill>
                          <w14:schemeClr w14:val="tx1"/>
                        </w14:solidFill>
                      </w14:textFill>
                    </w:rPr>
                    <w:t>。</w:t>
                  </w:r>
                </w:p>
              </w:tc>
              <w:tc>
                <w:tcPr>
                  <w:tcW w:w="851" w:type="dxa"/>
                  <w:tcMar>
                    <w:top w:w="0" w:type="dxa"/>
                    <w:bottom w:w="0" w:type="dxa"/>
                  </w:tcMar>
                  <w:vAlign w:val="center"/>
                </w:tcPr>
                <w:p w14:paraId="7FD1912A">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2099E3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vMerge w:val="continue"/>
                  <w:tcMar>
                    <w:top w:w="0" w:type="dxa"/>
                    <w:left w:w="51" w:type="dxa"/>
                    <w:bottom w:w="0" w:type="dxa"/>
                    <w:right w:w="51" w:type="dxa"/>
                  </w:tcMar>
                  <w:vAlign w:val="center"/>
                </w:tcPr>
                <w:p w14:paraId="6EB52E85">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284" w:type="dxa"/>
                  <w:tcMar>
                    <w:top w:w="0" w:type="dxa"/>
                    <w:bottom w:w="0" w:type="dxa"/>
                  </w:tcMar>
                  <w:vAlign w:val="center"/>
                </w:tcPr>
                <w:p w14:paraId="2ED0A8E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w:t>
                  </w:r>
                </w:p>
              </w:tc>
              <w:tc>
                <w:tcPr>
                  <w:tcW w:w="3685" w:type="dxa"/>
                  <w:tcMar>
                    <w:top w:w="0" w:type="dxa"/>
                    <w:bottom w:w="0" w:type="dxa"/>
                  </w:tcMar>
                  <w:vAlign w:val="center"/>
                </w:tcPr>
                <w:p w14:paraId="3118665D">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利用各种工业、农业、矿山废渣、建筑渣土、淤泥、污泥等，经无害化处理并检测必须达到国家有关规定，废渣掺量必须达到资源综合利用有关规定，放射性核素限量符合GB6566《建筑材料放射性核素限量》要求，技术性能必须达到国家或行业相关标准的墙材产品。</w:t>
                  </w:r>
                </w:p>
              </w:tc>
              <w:tc>
                <w:tcPr>
                  <w:tcW w:w="2977" w:type="dxa"/>
                  <w:tcMar>
                    <w:top w:w="0" w:type="dxa"/>
                    <w:bottom w:w="0" w:type="dxa"/>
                  </w:tcMar>
                  <w:vAlign w:val="center"/>
                </w:tcPr>
                <w:p w14:paraId="73ED2374">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本项目利用煤矸石、页岩及一般工业固体废物生产烧结砖，产品为普通页岩砖和多孔页岩砖</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一般固废入厂前均需经过检测满足相关标准要求，否则不予接收。本项目</w:t>
                  </w:r>
                  <w:r>
                    <w:rPr>
                      <w:color w:val="000000" w:themeColor="text1"/>
                      <w:szCs w:val="21"/>
                      <w:highlight w:val="none"/>
                      <w14:textFill>
                        <w14:solidFill>
                          <w14:schemeClr w14:val="tx1"/>
                        </w14:solidFill>
                      </w14:textFill>
                    </w:rPr>
                    <w:t>污泥（以干污泥计）掺烧比例为</w:t>
                  </w:r>
                  <w:r>
                    <w:rPr>
                      <w:rFonts w:hint="eastAsia"/>
                      <w:color w:val="000000" w:themeColor="text1"/>
                      <w:szCs w:val="21"/>
                      <w:highlight w:val="none"/>
                      <w14:textFill>
                        <w14:solidFill>
                          <w14:schemeClr w14:val="tx1"/>
                        </w14:solidFill>
                      </w14:textFill>
                    </w:rPr>
                    <w:t>8.6</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满足《城镇污水处理厂污泥处置 制砖用泥质》（GB/T25031-2010）中要求。</w:t>
                  </w:r>
                  <w:r>
                    <w:rPr>
                      <w:color w:val="000000" w:themeColor="text1"/>
                      <w:szCs w:val="21"/>
                      <w:highlight w:val="none"/>
                      <w14:textFill>
                        <w14:solidFill>
                          <w14:schemeClr w14:val="tx1"/>
                        </w14:solidFill>
                      </w14:textFill>
                    </w:rPr>
                    <w:t>产品满足《烧结普通砖》（GB/T5101-2017）、《烧结多孔砖和多孔砌块》（GB/T13544-2011）产品质量要求</w:t>
                  </w:r>
                  <w:r>
                    <w:rPr>
                      <w:rFonts w:hint="eastAsia"/>
                      <w:color w:val="000000" w:themeColor="text1"/>
                      <w:szCs w:val="21"/>
                      <w:highlight w:val="none"/>
                      <w14:textFill>
                        <w14:solidFill>
                          <w14:schemeClr w14:val="tx1"/>
                        </w14:solidFill>
                      </w14:textFill>
                    </w:rPr>
                    <w:t>。本项目掺烧比例与现有工程接近，放射性满足</w:t>
                  </w:r>
                  <w:r>
                    <w:rPr>
                      <w:color w:val="000000" w:themeColor="text1"/>
                      <w:szCs w:val="21"/>
                      <w:highlight w:val="none"/>
                      <w14:textFill>
                        <w14:solidFill>
                          <w14:schemeClr w14:val="tx1"/>
                        </w14:solidFill>
                      </w14:textFill>
                    </w:rPr>
                    <w:t>《建筑材料放射性核素限量》（GB6566-2010）相关要求</w:t>
                  </w:r>
                  <w:r>
                    <w:rPr>
                      <w:rFonts w:hint="eastAsia"/>
                      <w:color w:val="000000" w:themeColor="text1"/>
                      <w:szCs w:val="21"/>
                      <w:highlight w:val="none"/>
                      <w14:textFill>
                        <w14:solidFill>
                          <w14:schemeClr w14:val="tx1"/>
                        </w14:solidFill>
                      </w14:textFill>
                    </w:rPr>
                    <w:t>。</w:t>
                  </w:r>
                </w:p>
              </w:tc>
              <w:tc>
                <w:tcPr>
                  <w:tcW w:w="851" w:type="dxa"/>
                  <w:tcMar>
                    <w:top w:w="0" w:type="dxa"/>
                    <w:bottom w:w="0" w:type="dxa"/>
                  </w:tcMar>
                  <w:vAlign w:val="center"/>
                </w:tcPr>
                <w:p w14:paraId="309024CF">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56401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vMerge w:val="continue"/>
                  <w:tcMar>
                    <w:top w:w="0" w:type="dxa"/>
                    <w:left w:w="51" w:type="dxa"/>
                    <w:bottom w:w="0" w:type="dxa"/>
                    <w:right w:w="51" w:type="dxa"/>
                  </w:tcMar>
                  <w:vAlign w:val="center"/>
                </w:tcPr>
                <w:p w14:paraId="61E6E712">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284" w:type="dxa"/>
                  <w:tcMar>
                    <w:top w:w="0" w:type="dxa"/>
                    <w:bottom w:w="0" w:type="dxa"/>
                  </w:tcMar>
                  <w:vAlign w:val="center"/>
                </w:tcPr>
                <w:p w14:paraId="1423C30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鼓励类</w:t>
                  </w:r>
                </w:p>
              </w:tc>
              <w:tc>
                <w:tcPr>
                  <w:tcW w:w="3685" w:type="dxa"/>
                  <w:tcMar>
                    <w:top w:w="0" w:type="dxa"/>
                    <w:bottom w:w="0" w:type="dxa"/>
                  </w:tcMar>
                  <w:vAlign w:val="center"/>
                </w:tcPr>
                <w:p w14:paraId="412A78DB">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采用以煤矸石、粉煤灰、页岩、建筑渣土、建筑基坑土、江河湖（渠）海淤泥、污泥、为建设用地平整土丘荒坡土等为主要原料生产的烧结多孔砖、烧结空心砖、烧结保温砖、烧结路面砖、烧结复合保温砖，必须达到GB13544、GB13545、GB26538、GB/T26001、GB/T29060要求</w:t>
                  </w:r>
                  <w:r>
                    <w:rPr>
                      <w:rFonts w:hint="eastAsia"/>
                      <w:color w:val="000000" w:themeColor="text1"/>
                      <w:szCs w:val="21"/>
                      <w:highlight w:val="none"/>
                      <w14:textFill>
                        <w14:solidFill>
                          <w14:schemeClr w14:val="tx1"/>
                        </w14:solidFill>
                      </w14:textFill>
                    </w:rPr>
                    <w:t>。</w:t>
                  </w:r>
                </w:p>
              </w:tc>
              <w:tc>
                <w:tcPr>
                  <w:tcW w:w="2977" w:type="dxa"/>
                  <w:tcMar>
                    <w:top w:w="0" w:type="dxa"/>
                    <w:bottom w:w="0" w:type="dxa"/>
                  </w:tcMar>
                  <w:vAlign w:val="center"/>
                </w:tcPr>
                <w:p w14:paraId="5831DD9D">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本项目利用煤矸石、页岩及污泥、炉渣、干排淤泥为主要原料生产烧结砖，产品为普通页岩砖和多孔页岩砖</w:t>
                  </w:r>
                  <w:r>
                    <w:rPr>
                      <w:color w:val="000000" w:themeColor="text1"/>
                      <w:szCs w:val="21"/>
                      <w:highlight w:val="none"/>
                      <w14:textFill>
                        <w14:solidFill>
                          <w14:schemeClr w14:val="tx1"/>
                        </w14:solidFill>
                      </w14:textFill>
                    </w:rPr>
                    <w:t>，满足《烧结普通砖》（GB/T5101-2017）、《烧结多孔砖和多孔砌块》（GB/T13544-2011）产品质量要求</w:t>
                  </w:r>
                  <w:r>
                    <w:rPr>
                      <w:rFonts w:hint="eastAsia"/>
                      <w:color w:val="000000" w:themeColor="text1"/>
                      <w:szCs w:val="21"/>
                      <w:highlight w:val="none"/>
                      <w14:textFill>
                        <w14:solidFill>
                          <w14:schemeClr w14:val="tx1"/>
                        </w14:solidFill>
                      </w14:textFill>
                    </w:rPr>
                    <w:t>。</w:t>
                  </w:r>
                </w:p>
              </w:tc>
              <w:tc>
                <w:tcPr>
                  <w:tcW w:w="851" w:type="dxa"/>
                  <w:tcMar>
                    <w:top w:w="0" w:type="dxa"/>
                    <w:bottom w:w="0" w:type="dxa"/>
                  </w:tcMar>
                  <w:vAlign w:val="center"/>
                </w:tcPr>
                <w:p w14:paraId="01BED20D">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1D2673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vMerge w:val="restart"/>
                  <w:tcMar>
                    <w:top w:w="0" w:type="dxa"/>
                    <w:left w:w="51" w:type="dxa"/>
                    <w:bottom w:w="0" w:type="dxa"/>
                    <w:right w:w="51" w:type="dxa"/>
                  </w:tcMar>
                  <w:vAlign w:val="center"/>
                </w:tcPr>
                <w:p w14:paraId="2623DD3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《墙体材料行业结构调整指导目录</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（2016年本）</w:t>
                  </w:r>
                </w:p>
              </w:tc>
              <w:tc>
                <w:tcPr>
                  <w:tcW w:w="284" w:type="dxa"/>
                  <w:tcMar>
                    <w:top w:w="0" w:type="dxa"/>
                    <w:bottom w:w="0" w:type="dxa"/>
                  </w:tcMar>
                  <w:vAlign w:val="center"/>
                </w:tcPr>
                <w:p w14:paraId="12A1142C">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限制类</w:t>
                  </w:r>
                </w:p>
              </w:tc>
              <w:tc>
                <w:tcPr>
                  <w:tcW w:w="3685" w:type="dxa"/>
                  <w:tcMar>
                    <w:top w:w="0" w:type="dxa"/>
                    <w:bottom w:w="0" w:type="dxa"/>
                  </w:tcMar>
                  <w:vAlign w:val="center"/>
                </w:tcPr>
                <w:p w14:paraId="77F79342">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1.采用50型或以下挤砖机，单线年生产规模3000万块标砖以下的各种烧结砖及烧结空心砌块生产线。</w:t>
                  </w:r>
                </w:p>
                <w:p w14:paraId="310A0D78">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2.压砖机成型压力低于200吨，年生产规模3000万块标砖以下的蒸压灰砂砖、蒸压粉煤灰砖生产线。</w:t>
                  </w:r>
                </w:p>
                <w:p w14:paraId="1C211F63">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成型主机功率小于40kW，振动频率小于55HZ，振幅大于2.0mm，配料无自动计量，无养护室（窑），单机单班年生产规模3000万块（折标砖）以下的混凝土实心砖、非承重混凝土空心砖、承重混凝土多孔砖、装饰混凝土砖和混凝土路面砖生产线。</w:t>
                  </w:r>
                </w:p>
              </w:tc>
              <w:tc>
                <w:tcPr>
                  <w:tcW w:w="2977" w:type="dxa"/>
                  <w:tcMar>
                    <w:top w:w="0" w:type="dxa"/>
                    <w:bottom w:w="0" w:type="dxa"/>
                  </w:tcMar>
                  <w:vAlign w:val="center"/>
                </w:tcPr>
                <w:p w14:paraId="17588971">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本项目扩大生产规模，</w:t>
                  </w:r>
                  <w:r>
                    <w:rPr>
                      <w:rFonts w:hint="eastAsia"/>
                      <w:color w:val="000000" w:themeColor="text1"/>
                      <w:szCs w:val="21"/>
                      <w:highlight w:val="none"/>
                      <w:lang w:val="en-US" w:eastAsia="zh-CN"/>
                      <w14:textFill>
                        <w14:solidFill>
                          <w14:schemeClr w14:val="tx1"/>
                        </w14:solidFill>
                      </w14:textFill>
                    </w:rPr>
                    <w:t>2条生产线</w:t>
                  </w:r>
                  <w:r>
                    <w:rPr>
                      <w:rFonts w:hint="eastAsia"/>
                      <w:color w:val="000000" w:themeColor="text1"/>
                      <w:szCs w:val="21"/>
                      <w:highlight w:val="none"/>
                      <w14:textFill>
                        <w14:solidFill>
                          <w14:schemeClr w14:val="tx1"/>
                        </w14:solidFill>
                      </w14:textFill>
                    </w:rPr>
                    <w:t>年产普通页岩砖和多孔页岩砖</w:t>
                  </w: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.2亿块，折标砖</w:t>
                  </w:r>
                  <w:r>
                    <w:rPr>
                      <w:rFonts w:hint="eastAsia"/>
                      <w:color w:val="000000" w:themeColor="text1"/>
                      <w:szCs w:val="21"/>
                      <w:highlight w:val="none"/>
                      <w:lang w:val="en-US" w:eastAsia="zh-CN"/>
                      <w14:textFill>
                        <w14:solidFill>
                          <w14:schemeClr w14:val="tx1"/>
                        </w14:solidFill>
                      </w14:textFill>
                    </w:rPr>
                    <w:t>约4</w:t>
                  </w:r>
                  <w:r>
                    <w:rPr>
                      <w:rFonts w:hint="eastAsia"/>
                      <w:color w:val="000000" w:themeColor="text1"/>
                      <w:szCs w:val="21"/>
                      <w:highlight w:val="none"/>
                      <w14:textFill>
                        <w14:solidFill>
                          <w14:schemeClr w14:val="tx1"/>
                        </w14:solidFill>
                      </w14:textFill>
                    </w:rPr>
                    <w:t>亿块，不涉及压砖机，配料设有计量系统</w:t>
                  </w:r>
                  <w:r>
                    <w:rPr>
                      <w:color w:val="000000" w:themeColor="text1"/>
                      <w:szCs w:val="21"/>
                      <w:highlight w:val="none"/>
                      <w14:textFill>
                        <w14:solidFill>
                          <w14:schemeClr w14:val="tx1"/>
                        </w14:solidFill>
                      </w14:textFill>
                    </w:rPr>
                    <w:t>，不属于限制类</w:t>
                  </w:r>
                  <w:r>
                    <w:rPr>
                      <w:rFonts w:hint="eastAsia"/>
                      <w:color w:val="000000" w:themeColor="text1"/>
                      <w:szCs w:val="21"/>
                      <w:highlight w:val="none"/>
                      <w14:textFill>
                        <w14:solidFill>
                          <w14:schemeClr w14:val="tx1"/>
                        </w14:solidFill>
                      </w14:textFill>
                    </w:rPr>
                    <w:t>。</w:t>
                  </w:r>
                </w:p>
              </w:tc>
              <w:tc>
                <w:tcPr>
                  <w:tcW w:w="851" w:type="dxa"/>
                  <w:tcMar>
                    <w:top w:w="0" w:type="dxa"/>
                    <w:bottom w:w="0" w:type="dxa"/>
                  </w:tcMar>
                  <w:vAlign w:val="center"/>
                </w:tcPr>
                <w:p w14:paraId="552F5C63">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5DAB7A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vMerge w:val="continue"/>
                  <w:tcMar>
                    <w:top w:w="0" w:type="dxa"/>
                    <w:left w:w="51" w:type="dxa"/>
                    <w:bottom w:w="0" w:type="dxa"/>
                    <w:right w:w="51" w:type="dxa"/>
                  </w:tcMar>
                  <w:vAlign w:val="center"/>
                </w:tcPr>
                <w:p w14:paraId="3F90ED2C">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284" w:type="dxa"/>
                  <w:tcMar>
                    <w:top w:w="0" w:type="dxa"/>
                    <w:bottom w:w="0" w:type="dxa"/>
                  </w:tcMar>
                  <w:vAlign w:val="center"/>
                </w:tcPr>
                <w:p w14:paraId="74D50700">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淘汰类</w:t>
                  </w:r>
                </w:p>
              </w:tc>
              <w:tc>
                <w:tcPr>
                  <w:tcW w:w="3685" w:type="dxa"/>
                  <w:tcMar>
                    <w:top w:w="0" w:type="dxa"/>
                    <w:bottom w:w="0" w:type="dxa"/>
                  </w:tcMar>
                  <w:vAlign w:val="center"/>
                </w:tcPr>
                <w:p w14:paraId="7DC78C94">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1.破坏农田、耕地和破坏环境取土烧制的实心粘土砖生产线。</w:t>
                  </w:r>
                </w:p>
                <w:p w14:paraId="329C361C">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2.轮窑及立窑、无顶轮窑、马蹄窑等土窑生产线。(轮窑在2020年前完成)</w:t>
                  </w:r>
                </w:p>
                <w:p w14:paraId="6E659994">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3.普通挤砖机、SJ1580—3000双轴、单轴制砖搅拌机。</w:t>
                  </w:r>
                </w:p>
                <w:p w14:paraId="20BCCD77">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4.SQP400500——700500双辊破碎机、1000型普通切条机。</w:t>
                  </w:r>
                </w:p>
                <w:p w14:paraId="0CEF1092">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5.不符合国家产业政策，以及在城市规划区、生态保护区、风景名胜区、文物古迹保护区、基本农田保护区范围内和国道、省道、铁路、高速公路沿线可视范围内的烧结砖瓦窑生产线。</w:t>
                  </w:r>
                </w:p>
                <w:p w14:paraId="571FAD91">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6.成型主机在200吨（不含）以下盘转式压砖成型的蒸压灰砂砖和蒸压粉煤灰砖生产线。</w:t>
                  </w:r>
                </w:p>
                <w:p w14:paraId="6920AE0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7.非烧结、非蒸压粉煤灰砖生产线。</w:t>
                  </w:r>
                </w:p>
                <w:p w14:paraId="02DB055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8.成型主机功率小于20kW，振动频率40HZ以下，单机单班年生产规模2.5万立方米以下生产线，采用简易移动式成型机或附着式振动成型台的混凝土砖生产线。</w:t>
                  </w:r>
                </w:p>
              </w:tc>
              <w:tc>
                <w:tcPr>
                  <w:tcW w:w="2977" w:type="dxa"/>
                  <w:tcMar>
                    <w:top w:w="0" w:type="dxa"/>
                    <w:bottom w:w="0" w:type="dxa"/>
                  </w:tcMar>
                  <w:vAlign w:val="center"/>
                </w:tcPr>
                <w:p w14:paraId="0D435D1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拟建项目位于</w:t>
                  </w:r>
                  <w:r>
                    <w:rPr>
                      <w:rFonts w:hint="eastAsia"/>
                      <w:color w:val="000000" w:themeColor="text1"/>
                      <w:szCs w:val="21"/>
                      <w:highlight w:val="none"/>
                      <w14:textFill>
                        <w14:solidFill>
                          <w14:schemeClr w14:val="tx1"/>
                        </w14:solidFill>
                      </w14:textFill>
                    </w:rPr>
                    <w:t>现有厂区</w:t>
                  </w:r>
                  <w:r>
                    <w:rPr>
                      <w:color w:val="000000" w:themeColor="text1"/>
                      <w:szCs w:val="21"/>
                      <w:highlight w:val="none"/>
                      <w14:textFill>
                        <w14:solidFill>
                          <w14:schemeClr w14:val="tx1"/>
                        </w14:solidFill>
                      </w14:textFill>
                    </w:rPr>
                    <w:t>院内，属于非耕地；</w:t>
                  </w:r>
                  <w:r>
                    <w:rPr>
                      <w:rFonts w:hint="eastAsia"/>
                      <w:color w:val="000000" w:themeColor="text1"/>
                      <w:szCs w:val="21"/>
                      <w:highlight w:val="none"/>
                      <w14:textFill>
                        <w14:solidFill>
                          <w14:schemeClr w14:val="tx1"/>
                        </w14:solidFill>
                      </w14:textFill>
                    </w:rPr>
                    <w:t>项目利用煤矸石、页岩及污泥、炉渣等一般工业固体废物生产烧结砖，产品为普通页岩砖和多孔页岩砖</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主要生产</w:t>
                  </w:r>
                  <w:r>
                    <w:rPr>
                      <w:color w:val="000000" w:themeColor="text1"/>
                      <w:szCs w:val="21"/>
                      <w:highlight w:val="none"/>
                      <w14:textFill>
                        <w14:solidFill>
                          <w14:schemeClr w14:val="tx1"/>
                        </w14:solidFill>
                      </w14:textFill>
                    </w:rPr>
                    <w:t>工艺</w:t>
                  </w:r>
                  <w:r>
                    <w:rPr>
                      <w:rFonts w:hint="eastAsia"/>
                      <w:color w:val="000000" w:themeColor="text1"/>
                      <w:szCs w:val="21"/>
                      <w:highlight w:val="none"/>
                      <w14:textFill>
                        <w14:solidFill>
                          <w14:schemeClr w14:val="tx1"/>
                        </w14:solidFill>
                      </w14:textFill>
                    </w:rPr>
                    <w:t>不变</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利用现有</w:t>
                  </w:r>
                  <w:r>
                    <w:rPr>
                      <w:color w:val="000000" w:themeColor="text1"/>
                      <w:szCs w:val="21"/>
                      <w:highlight w:val="none"/>
                      <w14:textFill>
                        <w14:solidFill>
                          <w14:schemeClr w14:val="tx1"/>
                        </w14:solidFill>
                      </w14:textFill>
                    </w:rPr>
                    <w:t>4条隧道窑</w:t>
                  </w:r>
                  <w:r>
                    <w:rPr>
                      <w:rFonts w:hint="eastAsia"/>
                      <w:color w:val="000000" w:themeColor="text1"/>
                      <w:szCs w:val="21"/>
                      <w:highlight w:val="none"/>
                      <w14:textFill>
                        <w14:solidFill>
                          <w14:schemeClr w14:val="tx1"/>
                        </w14:solidFill>
                      </w14:textFill>
                    </w:rPr>
                    <w:t>及相关干燥焙烧等设施</w:t>
                  </w:r>
                  <w:r>
                    <w:rPr>
                      <w:color w:val="000000" w:themeColor="text1"/>
                      <w:szCs w:val="21"/>
                      <w:highlight w:val="none"/>
                      <w14:textFill>
                        <w14:solidFill>
                          <w14:schemeClr w14:val="tx1"/>
                        </w14:solidFill>
                      </w14:textFill>
                    </w:rPr>
                    <w:t>，不涉及轮窑、立窑、无顶轮窑、马蹄窑等土窑。不涉及淘汰类设备。</w:t>
                  </w:r>
                </w:p>
              </w:tc>
              <w:tc>
                <w:tcPr>
                  <w:tcW w:w="851" w:type="dxa"/>
                  <w:tcMar>
                    <w:top w:w="0" w:type="dxa"/>
                    <w:bottom w:w="0" w:type="dxa"/>
                  </w:tcMar>
                  <w:vAlign w:val="center"/>
                </w:tcPr>
                <w:p w14:paraId="512DF3AB">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313EA9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tcMar>
                    <w:top w:w="0" w:type="dxa"/>
                    <w:left w:w="51" w:type="dxa"/>
                    <w:bottom w:w="0" w:type="dxa"/>
                    <w:right w:w="51" w:type="dxa"/>
                  </w:tcMar>
                  <w:vAlign w:val="center"/>
                </w:tcPr>
                <w:p w14:paraId="05C0D5BD">
                  <w:pPr>
                    <w:adjustRightInd w:val="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河北省墙体材料革新与建筑节能管理规定</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根据2007年4月22日河北省人民政府令〔2007〕第5号修订</w:t>
                  </w:r>
                  <w:r>
                    <w:rPr>
                      <w:color w:val="000000" w:themeColor="text1"/>
                      <w:szCs w:val="21"/>
                      <w:highlight w:val="none"/>
                      <w14:textFill>
                        <w14:solidFill>
                          <w14:schemeClr w14:val="tx1"/>
                        </w14:solidFill>
                      </w14:textFill>
                    </w:rPr>
                    <w:t>）</w:t>
                  </w:r>
                </w:p>
              </w:tc>
              <w:tc>
                <w:tcPr>
                  <w:tcW w:w="3969" w:type="dxa"/>
                  <w:gridSpan w:val="2"/>
                  <w:tcMar>
                    <w:top w:w="0" w:type="dxa"/>
                    <w:bottom w:w="0" w:type="dxa"/>
                  </w:tcMar>
                  <w:vAlign w:val="center"/>
                </w:tcPr>
                <w:p w14:paraId="4A1CB1ED">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在本省范围内（边远地区除外）不得新建或扩建生产实心粘土砖厂。对现有生产实心粘土砖厂，由发展和改革部门会同国土资源、中小企业、工商行政管理等有关部门进行整顿，并根据社会经济发展需要和地区间的平衡状况，合理核定实心粘土砖厂的生产指标和用地范围。整顿后的实心粘土砖厂必须按照核定的生产指标和用地范围进行生产。</w:t>
                  </w:r>
                </w:p>
              </w:tc>
              <w:tc>
                <w:tcPr>
                  <w:tcW w:w="2977" w:type="dxa"/>
                  <w:tcMar>
                    <w:top w:w="0" w:type="dxa"/>
                    <w:bottom w:w="0" w:type="dxa"/>
                  </w:tcMar>
                  <w:vAlign w:val="center"/>
                </w:tcPr>
                <w:p w14:paraId="42C9FC3E">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本项目利用煤矸石、页岩及污泥、炉渣等一般工业固体废物生产烧结砖，产品为普通页岩砖和多孔页岩砖，产品不属于实心粘土砖。</w:t>
                  </w:r>
                </w:p>
              </w:tc>
              <w:tc>
                <w:tcPr>
                  <w:tcW w:w="851" w:type="dxa"/>
                  <w:tcMar>
                    <w:top w:w="0" w:type="dxa"/>
                    <w:bottom w:w="0" w:type="dxa"/>
                  </w:tcMar>
                  <w:vAlign w:val="center"/>
                </w:tcPr>
                <w:p w14:paraId="753B0D47">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3ECB45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79" w:type="dxa"/>
                  <w:tcMar>
                    <w:top w:w="0" w:type="dxa"/>
                    <w:left w:w="51" w:type="dxa"/>
                    <w:bottom w:w="0" w:type="dxa"/>
                    <w:right w:w="51" w:type="dxa"/>
                  </w:tcMar>
                  <w:vAlign w:val="center"/>
                </w:tcPr>
                <w:p w14:paraId="7F652F20">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《关于加强新建“两高”项目管理的通知》</w:t>
                  </w:r>
                </w:p>
                <w:p w14:paraId="5A8BBD44">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（冀发改环资[2022]691号文）</w:t>
                  </w:r>
                </w:p>
              </w:tc>
              <w:tc>
                <w:tcPr>
                  <w:tcW w:w="284" w:type="dxa"/>
                  <w:tcMar>
                    <w:top w:w="0" w:type="dxa"/>
                    <w:bottom w:w="0" w:type="dxa"/>
                  </w:tcMar>
                  <w:vAlign w:val="center"/>
                </w:tcPr>
                <w:p w14:paraId="7F8DEEBA">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两高项目管理目录</w:t>
                  </w:r>
                </w:p>
              </w:tc>
              <w:tc>
                <w:tcPr>
                  <w:tcW w:w="3685" w:type="dxa"/>
                  <w:tcMar>
                    <w:top w:w="0" w:type="dxa"/>
                    <w:bottom w:w="0" w:type="dxa"/>
                  </w:tcMar>
                  <w:vAlign w:val="center"/>
                </w:tcPr>
                <w:p w14:paraId="2685224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建材：水泥、石灰和石膏制造（301）、玻璃制造（304）、陶瓷制品制造（307）</w:t>
                  </w:r>
                </w:p>
              </w:tc>
              <w:tc>
                <w:tcPr>
                  <w:tcW w:w="2977" w:type="dxa"/>
                  <w:tcMar>
                    <w:top w:w="0" w:type="dxa"/>
                    <w:bottom w:w="0" w:type="dxa"/>
                  </w:tcMar>
                  <w:vAlign w:val="center"/>
                </w:tcPr>
                <w:p w14:paraId="0B3381B2">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项目利用煤矸石、页岩及污泥、炉渣等一般工业固体废物生产烧结砖，产品为普通页岩砖和多孔页岩砖</w:t>
                  </w:r>
                  <w:r>
                    <w:rPr>
                      <w:color w:val="000000" w:themeColor="text1"/>
                      <w:szCs w:val="21"/>
                      <w:highlight w:val="none"/>
                      <w14:textFill>
                        <w14:solidFill>
                          <w14:schemeClr w14:val="tx1"/>
                        </w14:solidFill>
                      </w14:textFill>
                    </w:rPr>
                    <w:t>，不属于水泥、石灰和石膏制造、玻璃制造、陶瓷制品制造</w:t>
                  </w:r>
                  <w:r>
                    <w:rPr>
                      <w:rFonts w:hint="eastAsia"/>
                      <w:color w:val="000000" w:themeColor="text1"/>
                      <w:szCs w:val="21"/>
                      <w:highlight w:val="none"/>
                      <w14:textFill>
                        <w14:solidFill>
                          <w14:schemeClr w14:val="tx1"/>
                        </w14:solidFill>
                      </w14:textFill>
                    </w:rPr>
                    <w:t>项目。</w:t>
                  </w:r>
                </w:p>
              </w:tc>
              <w:tc>
                <w:tcPr>
                  <w:tcW w:w="851" w:type="dxa"/>
                  <w:tcMar>
                    <w:top w:w="0" w:type="dxa"/>
                    <w:bottom w:w="0" w:type="dxa"/>
                  </w:tcMar>
                  <w:vAlign w:val="center"/>
                </w:tcPr>
                <w:p w14:paraId="627C146E">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bl>
          <w:p w14:paraId="4C2EE5A2">
            <w:pPr>
              <w:pStyle w:val="52"/>
              <w:spacing w:line="480" w:lineRule="exact"/>
              <w:ind w:firstLine="480"/>
              <w:jc w:val="left"/>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综上所述，本项目的建设符合国家及地方产业政策。</w:t>
            </w:r>
          </w:p>
          <w:p w14:paraId="7A8AE89B">
            <w:pPr>
              <w:pStyle w:val="52"/>
              <w:spacing w:line="480" w:lineRule="exact"/>
              <w:ind w:firstLine="0" w:firstLineChars="0"/>
              <w:jc w:val="left"/>
              <w:rPr>
                <w:b/>
                <w:color w:val="000000" w:themeColor="text1"/>
                <w:sz w:val="24"/>
                <w:highlight w:val="none"/>
                <w14:textFill>
                  <w14:solidFill>
                    <w14:schemeClr w14:val="tx1"/>
                  </w14:solidFill>
                </w14:textFill>
              </w:rPr>
            </w:pPr>
            <w:r>
              <w:rPr>
                <w:b/>
                <w:color w:val="000000" w:themeColor="text1"/>
                <w:kern w:val="0"/>
                <w:sz w:val="24"/>
                <w:highlight w:val="none"/>
                <w14:textFill>
                  <w14:solidFill>
                    <w14:schemeClr w14:val="tx1"/>
                  </w14:solidFill>
                </w14:textFill>
              </w:rPr>
              <w:t>2、</w:t>
            </w:r>
            <w:r>
              <w:rPr>
                <w:rFonts w:hint="eastAsia"/>
                <w:b/>
                <w:color w:val="000000" w:themeColor="text1"/>
                <w:sz w:val="24"/>
                <w:highlight w:val="none"/>
                <w14:textFill>
                  <w14:solidFill>
                    <w14:schemeClr w14:val="tx1"/>
                  </w14:solidFill>
                </w14:textFill>
              </w:rPr>
              <w:t>项目选址</w:t>
            </w:r>
            <w:r>
              <w:rPr>
                <w:b/>
                <w:color w:val="000000" w:themeColor="text1"/>
                <w:sz w:val="24"/>
                <w:highlight w:val="none"/>
                <w14:textFill>
                  <w14:solidFill>
                    <w14:schemeClr w14:val="tx1"/>
                  </w14:solidFill>
                </w14:textFill>
              </w:rPr>
              <w:t>符合性分析</w:t>
            </w:r>
          </w:p>
          <w:p w14:paraId="6EA47784">
            <w:pPr>
              <w:pStyle w:val="52"/>
              <w:spacing w:line="480" w:lineRule="exact"/>
              <w:ind w:firstLine="48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拟建项目位于河北省唐山市滦州市响嘡街道滦县翼翔新型建材有限公司</w:t>
            </w:r>
            <w:r>
              <w:rPr>
                <w:rFonts w:hint="eastAsia"/>
                <w:color w:val="000000" w:themeColor="text1"/>
                <w:kern w:val="0"/>
                <w:sz w:val="24"/>
                <w:highlight w:val="none"/>
                <w14:textFill>
                  <w14:solidFill>
                    <w14:schemeClr w14:val="tx1"/>
                  </w14:solidFill>
                </w14:textFill>
              </w:rPr>
              <w:t>现有厂区</w:t>
            </w:r>
            <w:r>
              <w:rPr>
                <w:color w:val="000000" w:themeColor="text1"/>
                <w:kern w:val="0"/>
                <w:sz w:val="24"/>
                <w:highlight w:val="none"/>
                <w14:textFill>
                  <w14:solidFill>
                    <w14:schemeClr w14:val="tx1"/>
                  </w14:solidFill>
                </w14:textFill>
              </w:rPr>
              <w:t>院内，</w:t>
            </w:r>
            <w:r>
              <w:rPr>
                <w:rFonts w:hint="eastAsia"/>
                <w:color w:val="000000" w:themeColor="text1"/>
                <w:kern w:val="0"/>
                <w:sz w:val="24"/>
                <w:highlight w:val="none"/>
                <w14:textFill>
                  <w14:solidFill>
                    <w14:schemeClr w14:val="tx1"/>
                  </w14:solidFill>
                </w14:textFill>
              </w:rPr>
              <w:t>企业</w:t>
            </w:r>
            <w:r>
              <w:rPr>
                <w:color w:val="000000" w:themeColor="text1"/>
                <w:kern w:val="0"/>
                <w:sz w:val="24"/>
                <w:highlight w:val="none"/>
                <w14:textFill>
                  <w14:solidFill>
                    <w14:schemeClr w14:val="tx1"/>
                  </w14:solidFill>
                </w14:textFill>
              </w:rPr>
              <w:t>占地面积66946.06m</w:t>
            </w:r>
            <w:r>
              <w:rPr>
                <w:color w:val="000000" w:themeColor="text1"/>
                <w:kern w:val="0"/>
                <w:sz w:val="24"/>
                <w:highlight w:val="none"/>
                <w:vertAlign w:val="superscript"/>
                <w14:textFill>
                  <w14:solidFill>
                    <w14:schemeClr w14:val="tx1"/>
                  </w14:solidFill>
                </w14:textFill>
              </w:rPr>
              <w:t>2</w:t>
            </w:r>
            <w:r>
              <w:rPr>
                <w:color w:val="000000" w:themeColor="text1"/>
                <w:kern w:val="0"/>
                <w:sz w:val="24"/>
                <w:highlight w:val="none"/>
                <w14:textFill>
                  <w14:solidFill>
                    <w14:schemeClr w14:val="tx1"/>
                  </w14:solidFill>
                </w14:textFill>
              </w:rPr>
              <w:t>，</w:t>
            </w:r>
            <w:r>
              <w:rPr>
                <w:rFonts w:hint="eastAsia"/>
                <w:color w:val="000000" w:themeColor="text1"/>
                <w:kern w:val="0"/>
                <w:sz w:val="24"/>
                <w:highlight w:val="none"/>
                <w14:textFill>
                  <w14:solidFill>
                    <w14:schemeClr w14:val="tx1"/>
                  </w14:solidFill>
                </w14:textFill>
              </w:rPr>
              <w:t>本项目不新增占地。根据滦州市响嘡街道办事处出具的关于本项目的用地情况说明（见附件），现有占地为工业建设用地，符合土地利用总体规划。</w:t>
            </w:r>
          </w:p>
          <w:p w14:paraId="1B8CC604">
            <w:pPr>
              <w:pStyle w:val="52"/>
              <w:spacing w:line="480" w:lineRule="exact"/>
              <w:ind w:firstLine="48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根据《唐山市涉水工业企业入园整治实施方案》要求，直排外环境企业必须实施尾水深度处理，一律执行最严格水污染物排放标准。文件中要求</w:t>
            </w:r>
            <w:r>
              <w:rPr>
                <w:rFonts w:hint="eastAsia"/>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对于行业排放标准比《城镇污水处理厂污染物排放标准》一级A标准严格的企业，执行行业排放标准；对于行业排放标准比《城镇污水处理厂污染物排放标准》一级A标准宽松的企业，或者没有行业排放标准的企业，一律执行《城镇污水处理厂污染物排放标准》一级A标准</w:t>
            </w:r>
            <w:r>
              <w:rPr>
                <w:rFonts w:hint="eastAsia"/>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本项目生产废水、洗车废水全部循环利用，生活污水全部用于厂区内泼洒抑尘，项目无废水外排环境</w:t>
            </w:r>
            <w:r>
              <w:rPr>
                <w:rFonts w:hint="eastAsia"/>
                <w:color w:val="000000" w:themeColor="text1"/>
                <w:kern w:val="0"/>
                <w:sz w:val="24"/>
                <w:highlight w:val="none"/>
                <w14:textFill>
                  <w14:solidFill>
                    <w14:schemeClr w14:val="tx1"/>
                  </w14:solidFill>
                </w14:textFill>
              </w:rPr>
              <w:t>。</w:t>
            </w:r>
          </w:p>
          <w:p w14:paraId="51419147">
            <w:pPr>
              <w:pStyle w:val="52"/>
              <w:spacing w:line="480" w:lineRule="exact"/>
              <w:ind w:firstLine="480"/>
              <w:jc w:val="left"/>
              <w:rPr>
                <w:bCs/>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项目厂区周边以工业企业为主，附近无其他自然保护区、风景名胜区等环境敏感区。</w:t>
            </w:r>
            <w:r>
              <w:rPr>
                <w:rFonts w:hint="eastAsia"/>
                <w:bCs/>
                <w:color w:val="000000" w:themeColor="text1"/>
                <w:kern w:val="0"/>
                <w:sz w:val="24"/>
                <w:highlight w:val="none"/>
                <w14:textFill>
                  <w14:solidFill>
                    <w14:schemeClr w14:val="tx1"/>
                  </w14:solidFill>
                </w14:textFill>
              </w:rPr>
              <w:t>距离本</w:t>
            </w:r>
            <w:r>
              <w:rPr>
                <w:color w:val="000000" w:themeColor="text1"/>
                <w:kern w:val="0"/>
                <w:sz w:val="24"/>
                <w:highlight w:val="none"/>
                <w14:textFill>
                  <w14:solidFill>
                    <w14:schemeClr w14:val="tx1"/>
                  </w14:solidFill>
                </w14:textFill>
              </w:rPr>
              <w:t>项目最近的环境敏感点为</w:t>
            </w:r>
            <w:r>
              <w:rPr>
                <w:rFonts w:hint="eastAsia"/>
                <w:bCs/>
                <w:color w:val="000000" w:themeColor="text1"/>
                <w:kern w:val="0"/>
                <w:sz w:val="24"/>
                <w:highlight w:val="none"/>
                <w14:textFill>
                  <w14:solidFill>
                    <w14:schemeClr w14:val="tx1"/>
                  </w14:solidFill>
                </w14:textFill>
              </w:rPr>
              <w:t>东南侧90m处的</w:t>
            </w:r>
            <w:r>
              <w:rPr>
                <w:rFonts w:hint="eastAsia"/>
                <w:color w:val="000000" w:themeColor="text1"/>
                <w:kern w:val="0"/>
                <w:sz w:val="24"/>
                <w:highlight w:val="none"/>
                <w14:textFill>
                  <w14:solidFill>
                    <w14:schemeClr w14:val="tx1"/>
                  </w14:solidFill>
                </w14:textFill>
              </w:rPr>
              <w:t>田疃村</w:t>
            </w:r>
            <w:r>
              <w:rPr>
                <w:color w:val="000000" w:themeColor="text1"/>
                <w:kern w:val="0"/>
                <w:sz w:val="24"/>
                <w:highlight w:val="none"/>
                <w14:textFill>
                  <w14:solidFill>
                    <w14:schemeClr w14:val="tx1"/>
                  </w14:solidFill>
                </w14:textFill>
              </w:rPr>
              <w:t>。</w:t>
            </w:r>
            <w:r>
              <w:rPr>
                <w:rFonts w:hint="eastAsia"/>
                <w:color w:val="000000" w:themeColor="text1"/>
                <w:kern w:val="0"/>
                <w:sz w:val="24"/>
                <w:highlight w:val="none"/>
                <w14:textFill>
                  <w14:solidFill>
                    <w14:schemeClr w14:val="tx1"/>
                  </w14:solidFill>
                </w14:textFill>
              </w:rPr>
              <w:t>项目物料和产品运输主要由厂区北侧进出，对田疃村影响较小。本项目对厂区周边</w:t>
            </w:r>
            <w:r>
              <w:rPr>
                <w:rFonts w:hint="eastAsia"/>
                <w:bCs/>
                <w:color w:val="000000" w:themeColor="text1"/>
                <w:kern w:val="0"/>
                <w:sz w:val="24"/>
                <w:highlight w:val="none"/>
                <w14:textFill>
                  <w14:solidFill>
                    <w14:schemeClr w14:val="tx1"/>
                  </w14:solidFill>
                </w14:textFill>
              </w:rPr>
              <w:t>田疃村居民</w:t>
            </w:r>
            <w:r>
              <w:rPr>
                <w:color w:val="000000" w:themeColor="text1"/>
                <w:kern w:val="0"/>
                <w:sz w:val="24"/>
                <w:highlight w:val="none"/>
                <w14:textFill>
                  <w14:solidFill>
                    <w14:schemeClr w14:val="tx1"/>
                  </w14:solidFill>
                </w14:textFill>
              </w:rPr>
              <w:t>发放调查表进行公众参与</w:t>
            </w:r>
            <w:r>
              <w:rPr>
                <w:rFonts w:hint="eastAsia"/>
                <w:color w:val="000000" w:themeColor="text1"/>
                <w:kern w:val="0"/>
                <w:sz w:val="24"/>
                <w:highlight w:val="none"/>
                <w14:textFill>
                  <w14:solidFill>
                    <w14:schemeClr w14:val="tx1"/>
                  </w14:solidFill>
                </w14:textFill>
              </w:rPr>
              <w:t>调查，调查表中列明了项目概况及主要污染及治理措施。</w:t>
            </w:r>
            <w:r>
              <w:rPr>
                <w:color w:val="000000" w:themeColor="text1"/>
                <w:kern w:val="0"/>
                <w:sz w:val="24"/>
                <w:highlight w:val="none"/>
                <w14:textFill>
                  <w14:solidFill>
                    <w14:schemeClr w14:val="tx1"/>
                  </w14:solidFill>
                </w14:textFill>
              </w:rPr>
              <w:t>项目建设得到了当地民众支持，被调查者认为项目选址可行、</w:t>
            </w:r>
            <w:r>
              <w:rPr>
                <w:rFonts w:hint="eastAsia"/>
                <w:color w:val="000000" w:themeColor="text1"/>
                <w:kern w:val="0"/>
                <w:sz w:val="24"/>
                <w:highlight w:val="none"/>
                <w14:textFill>
                  <w14:solidFill>
                    <w14:schemeClr w14:val="tx1"/>
                  </w14:solidFill>
                </w14:textFill>
              </w:rPr>
              <w:t>对拟采取的环保措施满意、</w:t>
            </w:r>
            <w:r>
              <w:rPr>
                <w:color w:val="000000" w:themeColor="text1"/>
                <w:kern w:val="0"/>
                <w:sz w:val="24"/>
                <w:highlight w:val="none"/>
                <w14:textFill>
                  <w14:solidFill>
                    <w14:schemeClr w14:val="tx1"/>
                  </w14:solidFill>
                </w14:textFill>
              </w:rPr>
              <w:t>同意项目建设；没有持反对意见者。</w:t>
            </w:r>
            <w:r>
              <w:rPr>
                <w:rFonts w:hint="eastAsia"/>
                <w:color w:val="000000" w:themeColor="text1"/>
                <w:kern w:val="0"/>
                <w:sz w:val="24"/>
                <w:highlight w:val="none"/>
                <w14:textFill>
                  <w14:solidFill>
                    <w14:schemeClr w14:val="tx1"/>
                  </w14:solidFill>
                </w14:textFill>
              </w:rPr>
              <w:t>建设区内电力、通讯等基础设施配套状况良好，交通便利，为项目的建设提供了良好的环境。</w:t>
            </w:r>
          </w:p>
          <w:p w14:paraId="322AC3E8">
            <w:pPr>
              <w:pStyle w:val="52"/>
              <w:spacing w:line="480" w:lineRule="exact"/>
              <w:ind w:firstLine="48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综上，</w:t>
            </w:r>
            <w:r>
              <w:rPr>
                <w:rFonts w:hint="eastAsia"/>
                <w:color w:val="000000" w:themeColor="text1"/>
                <w:kern w:val="0"/>
                <w:sz w:val="24"/>
                <w:highlight w:val="none"/>
                <w14:textFill>
                  <w14:solidFill>
                    <w14:schemeClr w14:val="tx1"/>
                  </w14:solidFill>
                </w14:textFill>
              </w:rPr>
              <w:t>本项目在现有厂区内建设，不新增占地，现有</w:t>
            </w:r>
            <w:r>
              <w:rPr>
                <w:color w:val="000000" w:themeColor="text1"/>
                <w:kern w:val="0"/>
                <w:sz w:val="24"/>
                <w:highlight w:val="none"/>
                <w14:textFill>
                  <w14:solidFill>
                    <w14:schemeClr w14:val="tx1"/>
                  </w14:solidFill>
                </w14:textFill>
              </w:rPr>
              <w:t>占地范围内无法律、法规规定的环境敏感区。因此，项目选址合理。</w:t>
            </w:r>
          </w:p>
          <w:p w14:paraId="201F13BC">
            <w:pPr>
              <w:autoSpaceDE w:val="0"/>
              <w:autoSpaceDN w:val="0"/>
              <w:adjustRightInd w:val="0"/>
              <w:snapToGrid w:val="0"/>
              <w:spacing w:line="480" w:lineRule="exact"/>
              <w:jc w:val="left"/>
              <w:rPr>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14:textFill>
                  <w14:solidFill>
                    <w14:schemeClr w14:val="tx1"/>
                  </w14:solidFill>
                </w14:textFill>
              </w:rPr>
              <w:t>3</w:t>
            </w:r>
            <w:r>
              <w:rPr>
                <w:b/>
                <w:bCs/>
                <w:color w:val="000000" w:themeColor="text1"/>
                <w:kern w:val="0"/>
                <w:sz w:val="24"/>
                <w:highlight w:val="none"/>
                <w14:textFill>
                  <w14:solidFill>
                    <w14:schemeClr w14:val="tx1"/>
                  </w14:solidFill>
                </w14:textFill>
              </w:rPr>
              <w:t>、“三线一单”符合性分析</w:t>
            </w:r>
          </w:p>
          <w:p w14:paraId="51D66B45">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根据《关于以改善环境质量为核心加强环境影响评价管理的通知》（环环评</w:t>
            </w:r>
            <w:r>
              <w:rPr>
                <w:rFonts w:hint="eastAsia"/>
                <w:bCs/>
                <w:color w:val="000000" w:themeColor="text1"/>
                <w:kern w:val="0"/>
                <w:sz w:val="24"/>
                <w:highlight w:val="none"/>
                <w14:textFill>
                  <w14:solidFill>
                    <w14:schemeClr w14:val="tx1"/>
                  </w14:solidFill>
                </w14:textFill>
              </w:rPr>
              <w:t>[2016]</w:t>
            </w:r>
            <w:r>
              <w:rPr>
                <w:bCs/>
                <w:color w:val="000000" w:themeColor="text1"/>
                <w:kern w:val="0"/>
                <w:sz w:val="24"/>
                <w:highlight w:val="none"/>
                <w14:textFill>
                  <w14:solidFill>
                    <w14:schemeClr w14:val="tx1"/>
                  </w14:solidFill>
                </w14:textFill>
              </w:rPr>
              <w:t>150号），要求以生态保护红线、环境质量底线、资源利用上线和环境准入负面清单（以下简称“三线一单”）为手段，强化空间、总量和准入环境管理。本项目建设与上述要求的符合性分析如下：</w:t>
            </w:r>
          </w:p>
          <w:p w14:paraId="3E51DEF7">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⑴</w:t>
            </w:r>
            <w:r>
              <w:rPr>
                <w:bCs/>
                <w:color w:val="000000" w:themeColor="text1"/>
                <w:kern w:val="0"/>
                <w:sz w:val="24"/>
                <w:highlight w:val="none"/>
                <w14:textFill>
                  <w14:solidFill>
                    <w14:schemeClr w14:val="tx1"/>
                  </w14:solidFill>
                </w14:textFill>
              </w:rPr>
              <w:t>生态保护红线</w:t>
            </w:r>
          </w:p>
          <w:p w14:paraId="7C975EDF">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生态保护红线是生态空间范围内具有特殊重点生态功能必须实行强制性严格保护的区域。相关规划环评应将生态空间管控作为重点内容，规划区域涉及生态保护红线的，在规划环评结论和审查意见中应落实生态保护红线的管理要求，提出相对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p w14:paraId="5CDD05A8">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根据《河北省“三线一单”成果》，唐山市陆域生态空间面积为</w:t>
            </w:r>
            <w:r>
              <w:rPr>
                <w:bCs/>
                <w:color w:val="000000" w:themeColor="text1"/>
                <w:kern w:val="0"/>
                <w:sz w:val="24"/>
                <w:highlight w:val="none"/>
                <w14:textFill>
                  <w14:solidFill>
                    <w14:schemeClr w14:val="tx1"/>
                  </w14:solidFill>
                </w14:textFill>
              </w:rPr>
              <w:t>4012.97km</w:t>
            </w:r>
            <w:r>
              <w:rPr>
                <w:rFonts w:hint="eastAsia"/>
                <w:bCs/>
                <w:color w:val="000000" w:themeColor="text1"/>
                <w:kern w:val="0"/>
                <w:sz w:val="24"/>
                <w:highlight w:val="none"/>
                <w:vertAlign w:val="superscript"/>
                <w14:textFill>
                  <w14:solidFill>
                    <w14:schemeClr w14:val="tx1"/>
                  </w14:solidFill>
                </w14:textFill>
              </w:rPr>
              <w:t>2</w:t>
            </w:r>
            <w:r>
              <w:rPr>
                <w:rFonts w:hint="eastAsia"/>
                <w:bCs/>
                <w:color w:val="000000" w:themeColor="text1"/>
                <w:kern w:val="0"/>
                <w:sz w:val="24"/>
                <w:highlight w:val="none"/>
                <w14:textFill>
                  <w14:solidFill>
                    <w14:schemeClr w14:val="tx1"/>
                  </w14:solidFill>
                </w14:textFill>
              </w:rPr>
              <w:t>，占全市陆域国土面积的</w:t>
            </w:r>
            <w:r>
              <w:rPr>
                <w:bCs/>
                <w:color w:val="000000" w:themeColor="text1"/>
                <w:kern w:val="0"/>
                <w:sz w:val="24"/>
                <w:highlight w:val="none"/>
                <w14:textFill>
                  <w14:solidFill>
                    <w14:schemeClr w14:val="tx1"/>
                  </w14:solidFill>
                </w14:textFill>
              </w:rPr>
              <w:t>29.19%</w:t>
            </w:r>
            <w:r>
              <w:rPr>
                <w:rFonts w:hint="eastAsia"/>
                <w:bCs/>
                <w:color w:val="000000" w:themeColor="text1"/>
                <w:kern w:val="0"/>
                <w:sz w:val="24"/>
                <w:highlight w:val="none"/>
                <w14:textFill>
                  <w14:solidFill>
                    <w14:schemeClr w14:val="tx1"/>
                  </w14:solidFill>
                </w14:textFill>
              </w:rPr>
              <w:t>，主要分布在遵化市、迁西县、迁安市等北部山区和曹妃甸区、乐亭县、唐山国际旅游岛等南部沿海地区。将除陆域生态保护红线外的生态空间划为一般生态空间，面积为</w:t>
            </w:r>
            <w:r>
              <w:rPr>
                <w:bCs/>
                <w:color w:val="000000" w:themeColor="text1"/>
                <w:kern w:val="0"/>
                <w:sz w:val="24"/>
                <w:highlight w:val="none"/>
                <w14:textFill>
                  <w14:solidFill>
                    <w14:schemeClr w14:val="tx1"/>
                  </w14:solidFill>
                </w14:textFill>
              </w:rPr>
              <w:t>2927.5km</w:t>
            </w:r>
            <w:r>
              <w:rPr>
                <w:rFonts w:hint="eastAsia"/>
                <w:bCs/>
                <w:color w:val="000000" w:themeColor="text1"/>
                <w:kern w:val="0"/>
                <w:sz w:val="24"/>
                <w:highlight w:val="none"/>
                <w:vertAlign w:val="superscript"/>
                <w14:textFill>
                  <w14:solidFill>
                    <w14:schemeClr w14:val="tx1"/>
                  </w14:solidFill>
                </w14:textFill>
              </w:rPr>
              <w:t>2</w:t>
            </w:r>
            <w:r>
              <w:rPr>
                <w:rFonts w:hint="eastAsia"/>
                <w:bCs/>
                <w:color w:val="000000" w:themeColor="text1"/>
                <w:kern w:val="0"/>
                <w:sz w:val="24"/>
                <w:highlight w:val="none"/>
                <w14:textFill>
                  <w14:solidFill>
                    <w14:schemeClr w14:val="tx1"/>
                  </w14:solidFill>
                </w14:textFill>
              </w:rPr>
              <w:t>，占全市陆域国土面积的</w:t>
            </w:r>
            <w:r>
              <w:rPr>
                <w:bCs/>
                <w:color w:val="000000" w:themeColor="text1"/>
                <w:kern w:val="0"/>
                <w:sz w:val="24"/>
                <w:highlight w:val="none"/>
                <w14:textFill>
                  <w14:solidFill>
                    <w14:schemeClr w14:val="tx1"/>
                  </w14:solidFill>
                </w14:textFill>
              </w:rPr>
              <w:t>21.29%</w:t>
            </w:r>
            <w:r>
              <w:rPr>
                <w:rFonts w:hint="eastAsia"/>
                <w:bCs/>
                <w:color w:val="000000" w:themeColor="text1"/>
                <w:kern w:val="0"/>
                <w:sz w:val="24"/>
                <w:highlight w:val="none"/>
                <w14:textFill>
                  <w14:solidFill>
                    <w14:schemeClr w14:val="tx1"/>
                  </w14:solidFill>
                </w14:textFill>
              </w:rPr>
              <w:t>。主要分布在遵化市、迁西县、迁安市等北部山区和曹妃甸区、乐亭县等南部沿海地区。</w:t>
            </w:r>
          </w:p>
          <w:p w14:paraId="2CC55227">
            <w:pPr>
              <w:autoSpaceDE w:val="0"/>
              <w:autoSpaceDN w:val="0"/>
              <w:adjustRightInd w:val="0"/>
              <w:snapToGrid w:val="0"/>
              <w:spacing w:line="480" w:lineRule="exact"/>
              <w:ind w:firstLine="480" w:firstLineChars="200"/>
              <w:jc w:val="both"/>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滦州市生态保护红线类型主要为水源涵养、河湖滨岸带、生物多样性维护、水土流失等。本</w:t>
            </w:r>
            <w:r>
              <w:rPr>
                <w:bCs/>
                <w:color w:val="000000" w:themeColor="text1"/>
                <w:kern w:val="0"/>
                <w:sz w:val="24"/>
                <w:highlight w:val="none"/>
                <w14:textFill>
                  <w14:solidFill>
                    <w14:schemeClr w14:val="tx1"/>
                  </w14:solidFill>
                </w14:textFill>
              </w:rPr>
              <w:t>项目位于河北省唐山市滦州市响嘡街道田疃村西北侧滦县翼翔新型建材有限公司院内，不在滦县生态保护红线区内，距离东侧滦河生态保护红线</w:t>
            </w:r>
            <w:r>
              <w:rPr>
                <w:rFonts w:hint="eastAsia"/>
                <w:bCs/>
                <w:color w:val="000000" w:themeColor="text1"/>
                <w:kern w:val="0"/>
                <w:sz w:val="24"/>
                <w:highlight w:val="none"/>
                <w14:textFill>
                  <w14:solidFill>
                    <w14:schemeClr w14:val="tx1"/>
                  </w14:solidFill>
                </w14:textFill>
              </w:rPr>
              <w:t>最近距离</w:t>
            </w:r>
            <w:r>
              <w:rPr>
                <w:rFonts w:hint="eastAsia"/>
                <w:bCs/>
                <w:color w:val="000000" w:themeColor="text1"/>
                <w:kern w:val="0"/>
                <w:sz w:val="24"/>
                <w:highlight w:val="none"/>
                <w:lang w:val="en-US" w:eastAsia="zh-CN"/>
                <w14:textFill>
                  <w14:solidFill>
                    <w14:schemeClr w14:val="tx1"/>
                  </w14:solidFill>
                </w14:textFill>
              </w:rPr>
              <w:t>约</w:t>
            </w:r>
            <w:r>
              <w:rPr>
                <w:rFonts w:hint="eastAsia"/>
                <w:bCs/>
                <w:color w:val="000000" w:themeColor="text1"/>
                <w:kern w:val="0"/>
                <w:sz w:val="24"/>
                <w:highlight w:val="none"/>
                <w14:textFill>
                  <w14:solidFill>
                    <w14:schemeClr w14:val="tx1"/>
                  </w14:solidFill>
                </w14:textFill>
              </w:rPr>
              <w:t>2590</w:t>
            </w:r>
            <w:r>
              <w:rPr>
                <w:bCs/>
                <w:color w:val="000000" w:themeColor="text1"/>
                <w:kern w:val="0"/>
                <w:sz w:val="24"/>
                <w:highlight w:val="none"/>
                <w14:textFill>
                  <w14:solidFill>
                    <w14:schemeClr w14:val="tx1"/>
                  </w14:solidFill>
                </w14:textFill>
              </w:rPr>
              <w:t>m。</w:t>
            </w:r>
            <w:r>
              <w:rPr>
                <w:rFonts w:hint="eastAsia"/>
                <w:bCs/>
                <w:color w:val="000000" w:themeColor="text1"/>
                <w:kern w:val="0"/>
                <w:sz w:val="24"/>
                <w:highlight w:val="none"/>
                <w14:textFill>
                  <w14:solidFill>
                    <w14:schemeClr w14:val="tx1"/>
                  </w14:solidFill>
                </w14:textFill>
              </w:rPr>
              <w:t>项目符合生态保护红线要求。本项目与生态保护红线位置关系见附图3</w:t>
            </w:r>
            <w:r>
              <w:rPr>
                <w:bCs/>
                <w:color w:val="000000" w:themeColor="text1"/>
                <w:kern w:val="0"/>
                <w:sz w:val="24"/>
                <w:highlight w:val="none"/>
                <w14:textFill>
                  <w14:solidFill>
                    <w14:schemeClr w14:val="tx1"/>
                  </w14:solidFill>
                </w14:textFill>
              </w:rPr>
              <w:t>。</w:t>
            </w:r>
          </w:p>
          <w:p w14:paraId="63294370">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⑵</w:t>
            </w:r>
            <w:r>
              <w:rPr>
                <w:bCs/>
                <w:color w:val="000000" w:themeColor="text1"/>
                <w:kern w:val="0"/>
                <w:sz w:val="24"/>
                <w:highlight w:val="none"/>
                <w14:textFill>
                  <w14:solidFill>
                    <w14:schemeClr w14:val="tx1"/>
                  </w14:solidFill>
                </w14:textFill>
              </w:rPr>
              <w:t>环境质量底线</w:t>
            </w:r>
          </w:p>
          <w:p w14:paraId="455961BB">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文件要求：环境质量底线是国家和地方设置的大气、水环境质量目标，也是改善环境质量的基准线。项目环评应对照区域环境质量目标，深入分析预测项目建设对环境质量的影响，强化污染防治措施和污染物排放控制要求。</w:t>
            </w:r>
          </w:p>
          <w:p w14:paraId="0F50EE48">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区域大气环境质量目标为《环境空气质量标准》（</w:t>
            </w:r>
            <w:r>
              <w:rPr>
                <w:bCs/>
                <w:color w:val="000000" w:themeColor="text1"/>
                <w:kern w:val="0"/>
                <w:sz w:val="24"/>
                <w:highlight w:val="none"/>
                <w14:textFill>
                  <w14:solidFill>
                    <w14:schemeClr w14:val="tx1"/>
                  </w14:solidFill>
                </w14:textFill>
              </w:rPr>
              <w:t>GB3095-2012</w:t>
            </w:r>
            <w:r>
              <w:rPr>
                <w:rFonts w:hint="eastAsia"/>
                <w:bCs/>
                <w:color w:val="000000" w:themeColor="text1"/>
                <w:kern w:val="0"/>
                <w:sz w:val="24"/>
                <w:highlight w:val="none"/>
                <w14:textFill>
                  <w14:solidFill>
                    <w14:schemeClr w14:val="tx1"/>
                  </w14:solidFill>
                </w14:textFill>
              </w:rPr>
              <w:t>）及修改单中的二级标准；</w:t>
            </w:r>
            <w:r>
              <w:rPr>
                <w:bCs/>
                <w:color w:val="000000" w:themeColor="text1"/>
                <w:kern w:val="0"/>
                <w:sz w:val="24"/>
                <w:highlight w:val="none"/>
                <w14:textFill>
                  <w14:solidFill>
                    <w14:schemeClr w14:val="tx1"/>
                  </w14:solidFill>
                </w14:textFill>
              </w:rPr>
              <w:t>区域地下水环境质量目标为《地下水质量标准》（GB/T14848-2017）中</w:t>
            </w:r>
            <w:r>
              <w:rPr>
                <w:rFonts w:hint="eastAsia" w:ascii="宋体" w:hAnsi="宋体" w:cs="宋体"/>
                <w:bCs/>
                <w:color w:val="000000" w:themeColor="text1"/>
                <w:kern w:val="0"/>
                <w:sz w:val="24"/>
                <w:highlight w:val="none"/>
                <w14:textFill>
                  <w14:solidFill>
                    <w14:schemeClr w14:val="tx1"/>
                  </w14:solidFill>
                </w14:textFill>
              </w:rPr>
              <w:t>Ⅲ</w:t>
            </w:r>
            <w:r>
              <w:rPr>
                <w:bCs/>
                <w:color w:val="000000" w:themeColor="text1"/>
                <w:kern w:val="0"/>
                <w:sz w:val="24"/>
                <w:highlight w:val="none"/>
                <w14:textFill>
                  <w14:solidFill>
                    <w14:schemeClr w14:val="tx1"/>
                  </w14:solidFill>
                </w14:textFill>
              </w:rPr>
              <w:t>类标准；区域声环境质量目标为《声环境质量标准》（GB3096-2008）2类区标准；区域土壤环境质量目标为《土壤环境质量 建设用地土壤污染风险管控标准（试行）》（GB36600-2018）及《建设用地土壤环境污染风险筛选值》（DB13/T5216-2022）中第二类用地筛选值要求。</w:t>
            </w:r>
          </w:p>
          <w:p w14:paraId="040C03AE">
            <w:pPr>
              <w:spacing w:line="480" w:lineRule="exact"/>
              <w:ind w:firstLine="470" w:firstLineChars="196"/>
              <w:rPr>
                <w:color w:val="000000" w:themeColor="text1"/>
                <w:spacing w:val="5"/>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环境空气：</w:t>
            </w:r>
            <w:r>
              <w:rPr>
                <w:rFonts w:hint="eastAsia"/>
                <w:bCs/>
                <w:color w:val="000000" w:themeColor="text1"/>
                <w:kern w:val="0"/>
                <w:sz w:val="24"/>
                <w:highlight w:val="none"/>
                <w14:textFill>
                  <w14:solidFill>
                    <w14:schemeClr w14:val="tx1"/>
                  </w14:solidFill>
                </w14:textFill>
              </w:rPr>
              <w:t>根据</w:t>
            </w:r>
            <w:r>
              <w:rPr>
                <w:bCs/>
                <w:color w:val="000000" w:themeColor="text1"/>
                <w:kern w:val="0"/>
                <w:sz w:val="24"/>
                <w:highlight w:val="none"/>
                <w14:textFill>
                  <w14:solidFill>
                    <w14:schemeClr w14:val="tx1"/>
                  </w14:solidFill>
                </w14:textFill>
              </w:rPr>
              <w:t>《20</w:t>
            </w:r>
            <w:r>
              <w:rPr>
                <w:rFonts w:hint="eastAsia"/>
                <w:bCs/>
                <w:color w:val="000000" w:themeColor="text1"/>
                <w:kern w:val="0"/>
                <w:sz w:val="24"/>
                <w:highlight w:val="none"/>
                <w14:textFill>
                  <w14:solidFill>
                    <w14:schemeClr w14:val="tx1"/>
                  </w14:solidFill>
                </w14:textFill>
              </w:rPr>
              <w:t>2</w:t>
            </w:r>
            <w:r>
              <w:rPr>
                <w:rFonts w:hint="eastAsia"/>
                <w:bCs/>
                <w:color w:val="000000" w:themeColor="text1"/>
                <w:kern w:val="0"/>
                <w:sz w:val="24"/>
                <w:highlight w:val="none"/>
                <w:lang w:val="en-US" w:eastAsia="zh-CN"/>
                <w14:textFill>
                  <w14:solidFill>
                    <w14:schemeClr w14:val="tx1"/>
                  </w14:solidFill>
                </w14:textFill>
              </w:rPr>
              <w:t>4</w:t>
            </w:r>
            <w:r>
              <w:rPr>
                <w:bCs/>
                <w:color w:val="000000" w:themeColor="text1"/>
                <w:kern w:val="0"/>
                <w:sz w:val="24"/>
                <w:highlight w:val="none"/>
                <w14:textFill>
                  <w14:solidFill>
                    <w14:schemeClr w14:val="tx1"/>
                  </w14:solidFill>
                </w14:textFill>
              </w:rPr>
              <w:t>年唐山市</w:t>
            </w:r>
            <w:r>
              <w:rPr>
                <w:rFonts w:hint="eastAsia"/>
                <w:bCs/>
                <w:color w:val="000000" w:themeColor="text1"/>
                <w:kern w:val="0"/>
                <w:sz w:val="24"/>
                <w:highlight w:val="none"/>
                <w14:textFill>
                  <w14:solidFill>
                    <w14:schemeClr w14:val="tx1"/>
                  </w14:solidFill>
                </w14:textFill>
              </w:rPr>
              <w:t>生态</w:t>
            </w:r>
            <w:r>
              <w:rPr>
                <w:bCs/>
                <w:color w:val="000000" w:themeColor="text1"/>
                <w:kern w:val="0"/>
                <w:sz w:val="24"/>
                <w:highlight w:val="none"/>
                <w14:textFill>
                  <w14:solidFill>
                    <w14:schemeClr w14:val="tx1"/>
                  </w14:solidFill>
                </w14:textFill>
              </w:rPr>
              <w:t>环境状况公报》</w:t>
            </w:r>
            <w:r>
              <w:rPr>
                <w:rFonts w:hint="eastAsia"/>
                <w:bCs/>
                <w:color w:val="000000" w:themeColor="text1"/>
                <w:kern w:val="0"/>
                <w:sz w:val="24"/>
                <w:highlight w:val="none"/>
                <w14:textFill>
                  <w14:solidFill>
                    <w14:schemeClr w14:val="tx1"/>
                  </w14:solidFill>
                </w14:textFill>
              </w:rPr>
              <w:t>，项目所在区域（滦州市）为不达标区。</w:t>
            </w:r>
            <w:r>
              <w:rPr>
                <w:rFonts w:hint="eastAsia"/>
                <w:color w:val="000000" w:themeColor="text1"/>
                <w:spacing w:val="5"/>
                <w:sz w:val="24"/>
                <w:highlight w:val="none"/>
                <w14:textFill>
                  <w14:solidFill>
                    <w14:schemeClr w14:val="tx1"/>
                  </w14:solidFill>
                </w14:textFill>
              </w:rPr>
              <w:t>项目</w:t>
            </w:r>
            <w:r>
              <w:rPr>
                <w:color w:val="000000" w:themeColor="text1"/>
                <w:spacing w:val="5"/>
                <w:sz w:val="24"/>
                <w:highlight w:val="none"/>
                <w14:textFill>
                  <w14:solidFill>
                    <w14:schemeClr w14:val="tx1"/>
                  </w14:solidFill>
                </w14:textFill>
              </w:rPr>
              <w:t>所在区域环境空气质量评价指标中PM</w:t>
            </w:r>
            <w:r>
              <w:rPr>
                <w:color w:val="000000" w:themeColor="text1"/>
                <w:spacing w:val="5"/>
                <w:sz w:val="24"/>
                <w:highlight w:val="none"/>
                <w:vertAlign w:val="subscript"/>
                <w14:textFill>
                  <w14:solidFill>
                    <w14:schemeClr w14:val="tx1"/>
                  </w14:solidFill>
                </w14:textFill>
              </w:rPr>
              <w:t>10</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PM</w:t>
            </w:r>
            <w:r>
              <w:rPr>
                <w:color w:val="000000" w:themeColor="text1"/>
                <w:spacing w:val="5"/>
                <w:sz w:val="24"/>
                <w:highlight w:val="none"/>
                <w:vertAlign w:val="subscript"/>
                <w14:textFill>
                  <w14:solidFill>
                    <w14:schemeClr w14:val="tx1"/>
                  </w14:solidFill>
                </w14:textFill>
              </w:rPr>
              <w:t>2.5</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SO</w:t>
            </w:r>
            <w:r>
              <w:rPr>
                <w:color w:val="000000" w:themeColor="text1"/>
                <w:spacing w:val="5"/>
                <w:sz w:val="24"/>
                <w:highlight w:val="none"/>
                <w:vertAlign w:val="subscript"/>
                <w14:textFill>
                  <w14:solidFill>
                    <w14:schemeClr w14:val="tx1"/>
                  </w14:solidFill>
                </w14:textFill>
              </w:rPr>
              <w:t>2</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NO</w:t>
            </w:r>
            <w:r>
              <w:rPr>
                <w:color w:val="000000" w:themeColor="text1"/>
                <w:spacing w:val="5"/>
                <w:sz w:val="24"/>
                <w:highlight w:val="none"/>
                <w:vertAlign w:val="subscript"/>
                <w14:textFill>
                  <w14:solidFill>
                    <w14:schemeClr w14:val="tx1"/>
                  </w14:solidFill>
                </w14:textFill>
              </w:rPr>
              <w:t>2</w:t>
            </w:r>
            <w:r>
              <w:rPr>
                <w:rFonts w:hint="eastAsia"/>
                <w:color w:val="000000" w:themeColor="text1"/>
                <w:spacing w:val="5"/>
                <w:sz w:val="24"/>
                <w:highlight w:val="none"/>
                <w14:textFill>
                  <w14:solidFill>
                    <w14:schemeClr w14:val="tx1"/>
                  </w14:solidFill>
                </w14:textFill>
              </w:rPr>
              <w:t>年平均质量浓度和</w:t>
            </w:r>
            <w:r>
              <w:rPr>
                <w:color w:val="000000" w:themeColor="text1"/>
                <w:spacing w:val="5"/>
                <w:sz w:val="24"/>
                <w:highlight w:val="none"/>
                <w14:textFill>
                  <w14:solidFill>
                    <w14:schemeClr w14:val="tx1"/>
                  </w14:solidFill>
                </w14:textFill>
              </w:rPr>
              <w:t>CO24小时平均第95百分位数值满足《环境空气质量标准》（GB3095-2012）及修改单中二类区相应浓度限值要求，</w:t>
            </w:r>
            <w:r>
              <w:rPr>
                <w:rFonts w:hint="eastAsia"/>
                <w:color w:val="000000" w:themeColor="text1"/>
                <w:spacing w:val="5"/>
                <w:sz w:val="24"/>
                <w:highlight w:val="none"/>
                <w14:textFill>
                  <w14:solidFill>
                    <w14:schemeClr w14:val="tx1"/>
                  </w14:solidFill>
                </w14:textFill>
              </w:rPr>
              <w:t>O</w:t>
            </w:r>
            <w:r>
              <w:rPr>
                <w:rFonts w:hint="eastAsia"/>
                <w:color w:val="000000" w:themeColor="text1"/>
                <w:spacing w:val="5"/>
                <w:sz w:val="24"/>
                <w:highlight w:val="none"/>
                <w:vertAlign w:val="subscript"/>
                <w14:textFill>
                  <w14:solidFill>
                    <w14:schemeClr w14:val="tx1"/>
                  </w14:solidFill>
                </w14:textFill>
              </w:rPr>
              <w:t>3</w:t>
            </w:r>
            <w:r>
              <w:rPr>
                <w:rFonts w:hint="eastAsia"/>
                <w:color w:val="000000" w:themeColor="text1"/>
                <w:spacing w:val="5"/>
                <w:sz w:val="24"/>
                <w:highlight w:val="none"/>
                <w14:textFill>
                  <w14:solidFill>
                    <w14:schemeClr w14:val="tx1"/>
                  </w14:solidFill>
                </w14:textFill>
              </w:rPr>
              <w:t>年均</w:t>
            </w:r>
            <w:r>
              <w:rPr>
                <w:color w:val="000000" w:themeColor="text1"/>
                <w:spacing w:val="5"/>
                <w:sz w:val="24"/>
                <w:highlight w:val="none"/>
                <w14:textFill>
                  <w14:solidFill>
                    <w14:schemeClr w14:val="tx1"/>
                  </w14:solidFill>
                </w14:textFill>
              </w:rPr>
              <w:t>日最大8小时滑动平均值的第90百分位数值</w:t>
            </w:r>
            <w:r>
              <w:rPr>
                <w:rFonts w:hint="eastAsia"/>
                <w:color w:val="000000" w:themeColor="text1"/>
                <w:spacing w:val="5"/>
                <w:sz w:val="24"/>
                <w:highlight w:val="none"/>
                <w14:textFill>
                  <w14:solidFill>
                    <w14:schemeClr w14:val="tx1"/>
                  </w14:solidFill>
                </w14:textFill>
              </w:rPr>
              <w:t>浓度</w:t>
            </w:r>
            <w:r>
              <w:rPr>
                <w:color w:val="000000" w:themeColor="text1"/>
                <w:spacing w:val="5"/>
                <w:sz w:val="24"/>
                <w:highlight w:val="none"/>
                <w14:textFill>
                  <w14:solidFill>
                    <w14:schemeClr w14:val="tx1"/>
                  </w14:solidFill>
                </w14:textFill>
              </w:rPr>
              <w:t>超标。</w:t>
            </w:r>
          </w:p>
          <w:p w14:paraId="71628E8E">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根据工程分析，拟建项目废气主要污染物为颗粒物、SO</w:t>
            </w:r>
            <w:r>
              <w:rPr>
                <w:bCs/>
                <w:color w:val="000000" w:themeColor="text1"/>
                <w:kern w:val="0"/>
                <w:sz w:val="24"/>
                <w:highlight w:val="none"/>
                <w:vertAlign w:val="subscript"/>
                <w14:textFill>
                  <w14:solidFill>
                    <w14:schemeClr w14:val="tx1"/>
                  </w14:solidFill>
                </w14:textFill>
              </w:rPr>
              <w:t>2</w:t>
            </w:r>
            <w:r>
              <w:rPr>
                <w:bCs/>
                <w:color w:val="000000" w:themeColor="text1"/>
                <w:kern w:val="0"/>
                <w:sz w:val="24"/>
                <w:highlight w:val="none"/>
                <w14:textFill>
                  <w14:solidFill>
                    <w14:schemeClr w14:val="tx1"/>
                  </w14:solidFill>
                </w14:textFill>
              </w:rPr>
              <w:t>、NOx、氟化物、氯化氢、汞、镉、砷、铅、钴、铜、镍及其化合物、二噁英类、氨、硫化氢、臭气浓度，各产污环节均采取了完善的污染防治措施，严格控制污染物排放，可以稳定实现达标排放。</w:t>
            </w:r>
          </w:p>
          <w:p w14:paraId="143E8759">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b.地表水环境：拟建项目生产废水全部回用，不涉及新增劳动定员，不涉及新增生活污水，现有工程生活污水全部用于厂区内泼洒抑尘，拟建项目完成后无废水外排环境，因此，不会对地表水环境产生影响。</w:t>
            </w:r>
          </w:p>
          <w:p w14:paraId="4B311817">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c.声环境：拟建项目采用低噪音设备，并置于车间内，并对设备采取基础减振、厂房隔声等措施，根据预测结果，厂界噪声可满足《工业企业厂界环境噪声排放标准》（GB12348-2008）2类标准要求，</w:t>
            </w:r>
            <w:r>
              <w:rPr>
                <w:rFonts w:hint="eastAsia"/>
                <w:bCs/>
                <w:color w:val="000000" w:themeColor="text1"/>
                <w:kern w:val="0"/>
                <w:sz w:val="24"/>
                <w:highlight w:val="none"/>
                <w14:textFill>
                  <w14:solidFill>
                    <w14:schemeClr w14:val="tx1"/>
                  </w14:solidFill>
                </w14:textFill>
              </w:rPr>
              <w:t>本项目实施后</w:t>
            </w:r>
            <w:r>
              <w:rPr>
                <w:bCs/>
                <w:color w:val="000000" w:themeColor="text1"/>
                <w:kern w:val="0"/>
                <w:sz w:val="24"/>
                <w:highlight w:val="none"/>
                <w14:textFill>
                  <w14:solidFill>
                    <w14:schemeClr w14:val="tx1"/>
                  </w14:solidFill>
                </w14:textFill>
              </w:rPr>
              <w:t>不会改变厂界现有功能要求。</w:t>
            </w:r>
          </w:p>
          <w:p w14:paraId="61322B14">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d.地下水环境：拟建项目对重点防渗区、一般防渗区、简单防渗区进行分区防渗措施，不会对地下水产生冲击性影响。</w:t>
            </w:r>
          </w:p>
          <w:p w14:paraId="5CE63A98">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e.土壤环境：土壤环境项目通过采取源头控制措施及过程控制措施等土壤污染防护措施，能够满足对土壤环境质量保护的要求，不会对土壤环境造成冲击性影响。</w:t>
            </w:r>
            <w:r>
              <w:rPr>
                <w:rFonts w:hint="eastAsia"/>
                <w:bCs/>
                <w:color w:val="000000" w:themeColor="text1"/>
                <w:kern w:val="0"/>
                <w:sz w:val="24"/>
                <w:highlight w:val="none"/>
                <w14:textFill>
                  <w14:solidFill>
                    <w14:schemeClr w14:val="tx1"/>
                  </w14:solidFill>
                </w14:textFill>
              </w:rPr>
              <w:t>根据本项目特点，制定了监测计划，定期开展</w:t>
            </w:r>
            <w:r>
              <w:rPr>
                <w:rFonts w:hint="eastAsia" w:hAnsi="宋体"/>
                <w:bCs/>
                <w:color w:val="000000" w:themeColor="text1"/>
                <w:spacing w:val="-4"/>
                <w:sz w:val="24"/>
                <w:highlight w:val="none"/>
                <w14:textFill>
                  <w14:solidFill>
                    <w14:schemeClr w14:val="tx1"/>
                  </w14:solidFill>
                </w14:textFill>
              </w:rPr>
              <w:t>土壤环境跟踪监测。</w:t>
            </w:r>
          </w:p>
          <w:p w14:paraId="549F7D20">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因此，在严格落实废气、废水、噪声、固废等污染防治措施前提下，项目的实施不会对周围环境产生明显影响，不会改变区域的环境质量功能类别。</w:t>
            </w:r>
            <w:r>
              <w:rPr>
                <w:rFonts w:hint="eastAsia"/>
                <w:bCs/>
                <w:color w:val="000000" w:themeColor="text1"/>
                <w:kern w:val="0"/>
                <w:sz w:val="24"/>
                <w:highlight w:val="none"/>
                <w14:textFill>
                  <w14:solidFill>
                    <w14:schemeClr w14:val="tx1"/>
                  </w14:solidFill>
                </w14:textFill>
              </w:rPr>
              <w:t>本项目符合环境质量底线的要求。</w:t>
            </w:r>
          </w:p>
          <w:p w14:paraId="470D51F9">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⑶</w:t>
            </w:r>
            <w:r>
              <w:rPr>
                <w:bCs/>
                <w:color w:val="000000" w:themeColor="text1"/>
                <w:kern w:val="0"/>
                <w:sz w:val="24"/>
                <w:highlight w:val="none"/>
                <w14:textFill>
                  <w14:solidFill>
                    <w14:schemeClr w14:val="tx1"/>
                  </w14:solidFill>
                </w14:textFill>
              </w:rPr>
              <w:t>资源利用上线</w:t>
            </w:r>
          </w:p>
          <w:p w14:paraId="57046171">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资源是环境的载体，资源利用上线是各地区能源、水、土地等资源消耗不得突破的“天花板”。本项目不新增生活用水，生产用水来自厂区现有自备井，用水量不超过取水许可证规定的取水量限值1.44万m</w:t>
            </w:r>
            <w:r>
              <w:rPr>
                <w:rFonts w:hint="eastAsia"/>
                <w:bCs/>
                <w:color w:val="000000" w:themeColor="text1"/>
                <w:kern w:val="0"/>
                <w:sz w:val="24"/>
                <w:highlight w:val="none"/>
                <w:vertAlign w:val="superscript"/>
                <w14:textFill>
                  <w14:solidFill>
                    <w14:schemeClr w14:val="tx1"/>
                  </w14:solidFill>
                </w14:textFill>
              </w:rPr>
              <w:t>3</w:t>
            </w:r>
            <w:r>
              <w:rPr>
                <w:rFonts w:hint="eastAsia"/>
                <w:bCs/>
                <w:color w:val="000000" w:themeColor="text1"/>
                <w:kern w:val="0"/>
                <w:sz w:val="24"/>
                <w:highlight w:val="none"/>
                <w14:textFill>
                  <w14:solidFill>
                    <w14:schemeClr w14:val="tx1"/>
                  </w14:solidFill>
                </w14:textFill>
              </w:rPr>
              <w:t>/a；项目用电由当地供电电网提供；项目所用原料外购，主要来自周边，资源丰富，原料供应有保障；项目在现有厂区建设，不新增占地，现有占地为工业建设用地，用地不涉及基本农田，土地资源消耗符合要求。</w:t>
            </w:r>
          </w:p>
          <w:p w14:paraId="15C43CE1">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因此，项目资源利用满足要求，未超越资源利用上线。</w:t>
            </w:r>
          </w:p>
          <w:p w14:paraId="5CF77CCF">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⑷</w:t>
            </w:r>
            <w:r>
              <w:rPr>
                <w:bCs/>
                <w:color w:val="000000" w:themeColor="text1"/>
                <w:kern w:val="0"/>
                <w:sz w:val="24"/>
                <w:highlight w:val="none"/>
                <w14:textFill>
                  <w14:solidFill>
                    <w14:schemeClr w14:val="tx1"/>
                  </w14:solidFill>
                </w14:textFill>
              </w:rPr>
              <w:t>环境准入负面清单</w:t>
            </w:r>
          </w:p>
          <w:p w14:paraId="7886ECCD">
            <w:pPr>
              <w:autoSpaceDE w:val="0"/>
              <w:autoSpaceDN w:val="0"/>
              <w:adjustRightInd w:val="0"/>
              <w:snapToGrid w:val="0"/>
              <w:spacing w:line="48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p w14:paraId="72650FF3">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本项目不属于《河北省禁止投资的产业目录（</w:t>
            </w:r>
            <w:r>
              <w:rPr>
                <w:bCs/>
                <w:color w:val="000000" w:themeColor="text1"/>
                <w:kern w:val="0"/>
                <w:sz w:val="24"/>
                <w:highlight w:val="none"/>
                <w14:textFill>
                  <w14:solidFill>
                    <w14:schemeClr w14:val="tx1"/>
                  </w14:solidFill>
                </w14:textFill>
              </w:rPr>
              <w:t>2014</w:t>
            </w:r>
            <w:r>
              <w:rPr>
                <w:rFonts w:hint="eastAsia"/>
                <w:bCs/>
                <w:color w:val="000000" w:themeColor="text1"/>
                <w:kern w:val="0"/>
                <w:sz w:val="24"/>
                <w:highlight w:val="none"/>
                <w14:textFill>
                  <w14:solidFill>
                    <w14:schemeClr w14:val="tx1"/>
                  </w14:solidFill>
                </w14:textFill>
              </w:rPr>
              <w:t>年版）》中禁止投资的产业项目；不属于《市场准入负面清单（</w:t>
            </w:r>
            <w:r>
              <w:rPr>
                <w:bCs/>
                <w:color w:val="000000" w:themeColor="text1"/>
                <w:kern w:val="0"/>
                <w:sz w:val="24"/>
                <w:highlight w:val="none"/>
                <w14:textFill>
                  <w14:solidFill>
                    <w14:schemeClr w14:val="tx1"/>
                  </w14:solidFill>
                </w14:textFill>
              </w:rPr>
              <w:t>202</w:t>
            </w:r>
            <w:r>
              <w:rPr>
                <w:rFonts w:hint="eastAsia"/>
                <w:bCs/>
                <w:color w:val="000000" w:themeColor="text1"/>
                <w:kern w:val="0"/>
                <w:sz w:val="24"/>
                <w:highlight w:val="none"/>
                <w:lang w:val="en-US" w:eastAsia="zh-CN"/>
                <w14:textFill>
                  <w14:solidFill>
                    <w14:schemeClr w14:val="tx1"/>
                  </w14:solidFill>
                </w14:textFill>
              </w:rPr>
              <w:t>5</w:t>
            </w:r>
            <w:r>
              <w:rPr>
                <w:rFonts w:hint="eastAsia"/>
                <w:bCs/>
                <w:color w:val="000000" w:themeColor="text1"/>
                <w:kern w:val="0"/>
                <w:sz w:val="24"/>
                <w:highlight w:val="none"/>
                <w14:textFill>
                  <w14:solidFill>
                    <w14:schemeClr w14:val="tx1"/>
                  </w14:solidFill>
                </w14:textFill>
              </w:rPr>
              <w:t>年版）》中禁止类项目；属于《产业结构调整指导目录（2024年本）》鼓励类，因此，本项目符合国家及地方产业政策的要求。</w:t>
            </w:r>
          </w:p>
          <w:p w14:paraId="3FB242DC">
            <w:pPr>
              <w:autoSpaceDE w:val="0"/>
              <w:autoSpaceDN w:val="0"/>
              <w:adjustRightInd w:val="0"/>
              <w:snapToGrid w:val="0"/>
              <w:spacing w:line="480" w:lineRule="exact"/>
              <w:ind w:firstLine="480" w:firstLineChars="200"/>
              <w:jc w:val="left"/>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综上，本项目符合“三线一单”管控要求。</w:t>
            </w:r>
          </w:p>
          <w:p w14:paraId="5AF9EC4D">
            <w:pPr>
              <w:autoSpaceDE w:val="0"/>
              <w:autoSpaceDN w:val="0"/>
              <w:adjustRightInd w:val="0"/>
              <w:snapToGrid w:val="0"/>
              <w:spacing w:line="480" w:lineRule="exact"/>
              <w:ind w:firstLine="480" w:firstLineChars="200"/>
              <w:jc w:val="left"/>
              <w:rPr>
                <w:color w:val="000000" w:themeColor="text1"/>
                <w:kern w:val="0"/>
                <w:sz w:val="24"/>
                <w:highlight w:val="none"/>
                <w:lang w:val="zh-TW"/>
                <w14:textFill>
                  <w14:solidFill>
                    <w14:schemeClr w14:val="tx1"/>
                  </w14:solidFill>
                </w14:textFill>
              </w:rPr>
            </w:pPr>
            <w:r>
              <w:rPr>
                <w:rFonts w:hint="eastAsia"/>
                <w:color w:val="000000" w:themeColor="text1"/>
                <w:kern w:val="0"/>
                <w:sz w:val="24"/>
                <w:highlight w:val="none"/>
                <w:lang w:val="zh-TW"/>
                <w14:textFill>
                  <w14:solidFill>
                    <w14:schemeClr w14:val="tx1"/>
                  </w14:solidFill>
                </w14:textFill>
              </w:rPr>
              <w:t>根据唐山市人民政府《关于实施“三线一单”生态环境分区管控的意见》（唐政字[2021]48号）、</w:t>
            </w:r>
            <w:r>
              <w:rPr>
                <w:rFonts w:hint="eastAsia"/>
                <w:color w:val="000000" w:themeColor="text1"/>
                <w:kern w:val="0"/>
                <w:sz w:val="24"/>
                <w:highlight w:val="none"/>
                <w14:textFill>
                  <w14:solidFill>
                    <w14:schemeClr w14:val="tx1"/>
                  </w14:solidFill>
                </w14:textFill>
              </w:rPr>
              <w:t>《唐山市生态环境准入清单（2023年版）》（2024年4月）</w:t>
            </w:r>
            <w:r>
              <w:rPr>
                <w:rFonts w:hint="eastAsia"/>
                <w:color w:val="000000" w:themeColor="text1"/>
                <w:kern w:val="0"/>
                <w:sz w:val="24"/>
                <w:highlight w:val="none"/>
                <w:lang w:val="zh-TW"/>
                <w14:textFill>
                  <w14:solidFill>
                    <w14:schemeClr w14:val="tx1"/>
                  </w14:solidFill>
                </w14:textFill>
              </w:rPr>
              <w:t>，环境管控单元分为优先保护、重点管控和一般管控单元三类。分为优先保护、重点管控和一般管控单元三类。优先保护单元指以生态环境保护为主的区域，主要包括陆域生态保护红线，自然保护区、森林公园等各级各类保护地和其他重要生态功能区等陆域一般生态空间；近岸海域优先保护区主要包括海洋生态保护红线，海洋保护区和水产种质资源保护区等海洋一般生态空间。重点管控单元指涉及水、大气、土壤、海洋、自然资源等资源环境要素重点管控的区域，主要包括城镇规划区和工业园区(工业集聚区)等开发强度高、污染物排放强度大以及环境问题相对集中的区域；近岸海域重点管控区，主要包括工业与城镇用海、港口及特殊利用区域。一般管控单元指除优先保护单元和重点管控单元之外的其他区域。本项目位于滦州市</w:t>
            </w:r>
            <w:r>
              <w:rPr>
                <w:color w:val="000000" w:themeColor="text1"/>
                <w:kern w:val="0"/>
                <w:sz w:val="24"/>
                <w:highlight w:val="none"/>
                <w14:textFill>
                  <w14:solidFill>
                    <w14:schemeClr w14:val="tx1"/>
                  </w14:solidFill>
                </w14:textFill>
              </w:rPr>
              <w:t>响嘡街道田疃村西北侧</w:t>
            </w:r>
            <w:r>
              <w:rPr>
                <w:rFonts w:hint="eastAsia"/>
                <w:color w:val="000000" w:themeColor="text1"/>
                <w:kern w:val="0"/>
                <w:sz w:val="24"/>
                <w:highlight w:val="none"/>
                <w14:textFill>
                  <w14:solidFill>
                    <w14:schemeClr w14:val="tx1"/>
                  </w14:solidFill>
                </w14:textFill>
              </w:rPr>
              <w:t>，</w:t>
            </w:r>
            <w:r>
              <w:rPr>
                <w:rFonts w:hint="eastAsia"/>
                <w:color w:val="000000" w:themeColor="text1"/>
                <w:kern w:val="0"/>
                <w:sz w:val="24"/>
                <w:highlight w:val="none"/>
                <w:lang w:val="zh-TW"/>
                <w14:textFill>
                  <w14:solidFill>
                    <w14:schemeClr w14:val="tx1"/>
                  </w14:solidFill>
                </w14:textFill>
              </w:rPr>
              <w:t>根据</w:t>
            </w:r>
            <w:r>
              <w:rPr>
                <w:rFonts w:hint="eastAsia"/>
                <w:color w:val="000000" w:themeColor="text1"/>
                <w:kern w:val="0"/>
                <w:sz w:val="24"/>
                <w:highlight w:val="none"/>
                <w14:textFill>
                  <w14:solidFill>
                    <w14:schemeClr w14:val="tx1"/>
                  </w14:solidFill>
                </w14:textFill>
              </w:rPr>
              <w:t>《唐山市生态环境准入清单（2023年版）》，</w:t>
            </w:r>
            <w:r>
              <w:rPr>
                <w:rFonts w:hint="eastAsia"/>
                <w:color w:val="000000" w:themeColor="text1"/>
                <w:kern w:val="0"/>
                <w:sz w:val="24"/>
                <w:highlight w:val="none"/>
                <w:lang w:val="zh-TW"/>
                <w14:textFill>
                  <w14:solidFill>
                    <w14:schemeClr w14:val="tx1"/>
                  </w14:solidFill>
                </w14:textFill>
              </w:rPr>
              <w:t>所在区域属于重点管控单元。</w:t>
            </w:r>
          </w:p>
          <w:p w14:paraId="77A4F44A">
            <w:pPr>
              <w:autoSpaceDE w:val="0"/>
              <w:autoSpaceDN w:val="0"/>
              <w:adjustRightInd w:val="0"/>
              <w:snapToGrid w:val="0"/>
              <w:spacing w:line="480" w:lineRule="exact"/>
              <w:ind w:firstLine="480" w:firstLineChars="200"/>
              <w:jc w:val="left"/>
              <w:rPr>
                <w:rFonts w:hint="eastAsia"/>
                <w:color w:val="000000" w:themeColor="text1"/>
                <w:kern w:val="0"/>
                <w:sz w:val="24"/>
                <w:highlight w:val="none"/>
                <w:lang w:val="zh-TW"/>
                <w14:textFill>
                  <w14:solidFill>
                    <w14:schemeClr w14:val="tx1"/>
                  </w14:solidFill>
                </w14:textFill>
              </w:rPr>
            </w:pPr>
            <w:r>
              <w:rPr>
                <w:rFonts w:hint="eastAsia"/>
                <w:color w:val="000000" w:themeColor="text1"/>
                <w:kern w:val="0"/>
                <w:sz w:val="24"/>
                <w:highlight w:val="none"/>
                <w:lang w:val="zh-TW"/>
                <w14:textFill>
                  <w14:solidFill>
                    <w14:schemeClr w14:val="tx1"/>
                  </w14:solidFill>
                </w14:textFill>
              </w:rPr>
              <w:t>本项目</w:t>
            </w:r>
            <w:r>
              <w:rPr>
                <w:rFonts w:hint="eastAsia"/>
                <w:color w:val="000000" w:themeColor="text1"/>
                <w:kern w:val="0"/>
                <w:sz w:val="24"/>
                <w:highlight w:val="none"/>
                <w:lang w:val="en-US" w:eastAsia="zh-CN"/>
                <w14:textFill>
                  <w14:solidFill>
                    <w14:schemeClr w14:val="tx1"/>
                  </w14:solidFill>
                </w14:textFill>
              </w:rPr>
              <w:t>所在区域总体管控要求见表1-2，</w:t>
            </w:r>
            <w:r>
              <w:rPr>
                <w:rFonts w:hint="eastAsia"/>
                <w:color w:val="000000" w:themeColor="text1"/>
                <w:kern w:val="0"/>
                <w:sz w:val="24"/>
                <w:highlight w:val="none"/>
                <w:lang w:val="zh-TW"/>
                <w14:textFill>
                  <w14:solidFill>
                    <w14:schemeClr w14:val="tx1"/>
                  </w14:solidFill>
                </w14:textFill>
              </w:rPr>
              <w:t>本项目所在控制单元生态环境准入清单见表1-</w:t>
            </w:r>
            <w:r>
              <w:rPr>
                <w:rFonts w:hint="eastAsia"/>
                <w:color w:val="000000" w:themeColor="text1"/>
                <w:kern w:val="0"/>
                <w:sz w:val="24"/>
                <w:highlight w:val="none"/>
                <w:lang w:val="en-US" w:eastAsia="zh-CN"/>
                <w14:textFill>
                  <w14:solidFill>
                    <w14:schemeClr w14:val="tx1"/>
                  </w14:solidFill>
                </w14:textFill>
              </w:rPr>
              <w:t>3</w:t>
            </w:r>
            <w:r>
              <w:rPr>
                <w:rFonts w:hint="eastAsia"/>
                <w:color w:val="000000" w:themeColor="text1"/>
                <w:kern w:val="0"/>
                <w:sz w:val="24"/>
                <w:highlight w:val="none"/>
                <w:lang w:val="zh-TW"/>
                <w14:textFill>
                  <w14:solidFill>
                    <w14:schemeClr w14:val="tx1"/>
                  </w14:solidFill>
                </w14:textFill>
              </w:rPr>
              <w:t>。</w:t>
            </w:r>
          </w:p>
          <w:p w14:paraId="4F0C7EC8">
            <w:pPr>
              <w:spacing w:line="480" w:lineRule="exact"/>
              <w:ind w:firstLine="1195" w:firstLineChars="498"/>
              <w:jc w:val="center"/>
              <w:rPr>
                <w:rFonts w:hint="eastAsia" w:ascii="黑体" w:hAnsi="黑体" w:eastAsia="黑体" w:cs="Times New Roman"/>
                <w:color w:val="000000" w:themeColor="text1"/>
                <w:sz w:val="24"/>
                <w:highlight w:val="none"/>
                <w:lang w:val="zh-TW"/>
                <w14:textFill>
                  <w14:solidFill>
                    <w14:schemeClr w14:val="tx1"/>
                  </w14:solidFill>
                </w14:textFill>
              </w:rPr>
            </w:pPr>
            <w:r>
              <w:rPr>
                <w:rFonts w:hint="eastAsia" w:ascii="黑体" w:hAnsi="黑体" w:eastAsia="黑体" w:cs="Times New Roman"/>
                <w:color w:val="000000" w:themeColor="text1"/>
                <w:sz w:val="24"/>
                <w:highlight w:val="none"/>
                <w:lang w:val="zh-TW"/>
                <w14:textFill>
                  <w14:solidFill>
                    <w14:schemeClr w14:val="tx1"/>
                  </w14:solidFill>
                </w14:textFill>
              </w:rPr>
              <w:t>表</w:t>
            </w:r>
            <w:r>
              <w:rPr>
                <w:rFonts w:hint="eastAsia" w:ascii="黑体" w:hAnsi="黑体" w:eastAsia="黑体" w:cs="Times New Roman"/>
                <w:color w:val="000000" w:themeColor="text1"/>
                <w:sz w:val="24"/>
                <w:highlight w:val="none"/>
                <w:lang w:val="en-US" w:eastAsia="zh-CN"/>
                <w14:textFill>
                  <w14:solidFill>
                    <w14:schemeClr w14:val="tx1"/>
                  </w14:solidFill>
                </w14:textFill>
              </w:rPr>
              <w:t>1-2</w:t>
            </w:r>
            <w:r>
              <w:rPr>
                <w:rFonts w:hint="eastAsia" w:ascii="黑体" w:hAnsi="黑体" w:eastAsia="黑体" w:cs="Times New Roman"/>
                <w:color w:val="000000" w:themeColor="text1"/>
                <w:sz w:val="24"/>
                <w:highlight w:val="none"/>
                <w:lang w:val="zh-TW"/>
                <w14:textFill>
                  <w14:solidFill>
                    <w14:schemeClr w14:val="tx1"/>
                  </w14:solidFill>
                </w14:textFill>
              </w:rPr>
              <w:t xml:space="preserve">   唐山市生态环境准入清单（2023年版）</w:t>
            </w:r>
          </w:p>
          <w:tbl>
            <w:tblPr>
              <w:tblStyle w:val="24"/>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6"/>
              <w:gridCol w:w="4300"/>
              <w:gridCol w:w="2808"/>
              <w:gridCol w:w="905"/>
            </w:tblGrid>
            <w:tr w14:paraId="3D4E24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6F86F67E">
                  <w:pPr>
                    <w:spacing w:line="0" w:lineRule="atLeast"/>
                    <w:jc w:val="center"/>
                    <w:rPr>
                      <w:rFonts w:hint="eastAsia" w:eastAsia="宋体"/>
                      <w:b/>
                      <w:bCs/>
                      <w:szCs w:val="21"/>
                      <w:highlight w:val="none"/>
                      <w:lang w:eastAsia="zh-CN"/>
                    </w:rPr>
                  </w:pPr>
                  <w:r>
                    <w:rPr>
                      <w:rFonts w:hint="eastAsia"/>
                      <w:b/>
                      <w:bCs/>
                      <w:szCs w:val="21"/>
                      <w:highlight w:val="none"/>
                      <w:lang w:val="en-US" w:eastAsia="zh-CN"/>
                    </w:rPr>
                    <w:t>项目</w:t>
                  </w:r>
                </w:p>
              </w:tc>
              <w:tc>
                <w:tcPr>
                  <w:tcW w:w="2424" w:type="pct"/>
                  <w:tcBorders>
                    <w:tl2br w:val="nil"/>
                    <w:tr2bl w:val="nil"/>
                  </w:tcBorders>
                  <w:shd w:val="clear" w:color="auto" w:fill="auto"/>
                  <w:vAlign w:val="center"/>
                </w:tcPr>
                <w:p w14:paraId="3C8680A1">
                  <w:pPr>
                    <w:spacing w:line="0" w:lineRule="atLeast"/>
                    <w:jc w:val="center"/>
                    <w:rPr>
                      <w:b/>
                      <w:bCs/>
                      <w:szCs w:val="21"/>
                      <w:highlight w:val="none"/>
                    </w:rPr>
                  </w:pPr>
                  <w:r>
                    <w:rPr>
                      <w:rFonts w:hint="eastAsia"/>
                      <w:b/>
                      <w:bCs/>
                      <w:szCs w:val="21"/>
                      <w:highlight w:val="none"/>
                    </w:rPr>
                    <w:t>管控措施</w:t>
                  </w:r>
                </w:p>
              </w:tc>
              <w:tc>
                <w:tcPr>
                  <w:tcW w:w="1583" w:type="pct"/>
                  <w:tcBorders>
                    <w:tl2br w:val="nil"/>
                    <w:tr2bl w:val="nil"/>
                  </w:tcBorders>
                  <w:shd w:val="clear" w:color="auto" w:fill="auto"/>
                  <w:vAlign w:val="center"/>
                </w:tcPr>
                <w:p w14:paraId="38557C4B">
                  <w:pPr>
                    <w:spacing w:line="0" w:lineRule="atLeast"/>
                    <w:jc w:val="center"/>
                    <w:rPr>
                      <w:b/>
                      <w:bCs/>
                      <w:szCs w:val="21"/>
                      <w:highlight w:val="none"/>
                    </w:rPr>
                  </w:pPr>
                  <w:r>
                    <w:rPr>
                      <w:rFonts w:hint="eastAsia"/>
                      <w:b/>
                      <w:bCs/>
                      <w:szCs w:val="21"/>
                      <w:highlight w:val="none"/>
                    </w:rPr>
                    <w:t>本项目情况</w:t>
                  </w:r>
                </w:p>
              </w:tc>
              <w:tc>
                <w:tcPr>
                  <w:tcW w:w="510" w:type="pct"/>
                  <w:tcBorders>
                    <w:tl2br w:val="nil"/>
                    <w:tr2bl w:val="nil"/>
                  </w:tcBorders>
                  <w:shd w:val="clear" w:color="auto" w:fill="auto"/>
                  <w:vAlign w:val="center"/>
                </w:tcPr>
                <w:p w14:paraId="71E124FA">
                  <w:pPr>
                    <w:spacing w:line="0" w:lineRule="atLeast"/>
                    <w:jc w:val="center"/>
                    <w:rPr>
                      <w:b/>
                      <w:bCs/>
                      <w:szCs w:val="21"/>
                      <w:highlight w:val="none"/>
                    </w:rPr>
                  </w:pPr>
                  <w:r>
                    <w:rPr>
                      <w:rFonts w:hint="eastAsia"/>
                      <w:b/>
                      <w:bCs/>
                      <w:szCs w:val="21"/>
                      <w:highlight w:val="none"/>
                    </w:rPr>
                    <w:t>结论</w:t>
                  </w:r>
                </w:p>
              </w:tc>
            </w:tr>
            <w:tr w14:paraId="08DF30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1FC74635">
                  <w:pPr>
                    <w:spacing w:line="0" w:lineRule="atLeast"/>
                    <w:jc w:val="both"/>
                    <w:rPr>
                      <w:rFonts w:hint="default" w:eastAsia="宋体"/>
                      <w:b/>
                      <w:bCs/>
                      <w:szCs w:val="21"/>
                      <w:highlight w:val="none"/>
                      <w:lang w:val="en-US" w:eastAsia="zh-CN"/>
                    </w:rPr>
                  </w:pPr>
                  <w:r>
                    <w:rPr>
                      <w:rFonts w:hint="eastAsia"/>
                      <w:b/>
                      <w:bCs/>
                      <w:szCs w:val="21"/>
                      <w:highlight w:val="none"/>
                      <w:lang w:val="en-US" w:eastAsia="zh-CN"/>
                    </w:rPr>
                    <w:t>一、总体要求</w:t>
                  </w:r>
                </w:p>
              </w:tc>
            </w:tr>
            <w:tr w14:paraId="786474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3B49BEE8">
                  <w:pPr>
                    <w:spacing w:line="0" w:lineRule="atLeast"/>
                    <w:jc w:val="center"/>
                    <w:rPr>
                      <w:rFonts w:hint="default"/>
                      <w:b w:val="0"/>
                      <w:bCs w:val="0"/>
                      <w:szCs w:val="21"/>
                      <w:highlight w:val="none"/>
                      <w:lang w:val="en-US" w:eastAsia="zh-CN"/>
                    </w:rPr>
                  </w:pPr>
                  <w:r>
                    <w:rPr>
                      <w:rFonts w:hint="eastAsia"/>
                      <w:b w:val="0"/>
                      <w:bCs w:val="0"/>
                      <w:szCs w:val="21"/>
                      <w:highlight w:val="none"/>
                      <w:lang w:val="en-US" w:eastAsia="zh-CN"/>
                    </w:rPr>
                    <w:t>主要目标</w:t>
                  </w:r>
                </w:p>
              </w:tc>
              <w:tc>
                <w:tcPr>
                  <w:tcW w:w="2424" w:type="pct"/>
                  <w:tcBorders>
                    <w:tl2br w:val="nil"/>
                    <w:tr2bl w:val="nil"/>
                  </w:tcBorders>
                  <w:shd w:val="clear" w:color="auto" w:fill="auto"/>
                  <w:vAlign w:val="center"/>
                </w:tcPr>
                <w:p w14:paraId="19AB7423">
                  <w:pPr>
                    <w:pStyle w:val="86"/>
                    <w:keepNext w:val="0"/>
                    <w:keepLines w:val="0"/>
                    <w:suppressLineNumbers w:val="0"/>
                    <w:spacing w:before="0" w:beforeAutospacing="0" w:after="0" w:afterAutospacing="0"/>
                    <w:ind w:left="0" w:leftChars="0" w:right="0" w:rightChars="0"/>
                    <w:rPr>
                      <w:rFonts w:hint="eastAsia"/>
                      <w:b w:val="0"/>
                      <w:bCs w:val="0"/>
                      <w:szCs w:val="21"/>
                      <w:highlight w:val="none"/>
                    </w:rPr>
                  </w:pPr>
                  <w:r>
                    <w:rPr>
                      <w:rFonts w:hint="default" w:ascii="Times New Roman" w:hAnsi="Times New Roman" w:eastAsia="宋体" w:cs="Times New Roman"/>
                      <w:color w:val="auto"/>
                      <w:sz w:val="21"/>
                      <w:szCs w:val="21"/>
                      <w:highlight w:val="none"/>
                    </w:rPr>
                    <w:t>生态保护红线：重要生态功能区域生态功能不降低、面积不减少、性质不改变</w:t>
                  </w:r>
                </w:p>
              </w:tc>
              <w:tc>
                <w:tcPr>
                  <w:tcW w:w="1583" w:type="pct"/>
                  <w:tcBorders>
                    <w:tl2br w:val="nil"/>
                    <w:tr2bl w:val="nil"/>
                  </w:tcBorders>
                  <w:shd w:val="clear" w:color="auto" w:fill="auto"/>
                  <w:vAlign w:val="center"/>
                </w:tcPr>
                <w:p w14:paraId="3529B925">
                  <w:pPr>
                    <w:pStyle w:val="86"/>
                    <w:keepNext w:val="0"/>
                    <w:keepLines w:val="0"/>
                    <w:suppressLineNumbers w:val="0"/>
                    <w:spacing w:before="0" w:beforeAutospacing="0" w:after="0" w:afterAutospacing="0"/>
                    <w:ind w:left="0" w:leftChars="0" w:right="0" w:rightChars="0"/>
                    <w:rPr>
                      <w:rFonts w:hint="eastAsia"/>
                      <w:b w:val="0"/>
                      <w:bCs w:val="0"/>
                      <w:szCs w:val="21"/>
                      <w:highlight w:val="none"/>
                    </w:rPr>
                  </w:pPr>
                  <w:r>
                    <w:rPr>
                      <w:rFonts w:hint="default" w:ascii="Times New Roman" w:hAnsi="Times New Roman" w:eastAsia="宋体" w:cs="Times New Roman"/>
                      <w:color w:val="auto"/>
                      <w:sz w:val="21"/>
                      <w:szCs w:val="21"/>
                      <w:highlight w:val="none"/>
                    </w:rPr>
                    <w:t>本项目不涉及生态保护红线</w:t>
                  </w:r>
                  <w:r>
                    <w:rPr>
                      <w:rFonts w:hint="default"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011FE638">
                  <w:pPr>
                    <w:spacing w:line="0" w:lineRule="atLeast"/>
                    <w:jc w:val="center"/>
                    <w:rPr>
                      <w:rFonts w:hint="eastAsia"/>
                      <w:b w:val="0"/>
                      <w:bCs w:val="0"/>
                      <w:szCs w:val="21"/>
                      <w:highlight w:val="none"/>
                    </w:rPr>
                  </w:pPr>
                  <w:r>
                    <w:rPr>
                      <w:rFonts w:hint="eastAsia"/>
                      <w:szCs w:val="21"/>
                      <w:highlight w:val="none"/>
                    </w:rPr>
                    <w:t>符合</w:t>
                  </w:r>
                </w:p>
              </w:tc>
            </w:tr>
            <w:tr w14:paraId="08FC0D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31F182E0">
                  <w:pPr>
                    <w:spacing w:line="0" w:lineRule="atLeast"/>
                    <w:jc w:val="center"/>
                    <w:rPr>
                      <w:rFonts w:hint="eastAsia"/>
                      <w:b w:val="0"/>
                      <w:bCs w:val="0"/>
                      <w:szCs w:val="21"/>
                      <w:highlight w:val="none"/>
                      <w:lang w:val="en-US" w:eastAsia="zh-CN"/>
                    </w:rPr>
                  </w:pPr>
                </w:p>
              </w:tc>
              <w:tc>
                <w:tcPr>
                  <w:tcW w:w="2424" w:type="pct"/>
                  <w:tcBorders>
                    <w:tl2br w:val="nil"/>
                    <w:tr2bl w:val="nil"/>
                  </w:tcBorders>
                  <w:shd w:val="clear" w:color="auto" w:fill="auto"/>
                  <w:vAlign w:val="center"/>
                </w:tcPr>
                <w:p w14:paraId="07C2DCF2">
                  <w:pPr>
                    <w:pStyle w:val="86"/>
                    <w:keepNext w:val="0"/>
                    <w:keepLines w:val="0"/>
                    <w:suppressLineNumbers w:val="0"/>
                    <w:spacing w:before="0" w:beforeAutospacing="0" w:after="0" w:afterAutospacing="0"/>
                    <w:ind w:left="0" w:leftChars="0" w:right="0" w:rightChars="0"/>
                    <w:rPr>
                      <w:rFonts w:hint="eastAsia"/>
                      <w:b w:val="0"/>
                      <w:bCs w:val="0"/>
                      <w:szCs w:val="21"/>
                      <w:highlight w:val="none"/>
                    </w:rPr>
                  </w:pPr>
                  <w:r>
                    <w:rPr>
                      <w:rFonts w:hint="default" w:ascii="Times New Roman" w:hAnsi="Times New Roman" w:eastAsia="宋体" w:cs="Times New Roman"/>
                      <w:color w:val="auto"/>
                      <w:sz w:val="21"/>
                      <w:szCs w:val="21"/>
                      <w:highlight w:val="none"/>
                    </w:rPr>
                    <w:t>环境质量底线：到2025年，地表水国考断面优良</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Ⅲ类以上</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比例、近岸海域优良海水比例稳定达标；PM</w:t>
                  </w:r>
                  <w:r>
                    <w:rPr>
                      <w:rFonts w:hint="default" w:ascii="Times New Roman" w:hAnsi="Times New Roman" w:eastAsia="宋体" w:cs="Times New Roman"/>
                      <w:color w:val="auto"/>
                      <w:sz w:val="21"/>
                      <w:szCs w:val="21"/>
                      <w:highlight w:val="none"/>
                      <w:vertAlign w:val="subscript"/>
                    </w:rPr>
                    <w:t>2.5</w:t>
                  </w:r>
                  <w:r>
                    <w:rPr>
                      <w:rFonts w:hint="default" w:ascii="Times New Roman" w:hAnsi="Times New Roman" w:eastAsia="宋体" w:cs="Times New Roman"/>
                      <w:color w:val="auto"/>
                      <w:sz w:val="21"/>
                      <w:szCs w:val="21"/>
                      <w:highlight w:val="none"/>
                    </w:rPr>
                    <w:t>年均浓度持续降低、优良天数比例稳步提升；受污染耕地安全利用率、污染地块安全利用率进一步提升</w:t>
                  </w:r>
                </w:p>
              </w:tc>
              <w:tc>
                <w:tcPr>
                  <w:tcW w:w="1583" w:type="pct"/>
                  <w:tcBorders>
                    <w:tl2br w:val="nil"/>
                    <w:tr2bl w:val="nil"/>
                  </w:tcBorders>
                  <w:shd w:val="clear" w:color="auto" w:fill="auto"/>
                  <w:vAlign w:val="center"/>
                </w:tcPr>
                <w:p w14:paraId="3AAE3DF4">
                  <w:pPr>
                    <w:pStyle w:val="87"/>
                    <w:keepNext w:val="0"/>
                    <w:keepLines w:val="0"/>
                    <w:widowControl/>
                    <w:suppressLineNumbers w:val="0"/>
                    <w:bidi w:val="0"/>
                    <w:spacing w:before="0" w:beforeAutospacing="0" w:after="0" w:afterAutospacing="0"/>
                    <w:ind w:left="0" w:leftChars="0" w:right="0" w:rightChars="0"/>
                    <w:rPr>
                      <w:rFonts w:hint="eastAsia"/>
                      <w:b w:val="0"/>
                      <w:bCs w:val="0"/>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eastAsia="zh-CN"/>
                    </w:rPr>
                    <w:t>项目</w:t>
                  </w:r>
                  <w:r>
                    <w:rPr>
                      <w:rFonts w:hint="eastAsia" w:cs="Times New Roman"/>
                      <w:color w:val="auto"/>
                      <w:sz w:val="21"/>
                      <w:szCs w:val="21"/>
                      <w:highlight w:val="none"/>
                      <w:lang w:val="en-US" w:eastAsia="zh-CN"/>
                    </w:rPr>
                    <w:t>无废水</w:t>
                  </w:r>
                  <w:r>
                    <w:rPr>
                      <w:rFonts w:hint="default" w:ascii="Times New Roman" w:hAnsi="Times New Roman" w:eastAsia="宋体" w:cs="Times New Roman"/>
                      <w:color w:val="auto"/>
                      <w:sz w:val="21"/>
                      <w:szCs w:val="21"/>
                      <w:highlight w:val="none"/>
                    </w:rPr>
                    <w:t>外排；</w:t>
                  </w:r>
                  <w:r>
                    <w:rPr>
                      <w:rFonts w:hint="eastAsia" w:cs="Times New Roman"/>
                      <w:color w:val="auto"/>
                      <w:sz w:val="21"/>
                      <w:szCs w:val="21"/>
                      <w:highlight w:val="none"/>
                      <w:lang w:val="en-US" w:eastAsia="zh-CN"/>
                    </w:rPr>
                    <w:t>废气污染源采取有效的环保措施，稳定达标排放</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不涉及耕地</w:t>
                  </w:r>
                  <w:r>
                    <w:rPr>
                      <w:rFonts w:hint="default"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1B7A3F4C">
                  <w:pPr>
                    <w:spacing w:line="0" w:lineRule="atLeast"/>
                    <w:jc w:val="center"/>
                    <w:rPr>
                      <w:rFonts w:hint="eastAsia"/>
                      <w:b w:val="0"/>
                      <w:bCs w:val="0"/>
                      <w:szCs w:val="21"/>
                      <w:highlight w:val="none"/>
                    </w:rPr>
                  </w:pPr>
                  <w:r>
                    <w:rPr>
                      <w:rFonts w:hint="eastAsia"/>
                      <w:szCs w:val="21"/>
                      <w:highlight w:val="none"/>
                    </w:rPr>
                    <w:t>符合</w:t>
                  </w:r>
                </w:p>
              </w:tc>
            </w:tr>
            <w:tr w14:paraId="774740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15FC6FB7">
                  <w:pPr>
                    <w:spacing w:line="0" w:lineRule="atLeast"/>
                    <w:jc w:val="center"/>
                    <w:rPr>
                      <w:rFonts w:hint="eastAsia"/>
                      <w:b w:val="0"/>
                      <w:bCs w:val="0"/>
                      <w:szCs w:val="21"/>
                      <w:highlight w:val="none"/>
                      <w:lang w:val="en-US" w:eastAsia="zh-CN"/>
                    </w:rPr>
                  </w:pPr>
                </w:p>
              </w:tc>
              <w:tc>
                <w:tcPr>
                  <w:tcW w:w="2424" w:type="pct"/>
                  <w:tcBorders>
                    <w:tl2br w:val="nil"/>
                    <w:tr2bl w:val="nil"/>
                  </w:tcBorders>
                  <w:shd w:val="clear" w:color="auto" w:fill="auto"/>
                  <w:vAlign w:val="center"/>
                </w:tcPr>
                <w:p w14:paraId="2FD98703">
                  <w:pPr>
                    <w:pStyle w:val="86"/>
                    <w:keepNext w:val="0"/>
                    <w:keepLines w:val="0"/>
                    <w:suppressLineNumbers w:val="0"/>
                    <w:spacing w:before="0" w:beforeAutospacing="0" w:after="0" w:afterAutospacing="0"/>
                    <w:ind w:left="0" w:leftChars="0" w:right="0" w:rightChars="0"/>
                    <w:rPr>
                      <w:rFonts w:hint="eastAsia"/>
                      <w:b w:val="0"/>
                      <w:bCs w:val="0"/>
                      <w:szCs w:val="21"/>
                      <w:highlight w:val="none"/>
                    </w:rPr>
                  </w:pPr>
                  <w:r>
                    <w:rPr>
                      <w:rFonts w:hint="default" w:ascii="Times New Roman" w:hAnsi="Times New Roman" w:eastAsia="宋体" w:cs="Times New Roman"/>
                      <w:color w:val="auto"/>
                      <w:sz w:val="21"/>
                      <w:szCs w:val="21"/>
                      <w:highlight w:val="none"/>
                    </w:rPr>
                    <w:t>资源利用上线：以保障生态安全、改善环境质量为核心，合理确定全市资源利用上线目标，实现水资源与水环境、能源与大气环境、岸线与海洋环境的协同管控</w:t>
                  </w:r>
                </w:p>
              </w:tc>
              <w:tc>
                <w:tcPr>
                  <w:tcW w:w="1583" w:type="pct"/>
                  <w:tcBorders>
                    <w:tl2br w:val="nil"/>
                    <w:tr2bl w:val="nil"/>
                  </w:tcBorders>
                  <w:shd w:val="clear" w:color="auto" w:fill="auto"/>
                  <w:vAlign w:val="center"/>
                </w:tcPr>
                <w:p w14:paraId="10930937">
                  <w:pPr>
                    <w:pStyle w:val="87"/>
                    <w:keepNext w:val="0"/>
                    <w:keepLines w:val="0"/>
                    <w:widowControl/>
                    <w:suppressLineNumbers w:val="0"/>
                    <w:bidi w:val="0"/>
                    <w:spacing w:before="0" w:beforeAutospacing="0" w:after="0" w:afterAutospacing="0"/>
                    <w:ind w:left="0" w:leftChars="0" w:right="0" w:rightChars="0"/>
                    <w:rPr>
                      <w:rFonts w:hint="eastAsia"/>
                      <w:b w:val="0"/>
                      <w:bCs w:val="0"/>
                      <w:szCs w:val="21"/>
                      <w:highlight w:val="none"/>
                    </w:rPr>
                  </w:pPr>
                  <w:r>
                    <w:rPr>
                      <w:rFonts w:hint="eastAsia" w:cs="Times New Roman"/>
                      <w:color w:val="auto"/>
                      <w:sz w:val="21"/>
                      <w:szCs w:val="21"/>
                      <w:highlight w:val="none"/>
                      <w:lang w:val="en-US" w:eastAsia="zh-CN"/>
                    </w:rPr>
                    <w:t>滦县翼翔新型建材有限公司已取得取水许可证，项目实施后不会超过许可取水量</w:t>
                  </w:r>
                  <w:r>
                    <w:rPr>
                      <w:rFonts w:hint="eastAsia"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7D26ADD0">
                  <w:pPr>
                    <w:spacing w:line="0" w:lineRule="atLeast"/>
                    <w:jc w:val="center"/>
                    <w:rPr>
                      <w:rFonts w:hint="eastAsia"/>
                      <w:b w:val="0"/>
                      <w:bCs w:val="0"/>
                      <w:szCs w:val="21"/>
                      <w:highlight w:val="none"/>
                    </w:rPr>
                  </w:pPr>
                  <w:r>
                    <w:rPr>
                      <w:rFonts w:hint="eastAsia"/>
                      <w:szCs w:val="21"/>
                      <w:highlight w:val="none"/>
                    </w:rPr>
                    <w:t>符合</w:t>
                  </w:r>
                </w:p>
              </w:tc>
            </w:tr>
            <w:tr w14:paraId="23B23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2B9A2E83">
                  <w:pPr>
                    <w:spacing w:line="0" w:lineRule="atLeast"/>
                    <w:jc w:val="both"/>
                    <w:rPr>
                      <w:rFonts w:hint="eastAsia" w:eastAsia="宋体"/>
                      <w:b w:val="0"/>
                      <w:bCs w:val="0"/>
                      <w:szCs w:val="21"/>
                      <w:highlight w:val="none"/>
                      <w:lang w:val="en-US" w:eastAsia="zh-CN"/>
                    </w:rPr>
                  </w:pPr>
                  <w:r>
                    <w:rPr>
                      <w:rFonts w:hint="eastAsia"/>
                      <w:b/>
                      <w:bCs/>
                      <w:szCs w:val="21"/>
                      <w:highlight w:val="none"/>
                      <w:lang w:val="en-US" w:eastAsia="zh-CN"/>
                    </w:rPr>
                    <w:t>二、构建生态环境分区管控体系</w:t>
                  </w:r>
                </w:p>
              </w:tc>
            </w:tr>
            <w:tr w14:paraId="4671F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4AABF79D">
                  <w:pPr>
                    <w:spacing w:line="0" w:lineRule="atLeast"/>
                    <w:jc w:val="center"/>
                    <w:rPr>
                      <w:rFonts w:hint="eastAsia"/>
                      <w:b w:val="0"/>
                      <w:bCs w:val="0"/>
                      <w:szCs w:val="21"/>
                      <w:highlight w:val="none"/>
                      <w:lang w:val="en-US" w:eastAsia="zh-CN"/>
                    </w:rPr>
                  </w:pPr>
                  <w:r>
                    <w:rPr>
                      <w:rFonts w:hint="default" w:ascii="Times New Roman" w:hAnsi="Times New Roman" w:eastAsia="宋体" w:cs="Times New Roman"/>
                      <w:color w:val="auto"/>
                      <w:kern w:val="0"/>
                      <w:sz w:val="21"/>
                      <w:szCs w:val="21"/>
                      <w:highlight w:val="none"/>
                    </w:rPr>
                    <w:t>分类管控要求</w:t>
                  </w:r>
                </w:p>
              </w:tc>
              <w:tc>
                <w:tcPr>
                  <w:tcW w:w="2424" w:type="pct"/>
                  <w:tcBorders>
                    <w:tl2br w:val="nil"/>
                    <w:tr2bl w:val="nil"/>
                  </w:tcBorders>
                  <w:shd w:val="clear" w:color="auto" w:fill="auto"/>
                  <w:vAlign w:val="center"/>
                </w:tcPr>
                <w:p w14:paraId="46746EFA">
                  <w:pPr>
                    <w:spacing w:line="0" w:lineRule="atLeast"/>
                    <w:jc w:val="center"/>
                    <w:rPr>
                      <w:rFonts w:hint="eastAsia"/>
                      <w:b w:val="0"/>
                      <w:bCs w:val="0"/>
                      <w:szCs w:val="21"/>
                      <w:highlight w:val="none"/>
                    </w:rPr>
                  </w:pPr>
                  <w:r>
                    <w:rPr>
                      <w:rFonts w:hint="eastAsia"/>
                      <w:b w:val="0"/>
                      <w:bCs w:val="0"/>
                      <w:szCs w:val="21"/>
                      <w:highlight w:val="none"/>
                    </w:rPr>
                    <w:t>重点管控单元：工业园区（工业集聚区）重点管控单元：严格项目准入，优化产业布局；完善园区设施建设，推动设施提标改造；实施污染物总量控制，落实排污许可证制度；强化资源利用效率和地下水开采管控</w:t>
                  </w:r>
                </w:p>
              </w:tc>
              <w:tc>
                <w:tcPr>
                  <w:tcW w:w="1583" w:type="pct"/>
                  <w:tcBorders>
                    <w:tl2br w:val="nil"/>
                    <w:tr2bl w:val="nil"/>
                  </w:tcBorders>
                  <w:shd w:val="clear" w:color="auto" w:fill="auto"/>
                  <w:vAlign w:val="center"/>
                </w:tcPr>
                <w:p w14:paraId="76F89E21">
                  <w:pPr>
                    <w:spacing w:line="0" w:lineRule="atLeast"/>
                    <w:jc w:val="center"/>
                    <w:rPr>
                      <w:rFonts w:hint="eastAsia"/>
                      <w:b w:val="0"/>
                      <w:bCs w:val="0"/>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位于</w:t>
                  </w:r>
                  <w:r>
                    <w:rPr>
                      <w:rFonts w:hint="eastAsia" w:cs="Times New Roman"/>
                      <w:color w:val="auto"/>
                      <w:sz w:val="21"/>
                      <w:szCs w:val="21"/>
                      <w:highlight w:val="none"/>
                      <w:lang w:val="en-US" w:eastAsia="zh-CN"/>
                    </w:rPr>
                    <w:t>滦县翼翔新型建材有限公司现有厂区内</w:t>
                  </w:r>
                  <w:r>
                    <w:rPr>
                      <w:rFonts w:hint="default" w:ascii="Times New Roman" w:hAnsi="Times New Roman" w:eastAsia="宋体" w:cs="Times New Roman"/>
                      <w:color w:val="auto"/>
                      <w:sz w:val="21"/>
                      <w:szCs w:val="21"/>
                      <w:highlight w:val="none"/>
                    </w:rPr>
                    <w:t>，已经取得总量控制指标；落实了排污许可证制度</w:t>
                  </w:r>
                  <w:r>
                    <w:rPr>
                      <w:rFonts w:hint="eastAsia"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13396A4A">
                  <w:pPr>
                    <w:spacing w:line="0" w:lineRule="atLeast"/>
                    <w:jc w:val="center"/>
                    <w:rPr>
                      <w:rFonts w:hint="eastAsia"/>
                      <w:b w:val="0"/>
                      <w:bCs w:val="0"/>
                      <w:szCs w:val="21"/>
                      <w:highlight w:val="none"/>
                    </w:rPr>
                  </w:pPr>
                  <w:r>
                    <w:rPr>
                      <w:rFonts w:hint="eastAsia"/>
                      <w:szCs w:val="21"/>
                      <w:highlight w:val="none"/>
                    </w:rPr>
                    <w:t>符合</w:t>
                  </w:r>
                </w:p>
              </w:tc>
            </w:tr>
            <w:tr w14:paraId="68E310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0974A738">
                  <w:pPr>
                    <w:spacing w:line="0" w:lineRule="atLeast"/>
                    <w:jc w:val="both"/>
                    <w:rPr>
                      <w:rFonts w:hint="default" w:eastAsia="宋体"/>
                      <w:b w:val="0"/>
                      <w:bCs w:val="0"/>
                      <w:szCs w:val="21"/>
                      <w:highlight w:val="none"/>
                      <w:lang w:val="en-US" w:eastAsia="zh-CN"/>
                    </w:rPr>
                  </w:pPr>
                  <w:r>
                    <w:rPr>
                      <w:rFonts w:hint="eastAsia"/>
                      <w:b/>
                      <w:bCs/>
                      <w:szCs w:val="21"/>
                      <w:highlight w:val="none"/>
                      <w:lang w:val="en-US" w:eastAsia="zh-CN"/>
                    </w:rPr>
                    <w:t>三、实施要求</w:t>
                  </w:r>
                </w:p>
              </w:tc>
            </w:tr>
            <w:tr w14:paraId="425E6B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04D88BEA">
                  <w:pPr>
                    <w:spacing w:line="0" w:lineRule="atLeast"/>
                    <w:jc w:val="center"/>
                    <w:rPr>
                      <w:rFonts w:hint="eastAsia"/>
                      <w:b w:val="0"/>
                      <w:bCs w:val="0"/>
                      <w:szCs w:val="21"/>
                      <w:highlight w:val="none"/>
                      <w:lang w:val="en-US" w:eastAsia="zh-CN"/>
                    </w:rPr>
                  </w:pPr>
                  <w:r>
                    <w:rPr>
                      <w:rFonts w:hint="default" w:ascii="Times New Roman" w:hAnsi="Times New Roman" w:eastAsia="宋体" w:cs="Times New Roman"/>
                      <w:color w:val="auto"/>
                      <w:kern w:val="0"/>
                      <w:sz w:val="21"/>
                      <w:szCs w:val="21"/>
                      <w:highlight w:val="none"/>
                    </w:rPr>
                    <w:t>做好产业准入环保支撑</w:t>
                  </w:r>
                </w:p>
              </w:tc>
              <w:tc>
                <w:tcPr>
                  <w:tcW w:w="2424" w:type="pct"/>
                  <w:tcBorders>
                    <w:tl2br w:val="nil"/>
                    <w:tr2bl w:val="nil"/>
                  </w:tcBorders>
                  <w:shd w:val="clear" w:color="auto" w:fill="auto"/>
                  <w:vAlign w:val="center"/>
                </w:tcPr>
                <w:p w14:paraId="57937117">
                  <w:pPr>
                    <w:spacing w:line="0" w:lineRule="atLeast"/>
                    <w:jc w:val="center"/>
                    <w:rPr>
                      <w:rFonts w:hint="eastAsia"/>
                      <w:b w:val="0"/>
                      <w:bCs w:val="0"/>
                      <w:szCs w:val="21"/>
                      <w:highlight w:val="none"/>
                    </w:rPr>
                  </w:pPr>
                  <w:r>
                    <w:rPr>
                      <w:rFonts w:hint="default" w:ascii="Times New Roman" w:hAnsi="Times New Roman" w:eastAsia="宋体" w:cs="Times New Roman"/>
                      <w:color w:val="auto"/>
                      <w:sz w:val="21"/>
                      <w:szCs w:val="21"/>
                      <w:highlight w:val="none"/>
                    </w:rPr>
                    <w:t>各县（市）区、各部门要充分发挥生态环境准入清单编制及落实实施等方面的作用，将“三线一单”成果应用到规划环评审查和建设项目环评审批中，将“三线一单”生态环境分区管控要求作为具体区域、工业园区和单元项目准入的重要支撑</w:t>
                  </w:r>
                </w:p>
              </w:tc>
              <w:tc>
                <w:tcPr>
                  <w:tcW w:w="1583" w:type="pct"/>
                  <w:tcBorders>
                    <w:tl2br w:val="nil"/>
                    <w:tr2bl w:val="nil"/>
                  </w:tcBorders>
                  <w:shd w:val="clear" w:color="auto" w:fill="auto"/>
                  <w:vAlign w:val="center"/>
                </w:tcPr>
                <w:p w14:paraId="71E2D6FE">
                  <w:pPr>
                    <w:spacing w:line="0" w:lineRule="atLeast"/>
                    <w:jc w:val="center"/>
                    <w:rPr>
                      <w:rFonts w:hint="eastAsia"/>
                      <w:b w:val="0"/>
                      <w:bCs w:val="0"/>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eastAsia="zh-CN"/>
                    </w:rPr>
                    <w:t>项目</w:t>
                  </w:r>
                  <w:r>
                    <w:rPr>
                      <w:rFonts w:hint="eastAsia" w:ascii="Times New Roman" w:hAnsi="Times New Roman" w:eastAsia="宋体" w:cs="Times New Roman"/>
                      <w:color w:val="auto"/>
                      <w:sz w:val="21"/>
                      <w:szCs w:val="21"/>
                      <w:highlight w:val="none"/>
                      <w:lang w:val="en-US" w:eastAsia="zh-CN"/>
                    </w:rPr>
                    <w:t>不在园区内，不涉及生态保护红线，占地符合土地利用总体规划要求</w:t>
                  </w:r>
                  <w:r>
                    <w:rPr>
                      <w:rFonts w:hint="eastAsia"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704F1B48">
                  <w:pPr>
                    <w:spacing w:line="0" w:lineRule="atLeast"/>
                    <w:jc w:val="center"/>
                    <w:rPr>
                      <w:rFonts w:hint="eastAsia"/>
                      <w:b w:val="0"/>
                      <w:bCs w:val="0"/>
                      <w:szCs w:val="21"/>
                      <w:highlight w:val="none"/>
                    </w:rPr>
                  </w:pPr>
                  <w:r>
                    <w:rPr>
                      <w:rFonts w:hint="eastAsia"/>
                      <w:szCs w:val="21"/>
                      <w:highlight w:val="none"/>
                    </w:rPr>
                    <w:t>符合</w:t>
                  </w:r>
                </w:p>
              </w:tc>
            </w:tr>
            <w:tr w14:paraId="2BBC56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064BB83F">
                  <w:pPr>
                    <w:spacing w:line="0" w:lineRule="atLeast"/>
                    <w:rPr>
                      <w:b w:val="0"/>
                      <w:bCs w:val="0"/>
                      <w:szCs w:val="21"/>
                      <w:highlight w:val="none"/>
                    </w:rPr>
                  </w:pPr>
                  <w:r>
                    <w:rPr>
                      <w:rFonts w:hint="eastAsia"/>
                      <w:b/>
                      <w:bCs/>
                      <w:szCs w:val="21"/>
                      <w:highlight w:val="none"/>
                      <w:lang w:val="en-US" w:eastAsia="zh-CN"/>
                    </w:rPr>
                    <w:t>四</w:t>
                  </w:r>
                  <w:r>
                    <w:rPr>
                      <w:rFonts w:hint="eastAsia"/>
                      <w:b/>
                      <w:bCs/>
                      <w:szCs w:val="21"/>
                      <w:highlight w:val="none"/>
                    </w:rPr>
                    <w:t>、</w:t>
                  </w:r>
                  <w:r>
                    <w:rPr>
                      <w:rFonts w:hint="eastAsia"/>
                      <w:b/>
                      <w:bCs/>
                      <w:szCs w:val="21"/>
                      <w:highlight w:val="none"/>
                      <w:lang w:val="en-US" w:eastAsia="zh-CN"/>
                    </w:rPr>
                    <w:t>全市</w:t>
                  </w:r>
                  <w:r>
                    <w:rPr>
                      <w:rFonts w:hint="eastAsia"/>
                      <w:b/>
                      <w:bCs/>
                      <w:szCs w:val="21"/>
                      <w:highlight w:val="none"/>
                    </w:rPr>
                    <w:t>大气环境总体管控相关要求</w:t>
                  </w:r>
                </w:p>
              </w:tc>
            </w:tr>
            <w:tr w14:paraId="1FE721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11AF4D74">
                  <w:pPr>
                    <w:spacing w:line="0" w:lineRule="atLeast"/>
                    <w:jc w:val="center"/>
                    <w:rPr>
                      <w:rFonts w:hint="default" w:eastAsia="宋体"/>
                      <w:szCs w:val="21"/>
                      <w:highlight w:val="none"/>
                      <w:lang w:val="en-US" w:eastAsia="zh-CN"/>
                    </w:rPr>
                  </w:pPr>
                  <w:r>
                    <w:rPr>
                      <w:rFonts w:hint="eastAsia"/>
                      <w:szCs w:val="21"/>
                      <w:highlight w:val="none"/>
                      <w:lang w:val="en-US" w:eastAsia="zh-CN"/>
                    </w:rPr>
                    <w:t>空间布局约束</w:t>
                  </w:r>
                </w:p>
              </w:tc>
              <w:tc>
                <w:tcPr>
                  <w:tcW w:w="2424" w:type="pct"/>
                  <w:tcBorders>
                    <w:tl2br w:val="nil"/>
                    <w:tr2bl w:val="nil"/>
                  </w:tcBorders>
                  <w:shd w:val="clear" w:color="auto" w:fill="auto"/>
                  <w:vAlign w:val="center"/>
                </w:tcPr>
                <w:p w14:paraId="0E3ECC37">
                  <w:pPr>
                    <w:pStyle w:val="87"/>
                    <w:keepNext w:val="0"/>
                    <w:keepLines w:val="0"/>
                    <w:widowControl/>
                    <w:suppressLineNumbers w:val="0"/>
                    <w:bidi w:val="0"/>
                    <w:spacing w:before="0" w:beforeAutospacing="0" w:after="0" w:afterAutospacing="0"/>
                    <w:ind w:left="0" w:leftChars="0" w:right="0" w:rightChars="0"/>
                    <w:jc w:val="center"/>
                    <w:rPr>
                      <w:szCs w:val="21"/>
                      <w:highlight w:val="none"/>
                    </w:rPr>
                  </w:pPr>
                  <w:r>
                    <w:rPr>
                      <w:rFonts w:hint="default" w:ascii="Times New Roman" w:hAnsi="Times New Roman" w:eastAsia="宋体" w:cs="Times New Roman"/>
                      <w:color w:val="auto"/>
                      <w:sz w:val="21"/>
                      <w:szCs w:val="21"/>
                      <w:highlight w:val="none"/>
                    </w:rPr>
                    <w:t>全面推进沿海、迁安、滦州、迁西</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遵化</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4大片区规划建设，加快推进钢铁企业整合搬迁项目建设，推进“公转铁”、“公转水”和物料集中输送管廊项目建设，形成“沿海临港、铁路沿线”产业新布局。</w:t>
                  </w:r>
                </w:p>
              </w:tc>
              <w:tc>
                <w:tcPr>
                  <w:tcW w:w="1583" w:type="pct"/>
                  <w:tcBorders>
                    <w:tl2br w:val="nil"/>
                    <w:tr2bl w:val="nil"/>
                  </w:tcBorders>
                  <w:shd w:val="clear" w:color="auto" w:fill="auto"/>
                  <w:vAlign w:val="center"/>
                </w:tcPr>
                <w:p w14:paraId="7D232EDD">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rPr>
                    <w:t>滦县翼翔新型建材有限公司不属于钢铁企业</w:t>
                  </w:r>
                </w:p>
              </w:tc>
              <w:tc>
                <w:tcPr>
                  <w:tcW w:w="510" w:type="pct"/>
                  <w:tcBorders>
                    <w:tl2br w:val="nil"/>
                    <w:tr2bl w:val="nil"/>
                  </w:tcBorders>
                  <w:shd w:val="clear" w:color="auto" w:fill="auto"/>
                  <w:vAlign w:val="center"/>
                </w:tcPr>
                <w:p w14:paraId="38C1A6B7">
                  <w:pPr>
                    <w:spacing w:line="0" w:lineRule="atLeast"/>
                    <w:jc w:val="center"/>
                    <w:rPr>
                      <w:rFonts w:hint="eastAsia" w:eastAsia="宋体"/>
                      <w:szCs w:val="21"/>
                      <w:highlight w:val="none"/>
                      <w:lang w:val="en-US" w:eastAsia="zh-CN"/>
                    </w:rPr>
                  </w:pPr>
                  <w:r>
                    <w:rPr>
                      <w:rFonts w:hint="eastAsia"/>
                      <w:szCs w:val="21"/>
                      <w:highlight w:val="none"/>
                    </w:rPr>
                    <w:t>符合</w:t>
                  </w:r>
                </w:p>
              </w:tc>
            </w:tr>
            <w:tr w14:paraId="435C8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2061B4A7">
                  <w:pPr>
                    <w:spacing w:line="0" w:lineRule="atLeast"/>
                    <w:jc w:val="center"/>
                    <w:rPr>
                      <w:szCs w:val="21"/>
                      <w:highlight w:val="none"/>
                    </w:rPr>
                  </w:pPr>
                </w:p>
              </w:tc>
              <w:tc>
                <w:tcPr>
                  <w:tcW w:w="2424" w:type="pct"/>
                  <w:tcBorders>
                    <w:tl2br w:val="nil"/>
                    <w:tr2bl w:val="nil"/>
                  </w:tcBorders>
                  <w:shd w:val="clear" w:color="auto" w:fill="auto"/>
                  <w:vAlign w:val="center"/>
                </w:tcPr>
                <w:p w14:paraId="3A1BF3CE">
                  <w:pPr>
                    <w:pStyle w:val="87"/>
                    <w:keepNext w:val="0"/>
                    <w:keepLines w:val="0"/>
                    <w:widowControl/>
                    <w:suppressLineNumbers w:val="0"/>
                    <w:bidi w:val="0"/>
                    <w:spacing w:before="0" w:beforeAutospacing="0" w:after="0" w:afterAutospacing="0"/>
                    <w:ind w:left="0" w:leftChars="0" w:right="0" w:rightChars="0"/>
                    <w:jc w:val="center"/>
                    <w:rPr>
                      <w:szCs w:val="21"/>
                      <w:highlight w:val="none"/>
                    </w:rPr>
                  </w:pPr>
                  <w:r>
                    <w:rPr>
                      <w:rFonts w:hint="default" w:ascii="Times New Roman" w:hAnsi="Times New Roman" w:eastAsia="宋体" w:cs="Times New Roman"/>
                      <w:color w:val="auto"/>
                      <w:sz w:val="21"/>
                      <w:szCs w:val="21"/>
                      <w:highlight w:val="none"/>
                      <w:lang w:val="en-US" w:eastAsia="zh-CN"/>
                    </w:rPr>
                    <w:t>严禁违规新增钢铁、焦化、平板玻璃、水泥、陶瓷产能，</w:t>
                  </w:r>
                  <w:r>
                    <w:rPr>
                      <w:rFonts w:hint="eastAsia" w:cs="Times New Roman"/>
                      <w:color w:val="auto"/>
                      <w:sz w:val="21"/>
                      <w:szCs w:val="21"/>
                      <w:highlight w:val="none"/>
                      <w:lang w:val="en-US" w:eastAsia="zh-CN"/>
                    </w:rPr>
                    <w:t>依法推动独立焦化、独立石灰、独立球团逐步退出。</w:t>
                  </w:r>
                </w:p>
              </w:tc>
              <w:tc>
                <w:tcPr>
                  <w:tcW w:w="1583" w:type="pct"/>
                  <w:tcBorders>
                    <w:tl2br w:val="nil"/>
                    <w:tr2bl w:val="nil"/>
                  </w:tcBorders>
                  <w:shd w:val="clear" w:color="auto" w:fill="auto"/>
                  <w:vAlign w:val="center"/>
                </w:tcPr>
                <w:p w14:paraId="1205583C">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bidi="en-US"/>
                    </w:rPr>
                    <w:t>不涉及</w:t>
                  </w:r>
                </w:p>
              </w:tc>
              <w:tc>
                <w:tcPr>
                  <w:tcW w:w="510" w:type="pct"/>
                  <w:tcBorders>
                    <w:tl2br w:val="nil"/>
                    <w:tr2bl w:val="nil"/>
                  </w:tcBorders>
                  <w:shd w:val="clear" w:color="auto" w:fill="auto"/>
                  <w:vAlign w:val="center"/>
                </w:tcPr>
                <w:p w14:paraId="49AD7627">
                  <w:pPr>
                    <w:spacing w:line="0" w:lineRule="atLeast"/>
                    <w:jc w:val="center"/>
                    <w:rPr>
                      <w:szCs w:val="21"/>
                      <w:highlight w:val="none"/>
                    </w:rPr>
                  </w:pPr>
                  <w:r>
                    <w:rPr>
                      <w:rFonts w:hint="eastAsia"/>
                      <w:szCs w:val="21"/>
                      <w:highlight w:val="none"/>
                    </w:rPr>
                    <w:t>符合</w:t>
                  </w:r>
                </w:p>
              </w:tc>
            </w:tr>
            <w:tr w14:paraId="1D968E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7742149B">
                  <w:pPr>
                    <w:spacing w:line="0" w:lineRule="atLeast"/>
                    <w:jc w:val="center"/>
                    <w:rPr>
                      <w:szCs w:val="21"/>
                      <w:highlight w:val="none"/>
                    </w:rPr>
                  </w:pPr>
                </w:p>
              </w:tc>
              <w:tc>
                <w:tcPr>
                  <w:tcW w:w="2424" w:type="pct"/>
                  <w:tcBorders>
                    <w:tl2br w:val="nil"/>
                    <w:tr2bl w:val="nil"/>
                  </w:tcBorders>
                  <w:shd w:val="clear" w:color="auto" w:fill="auto"/>
                  <w:vAlign w:val="center"/>
                </w:tcPr>
                <w:p w14:paraId="290A0A16">
                  <w:pPr>
                    <w:pStyle w:val="87"/>
                    <w:keepNext w:val="0"/>
                    <w:keepLines w:val="0"/>
                    <w:widowControl/>
                    <w:suppressLineNumbers w:val="0"/>
                    <w:bidi w:val="0"/>
                    <w:spacing w:before="0" w:beforeAutospacing="0" w:after="0" w:afterAutospacing="0"/>
                    <w:ind w:left="0" w:leftChars="0" w:right="0" w:rightChars="0"/>
                    <w:jc w:val="center"/>
                    <w:rPr>
                      <w:szCs w:val="21"/>
                      <w:highlight w:val="none"/>
                    </w:rPr>
                  </w:pPr>
                  <w:r>
                    <w:rPr>
                      <w:rFonts w:hint="default" w:ascii="Times New Roman" w:hAnsi="Times New Roman" w:eastAsia="宋体" w:cs="Times New Roman"/>
                      <w:color w:val="auto"/>
                      <w:sz w:val="21"/>
                      <w:szCs w:val="21"/>
                      <w:highlight w:val="none"/>
                    </w:rPr>
                    <w:t>新（改、扩）建项目严格执行产能置换、煤炭替代和污染物倍量削减替代制度，当地有相关园区规划的，原则上要进入园区，并配套建设高效环保治理设施，符合园区规划环评、建设项目环评要求</w:t>
                  </w:r>
                  <w:r>
                    <w:rPr>
                      <w:rFonts w:hint="default" w:ascii="Times New Roman" w:hAnsi="Times New Roman" w:eastAsia="宋体" w:cs="Times New Roman"/>
                      <w:color w:val="auto"/>
                      <w:sz w:val="21"/>
                      <w:szCs w:val="21"/>
                      <w:highlight w:val="none"/>
                      <w:lang w:eastAsia="zh-CN"/>
                    </w:rPr>
                    <w:t>。</w:t>
                  </w:r>
                </w:p>
              </w:tc>
              <w:tc>
                <w:tcPr>
                  <w:tcW w:w="1583" w:type="pct"/>
                  <w:tcBorders>
                    <w:tl2br w:val="nil"/>
                    <w:tr2bl w:val="nil"/>
                  </w:tcBorders>
                  <w:shd w:val="clear" w:color="auto" w:fill="auto"/>
                  <w:vAlign w:val="center"/>
                </w:tcPr>
                <w:p w14:paraId="48FD9F8E">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eastAsia="zh-CN"/>
                    </w:rPr>
                    <w:t>项目</w:t>
                  </w:r>
                  <w:r>
                    <w:rPr>
                      <w:rFonts w:hint="eastAsia" w:ascii="Times New Roman" w:hAnsi="Times New Roman" w:eastAsia="宋体" w:cs="Times New Roman"/>
                      <w:color w:val="auto"/>
                      <w:sz w:val="21"/>
                      <w:szCs w:val="21"/>
                      <w:highlight w:val="none"/>
                      <w:lang w:val="en-US" w:eastAsia="zh-CN"/>
                    </w:rPr>
                    <w:t>不涉及钢铁产能</w:t>
                  </w:r>
                  <w:r>
                    <w:rPr>
                      <w:rFonts w:hint="default" w:ascii="Times New Roman" w:hAnsi="Times New Roman" w:eastAsia="宋体" w:cs="Times New Roman"/>
                      <w:color w:val="auto"/>
                      <w:sz w:val="21"/>
                      <w:szCs w:val="21"/>
                      <w:highlight w:val="none"/>
                      <w:lang w:bidi="en-US"/>
                    </w:rPr>
                    <w:t>，配备了高效环保治理设施</w:t>
                  </w:r>
                  <w:r>
                    <w:rPr>
                      <w:rFonts w:hint="eastAsia" w:ascii="Times New Roman" w:hAnsi="Times New Roman" w:eastAsia="宋体" w:cs="Times New Roman"/>
                      <w:color w:val="auto"/>
                      <w:sz w:val="21"/>
                      <w:szCs w:val="21"/>
                      <w:highlight w:val="none"/>
                      <w:lang w:eastAsia="zh-CN" w:bidi="en-US"/>
                    </w:rPr>
                    <w:t>。</w:t>
                  </w:r>
                </w:p>
              </w:tc>
              <w:tc>
                <w:tcPr>
                  <w:tcW w:w="510" w:type="pct"/>
                  <w:tcBorders>
                    <w:tl2br w:val="nil"/>
                    <w:tr2bl w:val="nil"/>
                  </w:tcBorders>
                  <w:shd w:val="clear" w:color="auto" w:fill="auto"/>
                  <w:vAlign w:val="center"/>
                </w:tcPr>
                <w:p w14:paraId="6040D20D">
                  <w:pPr>
                    <w:spacing w:line="0" w:lineRule="atLeast"/>
                    <w:jc w:val="center"/>
                    <w:rPr>
                      <w:szCs w:val="21"/>
                      <w:highlight w:val="none"/>
                    </w:rPr>
                  </w:pPr>
                  <w:r>
                    <w:rPr>
                      <w:rFonts w:hint="eastAsia"/>
                      <w:szCs w:val="21"/>
                      <w:highlight w:val="none"/>
                    </w:rPr>
                    <w:t>符合</w:t>
                  </w:r>
                </w:p>
              </w:tc>
            </w:tr>
            <w:tr w14:paraId="75D83F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716DEFEB">
                  <w:pPr>
                    <w:spacing w:line="0" w:lineRule="atLeast"/>
                    <w:jc w:val="center"/>
                    <w:rPr>
                      <w:rFonts w:hint="default" w:eastAsia="宋体"/>
                      <w:szCs w:val="21"/>
                      <w:highlight w:val="none"/>
                      <w:lang w:val="en-US" w:eastAsia="zh-CN"/>
                    </w:rPr>
                  </w:pPr>
                  <w:r>
                    <w:rPr>
                      <w:rFonts w:hint="eastAsia"/>
                      <w:szCs w:val="21"/>
                      <w:highlight w:val="none"/>
                      <w:lang w:val="en-US" w:eastAsia="zh-CN"/>
                    </w:rPr>
                    <w:t>污染物排放管控</w:t>
                  </w:r>
                </w:p>
              </w:tc>
              <w:tc>
                <w:tcPr>
                  <w:tcW w:w="2424" w:type="pct"/>
                  <w:tcBorders>
                    <w:tl2br w:val="nil"/>
                    <w:tr2bl w:val="nil"/>
                  </w:tcBorders>
                  <w:shd w:val="clear" w:color="auto" w:fill="auto"/>
                  <w:vAlign w:val="center"/>
                </w:tcPr>
                <w:p w14:paraId="77D97570">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en-US"/>
                    </w:rPr>
                    <w:t>细颗粒物（PM</w:t>
                  </w:r>
                  <w:r>
                    <w:rPr>
                      <w:rFonts w:hint="default" w:ascii="Times New Roman" w:hAnsi="Times New Roman" w:eastAsia="宋体" w:cs="Times New Roman"/>
                      <w:color w:val="auto"/>
                      <w:sz w:val="21"/>
                      <w:szCs w:val="21"/>
                      <w:highlight w:val="none"/>
                      <w:vertAlign w:val="subscript"/>
                      <w:lang w:bidi="en-US"/>
                    </w:rPr>
                    <w:t>2.5</w:t>
                  </w:r>
                  <w:r>
                    <w:rPr>
                      <w:rFonts w:hint="default" w:ascii="Times New Roman" w:hAnsi="Times New Roman" w:eastAsia="宋体" w:cs="Times New Roman"/>
                      <w:color w:val="auto"/>
                      <w:sz w:val="21"/>
                      <w:szCs w:val="21"/>
                      <w:highlight w:val="none"/>
                      <w:lang w:bidi="en-US"/>
                    </w:rPr>
                    <w:t>）年平均浓度不达标的城市，二氧化硫、氮氧化物、烟粉尘、挥发性有机物四项污染物均需进行2倍削减替代（燃煤发电机组大气污染物排放浓度基本达到燃气轮机组排放限值的除外）</w:t>
                  </w:r>
                </w:p>
              </w:tc>
              <w:tc>
                <w:tcPr>
                  <w:tcW w:w="1583" w:type="pct"/>
                  <w:tcBorders>
                    <w:tl2br w:val="nil"/>
                    <w:tr2bl w:val="nil"/>
                  </w:tcBorders>
                  <w:shd w:val="clear" w:color="auto" w:fill="auto"/>
                  <w:vAlign w:val="center"/>
                </w:tcPr>
                <w:p w14:paraId="60B9EF68">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bidi="en-US"/>
                    </w:rPr>
                    <w:t>本</w:t>
                  </w:r>
                  <w:r>
                    <w:rPr>
                      <w:rFonts w:hint="eastAsia" w:ascii="Times New Roman" w:hAnsi="Times New Roman" w:eastAsia="宋体" w:cs="Times New Roman"/>
                      <w:color w:val="auto"/>
                      <w:sz w:val="21"/>
                      <w:szCs w:val="21"/>
                      <w:highlight w:val="none"/>
                      <w:lang w:val="en-US" w:eastAsia="zh-CN" w:bidi="en-US"/>
                    </w:rPr>
                    <w:t>项目所在区域</w:t>
                  </w:r>
                  <w:r>
                    <w:rPr>
                      <w:rFonts w:hint="default" w:ascii="Times New Roman" w:hAnsi="Times New Roman" w:eastAsia="宋体" w:cs="Times New Roman"/>
                      <w:color w:val="auto"/>
                      <w:sz w:val="21"/>
                      <w:szCs w:val="21"/>
                      <w:highlight w:val="none"/>
                      <w:lang w:bidi="en-US"/>
                    </w:rPr>
                    <w:t>细颗粒物（PM</w:t>
                  </w:r>
                  <w:r>
                    <w:rPr>
                      <w:rFonts w:hint="default" w:ascii="Times New Roman" w:hAnsi="Times New Roman" w:eastAsia="宋体" w:cs="Times New Roman"/>
                      <w:color w:val="auto"/>
                      <w:sz w:val="21"/>
                      <w:szCs w:val="21"/>
                      <w:highlight w:val="none"/>
                      <w:vertAlign w:val="subscript"/>
                      <w:lang w:bidi="en-US"/>
                    </w:rPr>
                    <w:t>2.5</w:t>
                  </w:r>
                  <w:r>
                    <w:rPr>
                      <w:rFonts w:hint="default" w:ascii="Times New Roman" w:hAnsi="Times New Roman" w:eastAsia="宋体" w:cs="Times New Roman"/>
                      <w:color w:val="auto"/>
                      <w:sz w:val="21"/>
                      <w:szCs w:val="21"/>
                      <w:highlight w:val="none"/>
                      <w:lang w:bidi="en-US"/>
                    </w:rPr>
                    <w:t>）年平均浓度达标</w:t>
                  </w:r>
                  <w:r>
                    <w:rPr>
                      <w:rFonts w:hint="eastAsia" w:ascii="Times New Roman" w:hAnsi="Times New Roman" w:eastAsia="宋体" w:cs="Times New Roman"/>
                      <w:color w:val="auto"/>
                      <w:sz w:val="21"/>
                      <w:szCs w:val="21"/>
                      <w:highlight w:val="none"/>
                      <w:lang w:val="en-US" w:eastAsia="zh-CN" w:bidi="en-US"/>
                    </w:rPr>
                    <w:t>。</w:t>
                  </w:r>
                </w:p>
              </w:tc>
              <w:tc>
                <w:tcPr>
                  <w:tcW w:w="510" w:type="pct"/>
                  <w:tcBorders>
                    <w:tl2br w:val="nil"/>
                    <w:tr2bl w:val="nil"/>
                  </w:tcBorders>
                  <w:shd w:val="clear" w:color="auto" w:fill="auto"/>
                  <w:vAlign w:val="center"/>
                </w:tcPr>
                <w:p w14:paraId="7C1247DC">
                  <w:pPr>
                    <w:spacing w:line="0" w:lineRule="atLeast"/>
                    <w:jc w:val="center"/>
                    <w:rPr>
                      <w:rFonts w:hint="eastAsia"/>
                      <w:szCs w:val="21"/>
                      <w:highlight w:val="none"/>
                    </w:rPr>
                  </w:pPr>
                  <w:r>
                    <w:rPr>
                      <w:rFonts w:hint="eastAsia"/>
                      <w:szCs w:val="21"/>
                      <w:highlight w:val="none"/>
                    </w:rPr>
                    <w:t>符合</w:t>
                  </w:r>
                </w:p>
              </w:tc>
            </w:tr>
            <w:tr w14:paraId="51C33F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3B11F538">
                  <w:pPr>
                    <w:spacing w:line="0" w:lineRule="atLeast"/>
                    <w:jc w:val="center"/>
                    <w:rPr>
                      <w:szCs w:val="21"/>
                      <w:highlight w:val="none"/>
                    </w:rPr>
                  </w:pPr>
                </w:p>
              </w:tc>
              <w:tc>
                <w:tcPr>
                  <w:tcW w:w="2424" w:type="pct"/>
                  <w:tcBorders>
                    <w:tl2br w:val="nil"/>
                    <w:tr2bl w:val="nil"/>
                  </w:tcBorders>
                  <w:shd w:val="clear" w:color="auto" w:fill="auto"/>
                  <w:vAlign w:val="center"/>
                </w:tcPr>
                <w:p w14:paraId="4EC03195">
                  <w:pPr>
                    <w:pStyle w:val="88"/>
                    <w:keepNext w:val="0"/>
                    <w:keepLines w:val="0"/>
                    <w:suppressLineNumbers w:val="0"/>
                    <w:bidi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深化建筑扬尘专项整治，县城及城市规划建设用地范围内建筑工地全面做到“六个百分之百”和“两个全覆盖”。实施城市土地硬化和复绿。加强道路扬尘综合整治。</w:t>
                  </w:r>
                </w:p>
              </w:tc>
              <w:tc>
                <w:tcPr>
                  <w:tcW w:w="1583" w:type="pct"/>
                  <w:tcBorders>
                    <w:tl2br w:val="nil"/>
                    <w:tr2bl w:val="nil"/>
                  </w:tcBorders>
                  <w:shd w:val="clear" w:color="auto" w:fill="auto"/>
                  <w:vAlign w:val="center"/>
                </w:tcPr>
                <w:p w14:paraId="5C70E1BC">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bidi="en-US"/>
                    </w:rPr>
                    <w:t>本</w:t>
                  </w:r>
                  <w:r>
                    <w:rPr>
                      <w:rFonts w:hint="eastAsia" w:ascii="Times New Roman" w:hAnsi="Times New Roman" w:eastAsia="宋体" w:cs="Times New Roman"/>
                      <w:color w:val="auto"/>
                      <w:sz w:val="21"/>
                      <w:szCs w:val="21"/>
                      <w:highlight w:val="none"/>
                      <w:lang w:val="en-US" w:eastAsia="zh-CN" w:bidi="en-US"/>
                    </w:rPr>
                    <w:t>项目</w:t>
                  </w:r>
                  <w:r>
                    <w:rPr>
                      <w:rFonts w:hint="default" w:ascii="Times New Roman" w:hAnsi="Times New Roman" w:eastAsia="宋体" w:cs="Times New Roman"/>
                      <w:color w:val="auto"/>
                      <w:sz w:val="21"/>
                      <w:szCs w:val="21"/>
                      <w:highlight w:val="none"/>
                      <w:lang w:bidi="en-US"/>
                    </w:rPr>
                    <w:t>施工期间严格执行《河北省建筑施工扬尘防治标准》，按照文中要求开展施工工作</w:t>
                  </w:r>
                  <w:r>
                    <w:rPr>
                      <w:rFonts w:hint="eastAsia" w:ascii="Times New Roman" w:hAnsi="Times New Roman" w:eastAsia="宋体" w:cs="Times New Roman"/>
                      <w:color w:val="auto"/>
                      <w:sz w:val="21"/>
                      <w:szCs w:val="21"/>
                      <w:highlight w:val="none"/>
                      <w:lang w:eastAsia="zh-CN" w:bidi="en-US"/>
                    </w:rPr>
                    <w:t>。</w:t>
                  </w:r>
                </w:p>
              </w:tc>
              <w:tc>
                <w:tcPr>
                  <w:tcW w:w="510" w:type="pct"/>
                  <w:tcBorders>
                    <w:tl2br w:val="nil"/>
                    <w:tr2bl w:val="nil"/>
                  </w:tcBorders>
                  <w:shd w:val="clear" w:color="auto" w:fill="auto"/>
                  <w:vAlign w:val="center"/>
                </w:tcPr>
                <w:p w14:paraId="01C03B39">
                  <w:pPr>
                    <w:spacing w:line="0" w:lineRule="atLeast"/>
                    <w:jc w:val="center"/>
                    <w:rPr>
                      <w:rFonts w:hint="eastAsia"/>
                      <w:szCs w:val="21"/>
                      <w:highlight w:val="none"/>
                    </w:rPr>
                  </w:pPr>
                  <w:r>
                    <w:rPr>
                      <w:rFonts w:hint="eastAsia"/>
                      <w:szCs w:val="21"/>
                      <w:highlight w:val="none"/>
                    </w:rPr>
                    <w:t>符合</w:t>
                  </w:r>
                </w:p>
              </w:tc>
            </w:tr>
            <w:tr w14:paraId="3D8CAA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4F9E7B43">
                  <w:pPr>
                    <w:spacing w:line="0" w:lineRule="atLeast"/>
                    <w:jc w:val="center"/>
                    <w:rPr>
                      <w:szCs w:val="21"/>
                      <w:highlight w:val="none"/>
                    </w:rPr>
                  </w:pPr>
                </w:p>
              </w:tc>
              <w:tc>
                <w:tcPr>
                  <w:tcW w:w="2424" w:type="pct"/>
                  <w:tcBorders>
                    <w:tl2br w:val="nil"/>
                    <w:tr2bl w:val="nil"/>
                  </w:tcBorders>
                  <w:shd w:val="clear" w:color="auto" w:fill="auto"/>
                  <w:vAlign w:val="center"/>
                </w:tcPr>
                <w:p w14:paraId="3EA84C6F">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bidi="en-US"/>
                    </w:rPr>
                    <w:t>加快重点行业超低排放改造。深入实施工业企业排放达标计划，未达标排放的企业一律依法停产整治。以钢铁、焦化等行业为重点，全面实施超低排放改造。实施重点行业环保“领跑者制度，推进工业企业“持证排污”、“按证排污”，推行企业排放绩效管理、企业排放信息强制性披露和环境信用评价制度。</w:t>
                  </w:r>
                </w:p>
              </w:tc>
              <w:tc>
                <w:tcPr>
                  <w:tcW w:w="1583" w:type="pct"/>
                  <w:tcBorders>
                    <w:tl2br w:val="nil"/>
                    <w:tr2bl w:val="nil"/>
                  </w:tcBorders>
                  <w:shd w:val="clear" w:color="auto" w:fill="auto"/>
                  <w:vAlign w:val="center"/>
                </w:tcPr>
                <w:p w14:paraId="01060F45">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本</w:t>
                  </w:r>
                  <w:r>
                    <w:rPr>
                      <w:rFonts w:hint="eastAsia"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color w:val="auto"/>
                      <w:sz w:val="21"/>
                      <w:szCs w:val="21"/>
                      <w:highlight w:val="none"/>
                    </w:rPr>
                    <w:t>废气污染源均满足</w:t>
                  </w:r>
                  <w:r>
                    <w:rPr>
                      <w:rFonts w:hint="eastAsia" w:eastAsia="宋体" w:cs="Times New Roman"/>
                      <w:color w:val="auto"/>
                      <w:sz w:val="21"/>
                      <w:szCs w:val="21"/>
                      <w:highlight w:val="none"/>
                      <w:lang w:val="en-US" w:eastAsia="zh-CN"/>
                    </w:rPr>
                    <w:t>相应标准</w:t>
                  </w:r>
                  <w:r>
                    <w:rPr>
                      <w:rFonts w:hint="default" w:ascii="Times New Roman" w:hAnsi="Times New Roman" w:eastAsia="宋体" w:cs="Times New Roman"/>
                      <w:color w:val="auto"/>
                      <w:sz w:val="21"/>
                      <w:szCs w:val="21"/>
                      <w:highlight w:val="none"/>
                    </w:rPr>
                    <w:t>及唐山市更严格的管控</w:t>
                  </w:r>
                  <w:r>
                    <w:rPr>
                      <w:rFonts w:hint="eastAsia" w:ascii="Times New Roman" w:hAnsi="Times New Roman" w:eastAsia="宋体"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及企业自愿承诺更低的排放限值</w:t>
                  </w:r>
                  <w:r>
                    <w:rPr>
                      <w:rFonts w:hint="default"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5C339FF7">
                  <w:pPr>
                    <w:spacing w:line="0" w:lineRule="atLeast"/>
                    <w:jc w:val="center"/>
                    <w:rPr>
                      <w:rFonts w:hint="eastAsia"/>
                      <w:szCs w:val="21"/>
                      <w:highlight w:val="none"/>
                    </w:rPr>
                  </w:pPr>
                  <w:r>
                    <w:rPr>
                      <w:rFonts w:hint="eastAsia"/>
                      <w:szCs w:val="21"/>
                      <w:highlight w:val="none"/>
                    </w:rPr>
                    <w:t>符合</w:t>
                  </w:r>
                </w:p>
              </w:tc>
            </w:tr>
            <w:tr w14:paraId="7BB64A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190B134D">
                  <w:pPr>
                    <w:spacing w:line="0" w:lineRule="atLeast"/>
                    <w:jc w:val="center"/>
                    <w:rPr>
                      <w:rFonts w:hint="default" w:eastAsia="宋体"/>
                      <w:szCs w:val="21"/>
                      <w:highlight w:val="none"/>
                      <w:lang w:val="en-US" w:eastAsia="zh-CN"/>
                    </w:rPr>
                  </w:pPr>
                  <w:r>
                    <w:rPr>
                      <w:rFonts w:hint="eastAsia"/>
                      <w:szCs w:val="21"/>
                      <w:highlight w:val="none"/>
                      <w:lang w:val="en-US" w:eastAsia="zh-CN"/>
                    </w:rPr>
                    <w:t>资源开发利用</w:t>
                  </w:r>
                </w:p>
              </w:tc>
              <w:tc>
                <w:tcPr>
                  <w:tcW w:w="2424" w:type="pct"/>
                  <w:tcBorders>
                    <w:tl2br w:val="nil"/>
                    <w:tr2bl w:val="nil"/>
                  </w:tcBorders>
                  <w:shd w:val="clear" w:color="auto" w:fill="auto"/>
                  <w:vAlign w:val="center"/>
                </w:tcPr>
                <w:p w14:paraId="6D586D9C">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en-US"/>
                    </w:rPr>
                    <w:t>对新增耗煤项目实施减量替代。</w:t>
                  </w:r>
                </w:p>
              </w:tc>
              <w:tc>
                <w:tcPr>
                  <w:tcW w:w="1583" w:type="pct"/>
                  <w:tcBorders>
                    <w:tl2br w:val="nil"/>
                    <w:tr2bl w:val="nil"/>
                  </w:tcBorders>
                  <w:shd w:val="clear" w:color="auto" w:fill="auto"/>
                  <w:vAlign w:val="center"/>
                </w:tcPr>
                <w:p w14:paraId="0A066A98">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en-US"/>
                    </w:rPr>
                  </w:pPr>
                  <w:r>
                    <w:rPr>
                      <w:rFonts w:hint="eastAsia" w:cs="Times New Roman"/>
                      <w:color w:val="auto"/>
                      <w:sz w:val="21"/>
                      <w:szCs w:val="21"/>
                      <w:highlight w:val="none"/>
                      <w:lang w:val="en-US" w:eastAsia="zh-CN" w:bidi="en-US"/>
                    </w:rPr>
                    <w:t>本</w:t>
                  </w:r>
                  <w:r>
                    <w:rPr>
                      <w:rFonts w:hint="eastAsia" w:ascii="Times New Roman" w:hAnsi="Times New Roman" w:eastAsia="宋体" w:cs="Times New Roman"/>
                      <w:color w:val="auto"/>
                      <w:sz w:val="21"/>
                      <w:szCs w:val="21"/>
                      <w:highlight w:val="none"/>
                      <w:lang w:val="en-US" w:eastAsia="zh-CN" w:bidi="en-US"/>
                    </w:rPr>
                    <w:t>项目不涉及用煤</w:t>
                  </w:r>
                  <w:r>
                    <w:rPr>
                      <w:rFonts w:hint="eastAsia" w:cs="Times New Roman"/>
                      <w:color w:val="auto"/>
                      <w:sz w:val="21"/>
                      <w:szCs w:val="21"/>
                      <w:highlight w:val="none"/>
                      <w:lang w:val="en-US" w:eastAsia="zh-CN" w:bidi="en-US"/>
                    </w:rPr>
                    <w:t>。</w:t>
                  </w:r>
                </w:p>
              </w:tc>
              <w:tc>
                <w:tcPr>
                  <w:tcW w:w="510" w:type="pct"/>
                  <w:tcBorders>
                    <w:tl2br w:val="nil"/>
                    <w:tr2bl w:val="nil"/>
                  </w:tcBorders>
                  <w:shd w:val="clear" w:color="auto" w:fill="auto"/>
                  <w:vAlign w:val="center"/>
                </w:tcPr>
                <w:p w14:paraId="4D3F0364">
                  <w:pPr>
                    <w:spacing w:line="0" w:lineRule="atLeast"/>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rPr>
                    <w:t>符合</w:t>
                  </w:r>
                </w:p>
              </w:tc>
            </w:tr>
            <w:tr w14:paraId="7E864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1573E5E6">
                  <w:pPr>
                    <w:spacing w:line="0" w:lineRule="atLeast"/>
                    <w:jc w:val="center"/>
                    <w:rPr>
                      <w:szCs w:val="21"/>
                      <w:highlight w:val="none"/>
                    </w:rPr>
                  </w:pPr>
                </w:p>
              </w:tc>
              <w:tc>
                <w:tcPr>
                  <w:tcW w:w="2424" w:type="pct"/>
                  <w:tcBorders>
                    <w:tl2br w:val="nil"/>
                    <w:tr2bl w:val="nil"/>
                  </w:tcBorders>
                  <w:shd w:val="clear" w:color="auto" w:fill="auto"/>
                  <w:vAlign w:val="center"/>
                </w:tcPr>
                <w:p w14:paraId="13FD0B9F">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en-US"/>
                    </w:rPr>
                    <w:t>提高能源利用效率。实施能源消耗总量和强度双控行动。健全节能标准体系，大力开发推广节能高效技术和产品，实现重点用能行业、设备节能标准全覆盖。</w:t>
                  </w:r>
                </w:p>
              </w:tc>
              <w:tc>
                <w:tcPr>
                  <w:tcW w:w="1583" w:type="pct"/>
                  <w:tcBorders>
                    <w:tl2br w:val="nil"/>
                    <w:tr2bl w:val="nil"/>
                  </w:tcBorders>
                  <w:shd w:val="clear" w:color="auto" w:fill="auto"/>
                  <w:vAlign w:val="center"/>
                </w:tcPr>
                <w:p w14:paraId="263F1C70">
                  <w:pPr>
                    <w:pStyle w:val="8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en-US"/>
                    </w:rPr>
                  </w:pPr>
                  <w:r>
                    <w:rPr>
                      <w:rFonts w:hint="eastAsia" w:cs="Times New Roman"/>
                      <w:color w:val="auto"/>
                      <w:sz w:val="21"/>
                      <w:szCs w:val="21"/>
                      <w:highlight w:val="none"/>
                      <w:lang w:val="en-US" w:eastAsia="zh-CN" w:bidi="en-US"/>
                    </w:rPr>
                    <w:t>本</w:t>
                  </w:r>
                  <w:r>
                    <w:rPr>
                      <w:rFonts w:hint="eastAsia" w:ascii="Times New Roman" w:hAnsi="Times New Roman" w:eastAsia="宋体" w:cs="Times New Roman"/>
                      <w:color w:val="auto"/>
                      <w:sz w:val="21"/>
                      <w:szCs w:val="21"/>
                      <w:highlight w:val="none"/>
                      <w:lang w:val="en-US" w:eastAsia="zh-CN" w:bidi="en-US"/>
                    </w:rPr>
                    <w:t>项目利用煤矸石的热值，提高了能源利用效率</w:t>
                  </w:r>
                  <w:r>
                    <w:rPr>
                      <w:rFonts w:hint="default" w:ascii="Times New Roman" w:hAnsi="Times New Roman" w:eastAsia="宋体" w:cs="Times New Roman"/>
                      <w:color w:val="auto"/>
                      <w:sz w:val="21"/>
                      <w:szCs w:val="21"/>
                      <w:highlight w:val="none"/>
                      <w:lang w:val="en-US" w:eastAsia="zh-CN" w:bidi="en-US"/>
                    </w:rPr>
                    <w:t>。</w:t>
                  </w:r>
                </w:p>
              </w:tc>
              <w:tc>
                <w:tcPr>
                  <w:tcW w:w="510" w:type="pct"/>
                  <w:tcBorders>
                    <w:tl2br w:val="nil"/>
                    <w:tr2bl w:val="nil"/>
                  </w:tcBorders>
                  <w:shd w:val="clear" w:color="auto" w:fill="auto"/>
                  <w:vAlign w:val="center"/>
                </w:tcPr>
                <w:p w14:paraId="74EA3025">
                  <w:pPr>
                    <w:spacing w:line="0" w:lineRule="atLeast"/>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rPr>
                    <w:t>符合</w:t>
                  </w:r>
                </w:p>
              </w:tc>
            </w:tr>
            <w:tr w14:paraId="62B78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611BBE06">
                  <w:pPr>
                    <w:spacing w:line="0" w:lineRule="atLeast"/>
                    <w:rPr>
                      <w:szCs w:val="21"/>
                      <w:highlight w:val="none"/>
                    </w:rPr>
                  </w:pPr>
                  <w:r>
                    <w:rPr>
                      <w:rFonts w:hint="eastAsia"/>
                      <w:b/>
                      <w:bCs/>
                      <w:szCs w:val="21"/>
                      <w:highlight w:val="none"/>
                      <w:lang w:val="en-US" w:eastAsia="zh-CN"/>
                    </w:rPr>
                    <w:t>五</w:t>
                  </w:r>
                  <w:r>
                    <w:rPr>
                      <w:rFonts w:hint="eastAsia"/>
                      <w:b/>
                      <w:bCs/>
                      <w:szCs w:val="21"/>
                      <w:highlight w:val="none"/>
                    </w:rPr>
                    <w:t>、</w:t>
                  </w:r>
                  <w:r>
                    <w:rPr>
                      <w:rFonts w:hint="eastAsia"/>
                      <w:b/>
                      <w:bCs/>
                      <w:szCs w:val="21"/>
                      <w:highlight w:val="none"/>
                      <w:lang w:val="en-US" w:eastAsia="zh-CN"/>
                    </w:rPr>
                    <w:t>全市</w:t>
                  </w:r>
                  <w:r>
                    <w:rPr>
                      <w:rFonts w:hint="eastAsia"/>
                      <w:b/>
                      <w:bCs/>
                      <w:szCs w:val="21"/>
                      <w:highlight w:val="none"/>
                    </w:rPr>
                    <w:t>地表水环境总体管控相关要求</w:t>
                  </w:r>
                </w:p>
              </w:tc>
            </w:tr>
            <w:tr w14:paraId="0528B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6A415AC7">
                  <w:pPr>
                    <w:spacing w:line="0" w:lineRule="atLeast"/>
                    <w:jc w:val="center"/>
                    <w:rPr>
                      <w:szCs w:val="21"/>
                      <w:highlight w:val="none"/>
                    </w:rPr>
                  </w:pPr>
                  <w:r>
                    <w:rPr>
                      <w:rFonts w:hint="default" w:ascii="Times New Roman" w:hAnsi="Times New Roman" w:eastAsia="宋体" w:cs="Times New Roman"/>
                      <w:color w:val="auto"/>
                      <w:sz w:val="21"/>
                      <w:szCs w:val="21"/>
                      <w:highlight w:val="none"/>
                    </w:rPr>
                    <w:t>污染物排放管控</w:t>
                  </w:r>
                </w:p>
              </w:tc>
              <w:tc>
                <w:tcPr>
                  <w:tcW w:w="2424" w:type="pct"/>
                  <w:tcBorders>
                    <w:tl2br w:val="nil"/>
                    <w:tr2bl w:val="nil"/>
                  </w:tcBorders>
                  <w:shd w:val="clear" w:color="auto" w:fill="auto"/>
                  <w:vAlign w:val="center"/>
                </w:tcPr>
                <w:p w14:paraId="2F6041BB">
                  <w:pPr>
                    <w:spacing w:line="0" w:lineRule="atLeast"/>
                    <w:jc w:val="center"/>
                    <w:rPr>
                      <w:rFonts w:hint="eastAsia" w:eastAsia="宋体"/>
                      <w:szCs w:val="21"/>
                      <w:highlight w:val="none"/>
                      <w:lang w:eastAsia="zh-CN"/>
                    </w:rPr>
                  </w:pPr>
                  <w:r>
                    <w:rPr>
                      <w:rFonts w:hint="default" w:ascii="Times New Roman" w:hAnsi="Times New Roman" w:eastAsia="宋体" w:cs="Times New Roman"/>
                      <w:color w:val="auto"/>
                      <w:sz w:val="21"/>
                      <w:szCs w:val="21"/>
                      <w:highlight w:val="none"/>
                      <w:lang w:bidi="en-US"/>
                    </w:rPr>
                    <w:t>强化工业污水限期达标整治。推进废水直排外环境的工业企业全面达标排放。强化入河排污口监督管理，推动入河排污口规范化建设，取缔非法入河排污口。加大超标排放整治力度，对超标和超总量的企业依法查处</w:t>
                  </w:r>
                  <w:r>
                    <w:rPr>
                      <w:rFonts w:hint="eastAsia" w:cs="Times New Roman"/>
                      <w:color w:val="auto"/>
                      <w:sz w:val="21"/>
                      <w:szCs w:val="21"/>
                      <w:highlight w:val="none"/>
                      <w:lang w:eastAsia="zh-CN" w:bidi="en-US"/>
                    </w:rPr>
                    <w:t>。</w:t>
                  </w:r>
                </w:p>
              </w:tc>
              <w:tc>
                <w:tcPr>
                  <w:tcW w:w="1583" w:type="pct"/>
                  <w:tcBorders>
                    <w:tl2br w:val="nil"/>
                    <w:tr2bl w:val="nil"/>
                  </w:tcBorders>
                  <w:shd w:val="clear" w:color="auto" w:fill="auto"/>
                  <w:vAlign w:val="center"/>
                </w:tcPr>
                <w:p w14:paraId="0F6F21CF">
                  <w:pPr>
                    <w:spacing w:line="0" w:lineRule="atLeast"/>
                    <w:jc w:val="center"/>
                    <w:rPr>
                      <w:rFonts w:hint="eastAsia" w:eastAsia="宋体"/>
                      <w:szCs w:val="21"/>
                      <w:highlight w:val="none"/>
                      <w:lang w:val="en-US" w:eastAsia="zh-CN"/>
                    </w:rPr>
                  </w:pPr>
                  <w:r>
                    <w:rPr>
                      <w:rFonts w:hint="eastAsia" w:ascii="Times New Roman" w:hAnsi="Times New Roman" w:eastAsia="宋体" w:cs="Times New Roman"/>
                      <w:color w:val="auto"/>
                      <w:sz w:val="21"/>
                      <w:szCs w:val="21"/>
                      <w:highlight w:val="none"/>
                      <w:lang w:val="en-US" w:eastAsia="zh-CN" w:bidi="en-US"/>
                    </w:rPr>
                    <w:t>本项目</w:t>
                  </w:r>
                  <w:r>
                    <w:rPr>
                      <w:rFonts w:hint="eastAsia" w:cs="Times New Roman"/>
                      <w:color w:val="auto"/>
                      <w:sz w:val="21"/>
                      <w:szCs w:val="21"/>
                      <w:highlight w:val="none"/>
                      <w:lang w:val="en-US" w:eastAsia="zh-CN" w:bidi="en-US"/>
                    </w:rPr>
                    <w:t>无</w:t>
                  </w:r>
                  <w:r>
                    <w:rPr>
                      <w:rFonts w:hint="default" w:ascii="Times New Roman" w:hAnsi="Times New Roman" w:eastAsia="宋体" w:cs="Times New Roman"/>
                      <w:color w:val="auto"/>
                      <w:sz w:val="21"/>
                      <w:szCs w:val="21"/>
                      <w:highlight w:val="none"/>
                      <w:lang w:bidi="en-US"/>
                    </w:rPr>
                    <w:t>废水</w:t>
                  </w:r>
                  <w:r>
                    <w:rPr>
                      <w:rFonts w:hint="eastAsia" w:ascii="Times New Roman" w:hAnsi="Times New Roman" w:eastAsia="宋体" w:cs="Times New Roman"/>
                      <w:color w:val="auto"/>
                      <w:sz w:val="21"/>
                      <w:szCs w:val="21"/>
                      <w:highlight w:val="none"/>
                      <w:lang w:val="en-US" w:eastAsia="zh-CN" w:bidi="en-US"/>
                    </w:rPr>
                    <w:t>外排</w:t>
                  </w:r>
                  <w:r>
                    <w:rPr>
                      <w:rFonts w:hint="eastAsia" w:cs="Times New Roman"/>
                      <w:color w:val="auto"/>
                      <w:sz w:val="21"/>
                      <w:szCs w:val="21"/>
                      <w:highlight w:val="none"/>
                      <w:lang w:eastAsia="zh-CN" w:bidi="en-US"/>
                    </w:rPr>
                    <w:t>。</w:t>
                  </w:r>
                </w:p>
              </w:tc>
              <w:tc>
                <w:tcPr>
                  <w:tcW w:w="510" w:type="pct"/>
                  <w:tcBorders>
                    <w:tl2br w:val="nil"/>
                    <w:tr2bl w:val="nil"/>
                  </w:tcBorders>
                  <w:shd w:val="clear" w:color="auto" w:fill="auto"/>
                  <w:vAlign w:val="center"/>
                </w:tcPr>
                <w:p w14:paraId="30052B93">
                  <w:pPr>
                    <w:spacing w:line="0" w:lineRule="atLeast"/>
                    <w:jc w:val="center"/>
                    <w:rPr>
                      <w:szCs w:val="21"/>
                      <w:highlight w:val="none"/>
                    </w:rPr>
                  </w:pPr>
                  <w:r>
                    <w:rPr>
                      <w:rFonts w:hint="eastAsia"/>
                      <w:szCs w:val="21"/>
                      <w:highlight w:val="none"/>
                    </w:rPr>
                    <w:t>符合</w:t>
                  </w:r>
                </w:p>
              </w:tc>
            </w:tr>
            <w:tr w14:paraId="173935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0FDF5A56">
                  <w:pPr>
                    <w:spacing w:line="0" w:lineRule="atLeast"/>
                    <w:rPr>
                      <w:szCs w:val="21"/>
                      <w:highlight w:val="none"/>
                    </w:rPr>
                  </w:pPr>
                  <w:r>
                    <w:rPr>
                      <w:rFonts w:hint="eastAsia"/>
                      <w:b/>
                      <w:bCs/>
                      <w:szCs w:val="21"/>
                      <w:highlight w:val="none"/>
                      <w:lang w:val="en-US" w:eastAsia="zh-CN"/>
                    </w:rPr>
                    <w:t>六</w:t>
                  </w:r>
                  <w:r>
                    <w:rPr>
                      <w:rFonts w:hint="eastAsia"/>
                      <w:b/>
                      <w:bCs/>
                      <w:szCs w:val="21"/>
                      <w:highlight w:val="none"/>
                    </w:rPr>
                    <w:t>、土壤及地下水风险防控总体管控相关要求</w:t>
                  </w:r>
                </w:p>
              </w:tc>
            </w:tr>
            <w:tr w14:paraId="49D29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254EC7DB">
                  <w:pPr>
                    <w:spacing w:line="0" w:lineRule="atLeast"/>
                    <w:jc w:val="center"/>
                    <w:rPr>
                      <w:rFonts w:hint="default" w:eastAsia="宋体"/>
                      <w:szCs w:val="21"/>
                      <w:highlight w:val="none"/>
                      <w:lang w:val="en-US" w:eastAsia="zh-CN"/>
                    </w:rPr>
                  </w:pPr>
                  <w:r>
                    <w:rPr>
                      <w:rFonts w:hint="eastAsia"/>
                      <w:szCs w:val="21"/>
                      <w:highlight w:val="none"/>
                      <w:lang w:val="en-US" w:eastAsia="zh-CN"/>
                    </w:rPr>
                    <w:t>空间布局约束</w:t>
                  </w:r>
                </w:p>
              </w:tc>
              <w:tc>
                <w:tcPr>
                  <w:tcW w:w="2424" w:type="pct"/>
                  <w:tcBorders>
                    <w:tl2br w:val="nil"/>
                    <w:tr2bl w:val="nil"/>
                  </w:tcBorders>
                  <w:shd w:val="clear" w:color="auto" w:fill="auto"/>
                  <w:vAlign w:val="center"/>
                </w:tcPr>
                <w:p w14:paraId="659C0BCA">
                  <w:pPr>
                    <w:spacing w:line="0" w:lineRule="atLeast"/>
                    <w:jc w:val="center"/>
                    <w:rPr>
                      <w:szCs w:val="21"/>
                      <w:highlight w:val="none"/>
                    </w:rPr>
                  </w:pPr>
                  <w:r>
                    <w:rPr>
                      <w:rFonts w:hint="default" w:ascii="Times New Roman" w:hAnsi="Times New Roman" w:eastAsia="宋体" w:cs="Times New Roman"/>
                      <w:color w:val="auto"/>
                      <w:sz w:val="21"/>
                      <w:szCs w:val="21"/>
                      <w:highlight w:val="none"/>
                      <w:lang w:bidi="en-US"/>
                    </w:rPr>
                    <w:t>严格执行相关行业企业布局选址要求，禁止在居民区和学校、医院、疗养院、养老院等单位周边新建、改建、扩建可能造成土壤污染的建设项目。</w:t>
                  </w:r>
                </w:p>
              </w:tc>
              <w:tc>
                <w:tcPr>
                  <w:tcW w:w="1583" w:type="pct"/>
                  <w:tcBorders>
                    <w:tl2br w:val="nil"/>
                    <w:tr2bl w:val="nil"/>
                  </w:tcBorders>
                  <w:shd w:val="clear" w:color="auto" w:fill="auto"/>
                  <w:vAlign w:val="center"/>
                </w:tcPr>
                <w:p w14:paraId="05613E23">
                  <w:pPr>
                    <w:spacing w:line="0" w:lineRule="atLeast"/>
                    <w:jc w:val="center"/>
                    <w:rPr>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eastAsia="zh-CN"/>
                    </w:rPr>
                    <w:t>项目</w:t>
                  </w:r>
                  <w:r>
                    <w:rPr>
                      <w:rFonts w:hint="eastAsia" w:ascii="Times New Roman" w:hAnsi="Times New Roman" w:eastAsia="宋体" w:cs="Times New Roman"/>
                      <w:color w:val="auto"/>
                      <w:sz w:val="21"/>
                      <w:szCs w:val="21"/>
                      <w:highlight w:val="none"/>
                      <w:lang w:val="en-US" w:eastAsia="zh-CN"/>
                    </w:rPr>
                    <w:t>厂区进行分区防渗处理，并制定了土壤自行监测计划，定期对周边土壤进行监测</w:t>
                  </w:r>
                  <w:r>
                    <w:rPr>
                      <w:rFonts w:hint="eastAsia" w:cs="Times New Roman"/>
                      <w:color w:val="auto"/>
                      <w:sz w:val="21"/>
                      <w:szCs w:val="21"/>
                      <w:highlight w:val="none"/>
                      <w:lang w:eastAsia="zh-CN" w:bidi="en-US"/>
                    </w:rPr>
                    <w:t>。</w:t>
                  </w:r>
                </w:p>
              </w:tc>
              <w:tc>
                <w:tcPr>
                  <w:tcW w:w="510" w:type="pct"/>
                  <w:tcBorders>
                    <w:tl2br w:val="nil"/>
                    <w:tr2bl w:val="nil"/>
                  </w:tcBorders>
                  <w:shd w:val="clear" w:color="auto" w:fill="auto"/>
                  <w:vAlign w:val="center"/>
                </w:tcPr>
                <w:p w14:paraId="56230CE1">
                  <w:pPr>
                    <w:spacing w:line="0" w:lineRule="atLeast"/>
                    <w:jc w:val="center"/>
                    <w:rPr>
                      <w:szCs w:val="21"/>
                      <w:highlight w:val="none"/>
                    </w:rPr>
                  </w:pPr>
                  <w:r>
                    <w:rPr>
                      <w:rFonts w:hint="eastAsia"/>
                      <w:szCs w:val="21"/>
                      <w:highlight w:val="none"/>
                    </w:rPr>
                    <w:t>符合</w:t>
                  </w:r>
                </w:p>
              </w:tc>
            </w:tr>
            <w:tr w14:paraId="06EF3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67E79A3D">
                  <w:pPr>
                    <w:spacing w:line="0" w:lineRule="atLeast"/>
                    <w:jc w:val="center"/>
                    <w:rPr>
                      <w:szCs w:val="21"/>
                      <w:highlight w:val="none"/>
                    </w:rPr>
                  </w:pPr>
                  <w:r>
                    <w:rPr>
                      <w:rFonts w:hint="default" w:ascii="Times New Roman" w:hAnsi="Times New Roman" w:eastAsia="宋体" w:cs="Times New Roman"/>
                      <w:color w:val="auto"/>
                      <w:sz w:val="21"/>
                      <w:szCs w:val="21"/>
                      <w:highlight w:val="none"/>
                      <w:lang w:bidi="en-US"/>
                    </w:rPr>
                    <w:t>污染物排放管控</w:t>
                  </w:r>
                </w:p>
              </w:tc>
              <w:tc>
                <w:tcPr>
                  <w:tcW w:w="2424" w:type="pct"/>
                  <w:tcBorders>
                    <w:tl2br w:val="nil"/>
                    <w:tr2bl w:val="nil"/>
                  </w:tcBorders>
                  <w:shd w:val="clear" w:color="auto" w:fill="auto"/>
                  <w:vAlign w:val="center"/>
                </w:tcPr>
                <w:p w14:paraId="343D8328">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lang w:bidi="en-US"/>
                    </w:rPr>
                    <w:t>严格落实总量控制制度，减少重金属污染物排放。新、改、扩建涉重金属重点行业建设项目，污染物排放实施等量或倍量替换。</w:t>
                  </w:r>
                </w:p>
              </w:tc>
              <w:tc>
                <w:tcPr>
                  <w:tcW w:w="1583" w:type="pct"/>
                  <w:tcBorders>
                    <w:tl2br w:val="nil"/>
                    <w:tr2bl w:val="nil"/>
                  </w:tcBorders>
                  <w:shd w:val="clear" w:color="auto" w:fill="auto"/>
                  <w:vAlign w:val="center"/>
                </w:tcPr>
                <w:p w14:paraId="5C4DDE6F">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bidi="en-US"/>
                    </w:rPr>
                    <w:t>本</w:t>
                  </w:r>
                  <w:r>
                    <w:rPr>
                      <w:rFonts w:hint="eastAsia" w:ascii="Times New Roman" w:hAnsi="Times New Roman" w:eastAsia="宋体" w:cs="Times New Roman"/>
                      <w:color w:val="auto"/>
                      <w:sz w:val="21"/>
                      <w:szCs w:val="21"/>
                      <w:highlight w:val="none"/>
                      <w:lang w:val="en-US" w:eastAsia="zh-CN" w:bidi="en-US"/>
                    </w:rPr>
                    <w:t>项目不属于重金属重点行业，不涉及重金属总量；二氧化硫、氮氧化物已经落实了总量控制制度。</w:t>
                  </w:r>
                </w:p>
              </w:tc>
              <w:tc>
                <w:tcPr>
                  <w:tcW w:w="510" w:type="pct"/>
                  <w:tcBorders>
                    <w:tl2br w:val="nil"/>
                    <w:tr2bl w:val="nil"/>
                  </w:tcBorders>
                  <w:shd w:val="clear" w:color="auto" w:fill="auto"/>
                  <w:vAlign w:val="center"/>
                </w:tcPr>
                <w:p w14:paraId="574979A2">
                  <w:pPr>
                    <w:spacing w:line="0" w:lineRule="atLeast"/>
                    <w:jc w:val="center"/>
                    <w:rPr>
                      <w:szCs w:val="21"/>
                      <w:highlight w:val="none"/>
                    </w:rPr>
                  </w:pPr>
                  <w:r>
                    <w:rPr>
                      <w:rFonts w:hint="eastAsia"/>
                      <w:szCs w:val="21"/>
                      <w:highlight w:val="none"/>
                    </w:rPr>
                    <w:t>符合</w:t>
                  </w:r>
                </w:p>
              </w:tc>
            </w:tr>
            <w:tr w14:paraId="04BBD9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09144CC6">
                  <w:pPr>
                    <w:spacing w:line="0" w:lineRule="atLeast"/>
                    <w:jc w:val="center"/>
                    <w:rPr>
                      <w:rFonts w:hint="eastAsia"/>
                      <w:szCs w:val="21"/>
                      <w:highlight w:val="none"/>
                    </w:rPr>
                  </w:pPr>
                </w:p>
              </w:tc>
              <w:tc>
                <w:tcPr>
                  <w:tcW w:w="2424" w:type="pct"/>
                  <w:tcBorders>
                    <w:tl2br w:val="nil"/>
                    <w:tr2bl w:val="nil"/>
                  </w:tcBorders>
                  <w:shd w:val="clear" w:color="auto" w:fill="auto"/>
                  <w:vAlign w:val="center"/>
                </w:tcPr>
                <w:p w14:paraId="737BE2B8">
                  <w:pPr>
                    <w:pStyle w:val="86"/>
                    <w:keepNext w:val="0"/>
                    <w:keepLines w:val="0"/>
                    <w:suppressLineNumbers w:val="0"/>
                    <w:spacing w:before="0" w:beforeAutospacing="0" w:after="0" w:afterAutospacing="0"/>
                    <w:ind w:left="0" w:leftChars="0" w:right="0" w:rightChars="0"/>
                    <w:rPr>
                      <w:rFonts w:hint="eastAsia"/>
                      <w:szCs w:val="21"/>
                      <w:highlight w:val="none"/>
                    </w:rPr>
                  </w:pPr>
                  <w:r>
                    <w:rPr>
                      <w:rFonts w:hint="default" w:ascii="Times New Roman" w:hAnsi="Times New Roman" w:eastAsia="宋体" w:cs="Times New Roman"/>
                      <w:color w:val="auto"/>
                      <w:sz w:val="21"/>
                      <w:szCs w:val="21"/>
                      <w:highlight w:val="none"/>
                      <w:lang w:bidi="en-US"/>
                    </w:rPr>
                    <w:t>组织开展工业固体废物堆存场所环境整治，提升大宗固体废物综合利用能力，完善防扬散防流失、防渗漏等设施。推动工业固废综合利用，促进工业固废减量化、资源化。推行生态环境保护综合执法，加强塑料废弃物回收、利用、处置等环节的环境监管，依法查处违法排污等行为全面禁止洋垃圾入境，逐步实现固体废物零进口。</w:t>
                  </w:r>
                </w:p>
              </w:tc>
              <w:tc>
                <w:tcPr>
                  <w:tcW w:w="1583" w:type="pct"/>
                  <w:tcBorders>
                    <w:tl2br w:val="nil"/>
                    <w:tr2bl w:val="nil"/>
                  </w:tcBorders>
                  <w:shd w:val="clear" w:color="auto" w:fill="auto"/>
                  <w:vAlign w:val="center"/>
                </w:tcPr>
                <w:p w14:paraId="59B50473">
                  <w:pPr>
                    <w:pStyle w:val="86"/>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en-US"/>
                    </w:rPr>
                  </w:pPr>
                  <w:r>
                    <w:rPr>
                      <w:rFonts w:hint="eastAsia" w:cs="Times New Roman"/>
                      <w:color w:val="auto"/>
                      <w:sz w:val="21"/>
                      <w:szCs w:val="21"/>
                      <w:highlight w:val="none"/>
                      <w:lang w:val="en-US" w:eastAsia="zh-CN" w:bidi="en-US"/>
                    </w:rPr>
                    <w:t>本</w:t>
                  </w:r>
                  <w:r>
                    <w:rPr>
                      <w:rFonts w:hint="default" w:ascii="Times New Roman" w:hAnsi="Times New Roman" w:eastAsia="宋体" w:cs="Times New Roman"/>
                      <w:color w:val="auto"/>
                      <w:sz w:val="21"/>
                      <w:szCs w:val="21"/>
                      <w:highlight w:val="none"/>
                      <w:lang w:bidi="en-US"/>
                    </w:rPr>
                    <w:t>项目产生的固废均得到了妥善处置</w:t>
                  </w:r>
                  <w:r>
                    <w:rPr>
                      <w:rFonts w:hint="eastAsia" w:ascii="Times New Roman" w:hAnsi="Times New Roman" w:eastAsia="宋体" w:cs="Times New Roman"/>
                      <w:color w:val="auto"/>
                      <w:sz w:val="21"/>
                      <w:szCs w:val="21"/>
                      <w:highlight w:val="none"/>
                      <w:lang w:eastAsia="zh-CN" w:bidi="en-US"/>
                    </w:rPr>
                    <w:t>。</w:t>
                  </w:r>
                </w:p>
              </w:tc>
              <w:tc>
                <w:tcPr>
                  <w:tcW w:w="510" w:type="pct"/>
                  <w:tcBorders>
                    <w:tl2br w:val="nil"/>
                    <w:tr2bl w:val="nil"/>
                  </w:tcBorders>
                  <w:shd w:val="clear" w:color="auto" w:fill="auto"/>
                  <w:vAlign w:val="center"/>
                </w:tcPr>
                <w:p w14:paraId="3412E48D">
                  <w:pPr>
                    <w:spacing w:line="0" w:lineRule="atLeast"/>
                    <w:jc w:val="center"/>
                    <w:rPr>
                      <w:rFonts w:hint="eastAsia"/>
                      <w:szCs w:val="21"/>
                      <w:highlight w:val="none"/>
                    </w:rPr>
                  </w:pPr>
                  <w:r>
                    <w:rPr>
                      <w:rFonts w:hint="eastAsia"/>
                      <w:szCs w:val="21"/>
                      <w:highlight w:val="none"/>
                    </w:rPr>
                    <w:t>符合</w:t>
                  </w:r>
                </w:p>
              </w:tc>
            </w:tr>
            <w:tr w14:paraId="2297F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79FB68B8">
                  <w:pPr>
                    <w:pStyle w:val="86"/>
                    <w:keepNext w:val="0"/>
                    <w:keepLines w:val="0"/>
                    <w:suppressLineNumbers w:val="0"/>
                    <w:spacing w:before="0" w:beforeAutospacing="0" w:after="0" w:afterAutospacing="0"/>
                    <w:ind w:left="0" w:leftChars="0" w:right="0" w:rightChars="0"/>
                    <w:rPr>
                      <w:rFonts w:hint="eastAsia"/>
                      <w:szCs w:val="21"/>
                      <w:highlight w:val="none"/>
                    </w:rPr>
                  </w:pPr>
                  <w:r>
                    <w:rPr>
                      <w:rFonts w:hint="default" w:ascii="Times New Roman" w:hAnsi="Times New Roman" w:eastAsia="宋体" w:cs="Times New Roman"/>
                      <w:color w:val="auto"/>
                      <w:sz w:val="21"/>
                      <w:szCs w:val="21"/>
                      <w:highlight w:val="none"/>
                      <w:lang w:bidi="en-US"/>
                    </w:rPr>
                    <w:t>环境风险防控</w:t>
                  </w:r>
                </w:p>
              </w:tc>
              <w:tc>
                <w:tcPr>
                  <w:tcW w:w="2424" w:type="pct"/>
                  <w:tcBorders>
                    <w:tl2br w:val="nil"/>
                    <w:tr2bl w:val="nil"/>
                  </w:tcBorders>
                  <w:shd w:val="clear" w:color="auto" w:fill="auto"/>
                  <w:vAlign w:val="center"/>
                </w:tcPr>
                <w:p w14:paraId="24769563">
                  <w:pPr>
                    <w:pStyle w:val="86"/>
                    <w:keepNext w:val="0"/>
                    <w:keepLines w:val="0"/>
                    <w:suppressLineNumbers w:val="0"/>
                    <w:spacing w:before="0" w:beforeAutospacing="0" w:after="0" w:afterAutospacing="0"/>
                    <w:ind w:left="0" w:leftChars="0" w:right="0" w:rightChars="0"/>
                    <w:rPr>
                      <w:rFonts w:hint="eastAsia"/>
                      <w:szCs w:val="21"/>
                      <w:highlight w:val="none"/>
                    </w:rPr>
                  </w:pPr>
                  <w:r>
                    <w:rPr>
                      <w:rFonts w:hint="default" w:ascii="Times New Roman" w:hAnsi="Times New Roman" w:eastAsia="宋体" w:cs="Times New Roman"/>
                      <w:color w:val="auto"/>
                      <w:sz w:val="21"/>
                      <w:szCs w:val="21"/>
                      <w:highlight w:val="none"/>
                      <w:lang w:bidi="en-US"/>
                    </w:rPr>
                    <w:t>产生、收集、贮存、运输、利用、处置危险废物的单位，应当依法制定意外事故的防范措施和应急预案，并向所在地生态环境主管部门和其他负有固体废物污染环境防治监督管理职责的部门备案。</w:t>
                  </w:r>
                </w:p>
              </w:tc>
              <w:tc>
                <w:tcPr>
                  <w:tcW w:w="1583" w:type="pct"/>
                  <w:tcBorders>
                    <w:tl2br w:val="nil"/>
                    <w:tr2bl w:val="nil"/>
                  </w:tcBorders>
                  <w:shd w:val="clear" w:color="auto" w:fill="auto"/>
                  <w:vAlign w:val="center"/>
                </w:tcPr>
                <w:p w14:paraId="72698DBB">
                  <w:pPr>
                    <w:pStyle w:val="86"/>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en-US"/>
                    </w:rPr>
                  </w:pPr>
                  <w:r>
                    <w:rPr>
                      <w:rFonts w:hint="eastAsia" w:ascii="Times New Roman" w:hAnsi="Times New Roman" w:eastAsia="宋体" w:cs="Times New Roman"/>
                      <w:color w:val="auto"/>
                      <w:sz w:val="21"/>
                      <w:szCs w:val="21"/>
                      <w:highlight w:val="none"/>
                      <w:lang w:val="en-US" w:eastAsia="zh-CN" w:bidi="en-US"/>
                    </w:rPr>
                    <w:t>已</w:t>
                  </w:r>
                  <w:r>
                    <w:rPr>
                      <w:rFonts w:hint="default" w:ascii="Times New Roman" w:hAnsi="Times New Roman" w:eastAsia="宋体" w:cs="Times New Roman"/>
                      <w:color w:val="auto"/>
                      <w:sz w:val="21"/>
                      <w:szCs w:val="21"/>
                      <w:highlight w:val="none"/>
                      <w:lang w:bidi="en-US"/>
                    </w:rPr>
                    <w:t>按照相关要求编制应急预案并完成备案</w:t>
                  </w:r>
                  <w:r>
                    <w:rPr>
                      <w:rFonts w:hint="eastAsia" w:ascii="Times New Roman" w:hAnsi="Times New Roman" w:eastAsia="宋体" w:cs="Times New Roman"/>
                      <w:color w:val="auto"/>
                      <w:sz w:val="21"/>
                      <w:szCs w:val="21"/>
                      <w:highlight w:val="none"/>
                      <w:lang w:eastAsia="zh-CN" w:bidi="en-US"/>
                    </w:rPr>
                    <w:t>。</w:t>
                  </w:r>
                  <w:r>
                    <w:rPr>
                      <w:rFonts w:hint="eastAsia" w:cs="Times New Roman"/>
                      <w:color w:val="auto"/>
                      <w:sz w:val="21"/>
                      <w:szCs w:val="21"/>
                      <w:highlight w:val="none"/>
                      <w:lang w:val="en-US" w:eastAsia="zh-CN" w:bidi="en-US"/>
                    </w:rPr>
                    <w:t>本</w:t>
                  </w:r>
                  <w:r>
                    <w:rPr>
                      <w:rFonts w:hint="eastAsia" w:ascii="Times New Roman" w:hAnsi="Times New Roman" w:eastAsia="宋体" w:cs="Times New Roman"/>
                      <w:color w:val="auto"/>
                      <w:sz w:val="21"/>
                      <w:szCs w:val="21"/>
                      <w:highlight w:val="none"/>
                      <w:lang w:val="en-US" w:eastAsia="zh-CN" w:bidi="en-US"/>
                    </w:rPr>
                    <w:t>项目建成后及时更新应急预案。</w:t>
                  </w:r>
                </w:p>
              </w:tc>
              <w:tc>
                <w:tcPr>
                  <w:tcW w:w="510" w:type="pct"/>
                  <w:tcBorders>
                    <w:tl2br w:val="nil"/>
                    <w:tr2bl w:val="nil"/>
                  </w:tcBorders>
                  <w:shd w:val="clear" w:color="auto" w:fill="auto"/>
                  <w:vAlign w:val="center"/>
                </w:tcPr>
                <w:p w14:paraId="4459082B">
                  <w:pPr>
                    <w:spacing w:line="0" w:lineRule="atLeast"/>
                    <w:jc w:val="center"/>
                    <w:rPr>
                      <w:rFonts w:hint="eastAsia"/>
                      <w:szCs w:val="21"/>
                      <w:highlight w:val="none"/>
                    </w:rPr>
                  </w:pPr>
                  <w:r>
                    <w:rPr>
                      <w:rFonts w:hint="eastAsia"/>
                      <w:szCs w:val="21"/>
                      <w:highlight w:val="none"/>
                    </w:rPr>
                    <w:t>符合</w:t>
                  </w:r>
                </w:p>
              </w:tc>
            </w:tr>
            <w:tr w14:paraId="01F79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61661B7E">
                  <w:pPr>
                    <w:spacing w:line="0" w:lineRule="atLeast"/>
                    <w:rPr>
                      <w:szCs w:val="21"/>
                      <w:highlight w:val="none"/>
                    </w:rPr>
                  </w:pPr>
                  <w:r>
                    <w:rPr>
                      <w:rFonts w:hint="eastAsia"/>
                      <w:b/>
                      <w:bCs/>
                      <w:szCs w:val="21"/>
                      <w:highlight w:val="none"/>
                      <w:lang w:val="en-US" w:eastAsia="zh-CN"/>
                    </w:rPr>
                    <w:t>七</w:t>
                  </w:r>
                  <w:r>
                    <w:rPr>
                      <w:rFonts w:hint="eastAsia"/>
                      <w:b/>
                      <w:bCs/>
                      <w:szCs w:val="21"/>
                      <w:highlight w:val="none"/>
                    </w:rPr>
                    <w:t>、</w:t>
                  </w:r>
                  <w:r>
                    <w:rPr>
                      <w:rFonts w:hint="eastAsia"/>
                      <w:b/>
                      <w:bCs/>
                      <w:szCs w:val="21"/>
                      <w:highlight w:val="none"/>
                      <w:lang w:val="en-US" w:eastAsia="zh-CN"/>
                    </w:rPr>
                    <w:t>全市</w:t>
                  </w:r>
                  <w:r>
                    <w:rPr>
                      <w:rFonts w:hint="eastAsia"/>
                      <w:b/>
                      <w:bCs/>
                      <w:szCs w:val="21"/>
                      <w:highlight w:val="none"/>
                    </w:rPr>
                    <w:t>资源利用总体管控要求</w:t>
                  </w:r>
                </w:p>
              </w:tc>
            </w:tr>
            <w:tr w14:paraId="32FCF0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tcBorders>
                    <w:tl2br w:val="nil"/>
                    <w:tr2bl w:val="nil"/>
                  </w:tcBorders>
                  <w:shd w:val="clear" w:color="auto" w:fill="auto"/>
                  <w:vAlign w:val="center"/>
                </w:tcPr>
                <w:p w14:paraId="703D0997">
                  <w:pPr>
                    <w:spacing w:line="0" w:lineRule="atLeast"/>
                    <w:jc w:val="center"/>
                    <w:rPr>
                      <w:szCs w:val="21"/>
                      <w:highlight w:val="none"/>
                    </w:rPr>
                  </w:pPr>
                  <w:r>
                    <w:rPr>
                      <w:rFonts w:hint="eastAsia" w:cs="Times New Roman"/>
                      <w:color w:val="auto"/>
                      <w:sz w:val="21"/>
                      <w:szCs w:val="21"/>
                      <w:highlight w:val="none"/>
                      <w:lang w:val="en-US" w:eastAsia="zh-CN" w:bidi="en-US"/>
                    </w:rPr>
                    <w:t>水</w:t>
                  </w:r>
                  <w:r>
                    <w:rPr>
                      <w:rFonts w:hint="default" w:ascii="Times New Roman" w:hAnsi="Times New Roman" w:eastAsia="宋体" w:cs="Times New Roman"/>
                      <w:color w:val="auto"/>
                      <w:sz w:val="21"/>
                      <w:szCs w:val="21"/>
                      <w:highlight w:val="none"/>
                      <w:lang w:bidi="en-US"/>
                    </w:rPr>
                    <w:t>资源利用效率要求</w:t>
                  </w:r>
                </w:p>
              </w:tc>
              <w:tc>
                <w:tcPr>
                  <w:tcW w:w="2424" w:type="pct"/>
                  <w:tcBorders>
                    <w:tl2br w:val="nil"/>
                    <w:tr2bl w:val="nil"/>
                  </w:tcBorders>
                  <w:shd w:val="clear" w:color="auto" w:fill="auto"/>
                  <w:vAlign w:val="center"/>
                </w:tcPr>
                <w:p w14:paraId="04B0E1CD">
                  <w:pPr>
                    <w:spacing w:line="0" w:lineRule="atLeast"/>
                    <w:jc w:val="center"/>
                    <w:rPr>
                      <w:szCs w:val="21"/>
                      <w:highlight w:val="none"/>
                    </w:rPr>
                  </w:pPr>
                  <w:r>
                    <w:rPr>
                      <w:rFonts w:hint="default" w:ascii="Times New Roman" w:hAnsi="Times New Roman" w:eastAsia="宋体" w:cs="Times New Roman"/>
                      <w:color w:val="auto"/>
                      <w:sz w:val="21"/>
                      <w:szCs w:val="21"/>
                      <w:highlight w:val="none"/>
                      <w:lang w:bidi="en-US"/>
                    </w:rPr>
                    <w:t>深入开展地下水超采治理。坚持节水优先，统筹推进农业、工业和生活节水；优化配置引滦和本地地表水、再生水，最大程度置换城镇生活、工业和农业取用地下水；统筹防洪安全与雨洪利用，通过水库增蓄、河道拦蓄、坑塘存蓄，增加雨洪调蓄能力；统筹利用外调水和本地水，谋划实施全域治水连通工程生态调水机制；把水资源作为最大的刚性约束，实行最严格的地下水管理制度，严格取水许可审批，持续推进机井关停。</w:t>
                  </w:r>
                </w:p>
              </w:tc>
              <w:tc>
                <w:tcPr>
                  <w:tcW w:w="1583" w:type="pct"/>
                  <w:tcBorders>
                    <w:tl2br w:val="nil"/>
                    <w:tr2bl w:val="nil"/>
                  </w:tcBorders>
                  <w:shd w:val="clear" w:color="auto" w:fill="auto"/>
                  <w:vAlign w:val="center"/>
                </w:tcPr>
                <w:p w14:paraId="32E81667">
                  <w:pPr>
                    <w:spacing w:line="0" w:lineRule="atLeast"/>
                    <w:jc w:val="center"/>
                    <w:rPr>
                      <w:rFonts w:hint="default"/>
                      <w:szCs w:val="21"/>
                      <w:highlight w:val="none"/>
                      <w:lang w:val="en-US"/>
                    </w:rPr>
                  </w:pPr>
                  <w:r>
                    <w:rPr>
                      <w:rFonts w:hint="eastAsia" w:cs="Times New Roman"/>
                      <w:color w:val="auto"/>
                      <w:sz w:val="21"/>
                      <w:szCs w:val="21"/>
                      <w:highlight w:val="none"/>
                      <w:lang w:val="en-US" w:eastAsia="zh-CN"/>
                    </w:rPr>
                    <w:t>滦县翼翔新型建材有限公司已取得取水许可证，项目实施后不会超过许可取水量</w:t>
                  </w:r>
                  <w:r>
                    <w:rPr>
                      <w:rFonts w:hint="eastAsia"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3E9003B2">
                  <w:pPr>
                    <w:spacing w:line="0" w:lineRule="atLeast"/>
                    <w:jc w:val="center"/>
                    <w:rPr>
                      <w:szCs w:val="21"/>
                      <w:highlight w:val="none"/>
                    </w:rPr>
                  </w:pPr>
                  <w:r>
                    <w:rPr>
                      <w:rFonts w:hint="eastAsia"/>
                      <w:szCs w:val="21"/>
                      <w:highlight w:val="none"/>
                    </w:rPr>
                    <w:t>符合</w:t>
                  </w:r>
                </w:p>
              </w:tc>
            </w:tr>
            <w:tr w14:paraId="4A9B3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00973BE1">
                  <w:pPr>
                    <w:spacing w:line="0" w:lineRule="atLeast"/>
                    <w:rPr>
                      <w:szCs w:val="21"/>
                      <w:highlight w:val="none"/>
                    </w:rPr>
                  </w:pPr>
                  <w:r>
                    <w:rPr>
                      <w:rFonts w:hint="eastAsia"/>
                      <w:b/>
                      <w:bCs/>
                      <w:szCs w:val="21"/>
                      <w:highlight w:val="none"/>
                      <w:lang w:val="en-US" w:eastAsia="zh-CN"/>
                    </w:rPr>
                    <w:t>八</w:t>
                  </w:r>
                  <w:r>
                    <w:rPr>
                      <w:rFonts w:hint="eastAsia"/>
                      <w:b/>
                      <w:bCs/>
                      <w:szCs w:val="21"/>
                      <w:highlight w:val="none"/>
                    </w:rPr>
                    <w:t>、产业布局总体管控相关要求</w:t>
                  </w:r>
                </w:p>
              </w:tc>
            </w:tr>
            <w:tr w14:paraId="757F1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79C4146D">
                  <w:pPr>
                    <w:spacing w:line="0" w:lineRule="atLeast"/>
                    <w:jc w:val="center"/>
                    <w:rPr>
                      <w:rFonts w:hint="default" w:eastAsia="宋体"/>
                      <w:szCs w:val="21"/>
                      <w:highlight w:val="none"/>
                      <w:lang w:val="en-US" w:eastAsia="zh-CN"/>
                    </w:rPr>
                  </w:pPr>
                  <w:r>
                    <w:rPr>
                      <w:rFonts w:hint="eastAsia"/>
                      <w:szCs w:val="21"/>
                      <w:highlight w:val="none"/>
                      <w:lang w:val="en-US" w:eastAsia="zh-CN"/>
                    </w:rPr>
                    <w:t>产业总体布局要求</w:t>
                  </w:r>
                </w:p>
              </w:tc>
              <w:tc>
                <w:tcPr>
                  <w:tcW w:w="2424" w:type="pct"/>
                  <w:tcBorders>
                    <w:tl2br w:val="nil"/>
                    <w:tr2bl w:val="nil"/>
                  </w:tcBorders>
                  <w:shd w:val="clear" w:color="auto" w:fill="auto"/>
                  <w:vAlign w:val="center"/>
                </w:tcPr>
                <w:p w14:paraId="74432968">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严格执行《产业结构调整指导目录》《市场准入负面清单》《河北省禁止投资的产业目录》以及《河北省新增限制和淘汰类目录（2015年版）》相关要求。</w:t>
                  </w:r>
                </w:p>
              </w:tc>
              <w:tc>
                <w:tcPr>
                  <w:tcW w:w="1583" w:type="pct"/>
                  <w:tcBorders>
                    <w:tl2br w:val="nil"/>
                    <w:tr2bl w:val="nil"/>
                  </w:tcBorders>
                  <w:shd w:val="clear" w:color="auto" w:fill="auto"/>
                  <w:vAlign w:val="center"/>
                </w:tcPr>
                <w:p w14:paraId="0DE7E696">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rPr>
                    <w:t>项目为《产业结构调整指导目录》（20</w:t>
                  </w:r>
                  <w:r>
                    <w:rPr>
                      <w:rFonts w:hint="default" w:ascii="Times New Roman" w:hAnsi="Times New Roman" w:eastAsia="宋体" w:cs="Times New Roman"/>
                      <w:color w:val="auto"/>
                      <w:sz w:val="21"/>
                      <w:szCs w:val="21"/>
                      <w:highlight w:val="none"/>
                      <w:lang w:val="en-US" w:eastAsia="zh-CN"/>
                    </w:rPr>
                    <w:t>24</w:t>
                  </w:r>
                  <w:r>
                    <w:rPr>
                      <w:rFonts w:hint="default" w:ascii="Times New Roman" w:hAnsi="Times New Roman" w:eastAsia="宋体" w:cs="Times New Roman"/>
                      <w:color w:val="auto"/>
                      <w:sz w:val="21"/>
                      <w:szCs w:val="21"/>
                      <w:highlight w:val="none"/>
                    </w:rPr>
                    <w:t>年）允许项目，不在《市场准入负面清单》《河北省禁止投资的产业目录》之列</w:t>
                  </w:r>
                  <w:r>
                    <w:rPr>
                      <w:rFonts w:hint="eastAsia"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44437A6D">
                  <w:pPr>
                    <w:spacing w:line="0" w:lineRule="atLeast"/>
                    <w:jc w:val="center"/>
                    <w:rPr>
                      <w:szCs w:val="21"/>
                      <w:highlight w:val="none"/>
                    </w:rPr>
                  </w:pPr>
                  <w:r>
                    <w:rPr>
                      <w:rFonts w:hint="eastAsia"/>
                      <w:szCs w:val="21"/>
                      <w:highlight w:val="none"/>
                    </w:rPr>
                    <w:t>符合</w:t>
                  </w:r>
                </w:p>
              </w:tc>
            </w:tr>
            <w:tr w14:paraId="2FC6D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2AE5A6F6">
                  <w:pPr>
                    <w:spacing w:line="0" w:lineRule="atLeast"/>
                    <w:jc w:val="center"/>
                    <w:rPr>
                      <w:szCs w:val="21"/>
                      <w:highlight w:val="none"/>
                    </w:rPr>
                  </w:pPr>
                </w:p>
              </w:tc>
              <w:tc>
                <w:tcPr>
                  <w:tcW w:w="2424" w:type="pct"/>
                  <w:tcBorders>
                    <w:tl2br w:val="nil"/>
                    <w:tr2bl w:val="nil"/>
                  </w:tcBorders>
                  <w:shd w:val="clear" w:color="auto" w:fill="auto"/>
                  <w:vAlign w:val="center"/>
                </w:tcPr>
                <w:p w14:paraId="2F615981">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严格控制生态脆弱或者环境敏感地区建设“两高”行业项目。</w:t>
                  </w:r>
                </w:p>
              </w:tc>
              <w:tc>
                <w:tcPr>
                  <w:tcW w:w="1583" w:type="pct"/>
                  <w:tcBorders>
                    <w:tl2br w:val="nil"/>
                    <w:tr2bl w:val="nil"/>
                  </w:tcBorders>
                  <w:shd w:val="clear" w:color="auto" w:fill="auto"/>
                  <w:vAlign w:val="center"/>
                </w:tcPr>
                <w:p w14:paraId="511BB2B8">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rPr>
                    <w:t>本项目属于资源综合利用项目，不属于两高项目</w:t>
                  </w:r>
                  <w:r>
                    <w:rPr>
                      <w:rFonts w:hint="eastAsia" w:ascii="Times New Roman" w:hAnsi="Times New Roman" w:eastAsia="宋体" w:cs="Times New Roman"/>
                      <w:color w:val="auto"/>
                      <w:sz w:val="21"/>
                      <w:szCs w:val="21"/>
                      <w:highlight w:val="none"/>
                      <w:lang w:eastAsia="zh-CN"/>
                    </w:rPr>
                    <w:t>。</w:t>
                  </w:r>
                </w:p>
              </w:tc>
              <w:tc>
                <w:tcPr>
                  <w:tcW w:w="510" w:type="pct"/>
                  <w:tcBorders>
                    <w:tl2br w:val="nil"/>
                    <w:tr2bl w:val="nil"/>
                  </w:tcBorders>
                  <w:shd w:val="clear" w:color="auto" w:fill="auto"/>
                  <w:vAlign w:val="center"/>
                </w:tcPr>
                <w:p w14:paraId="2034CA0F">
                  <w:pPr>
                    <w:spacing w:line="0" w:lineRule="atLeast"/>
                    <w:jc w:val="center"/>
                    <w:rPr>
                      <w:szCs w:val="21"/>
                      <w:highlight w:val="none"/>
                    </w:rPr>
                  </w:pPr>
                  <w:r>
                    <w:rPr>
                      <w:rFonts w:hint="eastAsia"/>
                      <w:szCs w:val="21"/>
                      <w:highlight w:val="none"/>
                    </w:rPr>
                    <w:t>符合</w:t>
                  </w:r>
                </w:p>
              </w:tc>
            </w:tr>
            <w:tr w14:paraId="000EF3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790D8621">
                  <w:pPr>
                    <w:spacing w:line="0" w:lineRule="atLeast"/>
                    <w:jc w:val="center"/>
                    <w:rPr>
                      <w:szCs w:val="21"/>
                      <w:highlight w:val="none"/>
                    </w:rPr>
                  </w:pPr>
                </w:p>
              </w:tc>
              <w:tc>
                <w:tcPr>
                  <w:tcW w:w="2424" w:type="pct"/>
                  <w:tcBorders>
                    <w:tl2br w:val="nil"/>
                    <w:tr2bl w:val="nil"/>
                  </w:tcBorders>
                  <w:shd w:val="clear" w:color="auto" w:fill="auto"/>
                  <w:vAlign w:val="center"/>
                </w:tcPr>
                <w:p w14:paraId="218327E3">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禁止投资钢铁冶炼、水泥、电解铝、平板玻璃等产能严重过剩行业和炼焦、有色、电石、铁合金等新增产能项目。新、扩、改建项目按照相关规定实行减量置换。新建工业项目入园进区。</w:t>
                  </w:r>
                </w:p>
              </w:tc>
              <w:tc>
                <w:tcPr>
                  <w:tcW w:w="1583" w:type="pct"/>
                  <w:tcBorders>
                    <w:tl2br w:val="nil"/>
                    <w:tr2bl w:val="nil"/>
                  </w:tcBorders>
                  <w:shd w:val="clear" w:color="auto" w:fill="auto"/>
                  <w:vAlign w:val="center"/>
                </w:tcPr>
                <w:p w14:paraId="0F3A9BA1">
                  <w:pPr>
                    <w:pStyle w:val="86"/>
                    <w:keepNext w:val="0"/>
                    <w:keepLines w:val="0"/>
                    <w:suppressLineNumbers w:val="0"/>
                    <w:spacing w:before="0" w:beforeAutospacing="0" w:after="0" w:afterAutospacing="0"/>
                    <w:ind w:left="0" w:leftChars="0" w:right="0" w:rightChars="0"/>
                    <w:rPr>
                      <w:rFonts w:hint="default" w:eastAsia="宋体"/>
                      <w:szCs w:val="21"/>
                      <w:highlight w:val="none"/>
                      <w:lang w:val="en-US" w:eastAsia="zh-CN"/>
                    </w:rPr>
                  </w:pPr>
                  <w:r>
                    <w:rPr>
                      <w:rFonts w:hint="eastAsia" w:cs="Times New Roman"/>
                      <w:color w:val="auto"/>
                      <w:sz w:val="21"/>
                      <w:szCs w:val="21"/>
                      <w:highlight w:val="none"/>
                      <w:lang w:val="en-US" w:eastAsia="zh-CN"/>
                    </w:rPr>
                    <w:t>本</w:t>
                  </w:r>
                  <w:r>
                    <w:rPr>
                      <w:rFonts w:hint="eastAsia" w:ascii="Times New Roman" w:hAnsi="Times New Roman" w:eastAsia="宋体" w:cs="Times New Roman"/>
                      <w:color w:val="auto"/>
                      <w:sz w:val="21"/>
                      <w:szCs w:val="21"/>
                      <w:highlight w:val="none"/>
                      <w:lang w:val="en-US" w:eastAsia="zh-CN"/>
                    </w:rPr>
                    <w:t>项目不涉及。</w:t>
                  </w:r>
                </w:p>
              </w:tc>
              <w:tc>
                <w:tcPr>
                  <w:tcW w:w="510" w:type="pct"/>
                  <w:tcBorders>
                    <w:tl2br w:val="nil"/>
                    <w:tr2bl w:val="nil"/>
                  </w:tcBorders>
                  <w:shd w:val="clear" w:color="auto" w:fill="auto"/>
                  <w:vAlign w:val="center"/>
                </w:tcPr>
                <w:p w14:paraId="3DB32896">
                  <w:pPr>
                    <w:spacing w:line="0" w:lineRule="atLeast"/>
                    <w:jc w:val="center"/>
                    <w:rPr>
                      <w:szCs w:val="21"/>
                      <w:highlight w:val="none"/>
                    </w:rPr>
                  </w:pPr>
                  <w:r>
                    <w:rPr>
                      <w:rFonts w:hint="eastAsia"/>
                      <w:szCs w:val="21"/>
                      <w:highlight w:val="none"/>
                    </w:rPr>
                    <w:t>符合</w:t>
                  </w:r>
                </w:p>
              </w:tc>
            </w:tr>
            <w:tr w14:paraId="158C43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4967853D">
                  <w:pPr>
                    <w:spacing w:line="0" w:lineRule="atLeast"/>
                    <w:jc w:val="center"/>
                    <w:rPr>
                      <w:szCs w:val="21"/>
                      <w:highlight w:val="none"/>
                    </w:rPr>
                  </w:pPr>
                </w:p>
              </w:tc>
              <w:tc>
                <w:tcPr>
                  <w:tcW w:w="2424" w:type="pct"/>
                  <w:tcBorders>
                    <w:tl2br w:val="nil"/>
                    <w:tr2bl w:val="nil"/>
                  </w:tcBorders>
                  <w:shd w:val="clear" w:color="auto" w:fill="auto"/>
                  <w:vAlign w:val="center"/>
                </w:tcPr>
                <w:p w14:paraId="2E11B8D3">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唐山市重要河流沿岸、重要饮用水水源地补给区，严格控制化学原料和化学制品制造、医药制造、制革、造纸、焦化、化学纤维制造、石油加工、纺织印染等项目环境风险，合理布局生产装置及危险化学品仓储等设施。严格控制缺水地区、水污染严重地区和敏感区域高耗水、高污染行业发展。限时完成各县（市、区）建成区内现有钢铁、造纸、石油化工、制革、印染、食品发酵、化工等污染较重企业的搬迁改造或依法关闭。</w:t>
                  </w:r>
                </w:p>
              </w:tc>
              <w:tc>
                <w:tcPr>
                  <w:tcW w:w="1583" w:type="pct"/>
                  <w:tcBorders>
                    <w:tl2br w:val="nil"/>
                    <w:tr2bl w:val="nil"/>
                  </w:tcBorders>
                  <w:shd w:val="clear" w:color="auto" w:fill="auto"/>
                  <w:vAlign w:val="center"/>
                </w:tcPr>
                <w:p w14:paraId="35762113">
                  <w:pPr>
                    <w:pStyle w:val="86"/>
                    <w:keepNext w:val="0"/>
                    <w:keepLines w:val="0"/>
                    <w:suppressLineNumbers w:val="0"/>
                    <w:spacing w:before="0" w:beforeAutospacing="0" w:after="0" w:afterAutospacing="0"/>
                    <w:ind w:left="0" w:leftChars="0" w:right="0" w:rightChars="0"/>
                    <w:rPr>
                      <w:rFonts w:hint="eastAsia" w:eastAsia="宋体"/>
                      <w:szCs w:val="21"/>
                      <w:highlight w:val="none"/>
                      <w:lang w:val="en-US" w:eastAsia="zh-CN"/>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rPr>
                    <w:t>项目</w:t>
                  </w:r>
                  <w:r>
                    <w:rPr>
                      <w:rFonts w:hint="eastAsia" w:ascii="Times New Roman" w:hAnsi="Times New Roman" w:eastAsia="宋体" w:cs="Times New Roman"/>
                      <w:color w:val="auto"/>
                      <w:sz w:val="21"/>
                      <w:szCs w:val="21"/>
                      <w:highlight w:val="none"/>
                      <w:lang w:val="en-US" w:eastAsia="zh-CN"/>
                    </w:rPr>
                    <w:t>不属于前述水环境风险类项目</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且本项目无废水外排</w:t>
                  </w:r>
                  <w:r>
                    <w:rPr>
                      <w:rFonts w:hint="default" w:ascii="Times New Roman" w:hAnsi="Times New Roman" w:eastAsia="宋体" w:cs="Times New Roman"/>
                      <w:color w:val="auto"/>
                      <w:sz w:val="21"/>
                      <w:szCs w:val="21"/>
                      <w:highlight w:val="none"/>
                    </w:rPr>
                    <w:t>。</w:t>
                  </w:r>
                </w:p>
              </w:tc>
              <w:tc>
                <w:tcPr>
                  <w:tcW w:w="510" w:type="pct"/>
                  <w:tcBorders>
                    <w:tl2br w:val="nil"/>
                    <w:tr2bl w:val="nil"/>
                  </w:tcBorders>
                  <w:shd w:val="clear" w:color="auto" w:fill="auto"/>
                  <w:vAlign w:val="center"/>
                </w:tcPr>
                <w:p w14:paraId="723D1523">
                  <w:pPr>
                    <w:spacing w:line="0" w:lineRule="atLeast"/>
                    <w:jc w:val="center"/>
                    <w:rPr>
                      <w:szCs w:val="21"/>
                      <w:highlight w:val="none"/>
                    </w:rPr>
                  </w:pPr>
                  <w:r>
                    <w:rPr>
                      <w:rFonts w:hint="eastAsia"/>
                      <w:szCs w:val="21"/>
                      <w:highlight w:val="none"/>
                    </w:rPr>
                    <w:t>符合</w:t>
                  </w:r>
                </w:p>
              </w:tc>
            </w:tr>
            <w:tr w14:paraId="10235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2A5C05D7">
                  <w:pPr>
                    <w:spacing w:line="0" w:lineRule="atLeast"/>
                    <w:jc w:val="center"/>
                    <w:rPr>
                      <w:szCs w:val="21"/>
                      <w:highlight w:val="none"/>
                    </w:rPr>
                  </w:pPr>
                </w:p>
              </w:tc>
              <w:tc>
                <w:tcPr>
                  <w:tcW w:w="2424" w:type="pct"/>
                  <w:tcBorders>
                    <w:tl2br w:val="nil"/>
                    <w:tr2bl w:val="nil"/>
                  </w:tcBorders>
                  <w:shd w:val="clear" w:color="auto" w:fill="auto"/>
                  <w:vAlign w:val="center"/>
                </w:tcPr>
                <w:p w14:paraId="4DBA9AD5">
                  <w:pPr>
                    <w:pStyle w:val="86"/>
                    <w:keepNext w:val="0"/>
                    <w:keepLines w:val="0"/>
                    <w:suppressLineNumbers w:val="0"/>
                    <w:spacing w:before="0" w:beforeAutospacing="0" w:after="0" w:afterAutospacing="0"/>
                    <w:ind w:left="0" w:leftChars="0" w:right="0" w:rightChars="0"/>
                    <w:rPr>
                      <w:rFonts w:hint="eastAsia" w:eastAsia="宋体"/>
                      <w:szCs w:val="21"/>
                      <w:highlight w:val="none"/>
                      <w:lang w:eastAsia="zh-CN"/>
                    </w:rPr>
                  </w:pPr>
                  <w:r>
                    <w:rPr>
                      <w:rFonts w:hint="default" w:ascii="Times New Roman" w:hAnsi="Times New Roman" w:eastAsia="宋体" w:cs="Times New Roman"/>
                      <w:color w:val="auto"/>
                      <w:sz w:val="21"/>
                      <w:szCs w:val="21"/>
                      <w:highlight w:val="none"/>
                    </w:rPr>
                    <w:t>严格控制高污染、高耗水行业新增产能。产能过剩产业实行新增产能等量替代、涉水主要污染物排放同行业倍量替代</w:t>
                  </w:r>
                  <w:r>
                    <w:rPr>
                      <w:rFonts w:hint="eastAsia" w:ascii="Times New Roman" w:hAnsi="Times New Roman" w:eastAsia="宋体" w:cs="Times New Roman"/>
                      <w:color w:val="auto"/>
                      <w:sz w:val="21"/>
                      <w:szCs w:val="21"/>
                      <w:highlight w:val="none"/>
                      <w:lang w:eastAsia="zh-CN"/>
                    </w:rPr>
                    <w:t>。</w:t>
                  </w:r>
                </w:p>
              </w:tc>
              <w:tc>
                <w:tcPr>
                  <w:tcW w:w="1583" w:type="pct"/>
                  <w:tcBorders>
                    <w:tl2br w:val="nil"/>
                    <w:tr2bl w:val="nil"/>
                  </w:tcBorders>
                  <w:shd w:val="clear" w:color="auto" w:fill="auto"/>
                  <w:vAlign w:val="center"/>
                </w:tcPr>
                <w:p w14:paraId="1B971CE8">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rPr>
                    <w:t>本</w:t>
                  </w:r>
                  <w:r>
                    <w:rPr>
                      <w:rFonts w:hint="eastAsia" w:ascii="Times New Roman" w:hAnsi="Times New Roman" w:eastAsia="宋体" w:cs="Times New Roman"/>
                      <w:color w:val="auto"/>
                      <w:sz w:val="21"/>
                      <w:szCs w:val="21"/>
                      <w:highlight w:val="none"/>
                      <w:lang w:val="en-US" w:eastAsia="zh-CN"/>
                    </w:rPr>
                    <w:t>项目</w:t>
                  </w:r>
                  <w:r>
                    <w:rPr>
                      <w:rFonts w:hint="default" w:ascii="Times New Roman" w:hAnsi="Times New Roman" w:eastAsia="宋体" w:cs="Times New Roman"/>
                      <w:color w:val="auto"/>
                      <w:sz w:val="21"/>
                      <w:szCs w:val="21"/>
                      <w:highlight w:val="none"/>
                    </w:rPr>
                    <w:t>无</w:t>
                  </w:r>
                  <w:r>
                    <w:rPr>
                      <w:rFonts w:hint="eastAsia" w:ascii="Times New Roman" w:hAnsi="Times New Roman" w:eastAsia="宋体" w:cs="Times New Roman"/>
                      <w:color w:val="auto"/>
                      <w:sz w:val="21"/>
                      <w:szCs w:val="21"/>
                      <w:highlight w:val="none"/>
                      <w:lang w:val="en-US" w:eastAsia="zh-CN"/>
                    </w:rPr>
                    <w:t>废水外排</w:t>
                  </w:r>
                  <w:r>
                    <w:rPr>
                      <w:rFonts w:hint="default" w:ascii="Times New Roman" w:hAnsi="Times New Roman" w:eastAsia="宋体" w:cs="Times New Roman"/>
                      <w:color w:val="auto"/>
                      <w:sz w:val="21"/>
                      <w:szCs w:val="21"/>
                      <w:highlight w:val="none"/>
                    </w:rPr>
                    <w:t>。</w:t>
                  </w:r>
                </w:p>
              </w:tc>
              <w:tc>
                <w:tcPr>
                  <w:tcW w:w="510" w:type="pct"/>
                  <w:tcBorders>
                    <w:tl2br w:val="nil"/>
                    <w:tr2bl w:val="nil"/>
                  </w:tcBorders>
                  <w:shd w:val="clear" w:color="auto" w:fill="auto"/>
                  <w:vAlign w:val="center"/>
                </w:tcPr>
                <w:p w14:paraId="3DE4A99D">
                  <w:pPr>
                    <w:spacing w:line="0" w:lineRule="atLeast"/>
                    <w:jc w:val="center"/>
                    <w:rPr>
                      <w:szCs w:val="21"/>
                      <w:highlight w:val="none"/>
                    </w:rPr>
                  </w:pPr>
                  <w:r>
                    <w:rPr>
                      <w:rFonts w:hint="eastAsia"/>
                      <w:szCs w:val="21"/>
                      <w:highlight w:val="none"/>
                    </w:rPr>
                    <w:t>符合</w:t>
                  </w:r>
                </w:p>
              </w:tc>
            </w:tr>
            <w:tr w14:paraId="3047F7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55452F1B">
                  <w:pPr>
                    <w:spacing w:line="0" w:lineRule="atLeast"/>
                    <w:jc w:val="center"/>
                    <w:rPr>
                      <w:szCs w:val="21"/>
                      <w:highlight w:val="none"/>
                    </w:rPr>
                  </w:pPr>
                </w:p>
              </w:tc>
              <w:tc>
                <w:tcPr>
                  <w:tcW w:w="2424" w:type="pct"/>
                  <w:tcBorders>
                    <w:tl2br w:val="nil"/>
                    <w:tr2bl w:val="nil"/>
                  </w:tcBorders>
                  <w:shd w:val="clear" w:color="auto" w:fill="auto"/>
                  <w:vAlign w:val="center"/>
                </w:tcPr>
                <w:p w14:paraId="3526FAA3">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以钢铁、水泥、平板玻璃、焦化、化工、制药等行业为重点，加快城市建成区重污染企业搬迁改造或关闭退出，对不符合国家产业政策、不符合当地产业布局规划的分散燃煤（燃重油等）炉窑，鼓励搬迁入园并进行集中治理，推进治理装备升级改造，建设规模化和集约化工业企业。</w:t>
                  </w:r>
                </w:p>
              </w:tc>
              <w:tc>
                <w:tcPr>
                  <w:tcW w:w="1583" w:type="pct"/>
                  <w:tcBorders>
                    <w:tl2br w:val="nil"/>
                    <w:tr2bl w:val="nil"/>
                  </w:tcBorders>
                  <w:shd w:val="clear" w:color="auto" w:fill="auto"/>
                  <w:vAlign w:val="center"/>
                </w:tcPr>
                <w:p w14:paraId="4A9BC4CA">
                  <w:pPr>
                    <w:pStyle w:val="86"/>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en-US"/>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rPr>
                    <w:t>项目</w:t>
                  </w:r>
                  <w:r>
                    <w:rPr>
                      <w:rFonts w:hint="eastAsia" w:ascii="Times New Roman" w:hAnsi="Times New Roman" w:eastAsia="宋体" w:cs="Times New Roman"/>
                      <w:color w:val="auto"/>
                      <w:sz w:val="21"/>
                      <w:szCs w:val="21"/>
                      <w:highlight w:val="none"/>
                      <w:lang w:val="en-US" w:eastAsia="zh-CN"/>
                    </w:rPr>
                    <w:t>不属于上述重点行业，不涉及燃煤炉窑</w:t>
                  </w:r>
                  <w:r>
                    <w:rPr>
                      <w:rFonts w:hint="default" w:ascii="Times New Roman" w:hAnsi="Times New Roman" w:eastAsia="宋体" w:cs="Times New Roman"/>
                      <w:color w:val="auto"/>
                      <w:sz w:val="21"/>
                      <w:szCs w:val="21"/>
                      <w:highlight w:val="none"/>
                    </w:rPr>
                    <w:t>。</w:t>
                  </w:r>
                </w:p>
              </w:tc>
              <w:tc>
                <w:tcPr>
                  <w:tcW w:w="510" w:type="pct"/>
                  <w:tcBorders>
                    <w:tl2br w:val="nil"/>
                    <w:tr2bl w:val="nil"/>
                  </w:tcBorders>
                  <w:shd w:val="clear" w:color="auto" w:fill="auto"/>
                  <w:vAlign w:val="center"/>
                </w:tcPr>
                <w:p w14:paraId="785E960E">
                  <w:pPr>
                    <w:spacing w:line="0" w:lineRule="atLeast"/>
                    <w:jc w:val="center"/>
                    <w:rPr>
                      <w:rFonts w:hint="eastAsia" w:eastAsia="宋体"/>
                      <w:szCs w:val="21"/>
                      <w:highlight w:val="none"/>
                      <w:lang w:val="en-US" w:eastAsia="zh-CN"/>
                    </w:rPr>
                  </w:pPr>
                  <w:r>
                    <w:rPr>
                      <w:rFonts w:hint="eastAsia"/>
                      <w:szCs w:val="21"/>
                      <w:highlight w:val="none"/>
                      <w:lang w:val="en-US" w:eastAsia="zh-CN"/>
                    </w:rPr>
                    <w:t>符合</w:t>
                  </w:r>
                </w:p>
              </w:tc>
            </w:tr>
            <w:tr w14:paraId="1EDB2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1B9BD5B3">
                  <w:pPr>
                    <w:spacing w:line="0" w:lineRule="atLeast"/>
                    <w:jc w:val="center"/>
                    <w:rPr>
                      <w:szCs w:val="21"/>
                      <w:highlight w:val="none"/>
                    </w:rPr>
                  </w:pPr>
                </w:p>
              </w:tc>
              <w:tc>
                <w:tcPr>
                  <w:tcW w:w="2424" w:type="pct"/>
                  <w:tcBorders>
                    <w:tl2br w:val="nil"/>
                    <w:tr2bl w:val="nil"/>
                  </w:tcBorders>
                  <w:shd w:val="clear" w:color="auto" w:fill="auto"/>
                  <w:vAlign w:val="center"/>
                </w:tcPr>
                <w:p w14:paraId="4A7DB4EA">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新建、改建、扩建“两高”项目须符合生态环境保护法律法规和相关法定规划，满足重点污染物排放总量控制、碳排放达峰目标、生态环境准入清单、相关规划环评和相应行业建设项目环境准入条件、环评文件审批原则要求。</w:t>
                  </w:r>
                </w:p>
              </w:tc>
              <w:tc>
                <w:tcPr>
                  <w:tcW w:w="1583" w:type="pct"/>
                  <w:tcBorders>
                    <w:tl2br w:val="nil"/>
                    <w:tr2bl w:val="nil"/>
                  </w:tcBorders>
                  <w:shd w:val="clear" w:color="auto" w:fill="auto"/>
                  <w:vAlign w:val="center"/>
                </w:tcPr>
                <w:p w14:paraId="233514D2">
                  <w:pPr>
                    <w:pStyle w:val="86"/>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en-US"/>
                    </w:rPr>
                  </w:pPr>
                  <w:r>
                    <w:rPr>
                      <w:rFonts w:hint="eastAsia" w:cs="Times New Roman"/>
                      <w:color w:val="auto"/>
                      <w:sz w:val="21"/>
                      <w:szCs w:val="21"/>
                      <w:highlight w:val="none"/>
                      <w:lang w:val="en-US" w:eastAsia="zh-CN"/>
                    </w:rPr>
                    <w:t>本项目属于资源综合利用项目，不属于两高项目</w:t>
                  </w:r>
                </w:p>
              </w:tc>
              <w:tc>
                <w:tcPr>
                  <w:tcW w:w="510" w:type="pct"/>
                  <w:tcBorders>
                    <w:tl2br w:val="nil"/>
                    <w:tr2bl w:val="nil"/>
                  </w:tcBorders>
                  <w:shd w:val="clear" w:color="auto" w:fill="auto"/>
                  <w:vAlign w:val="center"/>
                </w:tcPr>
                <w:p w14:paraId="79981A0B">
                  <w:pPr>
                    <w:spacing w:line="0" w:lineRule="atLeast"/>
                    <w:jc w:val="center"/>
                    <w:rPr>
                      <w:rFonts w:hint="eastAsia" w:eastAsia="宋体"/>
                      <w:szCs w:val="21"/>
                      <w:highlight w:val="none"/>
                      <w:lang w:val="en-US" w:eastAsia="zh-CN"/>
                    </w:rPr>
                  </w:pPr>
                  <w:r>
                    <w:rPr>
                      <w:rFonts w:hint="eastAsia"/>
                      <w:szCs w:val="21"/>
                      <w:highlight w:val="none"/>
                      <w:lang w:val="en-US" w:eastAsia="zh-CN"/>
                    </w:rPr>
                    <w:t>符合</w:t>
                  </w:r>
                </w:p>
              </w:tc>
            </w:tr>
            <w:tr w14:paraId="3A7589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5E2A47B3">
                  <w:pPr>
                    <w:spacing w:line="0" w:lineRule="atLeast"/>
                    <w:jc w:val="center"/>
                    <w:rPr>
                      <w:szCs w:val="21"/>
                      <w:highlight w:val="none"/>
                    </w:rPr>
                  </w:pPr>
                </w:p>
              </w:tc>
              <w:tc>
                <w:tcPr>
                  <w:tcW w:w="2424" w:type="pct"/>
                  <w:tcBorders>
                    <w:tl2br w:val="nil"/>
                    <w:tr2bl w:val="nil"/>
                  </w:tcBorders>
                  <w:shd w:val="clear" w:color="auto" w:fill="auto"/>
                  <w:vAlign w:val="center"/>
                </w:tcPr>
                <w:p w14:paraId="0DB4CCEF">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鼓励钢铁冶炼项目建设依托具备条件的现有钢铁冶炼生产厂区集聚发展，在现有厂区建设钢铁冶炼项目没有粗钢产能建设规模限制要求。对确有必要新选址（指不能与现有生产厂区共用公辅设施，下同）建设的钢铁冶炼项目粗钢产能规模要求如下：沿海地区（指拥有海岸线的设区市）不低于2000万吨/年（允许分两期建设，5年内全部建成，一期不低于1000万吨/年）。</w:t>
                  </w:r>
                </w:p>
              </w:tc>
              <w:tc>
                <w:tcPr>
                  <w:tcW w:w="1583" w:type="pct"/>
                  <w:tcBorders>
                    <w:tl2br w:val="nil"/>
                    <w:tr2bl w:val="nil"/>
                  </w:tcBorders>
                  <w:shd w:val="clear" w:color="auto" w:fill="auto"/>
                  <w:vAlign w:val="center"/>
                </w:tcPr>
                <w:p w14:paraId="0B4EC117">
                  <w:pPr>
                    <w:pStyle w:val="86"/>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en-US"/>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lang w:val="en-US" w:eastAsia="zh-CN"/>
                    </w:rPr>
                    <w:t>项目</w:t>
                  </w:r>
                  <w:r>
                    <w:rPr>
                      <w:rFonts w:hint="eastAsia" w:ascii="Times New Roman" w:hAnsi="Times New Roman" w:eastAsia="宋体" w:cs="Times New Roman"/>
                      <w:color w:val="auto"/>
                      <w:sz w:val="21"/>
                      <w:szCs w:val="21"/>
                      <w:highlight w:val="none"/>
                      <w:lang w:val="en-US" w:eastAsia="zh-CN"/>
                    </w:rPr>
                    <w:t>不属于钢铁项目</w:t>
                  </w:r>
                  <w:r>
                    <w:rPr>
                      <w:rFonts w:hint="default" w:ascii="Times New Roman" w:hAnsi="Times New Roman" w:eastAsia="宋体" w:cs="Times New Roman"/>
                      <w:color w:val="auto"/>
                      <w:sz w:val="21"/>
                      <w:szCs w:val="21"/>
                      <w:highlight w:val="none"/>
                      <w:lang w:val="en-US" w:eastAsia="zh-CN"/>
                    </w:rPr>
                    <w:t>。</w:t>
                  </w:r>
                </w:p>
              </w:tc>
              <w:tc>
                <w:tcPr>
                  <w:tcW w:w="510" w:type="pct"/>
                  <w:tcBorders>
                    <w:tl2br w:val="nil"/>
                    <w:tr2bl w:val="nil"/>
                  </w:tcBorders>
                  <w:shd w:val="clear" w:color="auto" w:fill="auto"/>
                  <w:vAlign w:val="center"/>
                </w:tcPr>
                <w:p w14:paraId="680E88C4">
                  <w:pPr>
                    <w:spacing w:line="0" w:lineRule="atLeast"/>
                    <w:jc w:val="center"/>
                    <w:rPr>
                      <w:rFonts w:hint="eastAsia" w:eastAsia="宋体"/>
                      <w:szCs w:val="21"/>
                      <w:highlight w:val="none"/>
                      <w:lang w:val="en-US" w:eastAsia="zh-CN"/>
                    </w:rPr>
                  </w:pPr>
                  <w:r>
                    <w:rPr>
                      <w:rFonts w:hint="eastAsia"/>
                      <w:szCs w:val="21"/>
                      <w:highlight w:val="none"/>
                      <w:lang w:val="en-US" w:eastAsia="zh-CN"/>
                    </w:rPr>
                    <w:t>符合</w:t>
                  </w:r>
                </w:p>
              </w:tc>
            </w:tr>
            <w:tr w14:paraId="63AA5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03897E27">
                  <w:pPr>
                    <w:spacing w:line="0" w:lineRule="atLeast"/>
                    <w:jc w:val="center"/>
                    <w:rPr>
                      <w:szCs w:val="21"/>
                      <w:highlight w:val="none"/>
                    </w:rPr>
                  </w:pPr>
                </w:p>
              </w:tc>
              <w:tc>
                <w:tcPr>
                  <w:tcW w:w="2424" w:type="pct"/>
                  <w:tcBorders>
                    <w:tl2br w:val="nil"/>
                    <w:tr2bl w:val="nil"/>
                  </w:tcBorders>
                  <w:shd w:val="clear" w:color="auto" w:fill="auto"/>
                  <w:vAlign w:val="center"/>
                </w:tcPr>
                <w:p w14:paraId="0330D05B">
                  <w:pPr>
                    <w:pStyle w:val="86"/>
                    <w:keepNext w:val="0"/>
                    <w:keepLines w:val="0"/>
                    <w:suppressLineNumbers w:val="0"/>
                    <w:spacing w:before="0" w:beforeAutospacing="0" w:after="0" w:afterAutospacing="0"/>
                    <w:ind w:left="0" w:right="0"/>
                    <w:rPr>
                      <w:szCs w:val="21"/>
                      <w:highlight w:val="none"/>
                    </w:rPr>
                  </w:pPr>
                  <w:r>
                    <w:rPr>
                      <w:rFonts w:hint="default" w:ascii="Times New Roman" w:hAnsi="Times New Roman" w:eastAsia="宋体" w:cs="Times New Roman"/>
                      <w:color w:val="auto"/>
                      <w:sz w:val="21"/>
                      <w:szCs w:val="21"/>
                      <w:highlight w:val="none"/>
                    </w:rPr>
                    <w:t>逐步淘汰180</w:t>
                  </w:r>
                  <w:r>
                    <w:rPr>
                      <w:rFonts w:hint="default" w:ascii="Times New Roman" w:hAnsi="Times New Roman" w:eastAsia="宋体" w:cs="Times New Roman"/>
                      <w:color w:val="auto"/>
                      <w:sz w:val="21"/>
                      <w:szCs w:val="21"/>
                      <w:highlight w:val="none"/>
                      <w:lang w:eastAsia="zh-CN"/>
                    </w:rPr>
                    <w:t>m</w:t>
                  </w:r>
                  <w:r>
                    <w:rPr>
                      <w:rFonts w:hint="default" w:ascii="Times New Roman" w:hAnsi="Times New Roman" w:eastAsia="宋体" w:cs="Times New Roman"/>
                      <w:color w:val="auto"/>
                      <w:sz w:val="21"/>
                      <w:szCs w:val="21"/>
                      <w:highlight w:val="none"/>
                      <w:vertAlign w:val="superscript"/>
                      <w:lang w:eastAsia="zh-CN"/>
                    </w:rPr>
                    <w:t>2</w:t>
                  </w:r>
                  <w:r>
                    <w:rPr>
                      <w:rFonts w:hint="default" w:ascii="Times New Roman" w:hAnsi="Times New Roman" w:eastAsia="宋体" w:cs="Times New Roman"/>
                      <w:color w:val="auto"/>
                      <w:sz w:val="21"/>
                      <w:szCs w:val="21"/>
                      <w:highlight w:val="none"/>
                    </w:rPr>
                    <w:t>以下烧结机，逐步淘汰平面步进式烧结机，按照有关规定改造升级为大型带式烧结机；禁止新建球团竖炉，现有球团竖炉炉役到期不得大修，加快推动以链篦机- 回转窑或带式焙烧机工艺取代球团竖炉工艺，鼓励企业之间通过合资合作方式建设大型链篦机-回转窑、带式焙烧机；加快推动以密闭皮带机取代汽车转运厂内大宗物料。</w:t>
                  </w:r>
                </w:p>
              </w:tc>
              <w:tc>
                <w:tcPr>
                  <w:tcW w:w="1583" w:type="pct"/>
                  <w:tcBorders>
                    <w:tl2br w:val="nil"/>
                    <w:tr2bl w:val="nil"/>
                  </w:tcBorders>
                  <w:shd w:val="clear" w:color="auto" w:fill="auto"/>
                  <w:vAlign w:val="center"/>
                </w:tcPr>
                <w:p w14:paraId="594BE893">
                  <w:pPr>
                    <w:pStyle w:val="86"/>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en-US"/>
                    </w:rPr>
                  </w:pPr>
                  <w:r>
                    <w:rPr>
                      <w:rFonts w:hint="eastAsia" w:eastAsia="宋体" w:cs="Times New Roman"/>
                      <w:color w:val="auto"/>
                      <w:sz w:val="21"/>
                      <w:szCs w:val="21"/>
                      <w:highlight w:val="none"/>
                      <w:lang w:val="en-US" w:eastAsia="zh-CN"/>
                    </w:rPr>
                    <w:t>不涉及</w:t>
                  </w:r>
                </w:p>
              </w:tc>
              <w:tc>
                <w:tcPr>
                  <w:tcW w:w="510" w:type="pct"/>
                  <w:tcBorders>
                    <w:tl2br w:val="nil"/>
                    <w:tr2bl w:val="nil"/>
                  </w:tcBorders>
                  <w:shd w:val="clear" w:color="auto" w:fill="auto"/>
                  <w:vAlign w:val="center"/>
                </w:tcPr>
                <w:p w14:paraId="1E645435">
                  <w:pPr>
                    <w:spacing w:line="0" w:lineRule="atLeast"/>
                    <w:jc w:val="center"/>
                    <w:rPr>
                      <w:rFonts w:hint="eastAsia" w:eastAsia="宋体"/>
                      <w:szCs w:val="21"/>
                      <w:highlight w:val="none"/>
                      <w:lang w:val="en-US" w:eastAsia="zh-CN"/>
                    </w:rPr>
                  </w:pPr>
                  <w:r>
                    <w:rPr>
                      <w:rFonts w:hint="eastAsia"/>
                      <w:szCs w:val="21"/>
                      <w:highlight w:val="none"/>
                      <w:lang w:val="en-US" w:eastAsia="zh-CN"/>
                    </w:rPr>
                    <w:t>符合</w:t>
                  </w:r>
                </w:p>
              </w:tc>
            </w:tr>
            <w:tr w14:paraId="6EB41D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4AB59AD4">
                  <w:pPr>
                    <w:spacing w:line="0" w:lineRule="atLeast"/>
                    <w:jc w:val="center"/>
                    <w:rPr>
                      <w:szCs w:val="21"/>
                      <w:highlight w:val="none"/>
                    </w:rPr>
                  </w:pPr>
                </w:p>
              </w:tc>
              <w:tc>
                <w:tcPr>
                  <w:tcW w:w="2424" w:type="pct"/>
                  <w:tcBorders>
                    <w:tl2br w:val="nil"/>
                    <w:tr2bl w:val="nil"/>
                  </w:tcBorders>
                  <w:shd w:val="clear" w:color="auto" w:fill="auto"/>
                  <w:vAlign w:val="center"/>
                </w:tcPr>
                <w:p w14:paraId="1B1A4BC6">
                  <w:pPr>
                    <w:pStyle w:val="86"/>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技术装备全面升级，高炉逐步达到1000</w:t>
                  </w:r>
                  <w:r>
                    <w:rPr>
                      <w:rFonts w:hint="default" w:ascii="Times New Roman" w:hAnsi="Times New Roman" w:eastAsia="宋体" w:cs="Times New Roman"/>
                      <w:color w:val="auto"/>
                      <w:sz w:val="21"/>
                      <w:szCs w:val="21"/>
                      <w:highlight w:val="none"/>
                      <w:lang w:eastAsia="zh-CN"/>
                    </w:rPr>
                    <w:t>m</w:t>
                  </w:r>
                  <w:r>
                    <w:rPr>
                      <w:rFonts w:hint="default" w:ascii="Times New Roman" w:hAnsi="Times New Roman" w:eastAsia="宋体" w:cs="Times New Roman"/>
                      <w:color w:val="auto"/>
                      <w:sz w:val="21"/>
                      <w:szCs w:val="21"/>
                      <w:highlight w:val="none"/>
                      <w:vertAlign w:val="superscript"/>
                      <w:lang w:eastAsia="zh-CN"/>
                    </w:rPr>
                    <w:t>3</w:t>
                  </w:r>
                  <w:r>
                    <w:rPr>
                      <w:rFonts w:hint="default" w:ascii="Times New Roman" w:hAnsi="Times New Roman" w:eastAsia="宋体" w:cs="Times New Roman"/>
                      <w:color w:val="auto"/>
                      <w:sz w:val="21"/>
                      <w:szCs w:val="21"/>
                      <w:highlight w:val="none"/>
                    </w:rPr>
                    <w:t>及以上、转炉逐步达到100吨及以上、烧结机逐步达到180</w:t>
                  </w:r>
                  <w:r>
                    <w:rPr>
                      <w:rFonts w:hint="default" w:ascii="Times New Roman" w:hAnsi="Times New Roman" w:eastAsia="宋体" w:cs="Times New Roman"/>
                      <w:color w:val="auto"/>
                      <w:sz w:val="21"/>
                      <w:szCs w:val="21"/>
                      <w:highlight w:val="none"/>
                      <w:lang w:eastAsia="zh-CN"/>
                    </w:rPr>
                    <w:t>m</w:t>
                  </w:r>
                  <w:r>
                    <w:rPr>
                      <w:rFonts w:hint="default" w:ascii="Times New Roman" w:hAnsi="Times New Roman" w:eastAsia="宋体" w:cs="Times New Roman"/>
                      <w:color w:val="auto"/>
                      <w:sz w:val="21"/>
                      <w:szCs w:val="21"/>
                      <w:highlight w:val="none"/>
                      <w:vertAlign w:val="superscript"/>
                      <w:lang w:eastAsia="zh-CN"/>
                    </w:rPr>
                    <w:t>2</w:t>
                  </w:r>
                  <w:r>
                    <w:rPr>
                      <w:rFonts w:hint="default" w:ascii="Times New Roman" w:hAnsi="Times New Roman" w:eastAsia="宋体" w:cs="Times New Roman"/>
                      <w:color w:val="auto"/>
                      <w:sz w:val="21"/>
                      <w:szCs w:val="21"/>
                      <w:highlight w:val="none"/>
                    </w:rPr>
                    <w:t>烧结机及以上。严格按照国家规定的产能减量置换政策实施改造升级，坚决杜绝借改造升级之机变相扩大生产能力；推广“一罐到底”工艺或采用鱼雷罐车运输铁水。</w:t>
                  </w:r>
                </w:p>
              </w:tc>
              <w:tc>
                <w:tcPr>
                  <w:tcW w:w="1583" w:type="pct"/>
                  <w:tcBorders>
                    <w:tl2br w:val="nil"/>
                    <w:tr2bl w:val="nil"/>
                  </w:tcBorders>
                  <w:shd w:val="clear" w:color="auto" w:fill="auto"/>
                  <w:vAlign w:val="center"/>
                </w:tcPr>
                <w:p w14:paraId="07905DFB">
                  <w:pPr>
                    <w:pStyle w:val="86"/>
                    <w:keepNext w:val="0"/>
                    <w:keepLines w:val="0"/>
                    <w:suppressLineNumbers w:val="0"/>
                    <w:spacing w:before="0" w:beforeAutospacing="0" w:after="0" w:afterAutospacing="0"/>
                    <w:ind w:left="0" w:leftChars="0" w:right="0" w:rightChars="0"/>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不涉及</w:t>
                  </w:r>
                </w:p>
              </w:tc>
              <w:tc>
                <w:tcPr>
                  <w:tcW w:w="510" w:type="pct"/>
                  <w:tcBorders>
                    <w:tl2br w:val="nil"/>
                    <w:tr2bl w:val="nil"/>
                  </w:tcBorders>
                  <w:shd w:val="clear" w:color="auto" w:fill="auto"/>
                  <w:vAlign w:val="center"/>
                </w:tcPr>
                <w:p w14:paraId="5060BE0B">
                  <w:pPr>
                    <w:spacing w:line="0" w:lineRule="atLeast"/>
                    <w:jc w:val="center"/>
                    <w:rPr>
                      <w:rFonts w:hint="eastAsia"/>
                      <w:szCs w:val="21"/>
                      <w:highlight w:val="none"/>
                    </w:rPr>
                  </w:pPr>
                  <w:r>
                    <w:rPr>
                      <w:rFonts w:hint="eastAsia"/>
                      <w:szCs w:val="21"/>
                      <w:highlight w:val="none"/>
                      <w:lang w:val="en-US" w:eastAsia="zh-CN"/>
                    </w:rPr>
                    <w:t>符合</w:t>
                  </w:r>
                </w:p>
              </w:tc>
            </w:tr>
            <w:tr w14:paraId="41D83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45BB23EB">
                  <w:pPr>
                    <w:spacing w:line="0" w:lineRule="atLeast"/>
                    <w:jc w:val="center"/>
                    <w:rPr>
                      <w:szCs w:val="21"/>
                      <w:highlight w:val="none"/>
                    </w:rPr>
                  </w:pPr>
                </w:p>
              </w:tc>
              <w:tc>
                <w:tcPr>
                  <w:tcW w:w="2424" w:type="pct"/>
                  <w:tcBorders>
                    <w:tl2br w:val="nil"/>
                    <w:tr2bl w:val="nil"/>
                  </w:tcBorders>
                  <w:shd w:val="clear" w:color="auto" w:fill="auto"/>
                  <w:vAlign w:val="center"/>
                </w:tcPr>
                <w:p w14:paraId="3FBB98B3">
                  <w:pPr>
                    <w:pStyle w:val="86"/>
                    <w:keepNext w:val="0"/>
                    <w:keepLines w:val="0"/>
                    <w:suppressLineNumbers w:val="0"/>
                    <w:spacing w:before="0" w:beforeAutospacing="0" w:after="0" w:afterAutospacing="0"/>
                    <w:ind w:left="0" w:leftChars="0" w:right="0" w:rightChars="0"/>
                    <w:rPr>
                      <w:szCs w:val="21"/>
                      <w:highlight w:val="none"/>
                    </w:rPr>
                  </w:pPr>
                  <w:r>
                    <w:rPr>
                      <w:rFonts w:hint="default" w:ascii="Times New Roman" w:hAnsi="Times New Roman" w:eastAsia="宋体" w:cs="Times New Roman"/>
                      <w:color w:val="auto"/>
                      <w:sz w:val="21"/>
                      <w:szCs w:val="21"/>
                      <w:highlight w:val="none"/>
                    </w:rPr>
                    <w:t>尚未配备脱硫装置的球团竖炉，立即停产淘汰，不再予以改造；烧结厂房实现全封闭。</w:t>
                  </w:r>
                </w:p>
              </w:tc>
              <w:tc>
                <w:tcPr>
                  <w:tcW w:w="1583" w:type="pct"/>
                  <w:tcBorders>
                    <w:tl2br w:val="nil"/>
                    <w:tr2bl w:val="nil"/>
                  </w:tcBorders>
                  <w:shd w:val="clear" w:color="auto" w:fill="auto"/>
                  <w:vAlign w:val="center"/>
                </w:tcPr>
                <w:p w14:paraId="7A38F931">
                  <w:pPr>
                    <w:pStyle w:val="86"/>
                    <w:keepNext w:val="0"/>
                    <w:keepLines w:val="0"/>
                    <w:suppressLineNumbers w:val="0"/>
                    <w:spacing w:before="0" w:beforeAutospacing="0" w:after="0" w:afterAutospacing="0"/>
                    <w:ind w:left="0" w:leftChars="0" w:right="0" w:rightChars="0"/>
                    <w:rPr>
                      <w:szCs w:val="21"/>
                      <w:highlight w:val="none"/>
                    </w:rPr>
                  </w:pPr>
                  <w:r>
                    <w:rPr>
                      <w:rFonts w:hint="eastAsia" w:eastAsia="宋体" w:cs="Times New Roman"/>
                      <w:color w:val="auto"/>
                      <w:sz w:val="21"/>
                      <w:szCs w:val="21"/>
                      <w:highlight w:val="none"/>
                      <w:lang w:val="en-US" w:eastAsia="zh-CN"/>
                    </w:rPr>
                    <w:t>不涉及</w:t>
                  </w:r>
                </w:p>
              </w:tc>
              <w:tc>
                <w:tcPr>
                  <w:tcW w:w="510" w:type="pct"/>
                  <w:tcBorders>
                    <w:tl2br w:val="nil"/>
                    <w:tr2bl w:val="nil"/>
                  </w:tcBorders>
                  <w:shd w:val="clear" w:color="auto" w:fill="auto"/>
                  <w:vAlign w:val="center"/>
                </w:tcPr>
                <w:p w14:paraId="715470CE">
                  <w:pPr>
                    <w:spacing w:line="0" w:lineRule="atLeast"/>
                    <w:jc w:val="center"/>
                    <w:rPr>
                      <w:szCs w:val="21"/>
                      <w:highlight w:val="none"/>
                    </w:rPr>
                  </w:pPr>
                  <w:r>
                    <w:rPr>
                      <w:rFonts w:hint="eastAsia"/>
                      <w:szCs w:val="21"/>
                      <w:highlight w:val="none"/>
                    </w:rPr>
                    <w:t>符合</w:t>
                  </w:r>
                </w:p>
              </w:tc>
            </w:tr>
            <w:tr w14:paraId="4E1B44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shd w:val="clear" w:color="auto" w:fill="auto"/>
                  <w:vAlign w:val="center"/>
                </w:tcPr>
                <w:p w14:paraId="5139A1E8">
                  <w:pPr>
                    <w:spacing w:line="0" w:lineRule="atLeast"/>
                    <w:rPr>
                      <w:szCs w:val="21"/>
                      <w:highlight w:val="none"/>
                    </w:rPr>
                  </w:pPr>
                  <w:r>
                    <w:rPr>
                      <w:rFonts w:hint="eastAsia"/>
                      <w:b/>
                      <w:bCs/>
                      <w:szCs w:val="21"/>
                      <w:highlight w:val="none"/>
                      <w:lang w:val="en-US" w:eastAsia="zh-CN"/>
                    </w:rPr>
                    <w:t>九</w:t>
                  </w:r>
                  <w:r>
                    <w:rPr>
                      <w:rFonts w:hint="eastAsia"/>
                      <w:b/>
                      <w:bCs/>
                      <w:szCs w:val="21"/>
                      <w:highlight w:val="none"/>
                    </w:rPr>
                    <w:t>、项目入园准入要求</w:t>
                  </w:r>
                </w:p>
              </w:tc>
            </w:tr>
            <w:tr w14:paraId="773F9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restart"/>
                  <w:tcBorders>
                    <w:tl2br w:val="nil"/>
                    <w:tr2bl w:val="nil"/>
                  </w:tcBorders>
                  <w:shd w:val="clear" w:color="auto" w:fill="auto"/>
                  <w:vAlign w:val="center"/>
                </w:tcPr>
                <w:p w14:paraId="75D5F8CB">
                  <w:pPr>
                    <w:spacing w:line="0" w:lineRule="atLeast"/>
                    <w:jc w:val="center"/>
                    <w:rPr>
                      <w:rFonts w:hint="default" w:eastAsia="宋体"/>
                      <w:szCs w:val="21"/>
                      <w:highlight w:val="none"/>
                      <w:lang w:val="en-US" w:eastAsia="zh-CN"/>
                    </w:rPr>
                  </w:pPr>
                  <w:r>
                    <w:rPr>
                      <w:rFonts w:hint="eastAsia"/>
                      <w:szCs w:val="21"/>
                      <w:highlight w:val="none"/>
                      <w:lang w:val="en-US" w:eastAsia="zh-CN"/>
                    </w:rPr>
                    <w:t>空间布局约束</w:t>
                  </w:r>
                </w:p>
              </w:tc>
              <w:tc>
                <w:tcPr>
                  <w:tcW w:w="2424" w:type="pct"/>
                  <w:tcBorders>
                    <w:tl2br w:val="nil"/>
                    <w:tr2bl w:val="nil"/>
                  </w:tcBorders>
                  <w:shd w:val="clear" w:color="auto" w:fill="auto"/>
                  <w:vAlign w:val="center"/>
                </w:tcPr>
                <w:p w14:paraId="670D9A2F">
                  <w:pPr>
                    <w:pStyle w:val="87"/>
                    <w:keepNext w:val="0"/>
                    <w:keepLines w:val="0"/>
                    <w:widowControl/>
                    <w:suppressLineNumbers w:val="0"/>
                    <w:bidi w:val="0"/>
                    <w:spacing w:before="0" w:beforeAutospacing="0" w:after="0" w:afterAutospacing="0"/>
                    <w:ind w:left="0" w:leftChars="0" w:right="0" w:rightChars="0"/>
                    <w:jc w:val="center"/>
                    <w:rPr>
                      <w:szCs w:val="21"/>
                      <w:highlight w:val="none"/>
                    </w:rPr>
                  </w:pPr>
                  <w:r>
                    <w:rPr>
                      <w:rFonts w:hint="default" w:ascii="Times New Roman" w:hAnsi="Times New Roman" w:eastAsia="宋体" w:cs="Times New Roman"/>
                      <w:color w:val="auto"/>
                      <w:sz w:val="21"/>
                      <w:szCs w:val="21"/>
                      <w:highlight w:val="none"/>
                    </w:rPr>
                    <w:t>禁止资源消耗高、环境污染重、废物难处理、不符合国家、河北省、唐山市产业政策的落后生产技术、工艺、装备和产品进入工业园区。</w:t>
                  </w:r>
                </w:p>
              </w:tc>
              <w:tc>
                <w:tcPr>
                  <w:tcW w:w="1583" w:type="pct"/>
                  <w:tcBorders>
                    <w:tl2br w:val="nil"/>
                    <w:tr2bl w:val="nil"/>
                  </w:tcBorders>
                  <w:shd w:val="clear" w:color="auto" w:fill="auto"/>
                  <w:vAlign w:val="center"/>
                </w:tcPr>
                <w:p w14:paraId="6F6674E1">
                  <w:pPr>
                    <w:pStyle w:val="86"/>
                    <w:keepNext w:val="0"/>
                    <w:keepLines w:val="0"/>
                    <w:suppressLineNumbers w:val="0"/>
                    <w:spacing w:before="0" w:beforeAutospacing="0" w:after="0" w:afterAutospacing="0"/>
                    <w:ind w:left="0" w:leftChars="0" w:right="0" w:rightChars="0"/>
                    <w:rPr>
                      <w:szCs w:val="21"/>
                      <w:highlight w:val="none"/>
                    </w:rPr>
                  </w:pPr>
                  <w:r>
                    <w:rPr>
                      <w:rFonts w:hint="eastAsia" w:ascii="Times New Roman" w:hAnsi="Times New Roman" w:eastAsia="宋体"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rPr>
                    <w:t>项目</w:t>
                  </w:r>
                  <w:r>
                    <w:rPr>
                      <w:rFonts w:hint="eastAsia" w:ascii="Times New Roman" w:hAnsi="Times New Roman" w:eastAsia="宋体" w:cs="Times New Roman"/>
                      <w:color w:val="auto"/>
                      <w:sz w:val="21"/>
                      <w:szCs w:val="21"/>
                      <w:highlight w:val="none"/>
                      <w:lang w:val="en-US" w:eastAsia="zh-CN"/>
                    </w:rPr>
                    <w:t>不属于</w:t>
                  </w:r>
                  <w:r>
                    <w:rPr>
                      <w:rFonts w:hint="default" w:ascii="Times New Roman" w:hAnsi="Times New Roman" w:eastAsia="宋体" w:cs="Times New Roman"/>
                      <w:color w:val="auto"/>
                      <w:sz w:val="21"/>
                      <w:szCs w:val="21"/>
                      <w:highlight w:val="none"/>
                    </w:rPr>
                    <w:t>资源消耗高、环境污染重、废物难处理</w:t>
                  </w:r>
                  <w:r>
                    <w:rPr>
                      <w:rFonts w:hint="eastAsia" w:ascii="Times New Roman" w:hAnsi="Times New Roman" w:eastAsia="宋体" w:cs="Times New Roman"/>
                      <w:color w:val="auto"/>
                      <w:sz w:val="21"/>
                      <w:szCs w:val="21"/>
                      <w:highlight w:val="none"/>
                      <w:lang w:val="en-US" w:eastAsia="zh-CN"/>
                    </w:rPr>
                    <w:t>的项目，废气污染物能达标排放，无废水外排，固体废物全部得到妥善处置</w:t>
                  </w:r>
                  <w:r>
                    <w:rPr>
                      <w:rFonts w:hint="default" w:ascii="Times New Roman" w:hAnsi="Times New Roman" w:eastAsia="宋体" w:cs="Times New Roman"/>
                      <w:color w:val="auto"/>
                      <w:sz w:val="21"/>
                      <w:szCs w:val="21"/>
                      <w:highlight w:val="none"/>
                    </w:rPr>
                    <w:t>。</w:t>
                  </w:r>
                </w:p>
              </w:tc>
              <w:tc>
                <w:tcPr>
                  <w:tcW w:w="510" w:type="pct"/>
                  <w:tcBorders>
                    <w:tl2br w:val="nil"/>
                    <w:tr2bl w:val="nil"/>
                  </w:tcBorders>
                  <w:shd w:val="clear" w:color="auto" w:fill="auto"/>
                  <w:vAlign w:val="center"/>
                </w:tcPr>
                <w:p w14:paraId="76D49D9F">
                  <w:pPr>
                    <w:spacing w:line="0" w:lineRule="atLeast"/>
                    <w:jc w:val="center"/>
                    <w:rPr>
                      <w:szCs w:val="21"/>
                      <w:highlight w:val="none"/>
                    </w:rPr>
                  </w:pPr>
                  <w:r>
                    <w:rPr>
                      <w:rFonts w:hint="eastAsia"/>
                      <w:szCs w:val="21"/>
                      <w:highlight w:val="none"/>
                    </w:rPr>
                    <w:t>符合</w:t>
                  </w:r>
                </w:p>
              </w:tc>
            </w:tr>
            <w:tr w14:paraId="7BEB48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7B74D15D">
                  <w:pPr>
                    <w:spacing w:line="0" w:lineRule="atLeast"/>
                    <w:jc w:val="center"/>
                    <w:rPr>
                      <w:szCs w:val="21"/>
                      <w:highlight w:val="none"/>
                    </w:rPr>
                  </w:pPr>
                </w:p>
              </w:tc>
              <w:tc>
                <w:tcPr>
                  <w:tcW w:w="2424" w:type="pct"/>
                  <w:tcBorders>
                    <w:tl2br w:val="nil"/>
                    <w:tr2bl w:val="nil"/>
                  </w:tcBorders>
                  <w:shd w:val="clear" w:color="auto" w:fill="auto"/>
                  <w:vAlign w:val="center"/>
                </w:tcPr>
                <w:p w14:paraId="3DAC4918">
                  <w:pPr>
                    <w:pStyle w:val="87"/>
                    <w:keepNext w:val="0"/>
                    <w:keepLines w:val="0"/>
                    <w:widowControl/>
                    <w:suppressLineNumbers w:val="0"/>
                    <w:bidi w:val="0"/>
                    <w:spacing w:before="0" w:beforeAutospacing="0" w:after="0" w:afterAutospacing="0"/>
                    <w:ind w:left="0" w:leftChars="0" w:right="0" w:rightChars="0"/>
                    <w:jc w:val="center"/>
                    <w:rPr>
                      <w:szCs w:val="21"/>
                      <w:highlight w:val="none"/>
                    </w:rPr>
                  </w:pPr>
                  <w:r>
                    <w:rPr>
                      <w:rFonts w:hint="default" w:ascii="Times New Roman" w:hAnsi="Times New Roman" w:eastAsia="宋体" w:cs="Times New Roman"/>
                      <w:color w:val="auto"/>
                      <w:sz w:val="21"/>
                      <w:szCs w:val="21"/>
                      <w:highlight w:val="none"/>
                    </w:rPr>
                    <w:t>加强企业入区管理，严格按照工业园区规划产业定位及产业布局安排入区项目，禁止不符工业园区产业定位的项目入驻。合理安排工业园区发展时序，入驻企业选址与周围居民点的距离应满足大气环境防护距离要求，生活空间周边禁止布局高噪声生产企业。</w:t>
                  </w:r>
                </w:p>
              </w:tc>
              <w:tc>
                <w:tcPr>
                  <w:tcW w:w="1583" w:type="pct"/>
                  <w:tcBorders>
                    <w:tl2br w:val="nil"/>
                    <w:tr2bl w:val="nil"/>
                  </w:tcBorders>
                  <w:shd w:val="clear" w:color="auto" w:fill="auto"/>
                  <w:vAlign w:val="center"/>
                </w:tcPr>
                <w:p w14:paraId="7E7FF698">
                  <w:pPr>
                    <w:pStyle w:val="86"/>
                    <w:keepNext w:val="0"/>
                    <w:keepLines w:val="0"/>
                    <w:suppressLineNumbers w:val="0"/>
                    <w:spacing w:before="0" w:beforeAutospacing="0" w:after="0" w:afterAutospacing="0"/>
                    <w:ind w:left="0" w:leftChars="0" w:right="0" w:rightChars="0"/>
                    <w:rPr>
                      <w:szCs w:val="21"/>
                      <w:highlight w:val="none"/>
                    </w:rPr>
                  </w:pPr>
                  <w:r>
                    <w:rPr>
                      <w:rFonts w:hint="eastAsia" w:cs="Times New Roman"/>
                      <w:color w:val="auto"/>
                      <w:sz w:val="21"/>
                      <w:szCs w:val="21"/>
                      <w:highlight w:val="none"/>
                      <w:lang w:val="en-US" w:eastAsia="zh-CN"/>
                    </w:rPr>
                    <w:t>本</w:t>
                  </w:r>
                  <w:r>
                    <w:rPr>
                      <w:rFonts w:hint="default" w:ascii="Times New Roman" w:hAnsi="Times New Roman" w:eastAsia="宋体" w:cs="Times New Roman"/>
                      <w:color w:val="auto"/>
                      <w:sz w:val="21"/>
                      <w:szCs w:val="21"/>
                      <w:highlight w:val="none"/>
                    </w:rPr>
                    <w:t>项目</w:t>
                  </w:r>
                  <w:r>
                    <w:rPr>
                      <w:rFonts w:hint="eastAsia" w:ascii="Times New Roman" w:hAnsi="Times New Roman" w:eastAsia="宋体" w:cs="Times New Roman"/>
                      <w:color w:val="auto"/>
                      <w:sz w:val="21"/>
                      <w:szCs w:val="21"/>
                      <w:highlight w:val="none"/>
                      <w:lang w:val="en-US" w:eastAsia="zh-CN"/>
                    </w:rPr>
                    <w:t>位于滦县翼翔新型建材有限公司</w:t>
                  </w:r>
                  <w:r>
                    <w:rPr>
                      <w:rFonts w:hint="default" w:ascii="Times New Roman" w:hAnsi="Times New Roman" w:eastAsia="宋体" w:cs="Times New Roman"/>
                      <w:color w:val="auto"/>
                      <w:sz w:val="21"/>
                      <w:szCs w:val="21"/>
                      <w:highlight w:val="none"/>
                      <w:lang w:val="en-US" w:eastAsia="zh-CN"/>
                    </w:rPr>
                    <w:t>现有厂区</w:t>
                  </w:r>
                  <w:r>
                    <w:rPr>
                      <w:rFonts w:hint="default" w:ascii="Times New Roman" w:hAnsi="Times New Roman" w:eastAsia="宋体" w:cs="Times New Roman"/>
                      <w:color w:val="auto"/>
                      <w:sz w:val="21"/>
                      <w:szCs w:val="21"/>
                      <w:highlight w:val="none"/>
                    </w:rPr>
                    <w:t>内，</w:t>
                  </w:r>
                  <w:r>
                    <w:rPr>
                      <w:rFonts w:hint="eastAsia" w:cs="Times New Roman"/>
                      <w:color w:val="auto"/>
                      <w:sz w:val="21"/>
                      <w:szCs w:val="21"/>
                      <w:highlight w:val="none"/>
                      <w:lang w:val="en-US" w:eastAsia="zh-CN"/>
                    </w:rPr>
                    <w:t>本</w:t>
                  </w:r>
                  <w:r>
                    <w:rPr>
                      <w:rFonts w:hint="eastAsia" w:ascii="Times New Roman" w:hAnsi="Times New Roman" w:eastAsia="宋体" w:cs="Times New Roman"/>
                      <w:color w:val="auto"/>
                      <w:sz w:val="21"/>
                      <w:szCs w:val="21"/>
                      <w:highlight w:val="none"/>
                      <w:lang w:val="en-US" w:eastAsia="zh-CN"/>
                    </w:rPr>
                    <w:t>项目无需设置大气防护距离，厂界</w:t>
                  </w:r>
                  <w:r>
                    <w:rPr>
                      <w:rFonts w:hint="eastAsia" w:eastAsia="宋体" w:cs="Times New Roman"/>
                      <w:color w:val="auto"/>
                      <w:sz w:val="21"/>
                      <w:szCs w:val="21"/>
                      <w:highlight w:val="none"/>
                      <w:lang w:val="en-US" w:eastAsia="zh-CN"/>
                    </w:rPr>
                    <w:t>50</w:t>
                  </w:r>
                  <w:r>
                    <w:rPr>
                      <w:rFonts w:hint="eastAsia" w:ascii="Times New Roman" w:hAnsi="Times New Roman" w:eastAsia="宋体" w:cs="Times New Roman"/>
                      <w:color w:val="auto"/>
                      <w:sz w:val="21"/>
                      <w:szCs w:val="21"/>
                      <w:highlight w:val="none"/>
                      <w:lang w:val="en-US" w:eastAsia="zh-CN"/>
                    </w:rPr>
                    <w:t>m范围内无噪声敏感目标。</w:t>
                  </w:r>
                </w:p>
              </w:tc>
              <w:tc>
                <w:tcPr>
                  <w:tcW w:w="510" w:type="pct"/>
                  <w:tcBorders>
                    <w:tl2br w:val="nil"/>
                    <w:tr2bl w:val="nil"/>
                  </w:tcBorders>
                  <w:shd w:val="clear" w:color="auto" w:fill="auto"/>
                  <w:vAlign w:val="center"/>
                </w:tcPr>
                <w:p w14:paraId="346A564E">
                  <w:pPr>
                    <w:spacing w:line="0" w:lineRule="atLeast"/>
                    <w:jc w:val="center"/>
                    <w:rPr>
                      <w:szCs w:val="21"/>
                      <w:highlight w:val="none"/>
                    </w:rPr>
                  </w:pPr>
                  <w:r>
                    <w:rPr>
                      <w:rFonts w:hint="eastAsia"/>
                      <w:szCs w:val="21"/>
                      <w:highlight w:val="none"/>
                    </w:rPr>
                    <w:t>符合</w:t>
                  </w:r>
                </w:p>
              </w:tc>
            </w:tr>
            <w:tr w14:paraId="7C9A82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l2br w:val="nil"/>
                    <w:tr2bl w:val="nil"/>
                  </w:tcBorders>
                  <w:shd w:val="clear" w:color="auto" w:fill="auto"/>
                  <w:vAlign w:val="center"/>
                </w:tcPr>
                <w:p w14:paraId="4E83C873">
                  <w:pPr>
                    <w:spacing w:line="0" w:lineRule="atLeast"/>
                    <w:jc w:val="center"/>
                    <w:rPr>
                      <w:rFonts w:hint="eastAsia"/>
                      <w:szCs w:val="21"/>
                      <w:highlight w:val="none"/>
                    </w:rPr>
                  </w:pPr>
                </w:p>
              </w:tc>
              <w:tc>
                <w:tcPr>
                  <w:tcW w:w="2424" w:type="pct"/>
                  <w:tcBorders>
                    <w:tl2br w:val="nil"/>
                    <w:tr2bl w:val="nil"/>
                  </w:tcBorders>
                  <w:shd w:val="clear" w:color="auto" w:fill="auto"/>
                  <w:vAlign w:val="center"/>
                </w:tcPr>
                <w:p w14:paraId="0902C9E8">
                  <w:pPr>
                    <w:pStyle w:val="87"/>
                    <w:keepNext w:val="0"/>
                    <w:keepLines w:val="0"/>
                    <w:widowControl/>
                    <w:suppressLineNumbers w:val="0"/>
                    <w:bidi w:val="0"/>
                    <w:spacing w:before="0" w:beforeAutospacing="0" w:after="0" w:afterAutospacing="0"/>
                    <w:ind w:left="0" w:leftChars="0" w:right="0" w:rightChars="0"/>
                    <w:jc w:val="center"/>
                    <w:rPr>
                      <w:rFonts w:hint="eastAsia"/>
                      <w:szCs w:val="21"/>
                      <w:highlight w:val="none"/>
                    </w:rPr>
                  </w:pPr>
                  <w:r>
                    <w:rPr>
                      <w:rFonts w:hint="default" w:ascii="Times New Roman" w:hAnsi="Times New Roman" w:eastAsia="宋体" w:cs="Times New Roman"/>
                      <w:color w:val="auto"/>
                      <w:sz w:val="21"/>
                      <w:szCs w:val="21"/>
                      <w:highlight w:val="none"/>
                    </w:rPr>
                    <w:t>新建、升级工业园区(工业集聚区)必须同步规划、建设污水、垃圾集中处理等污染治理设施。所有工业园区全部建成污水集中处理设施，并安装自动在线监控装置。加快完善工业园区配套污水管网，推进“清污分流、雨污分流”，实现园区内工业企业废水统一收集，集中处理，污水集中处理设施稳定达标运行。推进重点流域工业园区污水集中处理设施提标改造，推进工业园区“一园一档”</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“一企一册”环保管理制度建设，逐步规范完善园区水环境管理台账。</w:t>
                  </w:r>
                </w:p>
              </w:tc>
              <w:tc>
                <w:tcPr>
                  <w:tcW w:w="1583" w:type="pct"/>
                  <w:tcBorders>
                    <w:tl2br w:val="nil"/>
                    <w:tr2bl w:val="nil"/>
                  </w:tcBorders>
                  <w:shd w:val="clear" w:color="auto" w:fill="auto"/>
                  <w:vAlign w:val="center"/>
                </w:tcPr>
                <w:p w14:paraId="19419B03">
                  <w:pPr>
                    <w:pStyle w:val="86"/>
                    <w:keepNext w:val="0"/>
                    <w:keepLines w:val="0"/>
                    <w:suppressLineNumbers w:val="0"/>
                    <w:spacing w:before="0" w:beforeAutospacing="0" w:after="0" w:afterAutospacing="0"/>
                    <w:ind w:left="0" w:leftChars="0" w:right="0" w:rightChars="0"/>
                    <w:rPr>
                      <w:rFonts w:hint="eastAsia"/>
                      <w:szCs w:val="21"/>
                      <w:highlight w:val="none"/>
                    </w:rPr>
                  </w:pPr>
                  <w:r>
                    <w:rPr>
                      <w:rFonts w:hint="eastAsia" w:ascii="Times New Roman" w:hAnsi="Times New Roman" w:eastAsia="宋体" w:cs="Times New Roman"/>
                      <w:color w:val="auto"/>
                      <w:sz w:val="21"/>
                      <w:szCs w:val="21"/>
                      <w:highlight w:val="none"/>
                      <w:lang w:val="en-US" w:eastAsia="zh-CN"/>
                    </w:rPr>
                    <w:t>本项目不在园区内，无废水外排。</w:t>
                  </w:r>
                </w:p>
              </w:tc>
              <w:tc>
                <w:tcPr>
                  <w:tcW w:w="510" w:type="pct"/>
                  <w:tcBorders>
                    <w:tl2br w:val="nil"/>
                    <w:tr2bl w:val="nil"/>
                  </w:tcBorders>
                  <w:shd w:val="clear" w:color="auto" w:fill="auto"/>
                  <w:vAlign w:val="center"/>
                </w:tcPr>
                <w:p w14:paraId="7474E9F9">
                  <w:pPr>
                    <w:spacing w:line="0" w:lineRule="atLeast"/>
                    <w:jc w:val="center"/>
                    <w:rPr>
                      <w:rFonts w:hint="eastAsia" w:eastAsia="宋体"/>
                      <w:szCs w:val="21"/>
                      <w:highlight w:val="none"/>
                      <w:lang w:val="en-US" w:eastAsia="zh-CN"/>
                    </w:rPr>
                  </w:pPr>
                  <w:r>
                    <w:rPr>
                      <w:rFonts w:hint="eastAsia"/>
                      <w:szCs w:val="21"/>
                      <w:highlight w:val="none"/>
                      <w:lang w:val="en-US" w:eastAsia="zh-CN"/>
                    </w:rPr>
                    <w:t>符合</w:t>
                  </w:r>
                </w:p>
              </w:tc>
            </w:tr>
          </w:tbl>
          <w:p w14:paraId="33ECD2BC">
            <w:pPr>
              <w:spacing w:line="480" w:lineRule="exact"/>
              <w:ind w:firstLine="1195" w:firstLineChars="498"/>
              <w:rPr>
                <w:rFonts w:hint="eastAsia" w:ascii="黑体" w:hAnsi="黑体" w:eastAsia="黑体"/>
                <w:color w:val="000000" w:themeColor="text1"/>
                <w:sz w:val="24"/>
                <w:highlight w:val="none"/>
                <w:lang w:val="zh-TW"/>
                <w14:textFill>
                  <w14:solidFill>
                    <w14:schemeClr w14:val="tx1"/>
                  </w14:solidFill>
                </w14:textFill>
              </w:rPr>
            </w:pPr>
          </w:p>
          <w:p w14:paraId="199356E0">
            <w:pPr>
              <w:spacing w:line="480" w:lineRule="exact"/>
              <w:ind w:firstLine="1195" w:firstLineChars="498"/>
              <w:rPr>
                <w:rFonts w:ascii="黑体" w:hAnsi="黑体" w:eastAsia="黑体"/>
                <w:color w:val="000000" w:themeColor="text1"/>
                <w:sz w:val="24"/>
                <w:highlight w:val="none"/>
                <w:lang w:val="zh-TW"/>
                <w14:textFill>
                  <w14:solidFill>
                    <w14:schemeClr w14:val="tx1"/>
                  </w14:solidFill>
                </w14:textFill>
              </w:rPr>
            </w:pPr>
            <w:r>
              <w:rPr>
                <w:rFonts w:hint="eastAsia" w:ascii="黑体" w:hAnsi="黑体" w:eastAsia="黑体"/>
                <w:color w:val="000000" w:themeColor="text1"/>
                <w:sz w:val="24"/>
                <w:highlight w:val="none"/>
                <w:lang w:val="zh-TW"/>
                <w14:textFill>
                  <w14:solidFill>
                    <w14:schemeClr w14:val="tx1"/>
                  </w14:solidFill>
                </w14:textFill>
              </w:rPr>
              <w:t>表1-</w:t>
            </w:r>
            <w:r>
              <w:rPr>
                <w:rFonts w:hint="eastAsia" w:ascii="黑体" w:hAnsi="黑体" w:eastAsia="黑体"/>
                <w:color w:val="000000" w:themeColor="text1"/>
                <w:sz w:val="24"/>
                <w:highlight w:val="none"/>
                <w:lang w:val="en-US" w:eastAsia="zh-CN"/>
                <w14:textFill>
                  <w14:solidFill>
                    <w14:schemeClr w14:val="tx1"/>
                  </w14:solidFill>
                </w14:textFill>
              </w:rPr>
              <w:t>3</w:t>
            </w:r>
            <w:r>
              <w:rPr>
                <w:rFonts w:hint="eastAsia" w:ascii="黑体" w:hAnsi="黑体" w:eastAsia="黑体"/>
                <w:color w:val="000000" w:themeColor="text1"/>
                <w:sz w:val="24"/>
                <w:highlight w:val="none"/>
                <w:lang w:val="zh-TW"/>
                <w14:textFill>
                  <w14:solidFill>
                    <w14:schemeClr w14:val="tx1"/>
                  </w14:solidFill>
                </w14:textFill>
              </w:rPr>
              <w:t xml:space="preserve">      本项目所在环境管控单元环境准入清单要求</w:t>
            </w:r>
          </w:p>
          <w:tbl>
            <w:tblPr>
              <w:tblStyle w:val="24"/>
              <w:tblW w:w="894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46"/>
              <w:gridCol w:w="882"/>
              <w:gridCol w:w="4929"/>
              <w:gridCol w:w="2091"/>
            </w:tblGrid>
            <w:tr w14:paraId="7310E44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18B91940">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编号</w:t>
                  </w:r>
                </w:p>
              </w:tc>
              <w:tc>
                <w:tcPr>
                  <w:tcW w:w="882" w:type="dxa"/>
                  <w:vAlign w:val="center"/>
                </w:tcPr>
                <w:p w14:paraId="18394881">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区县</w:t>
                  </w:r>
                </w:p>
              </w:tc>
              <w:tc>
                <w:tcPr>
                  <w:tcW w:w="4929" w:type="dxa"/>
                  <w:vAlign w:val="center"/>
                </w:tcPr>
                <w:p w14:paraId="37DD7C8E">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乡镇</w:t>
                  </w:r>
                </w:p>
              </w:tc>
              <w:tc>
                <w:tcPr>
                  <w:tcW w:w="2091" w:type="dxa"/>
                  <w:vAlign w:val="center"/>
                </w:tcPr>
                <w:p w14:paraId="4429EDEB">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单元类别</w:t>
                  </w:r>
                </w:p>
              </w:tc>
            </w:tr>
            <w:tr w14:paraId="4E03B0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78C987EE">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Ansi="宋体"/>
                      <w:color w:val="000000" w:themeColor="text1"/>
                      <w:szCs w:val="21"/>
                      <w:highlight w:val="none"/>
                      <w14:textFill>
                        <w14:solidFill>
                          <w14:schemeClr w14:val="tx1"/>
                        </w14:solidFill>
                      </w14:textFill>
                    </w:rPr>
                    <w:t>ZH1302842000</w:t>
                  </w:r>
                  <w:r>
                    <w:rPr>
                      <w:rFonts w:hint="eastAsia" w:hAnsi="宋体"/>
                      <w:color w:val="000000" w:themeColor="text1"/>
                      <w:szCs w:val="21"/>
                      <w:highlight w:val="none"/>
                      <w14:textFill>
                        <w14:solidFill>
                          <w14:schemeClr w14:val="tx1"/>
                        </w14:solidFill>
                      </w14:textFill>
                    </w:rPr>
                    <w:t>7</w:t>
                  </w:r>
                </w:p>
              </w:tc>
              <w:tc>
                <w:tcPr>
                  <w:tcW w:w="882" w:type="dxa"/>
                  <w:vAlign w:val="center"/>
                </w:tcPr>
                <w:p w14:paraId="772770EA">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滦州市</w:t>
                  </w:r>
                </w:p>
              </w:tc>
              <w:tc>
                <w:tcPr>
                  <w:tcW w:w="4929" w:type="dxa"/>
                  <w:vAlign w:val="center"/>
                </w:tcPr>
                <w:p w14:paraId="67A1E308">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响嘡街道</w:t>
                  </w:r>
                </w:p>
              </w:tc>
              <w:tc>
                <w:tcPr>
                  <w:tcW w:w="2091" w:type="dxa"/>
                  <w:vAlign w:val="center"/>
                </w:tcPr>
                <w:p w14:paraId="3BF54674">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重点管控单元</w:t>
                  </w:r>
                </w:p>
              </w:tc>
            </w:tr>
            <w:tr w14:paraId="237BFF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66A935A5">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环境要素类别</w:t>
                  </w:r>
                </w:p>
              </w:tc>
              <w:tc>
                <w:tcPr>
                  <w:tcW w:w="7902" w:type="dxa"/>
                  <w:gridSpan w:val="3"/>
                  <w:vAlign w:val="center"/>
                </w:tcPr>
                <w:p w14:paraId="2E3EAE10">
                  <w:pPr>
                    <w:spacing w:line="280" w:lineRule="exact"/>
                    <w:ind w:left="-105" w:leftChars="-50" w:right="-105" w:rightChars="-5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1、中心城区2、大气环境受体敏感重点管控区3、水环境城镇生活污染重点管控区</w:t>
                  </w:r>
                </w:p>
                <w:p w14:paraId="337F780E">
                  <w:pPr>
                    <w:spacing w:line="280" w:lineRule="exact"/>
                    <w:ind w:left="-105" w:leftChars="-50" w:right="-105" w:rightChars="-5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4、地下水污染风险重点管控区5、禁燃区</w:t>
                  </w:r>
                </w:p>
              </w:tc>
            </w:tr>
            <w:tr w14:paraId="00CE0A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0CABFF4E">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维度</w:t>
                  </w:r>
                </w:p>
              </w:tc>
              <w:tc>
                <w:tcPr>
                  <w:tcW w:w="5811" w:type="dxa"/>
                  <w:gridSpan w:val="2"/>
                  <w:vAlign w:val="center"/>
                </w:tcPr>
                <w:p w14:paraId="644B0657">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管控措施</w:t>
                  </w:r>
                </w:p>
              </w:tc>
              <w:tc>
                <w:tcPr>
                  <w:tcW w:w="2091" w:type="dxa"/>
                  <w:vAlign w:val="center"/>
                </w:tcPr>
                <w:p w14:paraId="2745BEC4">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本项目</w:t>
                  </w:r>
                </w:p>
              </w:tc>
            </w:tr>
            <w:tr w14:paraId="10181E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346E03B3">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空间布局约束</w:t>
                  </w:r>
                </w:p>
              </w:tc>
              <w:tc>
                <w:tcPr>
                  <w:tcW w:w="5811" w:type="dxa"/>
                  <w:gridSpan w:val="2"/>
                  <w:vAlign w:val="center"/>
                </w:tcPr>
                <w:p w14:paraId="2C5B41CE">
                  <w:pPr>
                    <w:spacing w:line="280" w:lineRule="exact"/>
                    <w:ind w:left="-105" w:leftChars="-50" w:right="-105" w:rightChars="-50"/>
                    <w:jc w:val="left"/>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1、实行严格准入管理，达到准入条件方可投放采矿权。已有采矿权与限制开采区重叠的部分需要进行解限论证后，方可生产。确需退出的，要维护采矿权人合法权益，依法有序退出。</w:t>
                  </w:r>
                </w:p>
                <w:p w14:paraId="7631CBAD">
                  <w:pPr>
                    <w:spacing w:line="280" w:lineRule="exact"/>
                    <w:ind w:left="-105" w:leftChars="-50" w:right="-105" w:rightChars="-50"/>
                    <w:jc w:val="left"/>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14:textFill>
                        <w14:solidFill>
                          <w14:schemeClr w14:val="tx1"/>
                        </w14:solidFill>
                      </w14:textFill>
                    </w:rPr>
                    <w:t>2、严控“两高”行业新增产能。不再审批水泥等产能严重过剩行业。</w:t>
                  </w:r>
                </w:p>
              </w:tc>
              <w:tc>
                <w:tcPr>
                  <w:tcW w:w="2091" w:type="dxa"/>
                  <w:vAlign w:val="center"/>
                </w:tcPr>
                <w:p w14:paraId="126403CF">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bCs/>
                      <w:color w:val="000000" w:themeColor="text1"/>
                      <w:szCs w:val="21"/>
                      <w:highlight w:val="none"/>
                      <w14:textFill>
                        <w14:solidFill>
                          <w14:schemeClr w14:val="tx1"/>
                        </w14:solidFill>
                      </w14:textFill>
                    </w:rPr>
                    <w:t>本项目不属于采矿项目。项目不属于“两高”行业</w:t>
                  </w:r>
                  <w:r>
                    <w:rPr>
                      <w:rFonts w:hint="eastAsia" w:hAnsi="宋体"/>
                      <w:color w:val="000000" w:themeColor="text1"/>
                      <w:szCs w:val="21"/>
                      <w:highlight w:val="none"/>
                      <w14:textFill>
                        <w14:solidFill>
                          <w14:schemeClr w14:val="tx1"/>
                        </w14:solidFill>
                      </w14:textFill>
                    </w:rPr>
                    <w:t>，不属于水泥行业。</w:t>
                  </w:r>
                </w:p>
              </w:tc>
            </w:tr>
            <w:tr w14:paraId="78E6CA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24E287EF">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污染物排放管控</w:t>
                  </w:r>
                </w:p>
              </w:tc>
              <w:tc>
                <w:tcPr>
                  <w:tcW w:w="5811" w:type="dxa"/>
                  <w:gridSpan w:val="2"/>
                  <w:vAlign w:val="center"/>
                </w:tcPr>
                <w:p w14:paraId="5E53076B">
                  <w:pPr>
                    <w:spacing w:line="280" w:lineRule="exact"/>
                    <w:ind w:left="-105" w:leftChars="-50" w:right="-105" w:rightChars="-50"/>
                    <w:jc w:val="left"/>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1、加快推进水泥重点行业污染深度治理，各工序（环节）排污点源全部完成治理设施升级改造，推进企业环境管理精细化，确保污染物稳定达标排放。</w:t>
                  </w:r>
                </w:p>
                <w:p w14:paraId="26D5522A">
                  <w:pPr>
                    <w:spacing w:line="280" w:lineRule="exact"/>
                    <w:ind w:left="-105" w:leftChars="-50" w:right="-105" w:rightChars="-50"/>
                    <w:jc w:val="left"/>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14:textFill>
                        <w14:solidFill>
                          <w14:schemeClr w14:val="tx1"/>
                        </w14:solidFill>
                      </w14:textFill>
                    </w:rPr>
                    <w:t>2、推进工业炉窑全面达标排放。已有行业排放标准的工业炉窑，严格执行行业排放标准相关规定，配套建设高效脱硫脱硝除尘设施，确保稳定达标排放。</w:t>
                  </w:r>
                </w:p>
              </w:tc>
              <w:tc>
                <w:tcPr>
                  <w:tcW w:w="2091" w:type="dxa"/>
                  <w:vAlign w:val="center"/>
                </w:tcPr>
                <w:p w14:paraId="5A2FAB43">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14:textFill>
                        <w14:solidFill>
                          <w14:schemeClr w14:val="tx1"/>
                        </w14:solidFill>
                      </w14:textFill>
                    </w:rPr>
                    <w:t>项目不属于水泥重点行业。本项目利用现有炉窑，烟气经现有配套脱硫脱硝除尘设施治理后，废气达标排放。</w:t>
                  </w:r>
                  <w:r>
                    <w:rPr>
                      <w:rFonts w:hAnsi="宋体"/>
                      <w:color w:val="000000" w:themeColor="text1"/>
                      <w:szCs w:val="21"/>
                      <w:highlight w:val="none"/>
                      <w:lang w:val="zh-TW"/>
                      <w14:textFill>
                        <w14:solidFill>
                          <w14:schemeClr w14:val="tx1"/>
                        </w14:solidFill>
                      </w14:textFill>
                    </w:rPr>
                    <w:t xml:space="preserve"> </w:t>
                  </w:r>
                </w:p>
              </w:tc>
            </w:tr>
            <w:tr w14:paraId="6A7AC0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1B437853">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环境风险防控</w:t>
                  </w:r>
                </w:p>
              </w:tc>
              <w:tc>
                <w:tcPr>
                  <w:tcW w:w="5811" w:type="dxa"/>
                  <w:gridSpan w:val="2"/>
                  <w:vAlign w:val="center"/>
                </w:tcPr>
                <w:p w14:paraId="00C2E813">
                  <w:pPr>
                    <w:spacing w:line="280" w:lineRule="exact"/>
                    <w:ind w:left="-105" w:leftChars="-50" w:right="-105" w:rightChars="-50"/>
                    <w:jc w:val="left"/>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1、县政府组织对未经土壤污染状况调查，已开发利用为住宅、公共管理与公共服务用地的地块进行摸底调查，建立土壤调查地块清单，采取有效措施，确保人居环境安全。</w:t>
                  </w:r>
                </w:p>
                <w:p w14:paraId="43A71C2F">
                  <w:pPr>
                    <w:spacing w:line="280" w:lineRule="exact"/>
                    <w:ind w:left="-105" w:leftChars="-50" w:right="-105" w:rightChars="-50"/>
                    <w:jc w:val="left"/>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2、加强重点工业行业地下水环境监管，采取防控措施有效降低地下水污染风险。</w:t>
                  </w:r>
                </w:p>
              </w:tc>
              <w:tc>
                <w:tcPr>
                  <w:tcW w:w="2091" w:type="dxa"/>
                  <w:vAlign w:val="center"/>
                </w:tcPr>
                <w:p w14:paraId="1D8AE9C7">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本项目在现有厂区内建设，不存在土壤污染迹象，采取分区防渗措施后，项目对地下水、土壤环境影响较小。根据项目特点制定了土壤环境监测计划。</w:t>
                  </w:r>
                </w:p>
              </w:tc>
            </w:tr>
            <w:tr w14:paraId="709FD64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46" w:type="dxa"/>
                  <w:vAlign w:val="center"/>
                </w:tcPr>
                <w:p w14:paraId="6D5D9ED5">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资源利用效率要求</w:t>
                  </w:r>
                </w:p>
              </w:tc>
              <w:tc>
                <w:tcPr>
                  <w:tcW w:w="5811" w:type="dxa"/>
                  <w:gridSpan w:val="2"/>
                  <w:vAlign w:val="center"/>
                </w:tcPr>
                <w:p w14:paraId="7B14BF3D">
                  <w:pPr>
                    <w:spacing w:line="280" w:lineRule="exact"/>
                    <w:ind w:left="-105" w:leftChars="-50" w:right="-105" w:rightChars="-50"/>
                    <w:jc w:val="left"/>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禁燃区执行全市资源利用总体管控要求中禁燃区管控要求。</w:t>
                  </w:r>
                </w:p>
              </w:tc>
              <w:tc>
                <w:tcPr>
                  <w:tcW w:w="2091" w:type="dxa"/>
                  <w:vAlign w:val="center"/>
                </w:tcPr>
                <w:p w14:paraId="5A8C6E59">
                  <w:pPr>
                    <w:spacing w:line="280" w:lineRule="exact"/>
                    <w:ind w:left="-105" w:leftChars="-50" w:right="-105" w:rightChars="-50"/>
                    <w:jc w:val="center"/>
                    <w:rPr>
                      <w:rFonts w:hAnsi="宋体"/>
                      <w:color w:val="000000" w:themeColor="text1"/>
                      <w:szCs w:val="21"/>
                      <w:highlight w:val="none"/>
                      <w:lang w:val="zh-TW"/>
                      <w14:textFill>
                        <w14:solidFill>
                          <w14:schemeClr w14:val="tx1"/>
                        </w14:solidFill>
                      </w14:textFill>
                    </w:rPr>
                  </w:pPr>
                  <w:r>
                    <w:rPr>
                      <w:rFonts w:hint="eastAsia" w:hAnsi="宋体"/>
                      <w:color w:val="000000" w:themeColor="text1"/>
                      <w:szCs w:val="21"/>
                      <w:highlight w:val="none"/>
                      <w:lang w:val="zh-TW"/>
                      <w14:textFill>
                        <w14:solidFill>
                          <w14:schemeClr w14:val="tx1"/>
                        </w14:solidFill>
                      </w14:textFill>
                    </w:rPr>
                    <w:t>项目符合禁燃区管控要求。</w:t>
                  </w:r>
                </w:p>
              </w:tc>
            </w:tr>
          </w:tbl>
          <w:p w14:paraId="4CB3162C">
            <w:pPr>
              <w:pStyle w:val="52"/>
              <w:spacing w:line="480" w:lineRule="exact"/>
              <w:ind w:firstLine="48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经以上分析可知，</w:t>
            </w:r>
            <w:r>
              <w:rPr>
                <w:rFonts w:hint="eastAsia"/>
                <w:bCs/>
                <w:color w:val="000000" w:themeColor="text1"/>
                <w:kern w:val="0"/>
                <w:sz w:val="24"/>
                <w:highlight w:val="none"/>
                <w14:textFill>
                  <w14:solidFill>
                    <w14:schemeClr w14:val="tx1"/>
                  </w14:solidFill>
                </w14:textFill>
              </w:rPr>
              <w:t>本</w:t>
            </w:r>
            <w:r>
              <w:rPr>
                <w:bCs/>
                <w:color w:val="000000" w:themeColor="text1"/>
                <w:kern w:val="0"/>
                <w:sz w:val="24"/>
                <w:highlight w:val="none"/>
                <w14:textFill>
                  <w14:solidFill>
                    <w14:schemeClr w14:val="tx1"/>
                  </w14:solidFill>
                </w14:textFill>
              </w:rPr>
              <w:t>项目</w:t>
            </w:r>
            <w:r>
              <w:rPr>
                <w:rFonts w:hint="eastAsia"/>
                <w:bCs/>
                <w:color w:val="000000" w:themeColor="text1"/>
                <w:kern w:val="0"/>
                <w:sz w:val="24"/>
                <w:highlight w:val="none"/>
                <w14:textFill>
                  <w14:solidFill>
                    <w14:schemeClr w14:val="tx1"/>
                  </w14:solidFill>
                </w14:textFill>
              </w:rPr>
              <w:t>的建设</w:t>
            </w:r>
            <w:r>
              <w:rPr>
                <w:bCs/>
                <w:color w:val="000000" w:themeColor="text1"/>
                <w:kern w:val="0"/>
                <w:sz w:val="24"/>
                <w:highlight w:val="none"/>
                <w14:textFill>
                  <w14:solidFill>
                    <w14:schemeClr w14:val="tx1"/>
                  </w14:solidFill>
                </w14:textFill>
              </w:rPr>
              <w:t>符合“三线一单”</w:t>
            </w:r>
            <w:r>
              <w:rPr>
                <w:rFonts w:hint="eastAsia"/>
                <w:bCs/>
                <w:color w:val="000000" w:themeColor="text1"/>
                <w:kern w:val="0"/>
                <w:sz w:val="24"/>
                <w:highlight w:val="none"/>
                <w14:textFill>
                  <w14:solidFill>
                    <w14:schemeClr w14:val="tx1"/>
                  </w14:solidFill>
                </w14:textFill>
              </w:rPr>
              <w:t>管控</w:t>
            </w:r>
            <w:r>
              <w:rPr>
                <w:bCs/>
                <w:color w:val="000000" w:themeColor="text1"/>
                <w:kern w:val="0"/>
                <w:sz w:val="24"/>
                <w:highlight w:val="none"/>
                <w14:textFill>
                  <w14:solidFill>
                    <w14:schemeClr w14:val="tx1"/>
                  </w14:solidFill>
                </w14:textFill>
              </w:rPr>
              <w:t>要求。</w:t>
            </w:r>
          </w:p>
          <w:p w14:paraId="049B664A">
            <w:pPr>
              <w:autoSpaceDE w:val="0"/>
              <w:autoSpaceDN w:val="0"/>
              <w:adjustRightInd w:val="0"/>
              <w:snapToGrid w:val="0"/>
              <w:spacing w:line="480" w:lineRule="exact"/>
              <w:jc w:val="left"/>
              <w:rPr>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14:textFill>
                  <w14:solidFill>
                    <w14:schemeClr w14:val="tx1"/>
                  </w14:solidFill>
                </w14:textFill>
              </w:rPr>
              <w:t>4、</w:t>
            </w:r>
            <w:r>
              <w:rPr>
                <w:b/>
                <w:bCs/>
                <w:color w:val="000000" w:themeColor="text1"/>
                <w:kern w:val="0"/>
                <w:sz w:val="24"/>
                <w:highlight w:val="none"/>
                <w14:textFill>
                  <w14:solidFill>
                    <w14:schemeClr w14:val="tx1"/>
                  </w14:solidFill>
                </w14:textFill>
              </w:rPr>
              <w:t>项目与</w:t>
            </w:r>
            <w:r>
              <w:rPr>
                <w:rFonts w:hint="eastAsia"/>
                <w:b/>
                <w:bCs/>
                <w:color w:val="000000" w:themeColor="text1"/>
                <w:kern w:val="0"/>
                <w:sz w:val="24"/>
                <w:highlight w:val="none"/>
                <w:lang w:eastAsia="zh-CN"/>
                <w14:textFill>
                  <w14:solidFill>
                    <w14:schemeClr w14:val="tx1"/>
                  </w14:solidFill>
                </w14:textFill>
              </w:rPr>
              <w:t>《</w:t>
            </w:r>
            <w:r>
              <w:rPr>
                <w:rFonts w:hint="eastAsia"/>
                <w:b/>
                <w:bCs/>
                <w:color w:val="000000" w:themeColor="text1"/>
                <w:kern w:val="0"/>
                <w:sz w:val="24"/>
                <w:highlight w:val="none"/>
                <w14:textFill>
                  <w14:solidFill>
                    <w14:schemeClr w14:val="tx1"/>
                  </w14:solidFill>
                </w14:textFill>
              </w:rPr>
              <w:t>烧结砖瓦工业大气污染物治理设施技术要求</w:t>
            </w:r>
            <w:r>
              <w:rPr>
                <w:rFonts w:hint="eastAsia"/>
                <w:b/>
                <w:bCs/>
                <w:color w:val="000000" w:themeColor="text1"/>
                <w:kern w:val="0"/>
                <w:sz w:val="24"/>
                <w:highlight w:val="none"/>
                <w:lang w:eastAsia="zh-CN"/>
                <w14:textFill>
                  <w14:solidFill>
                    <w14:schemeClr w14:val="tx1"/>
                  </w14:solidFill>
                </w14:textFill>
              </w:rPr>
              <w:t>》（GB/T42264-2022）</w:t>
            </w:r>
            <w:r>
              <w:rPr>
                <w:b/>
                <w:bCs/>
                <w:color w:val="000000" w:themeColor="text1"/>
                <w:kern w:val="0"/>
                <w:sz w:val="24"/>
                <w:highlight w:val="none"/>
                <w14:textFill>
                  <w14:solidFill>
                    <w14:schemeClr w14:val="tx1"/>
                  </w14:solidFill>
                </w14:textFill>
              </w:rPr>
              <w:t>符合性分析</w:t>
            </w:r>
          </w:p>
          <w:p w14:paraId="2C99ED04">
            <w:pPr>
              <w:pStyle w:val="52"/>
              <w:spacing w:line="480" w:lineRule="exact"/>
              <w:ind w:firstLine="48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项目与烧结砖瓦工业大气污染物治理设施技术要求符合性分析一览表见表1-</w:t>
            </w:r>
            <w:r>
              <w:rPr>
                <w:rFonts w:hint="eastAsia"/>
                <w:bCs/>
                <w:color w:val="000000" w:themeColor="text1"/>
                <w:kern w:val="0"/>
                <w:sz w:val="24"/>
                <w:highlight w:val="none"/>
                <w:lang w:val="en-US" w:eastAsia="zh-CN"/>
                <w14:textFill>
                  <w14:solidFill>
                    <w14:schemeClr w14:val="tx1"/>
                  </w14:solidFill>
                </w14:textFill>
              </w:rPr>
              <w:t>4</w:t>
            </w:r>
            <w:r>
              <w:rPr>
                <w:rFonts w:hint="eastAsia"/>
                <w:bCs/>
                <w:color w:val="000000" w:themeColor="text1"/>
                <w:kern w:val="0"/>
                <w:sz w:val="24"/>
                <w:highlight w:val="none"/>
                <w14:textFill>
                  <w14:solidFill>
                    <w14:schemeClr w14:val="tx1"/>
                  </w14:solidFill>
                </w14:textFill>
              </w:rPr>
              <w:t>。</w:t>
            </w:r>
          </w:p>
          <w:p w14:paraId="76440CA7">
            <w:pPr>
              <w:pStyle w:val="10"/>
              <w:spacing w:line="480" w:lineRule="exact"/>
              <w:ind w:left="0" w:leftChars="0" w:right="0" w:rightChars="0" w:firstLine="940" w:firstLineChars="392"/>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1-</w:t>
            </w:r>
            <w:r>
              <w:rPr>
                <w:rFonts w:hint="eastAsia" w:ascii="黑体" w:hAnsi="黑体" w:eastAsia="黑体"/>
                <w:bCs/>
                <w:color w:val="000000" w:themeColor="text1"/>
                <w:sz w:val="24"/>
                <w:highlight w:val="none"/>
                <w:lang w:val="en-US" w:eastAsia="zh-CN"/>
                <w14:textFill>
                  <w14:solidFill>
                    <w14:schemeClr w14:val="tx1"/>
                  </w14:solidFill>
                </w14:textFill>
              </w:rPr>
              <w:t>4</w:t>
            </w:r>
            <w:r>
              <w:rPr>
                <w:rFonts w:ascii="黑体" w:hAnsi="黑体" w:eastAsia="黑体"/>
                <w:bCs/>
                <w:color w:val="000000" w:themeColor="text1"/>
                <w:sz w:val="24"/>
                <w:highlight w:val="none"/>
                <w14:textFill>
                  <w14:solidFill>
                    <w14:schemeClr w14:val="tx1"/>
                  </w14:solidFill>
                </w14:textFill>
              </w:rPr>
              <w:t xml:space="preserve">  与</w:t>
            </w:r>
            <w:r>
              <w:rPr>
                <w:rFonts w:hint="eastAsia" w:ascii="黑体" w:hAnsi="黑体" w:eastAsia="黑体"/>
                <w:bCs/>
                <w:color w:val="000000" w:themeColor="text1"/>
                <w:sz w:val="24"/>
                <w:highlight w:val="none"/>
                <w14:textFill>
                  <w14:solidFill>
                    <w14:schemeClr w14:val="tx1"/>
                  </w14:solidFill>
                </w14:textFill>
              </w:rPr>
              <w:t>烧结砖瓦工业大气污染物治理设施技术要求</w:t>
            </w:r>
            <w:r>
              <w:rPr>
                <w:rFonts w:ascii="黑体" w:hAnsi="黑体" w:eastAsia="黑体"/>
                <w:bCs/>
                <w:color w:val="000000" w:themeColor="text1"/>
                <w:sz w:val="24"/>
                <w:highlight w:val="none"/>
                <w14:textFill>
                  <w14:solidFill>
                    <w14:schemeClr w14:val="tx1"/>
                  </w14:solidFill>
                </w14:textFill>
              </w:rPr>
              <w:t>符合性</w:t>
            </w:r>
            <w:r>
              <w:rPr>
                <w:rFonts w:hint="eastAsia" w:ascii="黑体" w:hAnsi="黑体" w:eastAsia="黑体"/>
                <w:bCs/>
                <w:color w:val="000000" w:themeColor="text1"/>
                <w:sz w:val="24"/>
                <w:highlight w:val="none"/>
                <w14:textFill>
                  <w14:solidFill>
                    <w14:schemeClr w14:val="tx1"/>
                  </w14:solidFill>
                </w14:textFill>
              </w:rPr>
              <w:t>分析</w:t>
            </w:r>
            <w:r>
              <w:rPr>
                <w:rFonts w:ascii="黑体" w:hAnsi="黑体" w:eastAsia="黑体"/>
                <w:bCs/>
                <w:color w:val="000000" w:themeColor="text1"/>
                <w:sz w:val="24"/>
                <w:highlight w:val="none"/>
                <w14:textFill>
                  <w14:solidFill>
                    <w14:schemeClr w14:val="tx1"/>
                  </w14:solidFill>
                </w14:textFill>
              </w:rPr>
              <w:t>一览表</w:t>
            </w:r>
          </w:p>
          <w:tbl>
            <w:tblPr>
              <w:tblStyle w:val="24"/>
              <w:tblW w:w="505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34"/>
              <w:gridCol w:w="3683"/>
              <w:gridCol w:w="2835"/>
              <w:gridCol w:w="566"/>
            </w:tblGrid>
            <w:tr w14:paraId="099047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noWrap/>
                  <w:tcMar>
                    <w:top w:w="0" w:type="dxa"/>
                    <w:left w:w="28" w:type="dxa"/>
                    <w:bottom w:w="0" w:type="dxa"/>
                    <w:right w:w="28" w:type="dxa"/>
                  </w:tcMar>
                  <w:vAlign w:val="center"/>
                </w:tcPr>
                <w:p w14:paraId="693460A4">
                  <w:pPr>
                    <w:adjustRightInd w:val="0"/>
                    <w:snapToGri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文件</w:t>
                  </w:r>
                </w:p>
              </w:tc>
              <w:tc>
                <w:tcPr>
                  <w:tcW w:w="521" w:type="pct"/>
                  <w:noWrap/>
                  <w:tcMar>
                    <w:top w:w="0" w:type="dxa"/>
                    <w:bottom w:w="0" w:type="dxa"/>
                  </w:tcMar>
                  <w:vAlign w:val="center"/>
                </w:tcPr>
                <w:p w14:paraId="12008FEE">
                  <w:pPr>
                    <w:adjustRightInd w:val="0"/>
                    <w:snapToGri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工序</w:t>
                  </w:r>
                </w:p>
              </w:tc>
              <w:tc>
                <w:tcPr>
                  <w:tcW w:w="2055" w:type="pct"/>
                  <w:noWrap/>
                  <w:tcMar>
                    <w:top w:w="0" w:type="dxa"/>
                    <w:bottom w:w="0" w:type="dxa"/>
                  </w:tcMar>
                  <w:vAlign w:val="center"/>
                </w:tcPr>
                <w:p w14:paraId="21024E0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文件要求</w:t>
                  </w:r>
                </w:p>
              </w:tc>
              <w:tc>
                <w:tcPr>
                  <w:tcW w:w="1582" w:type="pct"/>
                  <w:noWrap/>
                  <w:tcMar>
                    <w:top w:w="0" w:type="dxa"/>
                    <w:bottom w:w="0" w:type="dxa"/>
                  </w:tcMar>
                  <w:vAlign w:val="center"/>
                </w:tcPr>
                <w:p w14:paraId="34AEF34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本项目情况</w:t>
                  </w:r>
                </w:p>
              </w:tc>
              <w:tc>
                <w:tcPr>
                  <w:tcW w:w="315" w:type="pct"/>
                  <w:noWrap/>
                  <w:tcMar>
                    <w:top w:w="0" w:type="dxa"/>
                    <w:bottom w:w="0" w:type="dxa"/>
                  </w:tcMar>
                  <w:vAlign w:val="center"/>
                </w:tcPr>
                <w:p w14:paraId="4739493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符合性</w:t>
                  </w:r>
                </w:p>
              </w:tc>
            </w:tr>
            <w:tr w14:paraId="7C3830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restart"/>
                  <w:noWrap/>
                  <w:tcMar>
                    <w:top w:w="0" w:type="dxa"/>
                    <w:left w:w="28" w:type="dxa"/>
                    <w:bottom w:w="0" w:type="dxa"/>
                    <w:right w:w="28" w:type="dxa"/>
                  </w:tcMar>
                  <w:vAlign w:val="center"/>
                </w:tcPr>
                <w:p w14:paraId="2C2FC7A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shd w:val="clear" w:color="auto" w:fill="FFFFFF"/>
                      <w14:textFill>
                        <w14:solidFill>
                          <w14:schemeClr w14:val="tx1"/>
                        </w14:solidFill>
                      </w14:textFill>
                    </w:rPr>
                    <w:t>《烧结砖瓦工业大气污染物治理设施技术要求》（GB/T42264-2022）</w:t>
                  </w:r>
                </w:p>
              </w:tc>
              <w:tc>
                <w:tcPr>
                  <w:tcW w:w="521" w:type="pct"/>
                  <w:noWrap/>
                  <w:tcMar>
                    <w:top w:w="0" w:type="dxa"/>
                    <w:bottom w:w="0" w:type="dxa"/>
                  </w:tcMar>
                  <w:vAlign w:val="center"/>
                </w:tcPr>
                <w:p w14:paraId="317A08AE">
                  <w:pPr>
                    <w:adjustRightInd w:val="0"/>
                    <w:snapToGrid w:val="0"/>
                    <w:spacing w:line="280" w:lineRule="exact"/>
                    <w:ind w:left="-105" w:leftChars="-50" w:right="-105" w:rightChars="-50"/>
                    <w:jc w:val="center"/>
                    <w:rPr>
                      <w:rFonts w:hint="default" w:eastAsia="宋体"/>
                      <w:color w:val="000000" w:themeColor="text1"/>
                      <w:szCs w:val="21"/>
                      <w:highlight w:val="none"/>
                      <w:shd w:val="clear" w:color="auto" w:fill="FFFFFF"/>
                      <w:lang w:val="en-US" w:eastAsia="zh-CN"/>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原燃料储存与输送</w:t>
                  </w:r>
                </w:p>
              </w:tc>
              <w:tc>
                <w:tcPr>
                  <w:tcW w:w="2055" w:type="pct"/>
                  <w:noWrap/>
                  <w:tcMar>
                    <w:top w:w="0" w:type="dxa"/>
                    <w:bottom w:w="0" w:type="dxa"/>
                  </w:tcMar>
                  <w:vAlign w:val="center"/>
                </w:tcPr>
                <w:p w14:paraId="12F3E141">
                  <w:pPr>
                    <w:numPr>
                      <w:ilvl w:val="0"/>
                      <w:numId w:val="1"/>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黏土、页岩、煤矸石、原煤等原料、燃料储存于封闭、半封闭料场(仓、库、棚)中</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或四周设置防风抑尘网、挡风墙。采用半封闭料场措施的</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料场至少两面有围墙(围挡)及屋顶</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并对物料采取覆盖、喷淋等抑尘措施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采取防风抑尘网、挡风墙措施的</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防风抑尘网</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挡风墙高度不低于堆存物料高度的1.1倍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并对物料采取覆盖、喷淋等抑尘措施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出入口安装防风抑尘自动门。</w:t>
                  </w:r>
                </w:p>
                <w:p w14:paraId="474A855C">
                  <w:pPr>
                    <w:numPr>
                      <w:ilvl w:val="0"/>
                      <w:numId w:val="1"/>
                    </w:num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粉状物料密闭储存和密闭输送</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其他物料采用密闭皮带、封闭通廊或密闭车厢等方式输送</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密闭皮带、封闭通廊或密闭车厢设置检查维修通道和灰尘处理设施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在转运点等产尘点设置集气罩并配备除尘设施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产尘点及车间无可见烟(粉)尘外逸。</w:t>
                  </w:r>
                </w:p>
                <w:p w14:paraId="797F90BB">
                  <w:pPr>
                    <w:numPr>
                      <w:ilvl w:val="0"/>
                      <w:numId w:val="1"/>
                    </w:num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原料陈化在封闭陈化库中进行。</w:t>
                  </w:r>
                </w:p>
                <w:p w14:paraId="58CD6851">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w:t>
                  </w:r>
                  <w:r>
                    <w:rPr>
                      <w:rFonts w:hint="eastAsia"/>
                      <w:color w:val="000000" w:themeColor="text1"/>
                      <w:szCs w:val="21"/>
                      <w:highlight w:val="none"/>
                      <w14:textFill>
                        <w14:solidFill>
                          <w14:schemeClr w14:val="tx1"/>
                        </w14:solidFill>
                      </w14:textFill>
                    </w:rPr>
                    <w:t>协同处置污泥或淤泥等具有挥发性气味的原料储存于封闭的仓中</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物料输送同时分段设置负压抽风系统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封闭的仓和物料输送过程全程采取负压抽风措施等防止异味外逸系统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当异味排放量超标时</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设置异味净化处理系统。</w:t>
                  </w:r>
                </w:p>
              </w:tc>
              <w:tc>
                <w:tcPr>
                  <w:tcW w:w="1582" w:type="pct"/>
                  <w:noWrap/>
                  <w:tcMar>
                    <w:top w:w="0" w:type="dxa"/>
                    <w:bottom w:w="0" w:type="dxa"/>
                  </w:tcMar>
                  <w:vAlign w:val="center"/>
                </w:tcPr>
                <w:p w14:paraId="3F25E729">
                  <w:pPr>
                    <w:numPr>
                      <w:ilvl w:val="0"/>
                      <w:numId w:val="2"/>
                    </w:numPr>
                    <w:adjustRightInd w:val="0"/>
                    <w:snapToGrid w:val="0"/>
                    <w:spacing w:line="280" w:lineRule="exact"/>
                    <w:ind w:left="-105" w:leftChars="-50" w:right="-105" w:rightChars="-5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项目利用煤矸石、页岩及污泥、炉渣、干排淤泥等一般工业固体废物生产烧结砖，</w:t>
                  </w:r>
                  <w:r>
                    <w:rPr>
                      <w:rFonts w:hint="eastAsia"/>
                      <w:color w:val="000000" w:themeColor="text1"/>
                      <w:szCs w:val="21"/>
                      <w:highlight w:val="none"/>
                      <w:lang w:val="en-US" w:eastAsia="zh-CN"/>
                      <w14:textFill>
                        <w14:solidFill>
                          <w14:schemeClr w14:val="tx1"/>
                        </w14:solidFill>
                      </w14:textFill>
                    </w:rPr>
                    <w:t>原料全部存储于封闭原料库内，</w:t>
                  </w:r>
                  <w:r>
                    <w:rPr>
                      <w:rFonts w:hint="eastAsia"/>
                      <w:color w:val="000000" w:themeColor="text1"/>
                      <w:szCs w:val="21"/>
                      <w:highlight w:val="none"/>
                      <w14:textFill>
                        <w14:solidFill>
                          <w14:schemeClr w14:val="tx1"/>
                        </w14:solidFill>
                      </w14:textFill>
                    </w:rPr>
                    <w:t>原料库</w:t>
                  </w:r>
                  <w:r>
                    <w:rPr>
                      <w:color w:val="000000" w:themeColor="text1"/>
                      <w:szCs w:val="21"/>
                      <w:highlight w:val="none"/>
                      <w14:textFill>
                        <w14:solidFill>
                          <w14:schemeClr w14:val="tx1"/>
                        </w14:solidFill>
                      </w14:textFill>
                    </w:rPr>
                    <w:t>主要出入口为自动感应门</w:t>
                  </w:r>
                  <w:r>
                    <w:rPr>
                      <w:rFonts w:hint="eastAsia"/>
                      <w:color w:val="000000" w:themeColor="text1"/>
                      <w:szCs w:val="21"/>
                      <w:highlight w:val="none"/>
                      <w14:textFill>
                        <w14:solidFill>
                          <w14:schemeClr w14:val="tx1"/>
                        </w14:solidFill>
                      </w14:textFill>
                    </w:rPr>
                    <w:t>。</w:t>
                  </w:r>
                </w:p>
                <w:p w14:paraId="291DC7F4">
                  <w:pPr>
                    <w:numPr>
                      <w:ilvl w:val="0"/>
                      <w:numId w:val="0"/>
                    </w:numPr>
                    <w:adjustRightInd w:val="0"/>
                    <w:snapToGrid w:val="0"/>
                    <w:spacing w:line="280" w:lineRule="exact"/>
                    <w:ind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物料采用密闭皮带、封闭通廊或密闭车厢等方式输送</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密闭皮带、封闭通廊或密闭车厢设置检查维修通道和灰尘处理设施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在转运点等产尘点设</w:t>
                  </w:r>
                  <w:r>
                    <w:rPr>
                      <w:rFonts w:hint="eastAsia"/>
                      <w:color w:val="000000" w:themeColor="text1"/>
                      <w:szCs w:val="21"/>
                      <w:highlight w:val="none"/>
                      <w:lang w:val="en-US" w:eastAsia="zh-CN"/>
                      <w14:textFill>
                        <w14:solidFill>
                          <w14:schemeClr w14:val="tx1"/>
                        </w14:solidFill>
                      </w14:textFill>
                    </w:rPr>
                    <w:t>有</w:t>
                  </w:r>
                  <w:r>
                    <w:rPr>
                      <w:rFonts w:hint="eastAsia"/>
                      <w:color w:val="000000" w:themeColor="text1"/>
                      <w:szCs w:val="21"/>
                      <w:highlight w:val="none"/>
                      <w14:textFill>
                        <w14:solidFill>
                          <w14:schemeClr w14:val="tx1"/>
                        </w14:solidFill>
                      </w14:textFill>
                    </w:rPr>
                    <w:t>集气罩并配备除尘设施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产尘点及车间无可见烟(粉)尘外逸。</w:t>
                  </w:r>
                </w:p>
                <w:p w14:paraId="20E8095A">
                  <w:pPr>
                    <w:numPr>
                      <w:ilvl w:val="0"/>
                      <w:numId w:val="0"/>
                    </w:numPr>
                    <w:adjustRightInd w:val="0"/>
                    <w:snapToGrid w:val="0"/>
                    <w:spacing w:line="280" w:lineRule="exact"/>
                    <w:ind w:right="-105" w:rightChars="-50"/>
                    <w:jc w:val="left"/>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原料陈化在封闭陈化库中进行。</w:t>
                  </w:r>
                </w:p>
                <w:p w14:paraId="31FD57B7">
                  <w:pPr>
                    <w:numPr>
                      <w:ilvl w:val="0"/>
                      <w:numId w:val="0"/>
                    </w:numPr>
                    <w:adjustRightInd w:val="0"/>
                    <w:snapToGrid w:val="0"/>
                    <w:spacing w:line="280" w:lineRule="exact"/>
                    <w:ind w:right="-105" w:rightChars="-50"/>
                    <w:jc w:val="left"/>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4、污泥存储于负压封闭库房内，正常生产时臭气引入焙烧工序燃烧处理，非正常生产时臭气负压引入二级活性炭装置进行吸附处理。</w:t>
                  </w:r>
                </w:p>
              </w:tc>
              <w:tc>
                <w:tcPr>
                  <w:tcW w:w="315" w:type="pct"/>
                  <w:noWrap/>
                  <w:tcMar>
                    <w:top w:w="0" w:type="dxa"/>
                    <w:bottom w:w="0" w:type="dxa"/>
                  </w:tcMar>
                  <w:vAlign w:val="center"/>
                </w:tcPr>
                <w:p w14:paraId="5806404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07E510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continue"/>
                  <w:noWrap/>
                  <w:tcMar>
                    <w:top w:w="0" w:type="dxa"/>
                    <w:left w:w="28" w:type="dxa"/>
                    <w:bottom w:w="0" w:type="dxa"/>
                    <w:right w:w="28" w:type="dxa"/>
                  </w:tcMar>
                  <w:vAlign w:val="center"/>
                </w:tcPr>
                <w:p w14:paraId="37FC34EE">
                  <w:pPr>
                    <w:adjustRightInd w:val="0"/>
                    <w:snapToGrid w:val="0"/>
                    <w:spacing w:line="280" w:lineRule="exact"/>
                    <w:ind w:left="-105" w:leftChars="-50" w:right="-105" w:rightChars="-50"/>
                    <w:jc w:val="center"/>
                    <w:rPr>
                      <w:rFonts w:hint="eastAsia"/>
                      <w:color w:val="000000" w:themeColor="text1"/>
                      <w:szCs w:val="21"/>
                      <w:highlight w:val="none"/>
                      <w:shd w:val="clear" w:color="auto" w:fill="FFFFFF"/>
                      <w14:textFill>
                        <w14:solidFill>
                          <w14:schemeClr w14:val="tx1"/>
                        </w14:solidFill>
                      </w14:textFill>
                    </w:rPr>
                  </w:pPr>
                </w:p>
              </w:tc>
              <w:tc>
                <w:tcPr>
                  <w:tcW w:w="521" w:type="pct"/>
                  <w:noWrap/>
                  <w:tcMar>
                    <w:top w:w="0" w:type="dxa"/>
                    <w:bottom w:w="0" w:type="dxa"/>
                  </w:tcMar>
                  <w:vAlign w:val="center"/>
                </w:tcPr>
                <w:p w14:paraId="5BB1ED0E">
                  <w:pPr>
                    <w:adjustRightInd w:val="0"/>
                    <w:snapToGrid w:val="0"/>
                    <w:spacing w:line="280" w:lineRule="exact"/>
                    <w:ind w:left="-105" w:leftChars="-50" w:right="-105" w:rightChars="-50"/>
                    <w:jc w:val="center"/>
                    <w:rPr>
                      <w:rFonts w:hint="default"/>
                      <w:color w:val="000000" w:themeColor="text1"/>
                      <w:szCs w:val="21"/>
                      <w:highlight w:val="none"/>
                      <w:shd w:val="clear" w:color="auto" w:fill="FFFFFF"/>
                      <w:lang w:val="en-US" w:eastAsia="zh-CN"/>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破碎及制备成型</w:t>
                  </w:r>
                </w:p>
              </w:tc>
              <w:tc>
                <w:tcPr>
                  <w:tcW w:w="2055" w:type="pct"/>
                  <w:noWrap/>
                  <w:tcMar>
                    <w:top w:w="0" w:type="dxa"/>
                    <w:bottom w:w="0" w:type="dxa"/>
                  </w:tcMar>
                  <w:vAlign w:val="center"/>
                </w:tcPr>
                <w:p w14:paraId="0C3B6ABB">
                  <w:pPr>
                    <w:numPr>
                      <w:ilvl w:val="0"/>
                      <w:numId w:val="3"/>
                    </w:numPr>
                    <w:adjustRightInd w:val="0"/>
                    <w:snapToGrid w:val="0"/>
                    <w:spacing w:line="280" w:lineRule="exact"/>
                    <w:ind w:left="-105" w:leftChars="-50" w:right="-105" w:rightChars="-50"/>
                    <w:jc w:val="left"/>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原料、燃料破碎及制备成型过程在封闭厂房中进行</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并配备除尘设施</w:t>
                  </w:r>
                  <w:r>
                    <w:rPr>
                      <w:rFonts w:hint="eastAsia"/>
                      <w:color w:val="000000" w:themeColor="text1"/>
                      <w:szCs w:val="21"/>
                      <w:highlight w:val="none"/>
                      <w:lang w:eastAsia="zh-CN"/>
                      <w14:textFill>
                        <w14:solidFill>
                          <w14:schemeClr w14:val="tx1"/>
                        </w14:solidFill>
                      </w14:textFill>
                    </w:rPr>
                    <w:t>；</w:t>
                  </w:r>
                </w:p>
                <w:p w14:paraId="037DD0DB">
                  <w:pPr>
                    <w:numPr>
                      <w:ilvl w:val="0"/>
                      <w:numId w:val="3"/>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页岩、煤矸石、煤等破碎</w:t>
                  </w:r>
                  <w:r>
                    <w:rPr>
                      <w:rFonts w:hint="eastAsia"/>
                      <w:color w:val="000000" w:themeColor="text1"/>
                      <w:szCs w:val="21"/>
                      <w:highlight w:val="none"/>
                      <w:lang w:val="en-US" w:eastAsia="zh-CN"/>
                      <w14:textFill>
                        <w14:solidFill>
                          <w14:schemeClr w14:val="tx1"/>
                        </w14:solidFill>
                      </w14:textFill>
                    </w:rPr>
                    <w:t>筛分</w:t>
                  </w:r>
                  <w:r>
                    <w:rPr>
                      <w:rFonts w:hint="eastAsia"/>
                      <w:color w:val="000000" w:themeColor="text1"/>
                      <w:szCs w:val="21"/>
                      <w:highlight w:val="none"/>
                      <w14:textFill>
                        <w14:solidFill>
                          <w14:schemeClr w14:val="tx1"/>
                        </w14:solidFill>
                      </w14:textFill>
                    </w:rPr>
                    <w:t>设备</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在进、出料口等产尘点设置防尘罩、集气罩并配备除尘设施</w:t>
                  </w:r>
                  <w:r>
                    <w:rPr>
                      <w:rFonts w:hint="eastAsia"/>
                      <w:color w:val="000000" w:themeColor="text1"/>
                      <w:szCs w:val="21"/>
                      <w:highlight w:val="none"/>
                      <w:lang w:eastAsia="zh-CN"/>
                      <w14:textFill>
                        <w14:solidFill>
                          <w14:schemeClr w14:val="tx1"/>
                        </w14:solidFill>
                      </w14:textFill>
                    </w:rPr>
                    <w:t>；</w:t>
                  </w:r>
                </w:p>
                <w:p w14:paraId="3C0DF2C0">
                  <w:pPr>
                    <w:numPr>
                      <w:ilvl w:val="0"/>
                      <w:numId w:val="3"/>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配料、混料过程产尘点设置防尘罩、集气罩并配备除尘设施</w:t>
                  </w:r>
                  <w:r>
                    <w:rPr>
                      <w:rFonts w:hint="eastAsia"/>
                      <w:color w:val="000000" w:themeColor="text1"/>
                      <w:szCs w:val="21"/>
                      <w:highlight w:val="none"/>
                      <w:lang w:eastAsia="zh-CN"/>
                      <w14:textFill>
                        <w14:solidFill>
                          <w14:schemeClr w14:val="tx1"/>
                        </w14:solidFill>
                      </w14:textFill>
                    </w:rPr>
                    <w:t>；</w:t>
                  </w:r>
                </w:p>
                <w:p w14:paraId="12AC9713">
                  <w:pPr>
                    <w:numPr>
                      <w:ilvl w:val="0"/>
                      <w:numId w:val="3"/>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协同</w:t>
                  </w:r>
                  <w:r>
                    <w:rPr>
                      <w:rFonts w:hint="eastAsia"/>
                      <w:color w:val="000000" w:themeColor="text1"/>
                      <w:szCs w:val="21"/>
                      <w:highlight w:val="none"/>
                      <w:lang w:val="en-US" w:eastAsia="zh-CN"/>
                      <w14:textFill>
                        <w14:solidFill>
                          <w14:schemeClr w14:val="tx1"/>
                        </w14:solidFill>
                      </w14:textFill>
                    </w:rPr>
                    <w:t>处置</w:t>
                  </w:r>
                  <w:r>
                    <w:rPr>
                      <w:rFonts w:hint="eastAsia"/>
                      <w:color w:val="000000" w:themeColor="text1"/>
                      <w:szCs w:val="21"/>
                      <w:highlight w:val="none"/>
                      <w14:textFill>
                        <w14:solidFill>
                          <w14:schemeClr w14:val="tx1"/>
                        </w14:solidFill>
                      </w14:textFill>
                    </w:rPr>
                    <w:t>污泥或淤泥等具有挥发性气味的物料在封闭厂房设置</w:t>
                  </w:r>
                  <w:r>
                    <w:rPr>
                      <w:rFonts w:hint="eastAsia"/>
                      <w:color w:val="000000" w:themeColor="text1"/>
                      <w:szCs w:val="21"/>
                      <w:highlight w:val="none"/>
                      <w:lang w:val="en-US" w:eastAsia="zh-CN"/>
                      <w14:textFill>
                        <w14:solidFill>
                          <w14:schemeClr w14:val="tx1"/>
                        </w14:solidFill>
                      </w14:textFill>
                    </w:rPr>
                    <w:t>负压</w:t>
                  </w:r>
                  <w:r>
                    <w:rPr>
                      <w:rFonts w:hint="eastAsia"/>
                      <w:color w:val="000000" w:themeColor="text1"/>
                      <w:szCs w:val="21"/>
                      <w:highlight w:val="none"/>
                      <w14:textFill>
                        <w14:solidFill>
                          <w14:schemeClr w14:val="tx1"/>
                        </w14:solidFill>
                      </w14:textFill>
                    </w:rPr>
                    <w:t>抽风措施等防止异味外逸系统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当异味排放量超标时</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设置异味净化处理系统。</w:t>
                  </w:r>
                </w:p>
              </w:tc>
              <w:tc>
                <w:tcPr>
                  <w:tcW w:w="1582" w:type="pct"/>
                  <w:noWrap/>
                  <w:tcMar>
                    <w:top w:w="0" w:type="dxa"/>
                    <w:bottom w:w="0" w:type="dxa"/>
                  </w:tcMar>
                  <w:vAlign w:val="center"/>
                </w:tcPr>
                <w:p w14:paraId="004776FC">
                  <w:pPr>
                    <w:numPr>
                      <w:ilvl w:val="0"/>
                      <w:numId w:val="0"/>
                    </w:numPr>
                    <w:adjustRightInd w:val="0"/>
                    <w:snapToGrid w:val="0"/>
                    <w:spacing w:line="280" w:lineRule="exact"/>
                    <w:ind w:right="-105" w:rightChars="-50"/>
                    <w:jc w:val="left"/>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原料破碎及制备成型过程在封闭厂房中进行</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并配备</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除尘设施</w:t>
                  </w:r>
                  <w:r>
                    <w:rPr>
                      <w:rFonts w:hint="eastAsia"/>
                      <w:color w:val="000000" w:themeColor="text1"/>
                      <w:szCs w:val="21"/>
                      <w:highlight w:val="none"/>
                      <w:lang w:eastAsia="zh-CN"/>
                      <w14:textFill>
                        <w14:solidFill>
                          <w14:schemeClr w14:val="tx1"/>
                        </w14:solidFill>
                      </w14:textFill>
                    </w:rPr>
                    <w:t>；</w:t>
                  </w:r>
                </w:p>
                <w:p w14:paraId="29472997">
                  <w:pPr>
                    <w:numPr>
                      <w:ilvl w:val="0"/>
                      <w:numId w:val="0"/>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页岩、煤矸石等破碎</w:t>
                  </w:r>
                  <w:r>
                    <w:rPr>
                      <w:rFonts w:hint="eastAsia"/>
                      <w:color w:val="000000" w:themeColor="text1"/>
                      <w:szCs w:val="21"/>
                      <w:highlight w:val="none"/>
                      <w:lang w:val="en-US" w:eastAsia="zh-CN"/>
                      <w14:textFill>
                        <w14:solidFill>
                          <w14:schemeClr w14:val="tx1"/>
                        </w14:solidFill>
                      </w14:textFill>
                    </w:rPr>
                    <w:t>筛分</w:t>
                  </w:r>
                  <w:r>
                    <w:rPr>
                      <w:rFonts w:hint="eastAsia"/>
                      <w:color w:val="000000" w:themeColor="text1"/>
                      <w:szCs w:val="21"/>
                      <w:highlight w:val="none"/>
                      <w14:textFill>
                        <w14:solidFill>
                          <w14:schemeClr w14:val="tx1"/>
                        </w14:solidFill>
                      </w14:textFill>
                    </w:rPr>
                    <w:t>设备</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在进、出料口等产尘点设置</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防尘罩、集气罩并配备</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除尘设施</w:t>
                  </w:r>
                  <w:r>
                    <w:rPr>
                      <w:rFonts w:hint="eastAsia"/>
                      <w:color w:val="000000" w:themeColor="text1"/>
                      <w:szCs w:val="21"/>
                      <w:highlight w:val="none"/>
                      <w:lang w:eastAsia="zh-CN"/>
                      <w14:textFill>
                        <w14:solidFill>
                          <w14:schemeClr w14:val="tx1"/>
                        </w14:solidFill>
                      </w14:textFill>
                    </w:rPr>
                    <w:t>；</w:t>
                  </w:r>
                </w:p>
                <w:p w14:paraId="1593F908">
                  <w:pPr>
                    <w:numPr>
                      <w:ilvl w:val="0"/>
                      <w:numId w:val="0"/>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配料、混料过程产尘点设置防尘罩、集气罩并配备</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除尘设施</w:t>
                  </w:r>
                  <w:r>
                    <w:rPr>
                      <w:rFonts w:hint="eastAsia"/>
                      <w:color w:val="000000" w:themeColor="text1"/>
                      <w:szCs w:val="21"/>
                      <w:highlight w:val="none"/>
                      <w:lang w:eastAsia="zh-CN"/>
                      <w14:textFill>
                        <w14:solidFill>
                          <w14:schemeClr w14:val="tx1"/>
                        </w14:solidFill>
                      </w14:textFill>
                    </w:rPr>
                    <w:t>；</w:t>
                  </w:r>
                </w:p>
                <w:p w14:paraId="43CB0233">
                  <w:pPr>
                    <w:adjustRightInd w:val="0"/>
                    <w:snapToGrid w:val="0"/>
                    <w:spacing w:line="280" w:lineRule="exact"/>
                    <w:ind w:left="-105" w:leftChars="-50" w:right="-105" w:rightChars="-5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4、污泥存储于负压封闭库房内，正常生产时臭气引入焙烧工序燃烧处理，非正常生产时臭气负压引入二级活性炭装置进行吸附处理。</w:t>
                  </w:r>
                </w:p>
              </w:tc>
              <w:tc>
                <w:tcPr>
                  <w:tcW w:w="315" w:type="pct"/>
                  <w:noWrap/>
                  <w:tcMar>
                    <w:top w:w="0" w:type="dxa"/>
                    <w:bottom w:w="0" w:type="dxa"/>
                  </w:tcMar>
                  <w:vAlign w:val="center"/>
                </w:tcPr>
                <w:p w14:paraId="6E6243D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r>
            <w:tr w14:paraId="564FE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continue"/>
                  <w:noWrap/>
                  <w:tcMar>
                    <w:top w:w="0" w:type="dxa"/>
                    <w:left w:w="28" w:type="dxa"/>
                    <w:bottom w:w="0" w:type="dxa"/>
                    <w:right w:w="28" w:type="dxa"/>
                  </w:tcMar>
                  <w:vAlign w:val="center"/>
                </w:tcPr>
                <w:p w14:paraId="75CF7E20">
                  <w:pPr>
                    <w:adjustRightInd w:val="0"/>
                    <w:snapToGrid w:val="0"/>
                    <w:spacing w:line="280" w:lineRule="exact"/>
                    <w:ind w:left="-105" w:leftChars="-50" w:right="-105" w:rightChars="-50"/>
                    <w:jc w:val="center"/>
                    <w:rPr>
                      <w:rFonts w:hint="eastAsia"/>
                      <w:color w:val="000000" w:themeColor="text1"/>
                      <w:szCs w:val="21"/>
                      <w:highlight w:val="none"/>
                      <w:shd w:val="clear" w:color="auto" w:fill="FFFFFF"/>
                      <w14:textFill>
                        <w14:solidFill>
                          <w14:schemeClr w14:val="tx1"/>
                        </w14:solidFill>
                      </w14:textFill>
                    </w:rPr>
                  </w:pPr>
                </w:p>
              </w:tc>
              <w:tc>
                <w:tcPr>
                  <w:tcW w:w="521" w:type="pct"/>
                  <w:shd w:val="clear" w:color="auto" w:fill="auto"/>
                  <w:noWrap/>
                  <w:tcMar>
                    <w:top w:w="0" w:type="dxa"/>
                    <w:bottom w:w="0" w:type="dxa"/>
                  </w:tcMar>
                  <w:vAlign w:val="center"/>
                </w:tcPr>
                <w:p w14:paraId="7641AF2D">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shd w:val="clear" w:color="auto" w:fill="FFFFFF"/>
                      <w:lang w:val="en-US" w:eastAsia="zh-CN" w:bidi="ar-SA"/>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干燥与焙烧</w:t>
                  </w:r>
                </w:p>
              </w:tc>
              <w:tc>
                <w:tcPr>
                  <w:tcW w:w="2055" w:type="pct"/>
                  <w:shd w:val="clear" w:color="auto" w:fill="auto"/>
                  <w:noWrap/>
                  <w:tcMar>
                    <w:top w:w="0" w:type="dxa"/>
                    <w:bottom w:w="0" w:type="dxa"/>
                  </w:tcMar>
                  <w:vAlign w:val="center"/>
                </w:tcPr>
                <w:p w14:paraId="26C6594D">
                  <w:pPr>
                    <w:adjustRightInd w:val="0"/>
                    <w:snapToGrid w:val="0"/>
                    <w:spacing w:line="280" w:lineRule="exact"/>
                    <w:ind w:left="-105" w:leftChars="-50" w:right="-105" w:rightChars="-50"/>
                    <w:jc w:val="left"/>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干燥室和焙烧窑须密封良好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生产过程(含进出窑车)无烟气外逸</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协同处置污泥或淤泥等具有挥发性气味的物料</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封闭厂房设置负压抽风措施等防止异味外逸系统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当异味排放量超标时</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设置异味净化处理系统</w:t>
                  </w:r>
                  <w:r>
                    <w:rPr>
                      <w:rFonts w:hint="eastAsia"/>
                      <w:color w:val="000000" w:themeColor="text1"/>
                      <w:szCs w:val="21"/>
                      <w:highlight w:val="none"/>
                      <w:lang w:eastAsia="zh-CN"/>
                      <w14:textFill>
                        <w14:solidFill>
                          <w14:schemeClr w14:val="tx1"/>
                        </w14:solidFill>
                      </w14:textFill>
                    </w:rPr>
                    <w:t>；</w:t>
                  </w:r>
                </w:p>
                <w:p w14:paraId="49255F6B">
                  <w:pPr>
                    <w:adjustRightInd w:val="0"/>
                    <w:snapToGrid w:val="0"/>
                    <w:spacing w:line="280" w:lineRule="exact"/>
                    <w:ind w:left="-105" w:leftChars="-50" w:right="-105" w:rightChars="-50"/>
                    <w:jc w:val="left"/>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窑顶外加煤密闭贮存</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不加煤时关闭窑顶投煤孔。</w:t>
                  </w:r>
                </w:p>
              </w:tc>
              <w:tc>
                <w:tcPr>
                  <w:tcW w:w="1582" w:type="pct"/>
                  <w:shd w:val="clear" w:color="auto" w:fill="auto"/>
                  <w:noWrap/>
                  <w:tcMar>
                    <w:top w:w="0" w:type="dxa"/>
                    <w:bottom w:w="0" w:type="dxa"/>
                  </w:tcMar>
                  <w:vAlign w:val="center"/>
                </w:tcPr>
                <w:p w14:paraId="6DF821E0">
                  <w:pPr>
                    <w:adjustRightInd w:val="0"/>
                    <w:snapToGrid w:val="0"/>
                    <w:spacing w:line="280" w:lineRule="exact"/>
                    <w:ind w:left="-105" w:leftChars="-50" w:right="-105" w:rightChars="-5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干燥室和焙烧窑密封良好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生产过程(含进出窑车)无烟气外逸</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污泥存储于负压封闭库房内，正常生产时臭气引入焙烧工序燃烧处理，非正常生产时臭气负压引入二级活性炭装置进行吸附处理。</w:t>
                  </w:r>
                </w:p>
                <w:p w14:paraId="71BFF4A1">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2、本项目不燃煤</w:t>
                  </w:r>
                </w:p>
              </w:tc>
              <w:tc>
                <w:tcPr>
                  <w:tcW w:w="315" w:type="pct"/>
                  <w:shd w:val="clear" w:color="auto" w:fill="auto"/>
                  <w:noWrap/>
                  <w:tcMar>
                    <w:top w:w="0" w:type="dxa"/>
                    <w:bottom w:w="0" w:type="dxa"/>
                  </w:tcMar>
                  <w:vAlign w:val="center"/>
                </w:tcPr>
                <w:p w14:paraId="6420B1D0">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r>
            <w:tr w14:paraId="58676C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continue"/>
                  <w:noWrap/>
                  <w:tcMar>
                    <w:top w:w="0" w:type="dxa"/>
                    <w:left w:w="28" w:type="dxa"/>
                    <w:bottom w:w="0" w:type="dxa"/>
                    <w:right w:w="28" w:type="dxa"/>
                  </w:tcMar>
                  <w:vAlign w:val="center"/>
                </w:tcPr>
                <w:p w14:paraId="131AC22A">
                  <w:pPr>
                    <w:adjustRightInd w:val="0"/>
                    <w:snapToGrid w:val="0"/>
                    <w:spacing w:line="280" w:lineRule="exact"/>
                    <w:ind w:left="-105" w:leftChars="-50" w:right="-105" w:rightChars="-50"/>
                    <w:jc w:val="center"/>
                    <w:rPr>
                      <w:rFonts w:hint="eastAsia"/>
                      <w:color w:val="000000" w:themeColor="text1"/>
                      <w:szCs w:val="21"/>
                      <w:highlight w:val="none"/>
                      <w:shd w:val="clear" w:color="auto" w:fill="FFFFFF"/>
                      <w14:textFill>
                        <w14:solidFill>
                          <w14:schemeClr w14:val="tx1"/>
                        </w14:solidFill>
                      </w14:textFill>
                    </w:rPr>
                  </w:pPr>
                </w:p>
              </w:tc>
              <w:tc>
                <w:tcPr>
                  <w:tcW w:w="521" w:type="pct"/>
                  <w:noWrap/>
                  <w:tcMar>
                    <w:top w:w="0" w:type="dxa"/>
                    <w:bottom w:w="0" w:type="dxa"/>
                  </w:tcMar>
                  <w:vAlign w:val="center"/>
                </w:tcPr>
                <w:p w14:paraId="240FE0EC">
                  <w:pPr>
                    <w:adjustRightInd w:val="0"/>
                    <w:snapToGrid w:val="0"/>
                    <w:spacing w:line="280" w:lineRule="exact"/>
                    <w:ind w:left="-105" w:leftChars="-50" w:right="-105" w:rightChars="-50"/>
                    <w:jc w:val="center"/>
                    <w:rPr>
                      <w:rFonts w:hint="default"/>
                      <w:color w:val="000000" w:themeColor="text1"/>
                      <w:szCs w:val="21"/>
                      <w:highlight w:val="none"/>
                      <w:shd w:val="clear" w:color="auto" w:fill="FFFFFF"/>
                      <w:lang w:val="en-US" w:eastAsia="zh-CN"/>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其他</w:t>
                  </w:r>
                </w:p>
              </w:tc>
              <w:tc>
                <w:tcPr>
                  <w:tcW w:w="2055" w:type="pct"/>
                  <w:noWrap/>
                  <w:tcMar>
                    <w:top w:w="0" w:type="dxa"/>
                    <w:bottom w:w="0" w:type="dxa"/>
                  </w:tcMar>
                  <w:vAlign w:val="center"/>
                </w:tcPr>
                <w:p w14:paraId="40A10B4A">
                  <w:pPr>
                    <w:numPr>
                      <w:ilvl w:val="0"/>
                      <w:numId w:val="4"/>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产品装卸产尘点采取喷淋等有效抑尘措施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窑车及相关产尘及产渣区域配备除尘除渣措施。</w:t>
                  </w:r>
                </w:p>
                <w:p w14:paraId="2463CEFD">
                  <w:pPr>
                    <w:numPr>
                      <w:ilvl w:val="0"/>
                      <w:numId w:val="4"/>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企业建设门禁系统和视频监控系统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记录运输车辆电子台账(记录车牌号等)</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监控运输车辆进出厂区情况</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视频监控应能够覆盖所有原材料、燃料、产品运输车辆。</w:t>
                  </w:r>
                </w:p>
                <w:p w14:paraId="27BCB25B">
                  <w:pPr>
                    <w:numPr>
                      <w:ilvl w:val="0"/>
                      <w:numId w:val="4"/>
                    </w:num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协同处置污泥、淤泥的负压抽风防止异味外逸系统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废气输入窑炉高温段</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经高温除味后随烟气经大气污染物治理设施处置后排放。</w:t>
                  </w:r>
                </w:p>
                <w:p w14:paraId="210483DA">
                  <w:p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w:t>
                  </w:r>
                  <w:r>
                    <w:rPr>
                      <w:rFonts w:hint="eastAsia"/>
                      <w:color w:val="000000" w:themeColor="text1"/>
                      <w:szCs w:val="21"/>
                      <w:highlight w:val="none"/>
                      <w14:textFill>
                        <w14:solidFill>
                          <w14:schemeClr w14:val="tx1"/>
                        </w14:solidFill>
                      </w14:textFill>
                    </w:rPr>
                    <w:t>除尘器设置密闭灰仓并及时卸灰</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除尘灰不直接卸落到地面。除尘灰采用车辆运输时</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装车过程中采取加湿措施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并对运输车辆进行苦盖。</w:t>
                  </w:r>
                </w:p>
                <w:p w14:paraId="3E514E2F">
                  <w:pPr>
                    <w:adjustRightInd w:val="0"/>
                    <w:snapToGrid w:val="0"/>
                    <w:spacing w:line="280" w:lineRule="exact"/>
                    <w:ind w:left="-105" w:leftChars="-50" w:right="-105" w:rightChars="-50"/>
                    <w:jc w:val="left"/>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r>
                    <w:rPr>
                      <w:rFonts w:hint="eastAsia"/>
                      <w:color w:val="000000" w:themeColor="text1"/>
                      <w:szCs w:val="21"/>
                      <w:highlight w:val="none"/>
                      <w14:textFill>
                        <w14:solidFill>
                          <w14:schemeClr w14:val="tx1"/>
                        </w14:solidFill>
                      </w14:textFill>
                    </w:rPr>
                    <w:t>企业道路硬化</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道路采取清扫、洒水、雾泡等降尘措施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保持清洁</w:t>
                  </w:r>
                  <w:r>
                    <w:rPr>
                      <w:rFonts w:hint="eastAsia"/>
                      <w:color w:val="000000" w:themeColor="text1"/>
                      <w:szCs w:val="21"/>
                      <w:highlight w:val="none"/>
                      <w:lang w:eastAsia="zh-CN"/>
                      <w14:textFill>
                        <w14:solidFill>
                          <w14:schemeClr w14:val="tx1"/>
                        </w14:solidFill>
                      </w14:textFill>
                    </w:rPr>
                    <w:t>。</w:t>
                  </w:r>
                </w:p>
                <w:p w14:paraId="48BBD469">
                  <w:p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w:t>
                  </w:r>
                  <w:r>
                    <w:rPr>
                      <w:rFonts w:hint="eastAsia"/>
                      <w:color w:val="000000" w:themeColor="text1"/>
                      <w:szCs w:val="21"/>
                      <w:highlight w:val="none"/>
                      <w14:textFill>
                        <w14:solidFill>
                          <w14:schemeClr w14:val="tx1"/>
                        </w14:solidFill>
                      </w14:textFill>
                    </w:rPr>
                    <w:t>企业设置车轮清洗设施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或采取其他有效控制措施。</w:t>
                  </w:r>
                </w:p>
              </w:tc>
              <w:tc>
                <w:tcPr>
                  <w:tcW w:w="1582" w:type="pct"/>
                  <w:noWrap/>
                  <w:tcMar>
                    <w:top w:w="0" w:type="dxa"/>
                    <w:bottom w:w="0" w:type="dxa"/>
                  </w:tcMar>
                  <w:vAlign w:val="center"/>
                </w:tcPr>
                <w:p w14:paraId="33BF4118">
                  <w:pPr>
                    <w:numPr>
                      <w:ilvl w:val="0"/>
                      <w:numId w:val="0"/>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产品装卸产尘点采取</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喷淋等有效抑尘措施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窑车</w:t>
                  </w:r>
                  <w:r>
                    <w:rPr>
                      <w:rFonts w:hint="eastAsia"/>
                      <w:color w:val="000000" w:themeColor="text1"/>
                      <w:szCs w:val="21"/>
                      <w:highlight w:val="none"/>
                      <w:lang w:val="en-US" w:eastAsia="zh-CN"/>
                      <w14:textFill>
                        <w14:solidFill>
                          <w14:schemeClr w14:val="tx1"/>
                        </w14:solidFill>
                      </w14:textFill>
                    </w:rPr>
                    <w:t>吹扫</w:t>
                  </w:r>
                  <w:r>
                    <w:rPr>
                      <w:rFonts w:hint="eastAsia"/>
                      <w:color w:val="000000" w:themeColor="text1"/>
                      <w:szCs w:val="21"/>
                      <w:highlight w:val="none"/>
                      <w14:textFill>
                        <w14:solidFill>
                          <w14:schemeClr w14:val="tx1"/>
                        </w14:solidFill>
                      </w14:textFill>
                    </w:rPr>
                    <w:t>区域配备</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除尘除渣措施。</w:t>
                  </w:r>
                </w:p>
                <w:p w14:paraId="63C2B5B0">
                  <w:pPr>
                    <w:numPr>
                      <w:ilvl w:val="0"/>
                      <w:numId w:val="0"/>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企业建设</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门禁系统和视频监控系统</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记录运输车辆电子台账(记录车牌号等)</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监控运输车辆进出厂区情况</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视频监控能够覆盖所有原材料、产品运输车辆。</w:t>
                  </w:r>
                </w:p>
                <w:p w14:paraId="0C25D174">
                  <w:pPr>
                    <w:adjustRightInd w:val="0"/>
                    <w:snapToGrid w:val="0"/>
                    <w:spacing w:line="280" w:lineRule="exact"/>
                    <w:ind w:left="-105" w:leftChars="-50" w:right="-105" w:rightChars="-5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3、污泥存储于负压封闭库房内，正常生产时臭气引入焙烧工序燃烧处理，非正常生产时臭气负压引入二级活性炭装置进行吸附处理。</w:t>
                  </w:r>
                </w:p>
                <w:p w14:paraId="425300B7">
                  <w:pPr>
                    <w:adjustRightInd w:val="0"/>
                    <w:snapToGrid w:val="0"/>
                    <w:spacing w:line="280" w:lineRule="exact"/>
                    <w:ind w:left="-105" w:leftChars="-5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w:t>
                  </w:r>
                  <w:r>
                    <w:rPr>
                      <w:rFonts w:hint="eastAsia"/>
                      <w:color w:val="000000" w:themeColor="text1"/>
                      <w:szCs w:val="21"/>
                      <w:highlight w:val="none"/>
                      <w14:textFill>
                        <w14:solidFill>
                          <w14:schemeClr w14:val="tx1"/>
                        </w14:solidFill>
                      </w14:textFill>
                    </w:rPr>
                    <w:t>除尘器设置</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密闭灰仓并及时卸灰</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除尘灰不直接卸落到地面。除尘灰采用车辆运输时</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装车过程中采取加湿措施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并对运输车辆进行苦盖。</w:t>
                  </w:r>
                </w:p>
                <w:p w14:paraId="2A409964">
                  <w:pPr>
                    <w:adjustRightInd w:val="0"/>
                    <w:snapToGrid w:val="0"/>
                    <w:spacing w:line="280" w:lineRule="exact"/>
                    <w:ind w:left="-105" w:leftChars="-50" w:right="-105" w:rightChars="-50"/>
                    <w:jc w:val="left"/>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r>
                    <w:rPr>
                      <w:rFonts w:hint="eastAsia"/>
                      <w:color w:val="000000" w:themeColor="text1"/>
                      <w:szCs w:val="21"/>
                      <w:highlight w:val="none"/>
                      <w14:textFill>
                        <w14:solidFill>
                          <w14:schemeClr w14:val="tx1"/>
                        </w14:solidFill>
                      </w14:textFill>
                    </w:rPr>
                    <w:t>企业道路硬化</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道路采取清扫、洒水、雾泡等降尘措施</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保持清洁</w:t>
                  </w:r>
                  <w:r>
                    <w:rPr>
                      <w:rFonts w:hint="eastAsia"/>
                      <w:color w:val="000000" w:themeColor="text1"/>
                      <w:szCs w:val="21"/>
                      <w:highlight w:val="none"/>
                      <w:lang w:eastAsia="zh-CN"/>
                      <w14:textFill>
                        <w14:solidFill>
                          <w14:schemeClr w14:val="tx1"/>
                        </w14:solidFill>
                      </w14:textFill>
                    </w:rPr>
                    <w:t>。</w:t>
                  </w:r>
                </w:p>
                <w:p w14:paraId="772D297F">
                  <w:pPr>
                    <w:adjustRightInd w:val="0"/>
                    <w:snapToGrid w:val="0"/>
                    <w:spacing w:line="280" w:lineRule="exact"/>
                    <w:ind w:left="-105" w:leftChars="-50" w:right="-105" w:rightChars="-5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w:t>
                  </w:r>
                  <w:r>
                    <w:rPr>
                      <w:rFonts w:hint="eastAsia"/>
                      <w:color w:val="000000" w:themeColor="text1"/>
                      <w:szCs w:val="21"/>
                      <w:highlight w:val="none"/>
                      <w14:textFill>
                        <w14:solidFill>
                          <w14:schemeClr w14:val="tx1"/>
                        </w14:solidFill>
                      </w14:textFill>
                    </w:rPr>
                    <w:t>企业设置</w:t>
                  </w:r>
                  <w:r>
                    <w:rPr>
                      <w:rFonts w:hint="eastAsia"/>
                      <w:color w:val="000000" w:themeColor="text1"/>
                      <w:szCs w:val="21"/>
                      <w:highlight w:val="none"/>
                      <w:lang w:val="en-US" w:eastAsia="zh-CN"/>
                      <w14:textFill>
                        <w14:solidFill>
                          <w14:schemeClr w14:val="tx1"/>
                        </w14:solidFill>
                      </w14:textFill>
                    </w:rPr>
                    <w:t>了</w:t>
                  </w:r>
                  <w:r>
                    <w:rPr>
                      <w:rFonts w:hint="eastAsia"/>
                      <w:color w:val="000000" w:themeColor="text1"/>
                      <w:szCs w:val="21"/>
                      <w:highlight w:val="none"/>
                      <w14:textFill>
                        <w14:solidFill>
                          <w14:schemeClr w14:val="tx1"/>
                        </w14:solidFill>
                      </w14:textFill>
                    </w:rPr>
                    <w:t>车轮清洗设施。</w:t>
                  </w:r>
                </w:p>
              </w:tc>
              <w:tc>
                <w:tcPr>
                  <w:tcW w:w="315" w:type="pct"/>
                  <w:noWrap/>
                  <w:tcMar>
                    <w:top w:w="0" w:type="dxa"/>
                    <w:bottom w:w="0" w:type="dxa"/>
                  </w:tcMar>
                  <w:vAlign w:val="center"/>
                </w:tcPr>
                <w:p w14:paraId="1CBFD608">
                  <w:pPr>
                    <w:adjustRightInd w:val="0"/>
                    <w:snapToGrid w:val="0"/>
                    <w:spacing w:line="280" w:lineRule="exact"/>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r>
          </w:tbl>
          <w:p w14:paraId="4643B3E9">
            <w:pPr>
              <w:autoSpaceDE w:val="0"/>
              <w:autoSpaceDN w:val="0"/>
              <w:adjustRightInd w:val="0"/>
              <w:snapToGrid w:val="0"/>
              <w:spacing w:line="480" w:lineRule="exact"/>
              <w:jc w:val="left"/>
              <w:rPr>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14:textFill>
                  <w14:solidFill>
                    <w14:schemeClr w14:val="tx1"/>
                  </w14:solidFill>
                </w14:textFill>
              </w:rPr>
              <w:t>4、</w:t>
            </w:r>
            <w:r>
              <w:rPr>
                <w:b/>
                <w:bCs/>
                <w:color w:val="000000" w:themeColor="text1"/>
                <w:kern w:val="0"/>
                <w:sz w:val="24"/>
                <w:highlight w:val="none"/>
                <w14:textFill>
                  <w14:solidFill>
                    <w14:schemeClr w14:val="tx1"/>
                  </w14:solidFill>
                </w14:textFill>
              </w:rPr>
              <w:t>项目与</w:t>
            </w:r>
            <w:r>
              <w:rPr>
                <w:rFonts w:hint="eastAsia"/>
                <w:b/>
                <w:bCs/>
                <w:color w:val="000000" w:themeColor="text1"/>
                <w:kern w:val="0"/>
                <w:sz w:val="24"/>
                <w:highlight w:val="none"/>
                <w14:textFill>
                  <w14:solidFill>
                    <w14:schemeClr w14:val="tx1"/>
                  </w14:solidFill>
                </w14:textFill>
              </w:rPr>
              <w:t>《污水处理厂污泥生产烧结砖技术规范》（DB34/T4639-2023）</w:t>
            </w:r>
            <w:r>
              <w:rPr>
                <w:b/>
                <w:bCs/>
                <w:color w:val="000000" w:themeColor="text1"/>
                <w:kern w:val="0"/>
                <w:sz w:val="24"/>
                <w:highlight w:val="none"/>
                <w14:textFill>
                  <w14:solidFill>
                    <w14:schemeClr w14:val="tx1"/>
                  </w14:solidFill>
                </w14:textFill>
              </w:rPr>
              <w:t>符合性分析</w:t>
            </w:r>
          </w:p>
          <w:p w14:paraId="32B1E94C">
            <w:pPr>
              <w:pStyle w:val="52"/>
              <w:spacing w:line="480" w:lineRule="exact"/>
              <w:ind w:firstLine="48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lang w:val="en-US" w:eastAsia="zh-CN"/>
                <w14:textFill>
                  <w14:solidFill>
                    <w14:schemeClr w14:val="tx1"/>
                  </w14:solidFill>
                </w14:textFill>
              </w:rPr>
              <w:t>本</w:t>
            </w:r>
            <w:r>
              <w:rPr>
                <w:rFonts w:hint="eastAsia"/>
                <w:bCs/>
                <w:color w:val="000000" w:themeColor="text1"/>
                <w:kern w:val="0"/>
                <w:sz w:val="24"/>
                <w:highlight w:val="none"/>
                <w14:textFill>
                  <w14:solidFill>
                    <w14:schemeClr w14:val="tx1"/>
                  </w14:solidFill>
                </w14:textFill>
              </w:rPr>
              <w:t>项目</w:t>
            </w:r>
            <w:r>
              <w:rPr>
                <w:rFonts w:hint="eastAsia"/>
                <w:bCs/>
                <w:color w:val="000000" w:themeColor="text1"/>
                <w:kern w:val="0"/>
                <w:sz w:val="24"/>
                <w:highlight w:val="none"/>
                <w:lang w:val="en-US" w:eastAsia="zh-CN"/>
                <w14:textFill>
                  <w14:solidFill>
                    <w14:schemeClr w14:val="tx1"/>
                  </w14:solidFill>
                </w14:textFill>
              </w:rPr>
              <w:t>建设参照</w:t>
            </w:r>
            <w:r>
              <w:rPr>
                <w:rFonts w:hint="eastAsia"/>
                <w:bCs/>
                <w:color w:val="000000" w:themeColor="text1"/>
                <w:kern w:val="0"/>
                <w:sz w:val="24"/>
                <w:highlight w:val="none"/>
                <w:lang w:eastAsia="zh-CN"/>
                <w14:textFill>
                  <w14:solidFill>
                    <w14:schemeClr w14:val="tx1"/>
                  </w14:solidFill>
                </w14:textFill>
              </w:rPr>
              <w:t>《</w:t>
            </w:r>
            <w:r>
              <w:rPr>
                <w:rFonts w:hint="eastAsia"/>
                <w:bCs/>
                <w:color w:val="000000" w:themeColor="text1"/>
                <w:kern w:val="0"/>
                <w:sz w:val="24"/>
                <w:highlight w:val="none"/>
                <w14:textFill>
                  <w14:solidFill>
                    <w14:schemeClr w14:val="tx1"/>
                  </w14:solidFill>
                </w14:textFill>
              </w:rPr>
              <w:t>污水处理厂污泥生产烧结砖技术规范</w:t>
            </w:r>
            <w:r>
              <w:rPr>
                <w:rFonts w:hint="eastAsia"/>
                <w:bCs/>
                <w:color w:val="000000" w:themeColor="text1"/>
                <w:kern w:val="0"/>
                <w:sz w:val="24"/>
                <w:highlight w:val="none"/>
                <w:lang w:eastAsia="zh-CN"/>
                <w14:textFill>
                  <w14:solidFill>
                    <w14:schemeClr w14:val="tx1"/>
                  </w14:solidFill>
                </w14:textFill>
              </w:rPr>
              <w:t>》（DB34/T4639-2023）</w:t>
            </w:r>
            <w:r>
              <w:rPr>
                <w:rFonts w:hint="eastAsia"/>
                <w:bCs/>
                <w:color w:val="000000" w:themeColor="text1"/>
                <w:kern w:val="0"/>
                <w:sz w:val="24"/>
                <w:highlight w:val="none"/>
                <w:lang w:val="en-US" w:eastAsia="zh-CN"/>
                <w14:textFill>
                  <w14:solidFill>
                    <w14:schemeClr w14:val="tx1"/>
                  </w14:solidFill>
                </w14:textFill>
              </w:rPr>
              <w:t>部分要求，</w:t>
            </w:r>
            <w:r>
              <w:rPr>
                <w:rFonts w:hint="eastAsia"/>
                <w:bCs/>
                <w:color w:val="000000" w:themeColor="text1"/>
                <w:kern w:val="0"/>
                <w:sz w:val="24"/>
                <w:highlight w:val="none"/>
                <w14:textFill>
                  <w14:solidFill>
                    <w14:schemeClr w14:val="tx1"/>
                  </w14:solidFill>
                </w14:textFill>
              </w:rPr>
              <w:t>符合性分析</w:t>
            </w:r>
            <w:r>
              <w:rPr>
                <w:rFonts w:hint="eastAsia"/>
                <w:bCs/>
                <w:color w:val="000000" w:themeColor="text1"/>
                <w:kern w:val="0"/>
                <w:sz w:val="24"/>
                <w:highlight w:val="none"/>
                <w:lang w:val="en-US" w:eastAsia="zh-CN"/>
                <w14:textFill>
                  <w14:solidFill>
                    <w14:schemeClr w14:val="tx1"/>
                  </w14:solidFill>
                </w14:textFill>
              </w:rPr>
              <w:t>情况</w:t>
            </w:r>
            <w:r>
              <w:rPr>
                <w:rFonts w:hint="eastAsia"/>
                <w:bCs/>
                <w:color w:val="000000" w:themeColor="text1"/>
                <w:kern w:val="0"/>
                <w:sz w:val="24"/>
                <w:highlight w:val="none"/>
                <w14:textFill>
                  <w14:solidFill>
                    <w14:schemeClr w14:val="tx1"/>
                  </w14:solidFill>
                </w14:textFill>
              </w:rPr>
              <w:t>见表1-</w:t>
            </w:r>
            <w:r>
              <w:rPr>
                <w:rFonts w:hint="eastAsia"/>
                <w:bCs/>
                <w:color w:val="000000" w:themeColor="text1"/>
                <w:kern w:val="0"/>
                <w:sz w:val="24"/>
                <w:highlight w:val="none"/>
                <w:lang w:val="en-US" w:eastAsia="zh-CN"/>
                <w14:textFill>
                  <w14:solidFill>
                    <w14:schemeClr w14:val="tx1"/>
                  </w14:solidFill>
                </w14:textFill>
              </w:rPr>
              <w:t>5</w:t>
            </w:r>
            <w:r>
              <w:rPr>
                <w:rFonts w:hint="eastAsia"/>
                <w:bCs/>
                <w:color w:val="000000" w:themeColor="text1"/>
                <w:kern w:val="0"/>
                <w:sz w:val="24"/>
                <w:highlight w:val="none"/>
                <w14:textFill>
                  <w14:solidFill>
                    <w14:schemeClr w14:val="tx1"/>
                  </w14:solidFill>
                </w14:textFill>
              </w:rPr>
              <w:t>。</w:t>
            </w:r>
          </w:p>
          <w:p w14:paraId="779A98DE">
            <w:pPr>
              <w:pStyle w:val="10"/>
              <w:spacing w:line="480" w:lineRule="exact"/>
              <w:ind w:left="0" w:leftChars="0" w:right="0" w:rightChars="0" w:firstLine="940" w:firstLineChars="392"/>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1-</w:t>
            </w:r>
            <w:r>
              <w:rPr>
                <w:rFonts w:hint="eastAsia" w:ascii="黑体" w:hAnsi="黑体" w:eastAsia="黑体"/>
                <w:bCs/>
                <w:color w:val="000000" w:themeColor="text1"/>
                <w:sz w:val="24"/>
                <w:highlight w:val="none"/>
                <w:lang w:val="en-US" w:eastAsia="zh-CN"/>
                <w14:textFill>
                  <w14:solidFill>
                    <w14:schemeClr w14:val="tx1"/>
                  </w14:solidFill>
                </w14:textFill>
              </w:rPr>
              <w:t>5</w:t>
            </w:r>
            <w:r>
              <w:rPr>
                <w:rFonts w:ascii="黑体" w:hAnsi="黑体" w:eastAsia="黑体"/>
                <w:bCs/>
                <w:color w:val="000000" w:themeColor="text1"/>
                <w:sz w:val="24"/>
                <w:highlight w:val="none"/>
                <w14:textFill>
                  <w14:solidFill>
                    <w14:schemeClr w14:val="tx1"/>
                  </w14:solidFill>
                </w14:textFill>
              </w:rPr>
              <w:t xml:space="preserve">  与</w:t>
            </w:r>
            <w:r>
              <w:rPr>
                <w:rFonts w:hint="eastAsia" w:ascii="黑体" w:hAnsi="黑体" w:eastAsia="黑体"/>
                <w:bCs/>
                <w:color w:val="000000" w:themeColor="text1"/>
                <w:sz w:val="24"/>
                <w:highlight w:val="none"/>
                <w14:textFill>
                  <w14:solidFill>
                    <w14:schemeClr w14:val="tx1"/>
                  </w14:solidFill>
                </w14:textFill>
              </w:rPr>
              <w:t>污水处理厂污泥生产烧结砖技术规范</w:t>
            </w:r>
            <w:r>
              <w:rPr>
                <w:rFonts w:hint="eastAsia" w:ascii="黑体" w:hAnsi="黑体" w:eastAsia="黑体"/>
                <w:bCs/>
                <w:color w:val="000000" w:themeColor="text1"/>
                <w:sz w:val="24"/>
                <w:highlight w:val="none"/>
                <w:lang w:val="en-US" w:eastAsia="zh-CN"/>
                <w14:textFill>
                  <w14:solidFill>
                    <w14:schemeClr w14:val="tx1"/>
                  </w14:solidFill>
                </w14:textFill>
              </w:rPr>
              <w:t>相关要求</w:t>
            </w:r>
            <w:r>
              <w:rPr>
                <w:rFonts w:ascii="黑体" w:hAnsi="黑体" w:eastAsia="黑体"/>
                <w:bCs/>
                <w:color w:val="000000" w:themeColor="text1"/>
                <w:sz w:val="24"/>
                <w:highlight w:val="none"/>
                <w14:textFill>
                  <w14:solidFill>
                    <w14:schemeClr w14:val="tx1"/>
                  </w14:solidFill>
                </w14:textFill>
              </w:rPr>
              <w:t>符合性</w:t>
            </w:r>
            <w:r>
              <w:rPr>
                <w:rFonts w:hint="eastAsia" w:ascii="黑体" w:hAnsi="黑体" w:eastAsia="黑体"/>
                <w:bCs/>
                <w:color w:val="000000" w:themeColor="text1"/>
                <w:sz w:val="24"/>
                <w:highlight w:val="none"/>
                <w14:textFill>
                  <w14:solidFill>
                    <w14:schemeClr w14:val="tx1"/>
                  </w14:solidFill>
                </w14:textFill>
              </w:rPr>
              <w:t>分析</w:t>
            </w:r>
            <w:r>
              <w:rPr>
                <w:rFonts w:ascii="黑体" w:hAnsi="黑体" w:eastAsia="黑体"/>
                <w:bCs/>
                <w:color w:val="000000" w:themeColor="text1"/>
                <w:sz w:val="24"/>
                <w:highlight w:val="none"/>
                <w14:textFill>
                  <w14:solidFill>
                    <w14:schemeClr w14:val="tx1"/>
                  </w14:solidFill>
                </w14:textFill>
              </w:rPr>
              <w:t>一览表</w:t>
            </w:r>
          </w:p>
          <w:tbl>
            <w:tblPr>
              <w:tblStyle w:val="24"/>
              <w:tblW w:w="505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34"/>
              <w:gridCol w:w="3683"/>
              <w:gridCol w:w="2835"/>
              <w:gridCol w:w="566"/>
            </w:tblGrid>
            <w:tr w14:paraId="0AAB3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noWrap/>
                  <w:tcMar>
                    <w:top w:w="0" w:type="dxa"/>
                    <w:left w:w="28" w:type="dxa"/>
                    <w:bottom w:w="0" w:type="dxa"/>
                    <w:right w:w="28" w:type="dxa"/>
                  </w:tcMar>
                  <w:vAlign w:val="center"/>
                </w:tcPr>
                <w:p w14:paraId="2037155C">
                  <w:pPr>
                    <w:adjustRightInd w:val="0"/>
                    <w:snapToGri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文件</w:t>
                  </w:r>
                </w:p>
              </w:tc>
              <w:tc>
                <w:tcPr>
                  <w:tcW w:w="521" w:type="pct"/>
                  <w:noWrap/>
                  <w:tcMar>
                    <w:top w:w="0" w:type="dxa"/>
                    <w:bottom w:w="0" w:type="dxa"/>
                  </w:tcMar>
                  <w:vAlign w:val="center"/>
                </w:tcPr>
                <w:p w14:paraId="3D68154E">
                  <w:pPr>
                    <w:adjustRightInd w:val="0"/>
                    <w:snapToGri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工序</w:t>
                  </w:r>
                </w:p>
              </w:tc>
              <w:tc>
                <w:tcPr>
                  <w:tcW w:w="2055" w:type="pct"/>
                  <w:noWrap/>
                  <w:tcMar>
                    <w:top w:w="0" w:type="dxa"/>
                    <w:bottom w:w="0" w:type="dxa"/>
                  </w:tcMar>
                  <w:vAlign w:val="center"/>
                </w:tcPr>
                <w:p w14:paraId="094AE6E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文件要求</w:t>
                  </w:r>
                </w:p>
              </w:tc>
              <w:tc>
                <w:tcPr>
                  <w:tcW w:w="1582" w:type="pct"/>
                  <w:noWrap/>
                  <w:tcMar>
                    <w:top w:w="0" w:type="dxa"/>
                    <w:bottom w:w="0" w:type="dxa"/>
                  </w:tcMar>
                  <w:vAlign w:val="center"/>
                </w:tcPr>
                <w:p w14:paraId="5B3B6D7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本项目情况</w:t>
                  </w:r>
                </w:p>
              </w:tc>
              <w:tc>
                <w:tcPr>
                  <w:tcW w:w="315" w:type="pct"/>
                  <w:noWrap/>
                  <w:tcMar>
                    <w:top w:w="0" w:type="dxa"/>
                    <w:bottom w:w="0" w:type="dxa"/>
                  </w:tcMar>
                  <w:vAlign w:val="center"/>
                </w:tcPr>
                <w:p w14:paraId="5F88BBB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符合性</w:t>
                  </w:r>
                </w:p>
              </w:tc>
            </w:tr>
            <w:tr w14:paraId="6AF199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restart"/>
                  <w:noWrap/>
                  <w:tcMar>
                    <w:top w:w="0" w:type="dxa"/>
                    <w:left w:w="28" w:type="dxa"/>
                    <w:bottom w:w="0" w:type="dxa"/>
                    <w:right w:w="28" w:type="dxa"/>
                  </w:tcMar>
                  <w:vAlign w:val="center"/>
                </w:tcPr>
                <w:p w14:paraId="12ACD62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《污水处理厂污泥生产烧结砖技术规范》（DB34/T4639-2023）</w:t>
                  </w:r>
                </w:p>
              </w:tc>
              <w:tc>
                <w:tcPr>
                  <w:tcW w:w="521" w:type="pct"/>
                  <w:noWrap/>
                  <w:tcMar>
                    <w:top w:w="0" w:type="dxa"/>
                    <w:bottom w:w="0" w:type="dxa"/>
                  </w:tcMar>
                  <w:vAlign w:val="center"/>
                </w:tcPr>
                <w:p w14:paraId="68B6A79A">
                  <w:pPr>
                    <w:adjustRightInd w:val="0"/>
                    <w:snapToGrid w:val="0"/>
                    <w:spacing w:line="280" w:lineRule="exact"/>
                    <w:ind w:left="-105" w:leftChars="-50" w:right="-105" w:rightChars="-50"/>
                    <w:jc w:val="center"/>
                    <w:rPr>
                      <w:rFonts w:hint="default" w:eastAsia="宋体"/>
                      <w:color w:val="000000" w:themeColor="text1"/>
                      <w:szCs w:val="21"/>
                      <w:highlight w:val="none"/>
                      <w:shd w:val="clear" w:color="auto" w:fill="FFFFFF"/>
                      <w:lang w:val="en-US" w:eastAsia="zh-CN"/>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原料进厂要求</w:t>
                  </w:r>
                </w:p>
              </w:tc>
              <w:tc>
                <w:tcPr>
                  <w:tcW w:w="2055" w:type="pct"/>
                  <w:noWrap/>
                  <w:tcMar>
                    <w:top w:w="0" w:type="dxa"/>
                    <w:bottom w:w="0" w:type="dxa"/>
                  </w:tcMar>
                  <w:vAlign w:val="center"/>
                </w:tcPr>
                <w:p w14:paraId="44C81F47">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进厂污泥质量要求</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含水率不大于85%</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氧化钙含量不大于3.5%。</w:t>
                  </w:r>
                </w:p>
              </w:tc>
              <w:tc>
                <w:tcPr>
                  <w:tcW w:w="1582" w:type="pct"/>
                  <w:noWrap/>
                  <w:tcMar>
                    <w:top w:w="0" w:type="dxa"/>
                    <w:bottom w:w="0" w:type="dxa"/>
                  </w:tcMar>
                  <w:vAlign w:val="center"/>
                </w:tcPr>
                <w:p w14:paraId="17B7AF05">
                  <w:pPr>
                    <w:numPr>
                      <w:ilvl w:val="0"/>
                      <w:numId w:val="0"/>
                    </w:numPr>
                    <w:adjustRightInd w:val="0"/>
                    <w:snapToGrid w:val="0"/>
                    <w:spacing w:line="280" w:lineRule="exact"/>
                    <w:ind w:right="-105" w:rightChars="-50"/>
                    <w:jc w:val="both"/>
                    <w:rPr>
                      <w:rFonts w:hint="default" w:eastAsia="宋体"/>
                      <w:color w:val="000000" w:themeColor="text1"/>
                      <w:szCs w:val="21"/>
                      <w:highlight w:val="none"/>
                      <w:lang w:val="en-US" w:eastAsia="zh-CN"/>
                      <w14:textFill>
                        <w14:solidFill>
                          <w14:schemeClr w14:val="tx1"/>
                        </w14:solidFill>
                      </w14:textFill>
                    </w:rPr>
                  </w:pPr>
                  <w:r>
                    <w:rPr>
                      <w:rFonts w:hint="eastAsia" w:eastAsia="宋体"/>
                      <w:color w:val="000000" w:themeColor="text1"/>
                      <w:szCs w:val="21"/>
                      <w:highlight w:val="none"/>
                      <w:lang w:val="en-US" w:eastAsia="zh-CN"/>
                      <w14:textFill>
                        <w14:solidFill>
                          <w14:schemeClr w14:val="tx1"/>
                        </w14:solidFill>
                      </w14:textFill>
                    </w:rPr>
                    <w:t>本项目所用工业污泥、生活污泥</w:t>
                  </w:r>
                  <w:r>
                    <w:rPr>
                      <w:rFonts w:hint="default" w:eastAsia="宋体"/>
                      <w:color w:val="000000" w:themeColor="text1"/>
                      <w:szCs w:val="21"/>
                      <w:highlight w:val="none"/>
                      <w:lang w:val="en-US" w:eastAsia="zh-CN"/>
                      <w14:textFill>
                        <w14:solidFill>
                          <w14:schemeClr w14:val="tx1"/>
                        </w14:solidFill>
                      </w14:textFill>
                    </w:rPr>
                    <w:t>含水率分别为62.3%、59.5%</w:t>
                  </w:r>
                  <w:r>
                    <w:rPr>
                      <w:rFonts w:hint="eastAsia" w:eastAsia="宋体"/>
                      <w:color w:val="000000" w:themeColor="text1"/>
                      <w:szCs w:val="21"/>
                      <w:highlight w:val="none"/>
                      <w:lang w:val="en-US"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氧化钙含量不大于3.5%。</w:t>
                  </w:r>
                </w:p>
              </w:tc>
              <w:tc>
                <w:tcPr>
                  <w:tcW w:w="315" w:type="pct"/>
                  <w:noWrap/>
                  <w:tcMar>
                    <w:top w:w="0" w:type="dxa"/>
                    <w:bottom w:w="0" w:type="dxa"/>
                  </w:tcMar>
                  <w:vAlign w:val="center"/>
                </w:tcPr>
                <w:p w14:paraId="476E5CA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4A2D5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continue"/>
                  <w:noWrap/>
                  <w:tcMar>
                    <w:top w:w="0" w:type="dxa"/>
                    <w:left w:w="28" w:type="dxa"/>
                    <w:bottom w:w="0" w:type="dxa"/>
                    <w:right w:w="28" w:type="dxa"/>
                  </w:tcMar>
                  <w:vAlign w:val="center"/>
                </w:tcPr>
                <w:p w14:paraId="1137E1D9">
                  <w:pPr>
                    <w:adjustRightInd w:val="0"/>
                    <w:snapToGrid w:val="0"/>
                    <w:spacing w:line="280" w:lineRule="exact"/>
                    <w:ind w:left="-105" w:leftChars="-50" w:right="-105" w:rightChars="-50"/>
                    <w:jc w:val="center"/>
                    <w:rPr>
                      <w:rFonts w:hint="eastAsia"/>
                      <w:color w:val="000000" w:themeColor="text1"/>
                      <w:szCs w:val="21"/>
                      <w:highlight w:val="none"/>
                      <w:shd w:val="clear" w:color="auto" w:fill="FFFFFF"/>
                      <w14:textFill>
                        <w14:solidFill>
                          <w14:schemeClr w14:val="tx1"/>
                        </w14:solidFill>
                      </w14:textFill>
                    </w:rPr>
                  </w:pPr>
                </w:p>
              </w:tc>
              <w:tc>
                <w:tcPr>
                  <w:tcW w:w="521" w:type="pct"/>
                  <w:noWrap/>
                  <w:tcMar>
                    <w:top w:w="0" w:type="dxa"/>
                    <w:bottom w:w="0" w:type="dxa"/>
                  </w:tcMar>
                  <w:vAlign w:val="center"/>
                </w:tcPr>
                <w:p w14:paraId="054AACD3">
                  <w:pPr>
                    <w:adjustRightInd w:val="0"/>
                    <w:snapToGrid w:val="0"/>
                    <w:spacing w:line="280" w:lineRule="exact"/>
                    <w:ind w:left="-105" w:leftChars="-50" w:right="-105" w:rightChars="-50"/>
                    <w:jc w:val="center"/>
                    <w:rPr>
                      <w:rFonts w:hint="eastAsia"/>
                      <w:color w:val="000000" w:themeColor="text1"/>
                      <w:szCs w:val="21"/>
                      <w:highlight w:val="none"/>
                      <w:shd w:val="clear" w:color="auto" w:fill="FFFFFF"/>
                      <w:lang w:val="en-US" w:eastAsia="zh-CN"/>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贮存</w:t>
                  </w:r>
                </w:p>
                <w:p w14:paraId="03390E09">
                  <w:pPr>
                    <w:adjustRightInd w:val="0"/>
                    <w:snapToGrid w:val="0"/>
                    <w:spacing w:line="280" w:lineRule="exact"/>
                    <w:ind w:left="-105" w:leftChars="-50" w:right="-105" w:rightChars="-50"/>
                    <w:jc w:val="center"/>
                    <w:rPr>
                      <w:rFonts w:hint="default"/>
                      <w:color w:val="000000" w:themeColor="text1"/>
                      <w:szCs w:val="21"/>
                      <w:highlight w:val="none"/>
                      <w:shd w:val="clear" w:color="auto" w:fill="FFFFFF"/>
                      <w:lang w:val="en-US" w:eastAsia="zh-CN"/>
                      <w14:textFill>
                        <w14:solidFill>
                          <w14:schemeClr w14:val="tx1"/>
                        </w14:solidFill>
                      </w14:textFill>
                    </w:rPr>
                  </w:pPr>
                  <w:r>
                    <w:rPr>
                      <w:rFonts w:hint="eastAsia"/>
                      <w:color w:val="000000" w:themeColor="text1"/>
                      <w:szCs w:val="21"/>
                      <w:highlight w:val="none"/>
                      <w:shd w:val="clear" w:color="auto" w:fill="FFFFFF"/>
                      <w:lang w:val="en-US" w:eastAsia="zh-CN"/>
                      <w14:textFill>
                        <w14:solidFill>
                          <w14:schemeClr w14:val="tx1"/>
                        </w14:solidFill>
                      </w14:textFill>
                    </w:rPr>
                    <w:t>设施</w:t>
                  </w:r>
                </w:p>
              </w:tc>
              <w:tc>
                <w:tcPr>
                  <w:tcW w:w="2055" w:type="pct"/>
                  <w:noWrap/>
                  <w:tcMar>
                    <w:top w:w="0" w:type="dxa"/>
                    <w:bottom w:w="0" w:type="dxa"/>
                  </w:tcMar>
                  <w:vAlign w:val="center"/>
                </w:tcPr>
                <w:p w14:paraId="3FF26F2D">
                  <w:pPr>
                    <w:numPr>
                      <w:ilvl w:val="0"/>
                      <w:numId w:val="5"/>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库(仓)容量应满足贮存时间和处置规模的要求。</w:t>
                  </w:r>
                </w:p>
                <w:p w14:paraId="13117FB1">
                  <w:pPr>
                    <w:numPr>
                      <w:ilvl w:val="0"/>
                      <w:numId w:val="5"/>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湿污泥贮存库(仓)选址宜靠近焙烧窑。</w:t>
                  </w:r>
                </w:p>
                <w:p w14:paraId="30012147">
                  <w:pPr>
                    <w:numPr>
                      <w:ilvl w:val="0"/>
                      <w:numId w:val="5"/>
                    </w:numPr>
                    <w:adjustRightInd w:val="0"/>
                    <w:snapToGrid w:val="0"/>
                    <w:spacing w:line="280" w:lineRule="exact"/>
                    <w:ind w:left="0" w:leftChars="0" w:right="-105" w:rightChars="-50" w:firstLine="0" w:firstLineChars="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湿污泥贮存库(仓)应作防渗处理且密闭并保持负压状态，应符合污泥运输车辆进出、卸料的要求</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应设置安全、卫生防护设施，环境保护图形标志的设置应符合GB15562.2的规定。</w:t>
                  </w:r>
                </w:p>
                <w:p w14:paraId="0AFD8FD7">
                  <w:pPr>
                    <w:numPr>
                      <w:ilvl w:val="0"/>
                      <w:numId w:val="5"/>
                    </w:numPr>
                    <w:adjustRightInd w:val="0"/>
                    <w:snapToGrid w:val="0"/>
                    <w:spacing w:line="280" w:lineRule="exact"/>
                    <w:ind w:left="0" w:leftChars="0" w:right="-105" w:rightChars="-50" w:firstLine="0" w:firstLineChars="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干化污泥贮存仓和污泥热解物贮存企应密闭并保持负压状态</w:t>
                  </w:r>
                  <w:r>
                    <w:rPr>
                      <w:rFonts w:hint="eastAsia"/>
                      <w:color w:val="000000" w:themeColor="text1"/>
                      <w:szCs w:val="21"/>
                      <w:highlight w:val="none"/>
                      <w:lang w:eastAsia="zh-CN"/>
                      <w14:textFill>
                        <w14:solidFill>
                          <w14:schemeClr w14:val="tx1"/>
                        </w14:solidFill>
                      </w14:textFill>
                    </w:rPr>
                    <w:t>。</w:t>
                  </w:r>
                </w:p>
              </w:tc>
              <w:tc>
                <w:tcPr>
                  <w:tcW w:w="1582" w:type="pct"/>
                  <w:noWrap/>
                  <w:tcMar>
                    <w:top w:w="0" w:type="dxa"/>
                    <w:bottom w:w="0" w:type="dxa"/>
                  </w:tcMar>
                  <w:vAlign w:val="center"/>
                </w:tcPr>
                <w:p w14:paraId="26D8AA28">
                  <w:pPr>
                    <w:numPr>
                      <w:ilvl w:val="0"/>
                      <w:numId w:val="6"/>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库(仓)容量满足贮存时间和处置规模的要求。</w:t>
                  </w:r>
                </w:p>
                <w:p w14:paraId="04CF5C10">
                  <w:pPr>
                    <w:numPr>
                      <w:ilvl w:val="0"/>
                      <w:numId w:val="6"/>
                    </w:numPr>
                    <w:adjustRightInd w:val="0"/>
                    <w:snapToGrid w:val="0"/>
                    <w:spacing w:line="280" w:lineRule="exact"/>
                    <w:ind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本项目</w:t>
                  </w:r>
                  <w:r>
                    <w:rPr>
                      <w:rFonts w:hint="eastAsia"/>
                      <w:color w:val="000000" w:themeColor="text1"/>
                      <w:szCs w:val="21"/>
                      <w:highlight w:val="none"/>
                      <w14:textFill>
                        <w14:solidFill>
                          <w14:schemeClr w14:val="tx1"/>
                        </w14:solidFill>
                      </w14:textFill>
                    </w:rPr>
                    <w:t>湿污泥贮存库(仓)选址靠近焙烧窑。</w:t>
                  </w:r>
                </w:p>
                <w:p w14:paraId="061B39BA">
                  <w:pPr>
                    <w:numPr>
                      <w:ilvl w:val="0"/>
                      <w:numId w:val="0"/>
                    </w:numPr>
                    <w:adjustRightInd w:val="0"/>
                    <w:snapToGrid w:val="0"/>
                    <w:spacing w:line="280" w:lineRule="exact"/>
                    <w:ind w:leftChars="0" w:right="-105" w:rightChars="-50"/>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3、本项目污泥库按重点防渗区</w:t>
                  </w:r>
                  <w:r>
                    <w:rPr>
                      <w:rFonts w:hint="eastAsia"/>
                      <w:color w:val="000000" w:themeColor="text1"/>
                      <w:szCs w:val="21"/>
                      <w:highlight w:val="none"/>
                      <w14:textFill>
                        <w14:solidFill>
                          <w14:schemeClr w14:val="tx1"/>
                        </w14:solidFill>
                      </w14:textFill>
                    </w:rPr>
                    <w:t>作防渗处理且密闭并保持负压状态，符合污泥运输车辆进出、卸料的要求，环境保护图形标志的设置符合GB15562.2的规定。</w:t>
                  </w:r>
                </w:p>
                <w:p w14:paraId="3B4D9797">
                  <w:pPr>
                    <w:adjustRightInd w:val="0"/>
                    <w:snapToGrid w:val="0"/>
                    <w:spacing w:line="280" w:lineRule="exact"/>
                    <w:ind w:left="-105" w:leftChars="-50" w:right="-105" w:rightChars="-5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4、本项目污泥存储于负压封闭库房内，正常生产时臭气引入焙烧工序燃烧处理，非正常生产时臭气负压引入二级活性炭装置进行吸附处理。</w:t>
                  </w:r>
                </w:p>
              </w:tc>
              <w:tc>
                <w:tcPr>
                  <w:tcW w:w="315" w:type="pct"/>
                  <w:noWrap/>
                  <w:tcMar>
                    <w:top w:w="0" w:type="dxa"/>
                    <w:bottom w:w="0" w:type="dxa"/>
                  </w:tcMar>
                  <w:vAlign w:val="center"/>
                </w:tcPr>
                <w:p w14:paraId="32A7706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r>
            <w:tr w14:paraId="041B35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continue"/>
                  <w:noWrap/>
                  <w:tcMar>
                    <w:top w:w="0" w:type="dxa"/>
                    <w:left w:w="28" w:type="dxa"/>
                    <w:bottom w:w="0" w:type="dxa"/>
                    <w:right w:w="28" w:type="dxa"/>
                  </w:tcMar>
                  <w:vAlign w:val="center"/>
                </w:tcPr>
                <w:p w14:paraId="4CB025D8">
                  <w:pPr>
                    <w:adjustRightInd w:val="0"/>
                    <w:snapToGrid w:val="0"/>
                    <w:spacing w:line="280" w:lineRule="exact"/>
                    <w:ind w:left="-105" w:leftChars="-50" w:right="-105" w:rightChars="-50"/>
                    <w:jc w:val="center"/>
                    <w:rPr>
                      <w:rFonts w:hint="eastAsia"/>
                      <w:color w:val="000000" w:themeColor="text1"/>
                      <w:szCs w:val="21"/>
                      <w:highlight w:val="none"/>
                      <w:shd w:val="clear" w:color="auto" w:fill="FFFFFF"/>
                      <w14:textFill>
                        <w14:solidFill>
                          <w14:schemeClr w14:val="tx1"/>
                        </w14:solidFill>
                      </w14:textFill>
                    </w:rPr>
                  </w:pPr>
                </w:p>
              </w:tc>
              <w:tc>
                <w:tcPr>
                  <w:tcW w:w="521" w:type="pct"/>
                  <w:shd w:val="clear" w:color="auto" w:fill="auto"/>
                  <w:noWrap/>
                  <w:tcMar>
                    <w:top w:w="0" w:type="dxa"/>
                    <w:bottom w:w="0" w:type="dxa"/>
                  </w:tcMar>
                  <w:vAlign w:val="center"/>
                </w:tcPr>
                <w:p w14:paraId="1037A00A">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shd w:val="clear" w:color="auto" w:fill="FFFFFF"/>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shd w:val="clear" w:color="auto" w:fill="FFFFFF"/>
                      <w:lang w:val="en-US" w:eastAsia="zh-CN" w:bidi="ar-SA"/>
                      <w14:textFill>
                        <w14:solidFill>
                          <w14:schemeClr w14:val="tx1"/>
                        </w14:solidFill>
                      </w14:textFill>
                    </w:rPr>
                    <w:t>贮存时间</w:t>
                  </w:r>
                </w:p>
              </w:tc>
              <w:tc>
                <w:tcPr>
                  <w:tcW w:w="2055" w:type="pct"/>
                  <w:shd w:val="clear" w:color="auto" w:fill="auto"/>
                  <w:noWrap/>
                  <w:tcMar>
                    <w:top w:w="0" w:type="dxa"/>
                    <w:bottom w:w="0" w:type="dxa"/>
                  </w:tcMar>
                  <w:vAlign w:val="center"/>
                </w:tcPr>
                <w:p w14:paraId="3718EC75">
                  <w:pPr>
                    <w:adjustRightInd w:val="0"/>
                    <w:snapToGrid w:val="0"/>
                    <w:spacing w:line="280" w:lineRule="exact"/>
                    <w:ind w:left="-105" w:leftChars="-50" w:right="-105" w:rightChars="-50"/>
                    <w:jc w:val="left"/>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1、湿污泥冬季应小于48小时，夏季应小于24小时。</w:t>
                  </w:r>
                </w:p>
                <w:p w14:paraId="7D16CA8A">
                  <w:pPr>
                    <w:adjustRightInd w:val="0"/>
                    <w:snapToGrid w:val="0"/>
                    <w:spacing w:line="280" w:lineRule="exact"/>
                    <w:ind w:left="-105" w:leftChars="-50" w:right="-105" w:rightChars="-50"/>
                    <w:jc w:val="left"/>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2、干化污泥应小于24小时。</w:t>
                  </w:r>
                </w:p>
                <w:p w14:paraId="6368BC0F">
                  <w:pPr>
                    <w:adjustRightInd w:val="0"/>
                    <w:snapToGrid w:val="0"/>
                    <w:spacing w:line="280" w:lineRule="exact"/>
                    <w:ind w:left="-105" w:leftChars="-50" w:right="-105" w:rightChars="-50"/>
                    <w:jc w:val="left"/>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3、污泥热解物宜小于48小时。</w:t>
                  </w:r>
                </w:p>
              </w:tc>
              <w:tc>
                <w:tcPr>
                  <w:tcW w:w="1582" w:type="pct"/>
                  <w:shd w:val="clear" w:color="auto" w:fill="auto"/>
                  <w:noWrap/>
                  <w:tcMar>
                    <w:top w:w="0" w:type="dxa"/>
                    <w:bottom w:w="0" w:type="dxa"/>
                  </w:tcMar>
                  <w:vAlign w:val="center"/>
                </w:tcPr>
                <w:p w14:paraId="2EF7F31A">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本项目污泥贮存时间小于</w:t>
                  </w:r>
                </w:p>
                <w:p w14:paraId="05EE485C">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24小时</w:t>
                  </w:r>
                </w:p>
              </w:tc>
              <w:tc>
                <w:tcPr>
                  <w:tcW w:w="315" w:type="pct"/>
                  <w:shd w:val="clear" w:color="auto" w:fill="auto"/>
                  <w:noWrap/>
                  <w:tcMar>
                    <w:top w:w="0" w:type="dxa"/>
                    <w:bottom w:w="0" w:type="dxa"/>
                  </w:tcMar>
                  <w:vAlign w:val="center"/>
                </w:tcPr>
                <w:p w14:paraId="3BC047BA">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r>
            <w:tr w14:paraId="78C62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Merge w:val="continue"/>
                  <w:noWrap/>
                  <w:tcMar>
                    <w:top w:w="0" w:type="dxa"/>
                    <w:left w:w="28" w:type="dxa"/>
                    <w:bottom w:w="0" w:type="dxa"/>
                    <w:right w:w="28" w:type="dxa"/>
                  </w:tcMar>
                  <w:vAlign w:val="center"/>
                </w:tcPr>
                <w:p w14:paraId="33683654">
                  <w:pPr>
                    <w:adjustRightInd w:val="0"/>
                    <w:snapToGrid w:val="0"/>
                    <w:spacing w:line="280" w:lineRule="exact"/>
                    <w:ind w:left="-105" w:leftChars="-50" w:right="-105" w:rightChars="-50"/>
                    <w:jc w:val="center"/>
                    <w:rPr>
                      <w:rFonts w:hint="eastAsia"/>
                      <w:color w:val="000000" w:themeColor="text1"/>
                      <w:szCs w:val="21"/>
                      <w:highlight w:val="none"/>
                      <w:shd w:val="clear" w:color="auto" w:fill="FFFFFF"/>
                      <w14:textFill>
                        <w14:solidFill>
                          <w14:schemeClr w14:val="tx1"/>
                        </w14:solidFill>
                      </w14:textFill>
                    </w:rPr>
                  </w:pPr>
                </w:p>
              </w:tc>
              <w:tc>
                <w:tcPr>
                  <w:tcW w:w="521" w:type="pct"/>
                  <w:shd w:val="clear" w:color="auto" w:fill="auto"/>
                  <w:noWrap/>
                  <w:tcMar>
                    <w:top w:w="0" w:type="dxa"/>
                    <w:bottom w:w="0" w:type="dxa"/>
                  </w:tcMar>
                  <w:vAlign w:val="center"/>
                </w:tcPr>
                <w:p w14:paraId="18F03EB2">
                  <w:pPr>
                    <w:adjustRightInd w:val="0"/>
                    <w:snapToGrid w:val="0"/>
                    <w:spacing w:line="280" w:lineRule="exact"/>
                    <w:ind w:left="-105" w:leftChars="-50" w:right="-105" w:rightChars="-50"/>
                    <w:jc w:val="center"/>
                    <w:rPr>
                      <w:rFonts w:hint="default" w:ascii="Times New Roman" w:hAnsi="Times New Roman" w:eastAsia="宋体" w:cs="Times New Roman"/>
                      <w:color w:val="000000" w:themeColor="text1"/>
                      <w:kern w:val="2"/>
                      <w:sz w:val="21"/>
                      <w:szCs w:val="21"/>
                      <w:highlight w:val="none"/>
                      <w:shd w:val="clear" w:color="auto" w:fill="FFFFFF"/>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shd w:val="clear" w:color="auto" w:fill="FFFFFF"/>
                      <w:lang w:val="en-US" w:eastAsia="zh-CN" w:bidi="ar-SA"/>
                      <w14:textFill>
                        <w14:solidFill>
                          <w14:schemeClr w14:val="tx1"/>
                        </w14:solidFill>
                      </w14:textFill>
                    </w:rPr>
                    <w:t>产品污染物浓度限值</w:t>
                  </w:r>
                </w:p>
              </w:tc>
              <w:tc>
                <w:tcPr>
                  <w:tcW w:w="2055" w:type="pct"/>
                  <w:shd w:val="clear" w:color="auto" w:fill="auto"/>
                  <w:noWrap/>
                  <w:tcMar>
                    <w:top w:w="0" w:type="dxa"/>
                    <w:bottom w:w="0" w:type="dxa"/>
                  </w:tcMar>
                  <w:vAlign w:val="center"/>
                </w:tcPr>
                <w:p w14:paraId="208D2D5A">
                  <w:pPr>
                    <w:adjustRightInd w:val="0"/>
                    <w:snapToGrid w:val="0"/>
                    <w:spacing w:line="280" w:lineRule="exact"/>
                    <w:ind w:left="-105" w:leftChars="-50" w:right="-105" w:rightChars="-50"/>
                    <w:jc w:val="left"/>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总镉&lt;2.0mgkg，总汞&lt;0.5mg/kg，总铅&lt;30mg/kg，总铬&lt;100mg/kg，总砷&lt;7.5mgkg，总镍&lt;20mg/kg，总锌&lt;400mg/kg，总铜&lt;150mg/kg。</w:t>
                  </w:r>
                </w:p>
              </w:tc>
              <w:tc>
                <w:tcPr>
                  <w:tcW w:w="1582" w:type="pct"/>
                  <w:shd w:val="clear" w:color="auto" w:fill="auto"/>
                  <w:noWrap/>
                  <w:tcMar>
                    <w:top w:w="0" w:type="dxa"/>
                    <w:bottom w:w="0" w:type="dxa"/>
                  </w:tcMar>
                  <w:vAlign w:val="center"/>
                </w:tcPr>
                <w:p w14:paraId="1F2DD460">
                  <w:pPr>
                    <w:adjustRightInd w:val="0"/>
                    <w:snapToGrid w:val="0"/>
                    <w:spacing w:line="280" w:lineRule="exact"/>
                    <w:ind w:left="-105" w:leftChars="-50" w:right="-105" w:rightChars="-5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本项目产品相应污染物未超过对应浓度限值要求</w:t>
                  </w:r>
                </w:p>
              </w:tc>
              <w:tc>
                <w:tcPr>
                  <w:tcW w:w="315" w:type="pct"/>
                  <w:shd w:val="clear" w:color="auto" w:fill="auto"/>
                  <w:noWrap/>
                  <w:tcMar>
                    <w:top w:w="0" w:type="dxa"/>
                    <w:bottom w:w="0" w:type="dxa"/>
                  </w:tcMar>
                  <w:vAlign w:val="center"/>
                </w:tcPr>
                <w:p w14:paraId="7CEA7B6A">
                  <w:pPr>
                    <w:adjustRightInd w:val="0"/>
                    <w:snapToGrid w:val="0"/>
                    <w:spacing w:line="280" w:lineRule="exact"/>
                    <w:ind w:left="-105" w:leftChars="-50" w:right="-105" w:rightChars="-5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符合</w:t>
                  </w:r>
                </w:p>
              </w:tc>
            </w:tr>
          </w:tbl>
          <w:p w14:paraId="44AABE26">
            <w:pPr>
              <w:autoSpaceDE w:val="0"/>
              <w:autoSpaceDN w:val="0"/>
              <w:adjustRightInd w:val="0"/>
              <w:snapToGrid w:val="0"/>
              <w:spacing w:line="480" w:lineRule="exact"/>
              <w:jc w:val="left"/>
              <w:rPr>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lang w:val="en-US" w:eastAsia="zh-CN"/>
                <w14:textFill>
                  <w14:solidFill>
                    <w14:schemeClr w14:val="tx1"/>
                  </w14:solidFill>
                </w14:textFill>
              </w:rPr>
              <w:t>6</w:t>
            </w:r>
            <w:r>
              <w:rPr>
                <w:rFonts w:hint="eastAsia"/>
                <w:b/>
                <w:bCs/>
                <w:color w:val="000000" w:themeColor="text1"/>
                <w:kern w:val="0"/>
                <w:sz w:val="24"/>
                <w:highlight w:val="none"/>
                <w14:textFill>
                  <w14:solidFill>
                    <w14:schemeClr w14:val="tx1"/>
                  </w14:solidFill>
                </w14:textFill>
              </w:rPr>
              <w:t>、</w:t>
            </w:r>
            <w:r>
              <w:rPr>
                <w:b/>
                <w:bCs/>
                <w:color w:val="000000" w:themeColor="text1"/>
                <w:kern w:val="0"/>
                <w:sz w:val="24"/>
                <w:highlight w:val="none"/>
                <w14:textFill>
                  <w14:solidFill>
                    <w14:schemeClr w14:val="tx1"/>
                  </w14:solidFill>
                </w14:textFill>
              </w:rPr>
              <w:t>项目与其他相关文件符合性分析</w:t>
            </w:r>
          </w:p>
          <w:p w14:paraId="7D664F32">
            <w:pPr>
              <w:pStyle w:val="52"/>
              <w:spacing w:line="480" w:lineRule="exact"/>
              <w:ind w:firstLine="480"/>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项目与工业固废利用、污泥处置</w:t>
            </w:r>
            <w:r>
              <w:rPr>
                <w:rFonts w:hint="eastAsia"/>
                <w:bCs/>
                <w:color w:val="000000" w:themeColor="text1"/>
                <w:kern w:val="0"/>
                <w:sz w:val="24"/>
                <w:highlight w:val="none"/>
                <w:lang w:val="en-US" w:eastAsia="zh-CN"/>
                <w14:textFill>
                  <w14:solidFill>
                    <w14:schemeClr w14:val="tx1"/>
                  </w14:solidFill>
                </w14:textFill>
              </w:rPr>
              <w:t>等</w:t>
            </w:r>
            <w:r>
              <w:rPr>
                <w:rFonts w:hint="eastAsia"/>
                <w:bCs/>
                <w:color w:val="000000" w:themeColor="text1"/>
                <w:kern w:val="0"/>
                <w:sz w:val="24"/>
                <w:highlight w:val="none"/>
                <w14:textFill>
                  <w14:solidFill>
                    <w14:schemeClr w14:val="tx1"/>
                  </w14:solidFill>
                </w14:textFill>
              </w:rPr>
              <w:t>环保政策符合性分析一览表见表1-</w:t>
            </w:r>
            <w:r>
              <w:rPr>
                <w:rFonts w:hint="eastAsia"/>
                <w:bCs/>
                <w:color w:val="000000" w:themeColor="text1"/>
                <w:kern w:val="0"/>
                <w:sz w:val="24"/>
                <w:highlight w:val="none"/>
                <w:lang w:val="en-US" w:eastAsia="zh-CN"/>
                <w14:textFill>
                  <w14:solidFill>
                    <w14:schemeClr w14:val="tx1"/>
                  </w14:solidFill>
                </w14:textFill>
              </w:rPr>
              <w:t>6</w:t>
            </w:r>
            <w:r>
              <w:rPr>
                <w:rFonts w:hint="eastAsia"/>
                <w:bCs/>
                <w:color w:val="000000" w:themeColor="text1"/>
                <w:kern w:val="0"/>
                <w:sz w:val="24"/>
                <w:highlight w:val="none"/>
                <w14:textFill>
                  <w14:solidFill>
                    <w14:schemeClr w14:val="tx1"/>
                  </w14:solidFill>
                </w14:textFill>
              </w:rPr>
              <w:t>。</w:t>
            </w:r>
          </w:p>
          <w:p w14:paraId="79352015">
            <w:pPr>
              <w:pStyle w:val="10"/>
              <w:spacing w:line="480" w:lineRule="exact"/>
              <w:ind w:left="0" w:leftChars="0" w:right="0" w:rightChars="0" w:firstLine="940" w:firstLineChars="392"/>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1-</w:t>
            </w:r>
            <w:r>
              <w:rPr>
                <w:rFonts w:hint="eastAsia" w:ascii="黑体" w:hAnsi="黑体" w:eastAsia="黑体"/>
                <w:bCs/>
                <w:color w:val="000000" w:themeColor="text1"/>
                <w:sz w:val="24"/>
                <w:highlight w:val="none"/>
                <w:lang w:val="en-US" w:eastAsia="zh-CN"/>
                <w14:textFill>
                  <w14:solidFill>
                    <w14:schemeClr w14:val="tx1"/>
                  </w14:solidFill>
                </w14:textFill>
              </w:rPr>
              <w:t>6</w:t>
            </w:r>
            <w:r>
              <w:rPr>
                <w:rFonts w:ascii="黑体" w:hAnsi="黑体" w:eastAsia="黑体"/>
                <w:bCs/>
                <w:color w:val="000000" w:themeColor="text1"/>
                <w:sz w:val="24"/>
                <w:highlight w:val="none"/>
                <w14:textFill>
                  <w14:solidFill>
                    <w14:schemeClr w14:val="tx1"/>
                  </w14:solidFill>
                </w14:textFill>
              </w:rPr>
              <w:t xml:space="preserve">   项目与</w:t>
            </w:r>
            <w:r>
              <w:rPr>
                <w:rFonts w:hint="eastAsia" w:ascii="黑体" w:hAnsi="黑体" w:eastAsia="黑体"/>
                <w:bCs/>
                <w:color w:val="000000" w:themeColor="text1"/>
                <w:sz w:val="24"/>
                <w:highlight w:val="none"/>
                <w14:textFill>
                  <w14:solidFill>
                    <w14:schemeClr w14:val="tx1"/>
                  </w14:solidFill>
                </w14:textFill>
              </w:rPr>
              <w:t>工业固废利用、污泥处置</w:t>
            </w:r>
            <w:r>
              <w:rPr>
                <w:rFonts w:hint="eastAsia" w:ascii="黑体" w:hAnsi="黑体" w:eastAsia="黑体"/>
                <w:bCs/>
                <w:color w:val="000000" w:themeColor="text1"/>
                <w:sz w:val="24"/>
                <w:highlight w:val="none"/>
                <w:lang w:val="en-US" w:eastAsia="zh-CN"/>
                <w14:textFill>
                  <w14:solidFill>
                    <w14:schemeClr w14:val="tx1"/>
                  </w14:solidFill>
                </w14:textFill>
              </w:rPr>
              <w:t>等</w:t>
            </w:r>
            <w:r>
              <w:rPr>
                <w:rFonts w:hint="eastAsia" w:ascii="黑体" w:hAnsi="黑体" w:eastAsia="黑体"/>
                <w:bCs/>
                <w:color w:val="000000" w:themeColor="text1"/>
                <w:sz w:val="24"/>
                <w:highlight w:val="none"/>
                <w14:textFill>
                  <w14:solidFill>
                    <w14:schemeClr w14:val="tx1"/>
                  </w14:solidFill>
                </w14:textFill>
              </w:rPr>
              <w:t>环保政策</w:t>
            </w:r>
            <w:r>
              <w:rPr>
                <w:rFonts w:ascii="黑体" w:hAnsi="黑体" w:eastAsia="黑体"/>
                <w:bCs/>
                <w:color w:val="000000" w:themeColor="text1"/>
                <w:sz w:val="24"/>
                <w:highlight w:val="none"/>
                <w14:textFill>
                  <w14:solidFill>
                    <w14:schemeClr w14:val="tx1"/>
                  </w14:solidFill>
                </w14:textFill>
              </w:rPr>
              <w:t>符合性</w:t>
            </w:r>
            <w:r>
              <w:rPr>
                <w:rFonts w:hint="eastAsia" w:ascii="黑体" w:hAnsi="黑体" w:eastAsia="黑体"/>
                <w:bCs/>
                <w:color w:val="000000" w:themeColor="text1"/>
                <w:sz w:val="24"/>
                <w:highlight w:val="none"/>
                <w14:textFill>
                  <w14:solidFill>
                    <w14:schemeClr w14:val="tx1"/>
                  </w14:solidFill>
                </w14:textFill>
              </w:rPr>
              <w:t>分析</w:t>
            </w:r>
            <w:r>
              <w:rPr>
                <w:rFonts w:ascii="黑体" w:hAnsi="黑体" w:eastAsia="黑体"/>
                <w:bCs/>
                <w:color w:val="000000" w:themeColor="text1"/>
                <w:sz w:val="24"/>
                <w:highlight w:val="none"/>
                <w14:textFill>
                  <w14:solidFill>
                    <w14:schemeClr w14:val="tx1"/>
                  </w14:solidFill>
                </w14:textFill>
              </w:rPr>
              <w:t>一览表</w:t>
            </w:r>
          </w:p>
          <w:tbl>
            <w:tblPr>
              <w:tblStyle w:val="24"/>
              <w:tblW w:w="896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21"/>
              <w:gridCol w:w="3683"/>
              <w:gridCol w:w="2835"/>
              <w:gridCol w:w="566"/>
            </w:tblGrid>
            <w:tr w14:paraId="5B80D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688BDA6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737" w:type="pct"/>
                  <w:noWrap/>
                  <w:tcMar>
                    <w:top w:w="0" w:type="dxa"/>
                    <w:bottom w:w="0" w:type="dxa"/>
                  </w:tcMar>
                  <w:vAlign w:val="center"/>
                </w:tcPr>
                <w:p w14:paraId="6672756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2055" w:type="pct"/>
                  <w:noWrap/>
                  <w:tcMar>
                    <w:top w:w="0" w:type="dxa"/>
                    <w:bottom w:w="0" w:type="dxa"/>
                  </w:tcMar>
                  <w:vAlign w:val="center"/>
                </w:tcPr>
                <w:p w14:paraId="6A308FF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文件要求</w:t>
                  </w:r>
                </w:p>
              </w:tc>
              <w:tc>
                <w:tcPr>
                  <w:tcW w:w="1582" w:type="pct"/>
                  <w:noWrap/>
                  <w:tcMar>
                    <w:top w:w="0" w:type="dxa"/>
                    <w:bottom w:w="0" w:type="dxa"/>
                  </w:tcMar>
                  <w:vAlign w:val="center"/>
                </w:tcPr>
                <w:p w14:paraId="0971A20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本项目情况</w:t>
                  </w:r>
                </w:p>
              </w:tc>
              <w:tc>
                <w:tcPr>
                  <w:tcW w:w="316" w:type="pct"/>
                  <w:noWrap/>
                  <w:tcMar>
                    <w:top w:w="0" w:type="dxa"/>
                    <w:bottom w:w="0" w:type="dxa"/>
                  </w:tcMar>
                  <w:vAlign w:val="center"/>
                </w:tcPr>
                <w:p w14:paraId="61AAF6A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符合性</w:t>
                  </w:r>
                </w:p>
              </w:tc>
            </w:tr>
            <w:tr w14:paraId="37DEB7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4C445C5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737" w:type="pct"/>
                  <w:noWrap/>
                  <w:tcMar>
                    <w:top w:w="0" w:type="dxa"/>
                    <w:bottom w:w="0" w:type="dxa"/>
                  </w:tcMar>
                  <w:vAlign w:val="center"/>
                </w:tcPr>
                <w:p w14:paraId="6C33DBA2">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关于“十四五”大宗固体废弃物综合利用的指导意见发改环资〔2021〕381号</w:t>
                  </w:r>
                </w:p>
              </w:tc>
              <w:tc>
                <w:tcPr>
                  <w:tcW w:w="2055" w:type="pct"/>
                  <w:noWrap/>
                  <w:tcMar>
                    <w:top w:w="0" w:type="dxa"/>
                    <w:bottom w:w="0" w:type="dxa"/>
                  </w:tcMar>
                  <w:vAlign w:val="center"/>
                </w:tcPr>
                <w:p w14:paraId="33698161">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1.持续提高煤矸石和粉煤灰综合利用水平，有序引导利用煤矸石、粉煤灰生产新型墙体材料、装饰装修材料等绿色建材</w:t>
                  </w:r>
                  <w:r>
                    <w:rPr>
                      <w:rFonts w:hint="eastAsia"/>
                      <w:color w:val="000000" w:themeColor="text1"/>
                      <w:szCs w:val="21"/>
                      <w:highlight w:val="none"/>
                      <w14:textFill>
                        <w14:solidFill>
                          <w14:schemeClr w14:val="tx1"/>
                        </w14:solidFill>
                      </w14:textFill>
                    </w:rPr>
                    <w:t>。</w:t>
                  </w:r>
                </w:p>
                <w:p w14:paraId="24318564">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2.鼓励多产业协同利用，推进大宗固废综合利用产业与上游煤电、钢铁、有色、化工等产业协同发展，与下游建筑、建材、市政、交通、环境治理等产品应用领域深度融合，打通部门间、行业间堵点和痛点。</w:t>
                  </w:r>
                </w:p>
              </w:tc>
              <w:tc>
                <w:tcPr>
                  <w:tcW w:w="1582" w:type="pct"/>
                  <w:noWrap/>
                  <w:tcMar>
                    <w:top w:w="0" w:type="dxa"/>
                    <w:bottom w:w="0" w:type="dxa"/>
                  </w:tcMar>
                  <w:vAlign w:val="center"/>
                </w:tcPr>
                <w:p w14:paraId="116E175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项目利用煤矸石、页岩及污泥、炉渣、干排淤泥等一般工业固体废物生产烧结砖，产品为普通页岩砖和多孔页岩砖</w:t>
                  </w:r>
                  <w:r>
                    <w:rPr>
                      <w:color w:val="000000" w:themeColor="text1"/>
                      <w:szCs w:val="21"/>
                      <w:highlight w:val="none"/>
                      <w14:textFill>
                        <w14:solidFill>
                          <w14:schemeClr w14:val="tx1"/>
                        </w14:solidFill>
                      </w14:textFill>
                    </w:rPr>
                    <w:t>，充分实现了固废综合利用产业与建材、环境治理等产业协同利用</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755631D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23694A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49B72EA2">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737" w:type="pct"/>
                  <w:noWrap/>
                  <w:tcMar>
                    <w:top w:w="0" w:type="dxa"/>
                    <w:bottom w:w="0" w:type="dxa"/>
                  </w:tcMar>
                  <w:vAlign w:val="center"/>
                </w:tcPr>
                <w:p w14:paraId="4C9AC20A">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关于印发《“十四五”循环经济发展规划的通知（发改环资[2021]969号）</w:t>
                  </w:r>
                </w:p>
              </w:tc>
              <w:tc>
                <w:tcPr>
                  <w:tcW w:w="2055" w:type="pct"/>
                  <w:noWrap/>
                  <w:tcMar>
                    <w:top w:w="0" w:type="dxa"/>
                    <w:bottom w:w="0" w:type="dxa"/>
                  </w:tcMar>
                  <w:vAlign w:val="center"/>
                </w:tcPr>
                <w:p w14:paraId="5054657A">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加强资源综合利用，进一步拓宽粉煤灰、煤矸石、冶金渣、工业副产石膏、建筑垃圾等大宗固废综合利用渠道，扩大在生态修复、绿色开采、绿色建材、交通工程等领域的利用规模。</w:t>
                  </w:r>
                </w:p>
              </w:tc>
              <w:tc>
                <w:tcPr>
                  <w:tcW w:w="1582" w:type="pct"/>
                  <w:noWrap/>
                  <w:tcMar>
                    <w:top w:w="0" w:type="dxa"/>
                    <w:bottom w:w="0" w:type="dxa"/>
                  </w:tcMar>
                  <w:vAlign w:val="center"/>
                </w:tcPr>
                <w:p w14:paraId="184B9CE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5C9527B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2EED75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0150CA6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737" w:type="pct"/>
                  <w:noWrap/>
                  <w:tcMar>
                    <w:top w:w="0" w:type="dxa"/>
                    <w:bottom w:w="0" w:type="dxa"/>
                  </w:tcMar>
                  <w:vAlign w:val="center"/>
                </w:tcPr>
                <w:p w14:paraId="2A4B793E">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14:textFill>
                        <w14:solidFill>
                          <w14:schemeClr w14:val="tx1"/>
                        </w14:solidFill>
                      </w14:textFill>
                    </w:rPr>
                    <w:t>关于印发《河北省“十四五”循环经济发展规划》的通知（冀发改环资[2021]1160号）</w:t>
                  </w:r>
                </w:p>
              </w:tc>
              <w:tc>
                <w:tcPr>
                  <w:tcW w:w="2055" w:type="pct"/>
                  <w:noWrap/>
                  <w:tcMar>
                    <w:top w:w="0" w:type="dxa"/>
                    <w:bottom w:w="0" w:type="dxa"/>
                  </w:tcMar>
                  <w:vAlign w:val="center"/>
                </w:tcPr>
                <w:p w14:paraId="7A812E4A">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加强资源综合利用，进一步提高粉煤灰、煤矸石、冶金渣、工业副产石膏、建筑垃圾等大宗固废综合利用水平，扩大在生态修复、绿色开采、绿色建材、交通工程等领域的利用规模。</w:t>
                  </w:r>
                </w:p>
              </w:tc>
              <w:tc>
                <w:tcPr>
                  <w:tcW w:w="1582" w:type="pct"/>
                  <w:noWrap/>
                  <w:tcMar>
                    <w:top w:w="0" w:type="dxa"/>
                    <w:bottom w:w="0" w:type="dxa"/>
                  </w:tcMar>
                  <w:vAlign w:val="center"/>
                </w:tcPr>
                <w:p w14:paraId="0C02E8A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3A0A44D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7EFEA2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2CE8AB6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737" w:type="pct"/>
                  <w:noWrap/>
                  <w:tcMar>
                    <w:top w:w="0" w:type="dxa"/>
                    <w:bottom w:w="0" w:type="dxa"/>
                  </w:tcMar>
                  <w:vAlign w:val="center"/>
                </w:tcPr>
                <w:p w14:paraId="2CCA6F5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关于印发《“十四五”时期“无废城市”建设工作方案》的通知（环固体[2021]114号）</w:t>
                  </w:r>
                </w:p>
              </w:tc>
              <w:tc>
                <w:tcPr>
                  <w:tcW w:w="2055" w:type="pct"/>
                  <w:noWrap/>
                  <w:tcMar>
                    <w:top w:w="0" w:type="dxa"/>
                    <w:bottom w:w="0" w:type="dxa"/>
                  </w:tcMar>
                  <w:vAlign w:val="center"/>
                </w:tcPr>
                <w:p w14:paraId="22A730F2">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快工业绿色低碳发展，降低工业固体废物处置压力，以“三线一单”为抓手，严控高耗能、高排放项目盲目发展，大力发展绿色低碳产业，推行产品绿色设计，构建绿色供应链，实现源头减量。结合工业领域减污降碳要求，加快探索钢铁、有色、化工、建材等重点行业工业固体废物减量化路径，全面推行清洁生产。</w:t>
                  </w:r>
                </w:p>
              </w:tc>
              <w:tc>
                <w:tcPr>
                  <w:tcW w:w="1582" w:type="pct"/>
                  <w:noWrap/>
                  <w:tcMar>
                    <w:top w:w="0" w:type="dxa"/>
                    <w:bottom w:w="0" w:type="dxa"/>
                  </w:tcMar>
                  <w:vAlign w:val="center"/>
                </w:tcPr>
                <w:p w14:paraId="06E1B70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不属于</w:t>
                  </w:r>
                  <w:r>
                    <w:rPr>
                      <w:color w:val="000000" w:themeColor="text1"/>
                      <w:szCs w:val="21"/>
                      <w:highlight w:val="none"/>
                      <w14:textFill>
                        <w14:solidFill>
                          <w14:schemeClr w14:val="tx1"/>
                        </w14:solidFill>
                      </w14:textFill>
                    </w:rPr>
                    <w:t>高耗能、高排放项目</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实现了固废综合利用</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21DDA46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052E31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679064D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737" w:type="pct"/>
                  <w:noWrap/>
                  <w:tcMar>
                    <w:top w:w="0" w:type="dxa"/>
                    <w:bottom w:w="0" w:type="dxa"/>
                  </w:tcMar>
                  <w:vAlign w:val="center"/>
                </w:tcPr>
                <w:p w14:paraId="41C6AEF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关于印发《河北省“十四五”时期“无废城市”建设工作方案的通知》（冀政办字[2022]37号）</w:t>
                  </w:r>
                </w:p>
              </w:tc>
              <w:tc>
                <w:tcPr>
                  <w:tcW w:w="2055" w:type="pct"/>
                  <w:noWrap/>
                  <w:tcMar>
                    <w:top w:w="0" w:type="dxa"/>
                    <w:bottom w:w="0" w:type="dxa"/>
                  </w:tcMar>
                  <w:vAlign w:val="center"/>
                </w:tcPr>
                <w:p w14:paraId="3BF3EE15">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促进大宗工业固体废物综合利用。开展存量大宗工业固体废物排查整治，推进尾矿、粉煤灰、煤矸石、冶炼渣、工业副产石膏、化工废渣等在有价组分提取、建材生产、生态修复等领域的规模化利用。</w:t>
                  </w:r>
                </w:p>
                <w:p w14:paraId="0BC1F924">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唐山、邯郸市依托国家大宗固体废弃物综合利用示范基地，推进钢渣、粉煤灰、煤矸石等在绿色建材、路基材料中的应用，提升工业固体废物综合利用规模。</w:t>
                  </w:r>
                </w:p>
              </w:tc>
              <w:tc>
                <w:tcPr>
                  <w:tcW w:w="1582" w:type="pct"/>
                  <w:noWrap/>
                  <w:tcMar>
                    <w:top w:w="0" w:type="dxa"/>
                    <w:bottom w:w="0" w:type="dxa"/>
                  </w:tcMar>
                  <w:vAlign w:val="center"/>
                </w:tcPr>
                <w:p w14:paraId="2F8BF03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。项目位于河北省唐山市滦县响嘡街道田疃村西北滦县翼翔新型建材有限公司院内，积极响应工业固体废物综合利用</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6ED3E9F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62870C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3516802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737" w:type="pct"/>
                  <w:noWrap/>
                  <w:tcMar>
                    <w:top w:w="0" w:type="dxa"/>
                    <w:bottom w:w="0" w:type="dxa"/>
                  </w:tcMar>
                  <w:vAlign w:val="center"/>
                </w:tcPr>
                <w:p w14:paraId="7832BF6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关于印发《唐山市“十四五”时期“无废城市”建设工作方案》的通知（唐政办字[2022]95号）</w:t>
                  </w:r>
                </w:p>
              </w:tc>
              <w:tc>
                <w:tcPr>
                  <w:tcW w:w="2055" w:type="pct"/>
                  <w:noWrap/>
                  <w:tcMar>
                    <w:top w:w="0" w:type="dxa"/>
                    <w:bottom w:w="0" w:type="dxa"/>
                  </w:tcMar>
                  <w:vAlign w:val="center"/>
                </w:tcPr>
                <w:p w14:paraId="15A095C5">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促进大宗工业固体废物综合利用。以煤矸石、粉煤灰、尾矿（共伴生矿）、冶炼渣、工业副产石膏、化工废渣等大宗工业固体废物为重点，支持大掺量、规模化、高值化利用，扩大在生态修复、绿色建材、交通工程等领域的利用规模。推动工业固体废物在厂区内、园区内、市域内协同循环利用，培育一批示范园区、企业。加快唐山市大宗固体废弃物综合利用示范基地建设，推进钢渣、尘泥等冶金固废，尾矿、废石等矿山固废在绿色建材、路基材料中的应用，提升工业固体废物综合利用率。</w:t>
                  </w:r>
                </w:p>
              </w:tc>
              <w:tc>
                <w:tcPr>
                  <w:tcW w:w="1582" w:type="pct"/>
                  <w:noWrap/>
                  <w:tcMar>
                    <w:top w:w="0" w:type="dxa"/>
                    <w:bottom w:w="0" w:type="dxa"/>
                  </w:tcMar>
                  <w:vAlign w:val="center"/>
                </w:tcPr>
                <w:p w14:paraId="226C01B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。项目位于河北省唐山市滦县响嘡街道田疃村西北滦县翼翔新型建材有限公司院内，积极响应工业固体废物综合利用</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4BD963D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6731F5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0AE8711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737" w:type="pct"/>
                  <w:noWrap/>
                  <w:tcMar>
                    <w:top w:w="0" w:type="dxa"/>
                    <w:bottom w:w="0" w:type="dxa"/>
                  </w:tcMar>
                  <w:vAlign w:val="center"/>
                </w:tcPr>
                <w:p w14:paraId="231A982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四部门《关于印发建材行业碳达峰实施方案的通知》</w:t>
                  </w:r>
                  <w:r>
                    <w:rPr>
                      <w:color w:val="000000" w:themeColor="text1"/>
                      <w:szCs w:val="21"/>
                      <w:highlight w:val="none"/>
                      <w14:textFill>
                        <w14:solidFill>
                          <w14:schemeClr w14:val="tx1"/>
                        </w14:solidFill>
                      </w14:textFill>
                    </w:rPr>
                    <w:t>工信部联原〔2022〕149号</w:t>
                  </w:r>
                </w:p>
              </w:tc>
              <w:tc>
                <w:tcPr>
                  <w:tcW w:w="2055" w:type="pct"/>
                  <w:noWrap/>
                  <w:tcMar>
                    <w:top w:w="0" w:type="dxa"/>
                    <w:bottom w:w="0" w:type="dxa"/>
                  </w:tcMar>
                  <w:vAlign w:val="center"/>
                </w:tcPr>
                <w:p w14:paraId="7438A445">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支持利用水泥窑无害化协同处置废弃物。鼓励以高炉矿渣、粉煤灰等对产品性能无害的工业固体废弃物为主要原料的超细粉生产利用，提高混合材产品质量，提升玻璃纤维、岩棉、混凝土、水泥制品、路基填充材料、新型墙体和屋面材料生产过程中固废资源利用水平。</w:t>
                  </w:r>
                </w:p>
              </w:tc>
              <w:tc>
                <w:tcPr>
                  <w:tcW w:w="1582" w:type="pct"/>
                  <w:noWrap/>
                  <w:tcMar>
                    <w:top w:w="0" w:type="dxa"/>
                    <w:bottom w:w="0" w:type="dxa"/>
                  </w:tcMar>
                  <w:vAlign w:val="center"/>
                </w:tcPr>
                <w:p w14:paraId="49EBFAE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24A4DFD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4EB923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noWrap/>
                  <w:tcMar>
                    <w:top w:w="0" w:type="dxa"/>
                    <w:left w:w="28" w:type="dxa"/>
                    <w:bottom w:w="0" w:type="dxa"/>
                    <w:right w:w="28" w:type="dxa"/>
                  </w:tcMar>
                  <w:vAlign w:val="center"/>
                </w:tcPr>
                <w:p w14:paraId="1386BC1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737" w:type="pct"/>
                  <w:noWrap/>
                  <w:tcMar>
                    <w:top w:w="0" w:type="dxa"/>
                    <w:bottom w:w="0" w:type="dxa"/>
                  </w:tcMar>
                  <w:vAlign w:val="center"/>
                </w:tcPr>
                <w:p w14:paraId="4EC93905">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《关于加快烧结砖瓦行业转型发展的若干意见》（工信部联原[2017]279号）</w:t>
                  </w:r>
                </w:p>
              </w:tc>
              <w:tc>
                <w:tcPr>
                  <w:tcW w:w="2055" w:type="pct"/>
                  <w:noWrap/>
                  <w:tcMar>
                    <w:top w:w="0" w:type="dxa"/>
                    <w:bottom w:w="0" w:type="dxa"/>
                  </w:tcMar>
                  <w:vAlign w:val="center"/>
                </w:tcPr>
                <w:p w14:paraId="5F6D3698">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鼓励利用工业固废、矿物尾渣、淤泥、污泥、农林废弃物等替代一次原燃料，支持利用建筑垃圾生产砖瓦制品，进一步扩大资源综合利用范围，提高原燃料中固废掺配比例，减少对天然资源的消耗。加大力度研发利用砖瓦烧结窑炉协同处置河湖淤泥、建筑废弃土、建筑渣土及其他废弃物的成套技术，探索利用大型烧结砖隧道窑安全处置城市污泥，提高综合处置能力和利用效率。</w:t>
                  </w:r>
                </w:p>
              </w:tc>
              <w:tc>
                <w:tcPr>
                  <w:tcW w:w="1582" w:type="pct"/>
                  <w:noWrap/>
                  <w:tcMar>
                    <w:top w:w="0" w:type="dxa"/>
                    <w:bottom w:w="0" w:type="dxa"/>
                  </w:tcMar>
                  <w:vAlign w:val="center"/>
                </w:tcPr>
                <w:p w14:paraId="0C35270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项目利用煤矸石、页岩、剥岩废料、污泥及炉渣、干排淤泥等一般工业固体废物生产页岩烧结砖</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提高了固废掺配比例。</w:t>
                  </w:r>
                  <w:r>
                    <w:rPr>
                      <w:color w:val="000000" w:themeColor="text1"/>
                      <w:szCs w:val="21"/>
                      <w:highlight w:val="none"/>
                      <w14:textFill>
                        <w14:solidFill>
                          <w14:schemeClr w14:val="tx1"/>
                        </w14:solidFill>
                      </w14:textFill>
                    </w:rPr>
                    <w:t>进一步提高综合处置能力和利用效率</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7F2BA48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6975A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restart"/>
                  <w:noWrap/>
                  <w:tcMar>
                    <w:top w:w="0" w:type="dxa"/>
                    <w:left w:w="28" w:type="dxa"/>
                    <w:bottom w:w="0" w:type="dxa"/>
                    <w:right w:w="28" w:type="dxa"/>
                  </w:tcMar>
                  <w:vAlign w:val="center"/>
                </w:tcPr>
                <w:p w14:paraId="571E6B2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w:t>
                  </w:r>
                </w:p>
              </w:tc>
              <w:tc>
                <w:tcPr>
                  <w:tcW w:w="737" w:type="pct"/>
                  <w:vMerge w:val="restart"/>
                  <w:noWrap/>
                  <w:tcMar>
                    <w:top w:w="0" w:type="dxa"/>
                    <w:bottom w:w="0" w:type="dxa"/>
                  </w:tcMar>
                  <w:vAlign w:val="center"/>
                </w:tcPr>
                <w:p w14:paraId="50C4F416">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国家发展改革委</w:t>
                  </w:r>
                  <w:r>
                    <w:rPr>
                      <w:rFonts w:hint="eastAsia"/>
                      <w:color w:val="000000" w:themeColor="text1"/>
                      <w:szCs w:val="21"/>
                      <w:highlight w:val="none"/>
                      <w:shd w:val="clear" w:color="auto" w:fill="FFFFFF"/>
                      <w14:textFill>
                        <w14:solidFill>
                          <w14:schemeClr w14:val="tx1"/>
                        </w14:solidFill>
                      </w14:textFill>
                    </w:rPr>
                    <w:t>、</w:t>
                  </w:r>
                  <w:r>
                    <w:rPr>
                      <w:color w:val="000000" w:themeColor="text1"/>
                      <w:szCs w:val="21"/>
                      <w:highlight w:val="none"/>
                      <w:shd w:val="clear" w:color="auto" w:fill="FFFFFF"/>
                      <w14:textFill>
                        <w14:solidFill>
                          <w14:schemeClr w14:val="tx1"/>
                        </w14:solidFill>
                      </w14:textFill>
                    </w:rPr>
                    <w:t>住房城乡建设部</w:t>
                  </w:r>
                  <w:r>
                    <w:rPr>
                      <w:rFonts w:hint="eastAsia"/>
                      <w:color w:val="000000" w:themeColor="text1"/>
                      <w:szCs w:val="21"/>
                      <w:highlight w:val="none"/>
                      <w:shd w:val="clear" w:color="auto" w:fill="FFFFFF"/>
                      <w14:textFill>
                        <w14:solidFill>
                          <w14:schemeClr w14:val="tx1"/>
                        </w14:solidFill>
                      </w14:textFill>
                    </w:rPr>
                    <w:t>、</w:t>
                  </w:r>
                  <w:r>
                    <w:rPr>
                      <w:color w:val="000000" w:themeColor="text1"/>
                      <w:szCs w:val="21"/>
                      <w:highlight w:val="none"/>
                      <w:shd w:val="clear" w:color="auto" w:fill="FFFFFF"/>
                      <w14:textFill>
                        <w14:solidFill>
                          <w14:schemeClr w14:val="tx1"/>
                        </w14:solidFill>
                      </w14:textFill>
                    </w:rPr>
                    <w:t>生态环境部关于印发《污泥无害化处理和资源化利用实施方案》的通知发改环资〔2022〕1453号</w:t>
                  </w:r>
                </w:p>
              </w:tc>
              <w:tc>
                <w:tcPr>
                  <w:tcW w:w="2055" w:type="pct"/>
                  <w:noWrap/>
                  <w:tcMar>
                    <w:top w:w="0" w:type="dxa"/>
                    <w:bottom w:w="0" w:type="dxa"/>
                  </w:tcMar>
                  <w:vAlign w:val="center"/>
                </w:tcPr>
                <w:p w14:paraId="53E2834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鼓励采用厌氧消化、好氧发酵、干化焚烧、土地利用、建材利用等多元化组合方式处理污泥。除焚烧处理方式外，严禁将不符合泥质控制指标要求的工业污泥与城镇污水处理厂污泥混合处理。</w:t>
                  </w:r>
                </w:p>
              </w:tc>
              <w:tc>
                <w:tcPr>
                  <w:tcW w:w="1582" w:type="pct"/>
                  <w:noWrap/>
                  <w:tcMar>
                    <w:top w:w="0" w:type="dxa"/>
                    <w:bottom w:w="0" w:type="dxa"/>
                  </w:tcMar>
                  <w:vAlign w:val="center"/>
                </w:tcPr>
                <w:p w14:paraId="191E0C4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拟建项目利用砖瓦烧结窑协同处置鉴定为一般固废的污泥等一般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，利用污泥等一般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替代部分页岩。污泥等一般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成分符合相关标准要求</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1A61F7A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453B1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18FCC85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6259E1FC">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30C93C6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泥运输应当采用管道、密闭车辆和密闭驳船等方式，运输过程中采用密封、防水、防渗漏和防遗撒等措施。推行污泥转运联单跟踪制度。需要设置污泥中转站和储存设施的，应充分考虑周边人群防护距离，采取恶臭污染防治措施，依法建设运行维护。严禁偷排、随意倾倒污泥，杜绝二次污染。</w:t>
                  </w:r>
                </w:p>
              </w:tc>
              <w:tc>
                <w:tcPr>
                  <w:tcW w:w="1582" w:type="pct"/>
                  <w:noWrap/>
                  <w:tcMar>
                    <w:top w:w="0" w:type="dxa"/>
                    <w:bottom w:w="0" w:type="dxa"/>
                  </w:tcMar>
                  <w:vAlign w:val="center"/>
                </w:tcPr>
                <w:p w14:paraId="7107DD4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项目所用污泥等一般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由</w:t>
                  </w:r>
                  <w:r>
                    <w:rPr>
                      <w:rFonts w:hint="eastAsia"/>
                      <w:color w:val="000000" w:themeColor="text1"/>
                      <w:szCs w:val="21"/>
                      <w:highlight w:val="none"/>
                      <w14:textFill>
                        <w14:solidFill>
                          <w14:schemeClr w14:val="tx1"/>
                        </w14:solidFill>
                      </w14:textFill>
                    </w:rPr>
                    <w:t>汽车</w:t>
                  </w:r>
                  <w:r>
                    <w:rPr>
                      <w:color w:val="000000" w:themeColor="text1"/>
                      <w:szCs w:val="21"/>
                      <w:highlight w:val="none"/>
                      <w14:textFill>
                        <w14:solidFill>
                          <w14:schemeClr w14:val="tx1"/>
                        </w14:solidFill>
                      </w14:textFill>
                    </w:rPr>
                    <w:t>运输，</w:t>
                  </w:r>
                  <w:r>
                    <w:rPr>
                      <w:rFonts w:hint="eastAsia"/>
                      <w:color w:val="000000" w:themeColor="text1"/>
                      <w:szCs w:val="21"/>
                      <w:highlight w:val="none"/>
                      <w14:textFill>
                        <w14:solidFill>
                          <w14:schemeClr w14:val="tx1"/>
                        </w14:solidFill>
                      </w14:textFill>
                    </w:rPr>
                    <w:t>采用苫布覆盖，</w:t>
                  </w:r>
                  <w:r>
                    <w:rPr>
                      <w:color w:val="000000" w:themeColor="text1"/>
                      <w:szCs w:val="21"/>
                      <w:highlight w:val="none"/>
                      <w14:textFill>
                        <w14:solidFill>
                          <w14:schemeClr w14:val="tx1"/>
                        </w14:solidFill>
                      </w14:textFill>
                    </w:rPr>
                    <w:t>运输过程中采用密封、防水、防渗漏和防遗撒等措施，厂内</w:t>
                  </w:r>
                  <w:r>
                    <w:rPr>
                      <w:rFonts w:hint="eastAsia"/>
                      <w:color w:val="000000" w:themeColor="text1"/>
                      <w:szCs w:val="21"/>
                      <w:highlight w:val="none"/>
                      <w14:textFill>
                        <w14:solidFill>
                          <w14:schemeClr w14:val="tx1"/>
                        </w14:solidFill>
                      </w14:textFill>
                    </w:rPr>
                    <w:t>现有</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库及本次新建污泥库均采取</w:t>
                  </w:r>
                  <w:r>
                    <w:rPr>
                      <w:color w:val="000000" w:themeColor="text1"/>
                      <w:szCs w:val="21"/>
                      <w:highlight w:val="none"/>
                      <w14:textFill>
                        <w14:solidFill>
                          <w14:schemeClr w14:val="tx1"/>
                        </w14:solidFill>
                      </w14:textFill>
                    </w:rPr>
                    <w:t>封闭</w:t>
                  </w:r>
                  <w:r>
                    <w:rPr>
                      <w:rFonts w:hint="eastAsia"/>
                      <w:color w:val="000000" w:themeColor="text1"/>
                      <w:szCs w:val="21"/>
                      <w:highlight w:val="none"/>
                      <w14:textFill>
                        <w14:solidFill>
                          <w14:schemeClr w14:val="tx1"/>
                        </w14:solidFill>
                      </w14:textFill>
                    </w:rPr>
                    <w:t>、微负压</w:t>
                  </w:r>
                  <w:r>
                    <w:rPr>
                      <w:color w:val="000000" w:themeColor="text1"/>
                      <w:szCs w:val="21"/>
                      <w:highlight w:val="none"/>
                      <w14:textFill>
                        <w14:solidFill>
                          <w14:schemeClr w14:val="tx1"/>
                        </w14:solidFill>
                      </w14:textFill>
                    </w:rPr>
                    <w:t>设置，</w:t>
                  </w:r>
                  <w:r>
                    <w:rPr>
                      <w:rFonts w:hint="eastAsia"/>
                      <w:color w:val="000000" w:themeColor="text1"/>
                      <w:szCs w:val="21"/>
                      <w:highlight w:val="none"/>
                      <w14:textFill>
                        <w14:solidFill>
                          <w14:schemeClr w14:val="tx1"/>
                        </w14:solidFill>
                      </w14:textFill>
                    </w:rPr>
                    <w:t>已做好</w:t>
                  </w:r>
                  <w:r>
                    <w:rPr>
                      <w:color w:val="000000" w:themeColor="text1"/>
                      <w:szCs w:val="21"/>
                      <w:highlight w:val="none"/>
                      <w14:textFill>
                        <w14:solidFill>
                          <w14:schemeClr w14:val="tx1"/>
                        </w14:solidFill>
                      </w14:textFill>
                    </w:rPr>
                    <w:t>防腐、防渗、防遗撒、防风、防水</w:t>
                  </w:r>
                  <w:r>
                    <w:rPr>
                      <w:rFonts w:hint="eastAsia"/>
                      <w:color w:val="000000" w:themeColor="text1"/>
                      <w:szCs w:val="21"/>
                      <w:highlight w:val="none"/>
                      <w14:textFill>
                        <w14:solidFill>
                          <w14:schemeClr w14:val="tx1"/>
                        </w14:solidFill>
                      </w14:textFill>
                    </w:rPr>
                    <w:t>等措施。正常生产时，恶臭气体引至1#隧道窑经高温焙烧后，经</w:t>
                  </w:r>
                  <w:r>
                    <w:rPr>
                      <w:rFonts w:hint="eastAsia"/>
                      <w:color w:val="000000" w:themeColor="text1"/>
                      <w:szCs w:val="21"/>
                      <w:highlight w:val="none"/>
                      <w:lang w:val="en-US" w:eastAsia="zh-CN"/>
                      <w14:textFill>
                        <w14:solidFill>
                          <w14:schemeClr w14:val="tx1"/>
                        </w14:solidFill>
                      </w14:textFill>
                    </w:rPr>
                    <w:t>SNCR脱硝+</w:t>
                  </w:r>
                  <w:r>
                    <w:rPr>
                      <w:rFonts w:hint="eastAsia"/>
                      <w:color w:val="000000" w:themeColor="text1"/>
                      <w:szCs w:val="21"/>
                      <w:highlight w:val="none"/>
                      <w14:textFill>
                        <w14:solidFill>
                          <w14:schemeClr w14:val="tx1"/>
                        </w14:solidFill>
                      </w14:textFill>
                    </w:rPr>
                    <w:t>石灰-石膏法脱硫+湿式电除尘处理后经38m高排气筒排放；隧道窑停产时将恶</w:t>
                  </w:r>
                  <w:r>
                    <w:rPr>
                      <w:color w:val="000000" w:themeColor="text1"/>
                      <w:szCs w:val="21"/>
                      <w:highlight w:val="none"/>
                      <w14:textFill>
                        <w14:solidFill>
                          <w14:schemeClr w14:val="tx1"/>
                        </w14:solidFill>
                      </w14:textFill>
                    </w:rPr>
                    <w:t>臭气体</w:t>
                  </w:r>
                  <w:r>
                    <w:rPr>
                      <w:rFonts w:hint="eastAsia"/>
                      <w:color w:val="000000" w:themeColor="text1"/>
                      <w:szCs w:val="21"/>
                      <w:highlight w:val="none"/>
                      <w14:textFill>
                        <w14:solidFill>
                          <w14:schemeClr w14:val="tx1"/>
                        </w14:solidFill>
                      </w14:textFill>
                    </w:rPr>
                    <w:t>引入</w:t>
                  </w:r>
                  <w:r>
                    <w:rPr>
                      <w:color w:val="000000" w:themeColor="text1"/>
                      <w:szCs w:val="21"/>
                      <w:highlight w:val="none"/>
                      <w14:textFill>
                        <w14:solidFill>
                          <w14:schemeClr w14:val="tx1"/>
                        </w14:solidFill>
                      </w14:textFill>
                    </w:rPr>
                    <w:t>两级活性炭吸附装置处理后经</w:t>
                  </w:r>
                  <w:r>
                    <w:rPr>
                      <w:rFonts w:hint="eastAsia"/>
                      <w:color w:val="000000" w:themeColor="text1"/>
                      <w:szCs w:val="21"/>
                      <w:highlight w:val="none"/>
                      <w14:textFill>
                        <w14:solidFill>
                          <w14:schemeClr w14:val="tx1"/>
                        </w14:solidFill>
                      </w14:textFill>
                    </w:rPr>
                    <w:t>15m高</w:t>
                  </w:r>
                  <w:r>
                    <w:rPr>
                      <w:color w:val="000000" w:themeColor="text1"/>
                      <w:szCs w:val="21"/>
                      <w:highlight w:val="none"/>
                      <w14:textFill>
                        <w14:solidFill>
                          <w14:schemeClr w14:val="tx1"/>
                        </w14:solidFill>
                      </w14:textFill>
                    </w:rPr>
                    <w:t>排气筒排放</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6B42EEB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430895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restart"/>
                  <w:noWrap/>
                  <w:tcMar>
                    <w:top w:w="0" w:type="dxa"/>
                    <w:left w:w="28" w:type="dxa"/>
                    <w:bottom w:w="0" w:type="dxa"/>
                    <w:right w:w="28" w:type="dxa"/>
                  </w:tcMar>
                  <w:vAlign w:val="center"/>
                </w:tcPr>
                <w:p w14:paraId="24C74A0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737" w:type="pct"/>
                  <w:vMerge w:val="restart"/>
                  <w:noWrap/>
                  <w:tcMar>
                    <w:top w:w="0" w:type="dxa"/>
                    <w:bottom w:w="0" w:type="dxa"/>
                  </w:tcMar>
                  <w:vAlign w:val="center"/>
                </w:tcPr>
                <w:p w14:paraId="7D6F51BE">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河北省发展改革委 住房和城乡建设厅 生态环境厅关于印发《河北省污泥无害化处理和资源化利用实施方案》的通知（冀发改环资[2023]200号）</w:t>
                  </w:r>
                </w:p>
              </w:tc>
              <w:tc>
                <w:tcPr>
                  <w:tcW w:w="2055" w:type="pct"/>
                  <w:noWrap/>
                  <w:tcMar>
                    <w:top w:w="0" w:type="dxa"/>
                    <w:bottom w:w="0" w:type="dxa"/>
                  </w:tcMar>
                  <w:vAlign w:val="center"/>
                </w:tcPr>
                <w:p w14:paraId="65015F3D">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规范污泥处理方式，综合考虑本底污泥来源、产量、泥质以及当地自然地理条件、经济发展水平、现有协同处置能力等实际情况，合理选择厌氧消化、好氧发酵、干化焚烧、土地利用、建材利用等处理路径和技术路线。含重金属和难以生化降解的有毒有害有机物的污泥，应优先采用集中或协同焚烧方式处理。同时，综合考虑重污染天气应急响应等特殊情况，明确应急备用污泥处理单位，确保能够及时对污泥进行无害化处置。除焚烧处理方式外，严禁将不符合泥质控制标准要求的工业污泥和城镇生活污水处理厂污泥混合处理。</w:t>
                  </w:r>
                </w:p>
              </w:tc>
              <w:tc>
                <w:tcPr>
                  <w:tcW w:w="1582" w:type="pct"/>
                  <w:noWrap/>
                  <w:tcMar>
                    <w:top w:w="0" w:type="dxa"/>
                    <w:bottom w:w="0" w:type="dxa"/>
                  </w:tcMar>
                  <w:vAlign w:val="center"/>
                </w:tcPr>
                <w:p w14:paraId="736C5E8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拟建项目利用砖瓦烧结窑协同处置鉴定为一般固废的污泥，利用工业污泥等一般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替代部分页岩，项目所用</w:t>
                  </w:r>
                  <w:r>
                    <w:rPr>
                      <w:rFonts w:hint="eastAsia"/>
                      <w:color w:val="000000" w:themeColor="text1"/>
                      <w:szCs w:val="21"/>
                      <w:highlight w:val="none"/>
                      <w14:textFill>
                        <w14:solidFill>
                          <w14:schemeClr w14:val="tx1"/>
                        </w14:solidFill>
                      </w14:textFill>
                    </w:rPr>
                    <w:t>工业</w:t>
                  </w:r>
                  <w:r>
                    <w:rPr>
                      <w:color w:val="000000" w:themeColor="text1"/>
                      <w:szCs w:val="21"/>
                      <w:highlight w:val="none"/>
                      <w14:textFill>
                        <w14:solidFill>
                          <w14:schemeClr w14:val="tx1"/>
                        </w14:solidFill>
                      </w14:textFill>
                    </w:rPr>
                    <w:t>污泥来自唐山三友远达纤维有限公司厂区污水处理站，其主要成分为纤维素、有机质等，</w:t>
                  </w:r>
                  <w:r>
                    <w:rPr>
                      <w:rFonts w:hint="eastAsia"/>
                      <w:color w:val="000000" w:themeColor="text1"/>
                      <w:szCs w:val="21"/>
                      <w:highlight w:val="none"/>
                      <w14:textFill>
                        <w14:solidFill>
                          <w14:schemeClr w14:val="tx1"/>
                        </w14:solidFill>
                      </w14:textFill>
                    </w:rPr>
                    <w:t>生活污泥来自滦州粤海环保有限公司，主要含有机质，</w:t>
                  </w:r>
                  <w:r>
                    <w:rPr>
                      <w:color w:val="000000" w:themeColor="text1"/>
                      <w:szCs w:val="21"/>
                      <w:highlight w:val="none"/>
                      <w14:textFill>
                        <w14:solidFill>
                          <w14:schemeClr w14:val="tx1"/>
                        </w14:solidFill>
                      </w14:textFill>
                    </w:rPr>
                    <w:t>有利于污泥在隧道窑中燃烧。</w:t>
                  </w:r>
                  <w:r>
                    <w:rPr>
                      <w:rFonts w:hint="eastAsia"/>
                      <w:color w:val="000000" w:themeColor="text1"/>
                      <w:szCs w:val="21"/>
                      <w:highlight w:val="none"/>
                      <w14:textFill>
                        <w14:solidFill>
                          <w14:schemeClr w14:val="tx1"/>
                        </w14:solidFill>
                      </w14:textFill>
                    </w:rPr>
                    <w:t>符合制砖泥质要求。</w:t>
                  </w:r>
                </w:p>
              </w:tc>
              <w:tc>
                <w:tcPr>
                  <w:tcW w:w="316" w:type="pct"/>
                  <w:noWrap/>
                  <w:tcMar>
                    <w:top w:w="0" w:type="dxa"/>
                    <w:bottom w:w="0" w:type="dxa"/>
                  </w:tcMar>
                  <w:vAlign w:val="center"/>
                </w:tcPr>
                <w:p w14:paraId="25F695D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7DBE85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10" w:type="pct"/>
                  <w:vMerge w:val="continue"/>
                  <w:noWrap/>
                  <w:tcMar>
                    <w:top w:w="0" w:type="dxa"/>
                    <w:left w:w="28" w:type="dxa"/>
                    <w:bottom w:w="0" w:type="dxa"/>
                    <w:right w:w="28" w:type="dxa"/>
                  </w:tcMar>
                  <w:vAlign w:val="center"/>
                </w:tcPr>
                <w:p w14:paraId="72EAC40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3E53B30F">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2423AAF5">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鼓励推进污泥焚烧处理，充分利用我省生活垃圾焚烧处理能力全覆盖、水泥窑处理能力富余等优势，鼓励污泥与生活垃圾协同焚烧，或作为低质燃料在火力发电厂、砖瓦窑中混合焚烧，搭理推进污泥协同处置焚烧处置。污泥焚烧处置时，鼓励通过优化设计，采用高效节能设备和余热利用技术等手段，提升污泥干化水平，提高污泥热能利用效率。污染物排放不符合管控要求的污泥焚烧处置企业，要开展污染物排放改造，确保相关处置设施达标排放。</w:t>
                  </w:r>
                </w:p>
              </w:tc>
              <w:tc>
                <w:tcPr>
                  <w:tcW w:w="1582" w:type="pct"/>
                  <w:noWrap/>
                  <w:tcMar>
                    <w:top w:w="0" w:type="dxa"/>
                    <w:bottom w:w="0" w:type="dxa"/>
                  </w:tcMar>
                  <w:vAlign w:val="center"/>
                </w:tcPr>
                <w:p w14:paraId="027687D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拟建项目利用砖瓦烧结窑协同处置鉴定为一般固废的工业污泥</w:t>
                  </w:r>
                  <w:r>
                    <w:rPr>
                      <w:rFonts w:hint="eastAsia"/>
                      <w:color w:val="000000" w:themeColor="text1"/>
                      <w:szCs w:val="21"/>
                      <w:highlight w:val="none"/>
                      <w14:textFill>
                        <w14:solidFill>
                          <w14:schemeClr w14:val="tx1"/>
                        </w14:solidFill>
                      </w14:textFill>
                    </w:rPr>
                    <w:t>和生产污泥</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项目所用工业污泥</w:t>
                  </w:r>
                  <w:r>
                    <w:rPr>
                      <w:color w:val="000000" w:themeColor="text1"/>
                      <w:szCs w:val="21"/>
                      <w:highlight w:val="none"/>
                      <w14:textFill>
                        <w14:solidFill>
                          <w14:schemeClr w14:val="tx1"/>
                        </w14:solidFill>
                      </w14:textFill>
                    </w:rPr>
                    <w:t>主要成分为纤维素、有机质等，污泥含水率为62.3%，</w:t>
                  </w:r>
                  <w:r>
                    <w:rPr>
                      <w:rFonts w:hint="eastAsia"/>
                      <w:color w:val="000000" w:themeColor="text1"/>
                      <w:szCs w:val="21"/>
                      <w:highlight w:val="none"/>
                      <w14:textFill>
                        <w14:solidFill>
                          <w14:schemeClr w14:val="tx1"/>
                        </w14:solidFill>
                      </w14:textFill>
                    </w:rPr>
                    <w:t>生活污泥主要为有机质等，含水率59.5%，</w:t>
                  </w:r>
                  <w:r>
                    <w:rPr>
                      <w:color w:val="000000" w:themeColor="text1"/>
                      <w:szCs w:val="21"/>
                      <w:highlight w:val="none"/>
                      <w14:textFill>
                        <w14:solidFill>
                          <w14:schemeClr w14:val="tx1"/>
                        </w14:solidFill>
                      </w14:textFill>
                    </w:rPr>
                    <w:t>为了达到</w:t>
                  </w:r>
                  <w:r>
                    <w:rPr>
                      <w:rFonts w:hint="eastAsia"/>
                      <w:color w:val="000000" w:themeColor="text1"/>
                      <w:szCs w:val="21"/>
                      <w:highlight w:val="none"/>
                      <w14:textFill>
                        <w14:solidFill>
                          <w14:schemeClr w14:val="tx1"/>
                        </w14:solidFill>
                      </w14:textFill>
                    </w:rPr>
                    <w:t>砖坯</w:t>
                  </w:r>
                  <w:r>
                    <w:rPr>
                      <w:color w:val="000000" w:themeColor="text1"/>
                      <w:szCs w:val="21"/>
                      <w:highlight w:val="none"/>
                      <w14:textFill>
                        <w14:solidFill>
                          <w14:schemeClr w14:val="tx1"/>
                        </w14:solidFill>
                      </w14:textFill>
                    </w:rPr>
                    <w:t>成型含水率</w:t>
                  </w:r>
                  <w:r>
                    <w:rPr>
                      <w:rFonts w:hint="eastAsia"/>
                      <w:color w:val="000000" w:themeColor="text1"/>
                      <w:szCs w:val="21"/>
                      <w:highlight w:val="none"/>
                      <w14:textFill>
                        <w14:solidFill>
                          <w14:schemeClr w14:val="tx1"/>
                        </w14:solidFill>
                      </w14:textFill>
                    </w:rPr>
                    <w:t>的要求</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在运输过程中、存储过程中会有水分损耗，</w:t>
                  </w:r>
                  <w:r>
                    <w:rPr>
                      <w:color w:val="000000" w:themeColor="text1"/>
                      <w:szCs w:val="21"/>
                      <w:highlight w:val="none"/>
                      <w14:textFill>
                        <w14:solidFill>
                          <w14:schemeClr w14:val="tx1"/>
                        </w14:solidFill>
                      </w14:textFill>
                    </w:rPr>
                    <w:t>无需进行干化。隧道窑干燥室热源来源于隧道窑余热。隧道窑废气主要为颗粒物、二氧化硫、氮氧化物、氟化物、氯化氢、二噁英类、</w:t>
                  </w:r>
                  <w:r>
                    <w:rPr>
                      <w:rFonts w:hint="eastAsia"/>
                      <w:color w:val="000000" w:themeColor="text1"/>
                      <w:szCs w:val="21"/>
                      <w:highlight w:val="none"/>
                      <w14:textFill>
                        <w14:solidFill>
                          <w14:schemeClr w14:val="tx1"/>
                        </w14:solidFill>
                      </w14:textFill>
                    </w:rPr>
                    <w:t>重金属等</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烟气</w:t>
                  </w:r>
                  <w:r>
                    <w:rPr>
                      <w:color w:val="000000" w:themeColor="text1"/>
                      <w:szCs w:val="21"/>
                      <w:highlight w:val="none"/>
                      <w14:textFill>
                        <w14:solidFill>
                          <w14:schemeClr w14:val="tx1"/>
                        </w14:solidFill>
                      </w14:textFill>
                    </w:rPr>
                    <w:t>经</w:t>
                  </w:r>
                  <w:r>
                    <w:rPr>
                      <w:rFonts w:hint="eastAsia"/>
                      <w:color w:val="000000" w:themeColor="text1"/>
                      <w:szCs w:val="21"/>
                      <w:highlight w:val="none"/>
                      <w:lang w:val="en-US" w:eastAsia="zh-CN"/>
                      <w14:textFill>
                        <w14:solidFill>
                          <w14:schemeClr w14:val="tx1"/>
                        </w14:solidFill>
                      </w14:textFill>
                    </w:rPr>
                    <w:t>SNCR脱硝+</w:t>
                  </w:r>
                  <w:r>
                    <w:rPr>
                      <w:color w:val="000000" w:themeColor="text1"/>
                      <w:szCs w:val="21"/>
                      <w:highlight w:val="none"/>
                      <w14:textFill>
                        <w14:solidFill>
                          <w14:schemeClr w14:val="tx1"/>
                        </w14:solidFill>
                      </w14:textFill>
                    </w:rPr>
                    <w:t>石灰-石膏法脱硫</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湿式电除尘处理后，可达标排放</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27550D5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76F6F3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0EF2D51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129FE4A1">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107C5180">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强运输管理，加强对污泥转运的跟踪历、污泥运输要使用加装GPS装置的专用车辆，运输过程中采用密封、防水、防渗漏和防遗撒等措施，原则上应该按照规定路线行驶。需要设置污泥中转站和储存设施的，设施建设应充分考虑周边人群防护距离，安装遮雨棚、围堰、污泥渗滤液引流通道或装置，防止污泥扬散、流失和渗漏，配套建设渗滤液处理设置，设置必要的除臭、通风装置，减少对周边环境的影响，严禁在划定的贮存区域以外堆放或弃置污泥。</w:t>
                  </w:r>
                </w:p>
              </w:tc>
              <w:tc>
                <w:tcPr>
                  <w:tcW w:w="1582" w:type="pct"/>
                  <w:noWrap/>
                  <w:tcMar>
                    <w:top w:w="0" w:type="dxa"/>
                    <w:bottom w:w="0" w:type="dxa"/>
                  </w:tcMar>
                  <w:vAlign w:val="center"/>
                </w:tcPr>
                <w:p w14:paraId="2F0FDC2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严格污泥</w:t>
                  </w:r>
                  <w:r>
                    <w:rPr>
                      <w:color w:val="000000" w:themeColor="text1"/>
                      <w:szCs w:val="21"/>
                      <w:highlight w:val="none"/>
                      <w14:textFill>
                        <w14:solidFill>
                          <w14:schemeClr w14:val="tx1"/>
                        </w14:solidFill>
                      </w14:textFill>
                    </w:rPr>
                    <w:t>运输管理，运输使用加装GPS装置的专用车辆，运输过程中采用密封、防水、防渗漏和防遗撒等措施，按规定路线行驶。</w:t>
                  </w:r>
                  <w:r>
                    <w:rPr>
                      <w:rFonts w:hint="eastAsia"/>
                      <w:color w:val="000000" w:themeColor="text1"/>
                      <w:szCs w:val="21"/>
                      <w:highlight w:val="none"/>
                      <w14:textFill>
                        <w14:solidFill>
                          <w14:schemeClr w14:val="tx1"/>
                        </w14:solidFill>
                      </w14:textFill>
                    </w:rPr>
                    <w:t>随车会有企业人员进行监督，并进行驻场对污泥的利用情况进行监督。中途无需设置污泥中转站。</w:t>
                  </w:r>
                  <w:r>
                    <w:rPr>
                      <w:color w:val="000000" w:themeColor="text1"/>
                      <w:szCs w:val="21"/>
                      <w:highlight w:val="none"/>
                      <w14:textFill>
                        <w14:solidFill>
                          <w14:schemeClr w14:val="tx1"/>
                        </w14:solidFill>
                      </w14:textFill>
                    </w:rPr>
                    <w:t>厂内</w:t>
                  </w:r>
                  <w:r>
                    <w:rPr>
                      <w:rFonts w:hint="eastAsia"/>
                      <w:color w:val="000000" w:themeColor="text1"/>
                      <w:szCs w:val="21"/>
                      <w:highlight w:val="none"/>
                      <w14:textFill>
                        <w14:solidFill>
                          <w14:schemeClr w14:val="tx1"/>
                        </w14:solidFill>
                      </w14:textFill>
                    </w:rPr>
                    <w:t>现有</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库及本次新建污泥库均采取</w:t>
                  </w:r>
                  <w:r>
                    <w:rPr>
                      <w:color w:val="000000" w:themeColor="text1"/>
                      <w:szCs w:val="21"/>
                      <w:highlight w:val="none"/>
                      <w14:textFill>
                        <w14:solidFill>
                          <w14:schemeClr w14:val="tx1"/>
                        </w14:solidFill>
                      </w14:textFill>
                    </w:rPr>
                    <w:t>封闭</w:t>
                  </w:r>
                  <w:r>
                    <w:rPr>
                      <w:rFonts w:hint="eastAsia"/>
                      <w:color w:val="000000" w:themeColor="text1"/>
                      <w:szCs w:val="21"/>
                      <w:highlight w:val="none"/>
                      <w14:textFill>
                        <w14:solidFill>
                          <w14:schemeClr w14:val="tx1"/>
                        </w14:solidFill>
                      </w14:textFill>
                    </w:rPr>
                    <w:t>、微负压</w:t>
                  </w:r>
                  <w:r>
                    <w:rPr>
                      <w:color w:val="000000" w:themeColor="text1"/>
                      <w:szCs w:val="21"/>
                      <w:highlight w:val="none"/>
                      <w14:textFill>
                        <w14:solidFill>
                          <w14:schemeClr w14:val="tx1"/>
                        </w14:solidFill>
                      </w14:textFill>
                    </w:rPr>
                    <w:t>设置，</w:t>
                  </w:r>
                  <w:r>
                    <w:rPr>
                      <w:rFonts w:hint="eastAsia"/>
                      <w:color w:val="000000" w:themeColor="text1"/>
                      <w:szCs w:val="21"/>
                      <w:highlight w:val="none"/>
                      <w14:textFill>
                        <w14:solidFill>
                          <w14:schemeClr w14:val="tx1"/>
                        </w14:solidFill>
                      </w14:textFill>
                    </w:rPr>
                    <w:t>做好</w:t>
                  </w:r>
                  <w:r>
                    <w:rPr>
                      <w:color w:val="000000" w:themeColor="text1"/>
                      <w:szCs w:val="21"/>
                      <w:highlight w:val="none"/>
                      <w14:textFill>
                        <w14:solidFill>
                          <w14:schemeClr w14:val="tx1"/>
                        </w14:solidFill>
                      </w14:textFill>
                    </w:rPr>
                    <w:t>防腐、防渗、防遗撒、防风、防水</w:t>
                  </w:r>
                  <w:r>
                    <w:rPr>
                      <w:rFonts w:hint="eastAsia"/>
                      <w:color w:val="000000" w:themeColor="text1"/>
                      <w:szCs w:val="21"/>
                      <w:highlight w:val="none"/>
                      <w14:textFill>
                        <w14:solidFill>
                          <w14:schemeClr w14:val="tx1"/>
                        </w14:solidFill>
                      </w14:textFill>
                    </w:rPr>
                    <w:t>等措施。正常生产时，将恶臭气体引至</w:t>
                  </w:r>
                  <w:r>
                    <w:rPr>
                      <w:bCs/>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隧道窑高温焙烧后，经</w:t>
                  </w:r>
                  <w:r>
                    <w:rPr>
                      <w:rFonts w:hint="eastAsia"/>
                      <w:color w:val="000000" w:themeColor="text1"/>
                      <w:szCs w:val="21"/>
                      <w:highlight w:val="none"/>
                      <w:lang w:val="en-US" w:eastAsia="zh-CN"/>
                      <w14:textFill>
                        <w14:solidFill>
                          <w14:schemeClr w14:val="tx1"/>
                        </w14:solidFill>
                      </w14:textFill>
                    </w:rPr>
                    <w:t>SNCR脱硝+</w:t>
                  </w:r>
                  <w:r>
                    <w:rPr>
                      <w:rFonts w:hint="eastAsia"/>
                      <w:color w:val="000000" w:themeColor="text1"/>
                      <w:szCs w:val="21"/>
                      <w:highlight w:val="none"/>
                      <w14:textFill>
                        <w14:solidFill>
                          <w14:schemeClr w14:val="tx1"/>
                        </w14:solidFill>
                      </w14:textFill>
                    </w:rPr>
                    <w:t>石灰-石膏法脱硫+湿式电除尘处理后经38m高排气筒排放；隧道窑停产时将恶</w:t>
                  </w:r>
                  <w:r>
                    <w:rPr>
                      <w:color w:val="000000" w:themeColor="text1"/>
                      <w:szCs w:val="21"/>
                      <w:highlight w:val="none"/>
                      <w14:textFill>
                        <w14:solidFill>
                          <w14:schemeClr w14:val="tx1"/>
                        </w14:solidFill>
                      </w14:textFill>
                    </w:rPr>
                    <w:t>臭气体</w:t>
                  </w:r>
                  <w:r>
                    <w:rPr>
                      <w:rFonts w:hint="eastAsia"/>
                      <w:color w:val="000000" w:themeColor="text1"/>
                      <w:szCs w:val="21"/>
                      <w:highlight w:val="none"/>
                      <w14:textFill>
                        <w14:solidFill>
                          <w14:schemeClr w14:val="tx1"/>
                        </w14:solidFill>
                      </w14:textFill>
                    </w:rPr>
                    <w:t>引入</w:t>
                  </w:r>
                  <w:r>
                    <w:rPr>
                      <w:color w:val="000000" w:themeColor="text1"/>
                      <w:szCs w:val="21"/>
                      <w:highlight w:val="none"/>
                      <w14:textFill>
                        <w14:solidFill>
                          <w14:schemeClr w14:val="tx1"/>
                        </w14:solidFill>
                      </w14:textFill>
                    </w:rPr>
                    <w:t>两级活性炭吸附装置处理后经</w:t>
                  </w:r>
                  <w:r>
                    <w:rPr>
                      <w:rFonts w:hint="eastAsia"/>
                      <w:color w:val="000000" w:themeColor="text1"/>
                      <w:szCs w:val="21"/>
                      <w:highlight w:val="none"/>
                      <w14:textFill>
                        <w14:solidFill>
                          <w14:schemeClr w14:val="tx1"/>
                        </w14:solidFill>
                      </w14:textFill>
                    </w:rPr>
                    <w:t>15m高</w:t>
                  </w:r>
                  <w:r>
                    <w:rPr>
                      <w:color w:val="000000" w:themeColor="text1"/>
                      <w:szCs w:val="21"/>
                      <w:highlight w:val="none"/>
                      <w14:textFill>
                        <w14:solidFill>
                          <w14:schemeClr w14:val="tx1"/>
                        </w14:solidFill>
                      </w14:textFill>
                    </w:rPr>
                    <w:t>排气筒达标排放</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4D6CE4C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25236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02A1E15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2D72E183">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7D29CBC4">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强处置管理，污泥处置利用设施建设要编制建设项目环境影响报告书、报告表，利用的工艺和设备应符合相关要求，严防发生二次污染。按照环评文件及批复要求，开展工业和生活污水处理厂污泥处置利用业务，严禁超范围生产经营。综合利用污泥的企业，要严格执行环评文件中明确的污泥入厂标准，综合利用产品应符合产品用途及相关标准要求。城镇生活污水处理厂及其污泥处置单位应当依法将污泥去向、用途、用量等定期向城镇排水、生态环境部门报告，其他污泥处理企业相关情况向生态环境部门报告。</w:t>
                  </w:r>
                </w:p>
              </w:tc>
              <w:tc>
                <w:tcPr>
                  <w:tcW w:w="1582" w:type="pct"/>
                  <w:noWrap/>
                  <w:tcMar>
                    <w:top w:w="0" w:type="dxa"/>
                    <w:bottom w:w="0" w:type="dxa"/>
                  </w:tcMar>
                  <w:vAlign w:val="center"/>
                </w:tcPr>
                <w:p w14:paraId="35018AF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现有工程及本项目按要求编制报告表，工艺和设备符合要求。根据现有环评手续和资料，建设单位可处置工业及生活污泥，生产中严格执行污泥入厂标准，不得接收不符合要求的污泥。</w:t>
                  </w:r>
                  <w:r>
                    <w:rPr>
                      <w:color w:val="000000" w:themeColor="text1"/>
                      <w:szCs w:val="21"/>
                      <w:highlight w:val="none"/>
                      <w14:textFill>
                        <w14:solidFill>
                          <w14:schemeClr w14:val="tx1"/>
                        </w14:solidFill>
                      </w14:textFill>
                    </w:rPr>
                    <w:t>普通页岩砖、多孔页岩砖</w:t>
                  </w:r>
                  <w:r>
                    <w:rPr>
                      <w:rFonts w:hint="eastAsia"/>
                      <w:color w:val="000000" w:themeColor="text1"/>
                      <w:szCs w:val="21"/>
                      <w:highlight w:val="none"/>
                      <w14:textFill>
                        <w14:solidFill>
                          <w14:schemeClr w14:val="tx1"/>
                        </w14:solidFill>
                      </w14:textFill>
                    </w:rPr>
                    <w:t>产品质量</w:t>
                  </w:r>
                  <w:r>
                    <w:rPr>
                      <w:color w:val="000000" w:themeColor="text1"/>
                      <w:szCs w:val="21"/>
                      <w:highlight w:val="none"/>
                      <w14:textFill>
                        <w14:solidFill>
                          <w14:schemeClr w14:val="tx1"/>
                        </w14:solidFill>
                      </w14:textFill>
                    </w:rPr>
                    <w:t>满足《烧结普通砖》（GB/T5101-2017）、《烧结多孔砖和多孔砌块》（GB/T13544-2011）要求</w:t>
                  </w:r>
                  <w:r>
                    <w:rPr>
                      <w:rFonts w:hint="eastAsia"/>
                      <w:color w:val="000000" w:themeColor="text1"/>
                      <w:szCs w:val="21"/>
                      <w:highlight w:val="none"/>
                      <w14:textFill>
                        <w14:solidFill>
                          <w14:schemeClr w14:val="tx1"/>
                        </w14:solidFill>
                      </w14:textFill>
                    </w:rPr>
                    <w:t>，同时满足</w:t>
                  </w:r>
                  <w:r>
                    <w:rPr>
                      <w:color w:val="000000" w:themeColor="text1"/>
                      <w:szCs w:val="21"/>
                      <w:highlight w:val="none"/>
                      <w:shd w:val="clear" w:color="auto" w:fill="FFFFFF"/>
                      <w14:textFill>
                        <w14:solidFill>
                          <w14:schemeClr w14:val="tx1"/>
                        </w14:solidFill>
                      </w14:textFill>
                    </w:rPr>
                    <w:t>《固体废物再生利用污染防治技术导则》（HJ1090-2020）</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4D41768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0D19A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6B79A5D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7E41306D">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2F0BACDA">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加强监督管理，指导污泥企业及时填报管理台账，完善污泥种类、数量、流向、贮存、利用、处置等相关信息，严格台账管理。加强污泥转运、利用、处置合同管理，污泥产生企业要认真核实利用处置企业主体资格和技术能力，依法与利用处置企业签订书面合同，严禁委托无资质单位参与转运利用、处置。突出联单检查，产生、转运、处置污泥填写三方联单，三方经办人需签字确认。充分利用大数据、无人机航拍、视频监控等技术手段，以现场和非现场执法结合方式，加强污泥日常监管，严厉打击违规堆存、随意倾倒、私自处置行为。</w:t>
                  </w:r>
                </w:p>
              </w:tc>
              <w:tc>
                <w:tcPr>
                  <w:tcW w:w="1582" w:type="pct"/>
                  <w:noWrap/>
                  <w:tcMar>
                    <w:top w:w="0" w:type="dxa"/>
                    <w:bottom w:w="0" w:type="dxa"/>
                  </w:tcMar>
                  <w:vAlign w:val="center"/>
                </w:tcPr>
                <w:p w14:paraId="23FCA7B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本次环评要求严格加强监督管理，完善工业污泥等一般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管理台账等相关手续</w:t>
                  </w:r>
                  <w:r>
                    <w:rPr>
                      <w:rFonts w:hint="eastAsia"/>
                      <w:color w:val="000000" w:themeColor="text1"/>
                      <w:szCs w:val="21"/>
                      <w:highlight w:val="none"/>
                      <w14:textFill>
                        <w14:solidFill>
                          <w14:schemeClr w14:val="tx1"/>
                        </w14:solidFill>
                      </w14:textFill>
                    </w:rPr>
                    <w:t>，要求污泥产生单位安排人员对污泥流向、贮存、利用进行严格监督，严禁出现违规堆存、随意倾倒、私自处置等行为。</w:t>
                  </w:r>
                </w:p>
              </w:tc>
              <w:tc>
                <w:tcPr>
                  <w:tcW w:w="316" w:type="pct"/>
                  <w:noWrap/>
                  <w:tcMar>
                    <w:top w:w="0" w:type="dxa"/>
                    <w:bottom w:w="0" w:type="dxa"/>
                  </w:tcMar>
                  <w:vAlign w:val="center"/>
                </w:tcPr>
                <w:p w14:paraId="3DF5A38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02F7B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restart"/>
                  <w:noWrap/>
                  <w:tcMar>
                    <w:top w:w="0" w:type="dxa"/>
                    <w:left w:w="28" w:type="dxa"/>
                    <w:bottom w:w="0" w:type="dxa"/>
                    <w:right w:w="28" w:type="dxa"/>
                  </w:tcMar>
                  <w:vAlign w:val="center"/>
                </w:tcPr>
                <w:p w14:paraId="745F840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11</w:t>
                  </w:r>
                </w:p>
              </w:tc>
              <w:tc>
                <w:tcPr>
                  <w:tcW w:w="737" w:type="pct"/>
                  <w:vMerge w:val="restart"/>
                  <w:noWrap/>
                  <w:tcMar>
                    <w:top w:w="0" w:type="dxa"/>
                    <w:bottom w:w="0" w:type="dxa"/>
                  </w:tcMar>
                  <w:vAlign w:val="center"/>
                </w:tcPr>
                <w:p w14:paraId="19CD31BE">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《固体废物再生利用污染防治技术导则》（HJ1090-2020）</w:t>
                  </w:r>
                </w:p>
              </w:tc>
              <w:tc>
                <w:tcPr>
                  <w:tcW w:w="2055" w:type="pct"/>
                  <w:noWrap/>
                  <w:tcMar>
                    <w:top w:w="0" w:type="dxa"/>
                    <w:bottom w:w="0" w:type="dxa"/>
                  </w:tcMar>
                  <w:vAlign w:val="center"/>
                </w:tcPr>
                <w:p w14:paraId="1E079762">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一般规定：5.1.1进行再生利用作业前，应明确固体废物的理化特性，并采取相应的安全防护措施，以防止固体废物在清洗、破碎、中和反应等过程中引起有毒有害物质的释放。</w:t>
                  </w:r>
                </w:p>
                <w:p w14:paraId="0ED34A8A">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5.1.2具有物理化学危险特性的固体废物，应首先进行稳定化处理。</w:t>
                  </w:r>
                </w:p>
                <w:p w14:paraId="3034E868">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5.1.3应根据固体废物的特性设置必要的防扬撒、防渗漏、防腐蚀设施，配备废气处理、废水处理、噪声控制等污染防治设施，按要求对主要环境影响指标进行在线监测。</w:t>
                  </w:r>
                </w:p>
                <w:p w14:paraId="7160DEA6">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5.1.4产生粉尘和有毒有害气体的作业区应采取除尘和有毒有害气体收集措施。扬尘点应设置吸尘罩和收尘设备，有毒有害气体逸散区应设置吸附（吸收）转化装置，保证作业区粉尘、有害气体浓度满足GBZ2.1的要求。</w:t>
                  </w:r>
                </w:p>
                <w:p w14:paraId="6F85FB02">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5.1.5应采取大气污染控制措施，大气污染物排放应满足特定行业排放（控制）标准的要求。</w:t>
                  </w:r>
                </w:p>
                <w:p w14:paraId="7FD7D53A">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没有特定行业污染排放（控制）标准的，应满足GB16297的要求，特征污染物排放（控制）应满足环境影响评价要求。</w:t>
                  </w:r>
                </w:p>
                <w:p w14:paraId="78E67E56">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5.1.6应采取必要的措施防止恶臭物质扩散，周界恶臭污染物浓度应符合GB14554的要求。</w:t>
                  </w:r>
                </w:p>
                <w:p w14:paraId="71673928">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5.1.7产生的冷凝液、浓缩液、渗滤液等废液应进行有效收集后集中处理。处理后产生的废水应优先考虑循环利用；排放时应满足特定行业排放（控制）标准的要求；没有特定行业污染排放（控制）标准的，应满足GB8978的要求，特征污染物排放（控制）应满足环境影响评价要求。</w:t>
                  </w:r>
                </w:p>
                <w:p w14:paraId="2CAB854D">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5.1.8应防止噪声污染。设备运转时厂界噪声应符合GB12348的要求</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作业车间噪声应符合GBZ2.2的要求。</w:t>
                  </w:r>
                </w:p>
                <w:p w14:paraId="63C67A10">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5.1.9产生的污泥、底渣、废油类等固体废物应按照其管理属性分别处置。不能自行综合利用或处置的，应交给有相应资质和处理能力的企业进行综合利用或处置。</w:t>
                  </w:r>
                </w:p>
                <w:p w14:paraId="0D6D9F35">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5.1.10危险废物的贮存、包装、处置等应符合GB18597、HJ2042等危险废物专用标准的要求。</w:t>
                  </w:r>
                </w:p>
              </w:tc>
              <w:tc>
                <w:tcPr>
                  <w:tcW w:w="1582" w:type="pct"/>
                  <w:noWrap/>
                  <w:tcMar>
                    <w:top w:w="0" w:type="dxa"/>
                    <w:bottom w:w="0" w:type="dxa"/>
                  </w:tcMar>
                  <w:vAlign w:val="center"/>
                </w:tcPr>
                <w:p w14:paraId="1D42CE2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拟建项目所用一般</w:t>
                  </w:r>
                  <w:r>
                    <w:rPr>
                      <w:rFonts w:hint="eastAsia"/>
                      <w:color w:val="000000" w:themeColor="text1"/>
                      <w:szCs w:val="21"/>
                      <w:highlight w:val="none"/>
                      <w14:textFill>
                        <w14:solidFill>
                          <w14:schemeClr w14:val="tx1"/>
                        </w14:solidFill>
                      </w14:textFill>
                    </w:rPr>
                    <w:t>工业固废</w:t>
                  </w:r>
                  <w:r>
                    <w:rPr>
                      <w:color w:val="000000" w:themeColor="text1"/>
                      <w:szCs w:val="21"/>
                      <w:highlight w:val="none"/>
                      <w14:textFill>
                        <w14:solidFill>
                          <w14:schemeClr w14:val="tx1"/>
                        </w14:solidFill>
                      </w14:textFill>
                    </w:rPr>
                    <w:t>需经鉴定为一般固体废物，并对入厂标准做出严格的要求。进厂后</w:t>
                  </w:r>
                  <w:r>
                    <w:rPr>
                      <w:rFonts w:hint="eastAsia"/>
                      <w:color w:val="000000" w:themeColor="text1"/>
                      <w:szCs w:val="21"/>
                      <w:highlight w:val="none"/>
                      <w14:textFill>
                        <w14:solidFill>
                          <w14:schemeClr w14:val="tx1"/>
                        </w14:solidFill>
                      </w14:textFill>
                    </w:rPr>
                    <w:t>炉渣、干排淤泥等一般工业固废储存于封闭原料库内，</w:t>
                  </w:r>
                  <w:r>
                    <w:rPr>
                      <w:color w:val="000000" w:themeColor="text1"/>
                      <w:szCs w:val="21"/>
                      <w:highlight w:val="none"/>
                      <w14:textFill>
                        <w14:solidFill>
                          <w14:schemeClr w14:val="tx1"/>
                        </w14:solidFill>
                      </w14:textFill>
                    </w:rPr>
                    <w:t>工业污泥</w:t>
                  </w:r>
                  <w:r>
                    <w:rPr>
                      <w:rFonts w:hint="eastAsia"/>
                      <w:color w:val="000000" w:themeColor="text1"/>
                      <w:szCs w:val="21"/>
                      <w:highlight w:val="none"/>
                      <w14:textFill>
                        <w14:solidFill>
                          <w14:schemeClr w14:val="tx1"/>
                        </w14:solidFill>
                      </w14:textFill>
                    </w:rPr>
                    <w:t>、生活污泥</w:t>
                  </w:r>
                  <w:r>
                    <w:rPr>
                      <w:color w:val="000000" w:themeColor="text1"/>
                      <w:szCs w:val="21"/>
                      <w:highlight w:val="none"/>
                      <w14:textFill>
                        <w14:solidFill>
                          <w14:schemeClr w14:val="tx1"/>
                        </w14:solidFill>
                      </w14:textFill>
                    </w:rPr>
                    <w:t>等一般</w:t>
                  </w:r>
                  <w:r>
                    <w:rPr>
                      <w:rFonts w:hint="eastAsia"/>
                      <w:color w:val="000000" w:themeColor="text1"/>
                      <w:szCs w:val="21"/>
                      <w:highlight w:val="none"/>
                      <w14:textFill>
                        <w14:solidFill>
                          <w14:schemeClr w14:val="tx1"/>
                        </w14:solidFill>
                      </w14:textFill>
                    </w:rPr>
                    <w:t>工业固废分别储存于现有</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库及本项目新建污泥库</w:t>
                  </w:r>
                  <w:r>
                    <w:rPr>
                      <w:color w:val="000000" w:themeColor="text1"/>
                      <w:szCs w:val="21"/>
                      <w:highlight w:val="none"/>
                      <w14:textFill>
                        <w14:solidFill>
                          <w14:schemeClr w14:val="tx1"/>
                        </w14:solidFill>
                      </w14:textFill>
                    </w:rPr>
                    <w:t>，全封闭</w:t>
                  </w:r>
                  <w:r>
                    <w:rPr>
                      <w:rFonts w:hint="eastAsia"/>
                      <w:color w:val="000000" w:themeColor="text1"/>
                      <w:szCs w:val="21"/>
                      <w:highlight w:val="none"/>
                      <w14:textFill>
                        <w14:solidFill>
                          <w14:schemeClr w14:val="tx1"/>
                        </w14:solidFill>
                      </w14:textFill>
                    </w:rPr>
                    <w:t>、微负压</w:t>
                  </w:r>
                  <w:r>
                    <w:rPr>
                      <w:color w:val="000000" w:themeColor="text1"/>
                      <w:szCs w:val="21"/>
                      <w:highlight w:val="none"/>
                      <w14:textFill>
                        <w14:solidFill>
                          <w14:schemeClr w14:val="tx1"/>
                        </w14:solidFill>
                      </w14:textFill>
                    </w:rPr>
                    <w:t>设置，防扬撒、防腐防渗等措施，并配套恶臭气体污染防治措施，</w:t>
                  </w:r>
                  <w:r>
                    <w:rPr>
                      <w:rFonts w:hint="eastAsia"/>
                      <w:color w:val="000000" w:themeColor="text1"/>
                      <w:szCs w:val="21"/>
                      <w:highlight w:val="none"/>
                      <w14:textFill>
                        <w14:solidFill>
                          <w14:schemeClr w14:val="tx1"/>
                        </w14:solidFill>
                      </w14:textFill>
                    </w:rPr>
                    <w:t>正常生产时，将恶臭气体引至1#隧道窑经高温焙烧后，经</w:t>
                  </w:r>
                  <w:r>
                    <w:rPr>
                      <w:rFonts w:hint="eastAsia"/>
                      <w:color w:val="000000" w:themeColor="text1"/>
                      <w:szCs w:val="21"/>
                      <w:highlight w:val="none"/>
                      <w:lang w:val="en-US" w:eastAsia="zh-CN"/>
                      <w14:textFill>
                        <w14:solidFill>
                          <w14:schemeClr w14:val="tx1"/>
                        </w14:solidFill>
                      </w14:textFill>
                    </w:rPr>
                    <w:t>SNCR脱硝+</w:t>
                  </w:r>
                  <w:r>
                    <w:rPr>
                      <w:rFonts w:hint="eastAsia"/>
                      <w:color w:val="000000" w:themeColor="text1"/>
                      <w:szCs w:val="21"/>
                      <w:highlight w:val="none"/>
                      <w14:textFill>
                        <w14:solidFill>
                          <w14:schemeClr w14:val="tx1"/>
                        </w14:solidFill>
                      </w14:textFill>
                    </w:rPr>
                    <w:t>石灰-石膏法脱硫+湿式电除尘处理后经38m高排气筒排放；隧道窑停产时将恶</w:t>
                  </w:r>
                  <w:r>
                    <w:rPr>
                      <w:color w:val="000000" w:themeColor="text1"/>
                      <w:szCs w:val="21"/>
                      <w:highlight w:val="none"/>
                      <w14:textFill>
                        <w14:solidFill>
                          <w14:schemeClr w14:val="tx1"/>
                        </w14:solidFill>
                      </w14:textFill>
                    </w:rPr>
                    <w:t>臭气体经两级活性炭吸附装置处理后经</w:t>
                  </w:r>
                  <w:r>
                    <w:rPr>
                      <w:rFonts w:hint="eastAsia"/>
                      <w:color w:val="000000" w:themeColor="text1"/>
                      <w:szCs w:val="21"/>
                      <w:highlight w:val="none"/>
                      <w14:textFill>
                        <w14:solidFill>
                          <w14:schemeClr w14:val="tx1"/>
                        </w14:solidFill>
                      </w14:textFill>
                    </w:rPr>
                    <w:t>15m高</w:t>
                  </w:r>
                  <w:r>
                    <w:rPr>
                      <w:color w:val="000000" w:themeColor="text1"/>
                      <w:szCs w:val="21"/>
                      <w:highlight w:val="none"/>
                      <w14:textFill>
                        <w14:solidFill>
                          <w14:schemeClr w14:val="tx1"/>
                        </w14:solidFill>
                      </w14:textFill>
                    </w:rPr>
                    <w:t>排气筒达标排放；隧道窑废气中经</w:t>
                  </w:r>
                  <w:r>
                    <w:rPr>
                      <w:rFonts w:hint="eastAsia"/>
                      <w:color w:val="000000" w:themeColor="text1"/>
                      <w:szCs w:val="21"/>
                      <w:highlight w:val="none"/>
                      <w:lang w:val="en-US" w:eastAsia="zh-CN"/>
                      <w14:textFill>
                        <w14:solidFill>
                          <w14:schemeClr w14:val="tx1"/>
                        </w14:solidFill>
                      </w14:textFill>
                    </w:rPr>
                    <w:t>SNCR脱硝+</w:t>
                  </w:r>
                  <w:r>
                    <w:rPr>
                      <w:color w:val="000000" w:themeColor="text1"/>
                      <w:szCs w:val="21"/>
                      <w:highlight w:val="none"/>
                      <w14:textFill>
                        <w14:solidFill>
                          <w14:schemeClr w14:val="tx1"/>
                        </w14:solidFill>
                      </w14:textFill>
                    </w:rPr>
                    <w:t>石灰-石膏法脱硫+湿式电除尘处理后达标排放，满足相关</w:t>
                  </w:r>
                  <w:r>
                    <w:rPr>
                      <w:rFonts w:hint="eastAsia"/>
                      <w:color w:val="000000" w:themeColor="text1"/>
                      <w:szCs w:val="21"/>
                      <w:highlight w:val="none"/>
                      <w:lang w:val="en-US" w:eastAsia="zh-CN"/>
                      <w14:textFill>
                        <w14:solidFill>
                          <w14:schemeClr w14:val="tx1"/>
                        </w14:solidFill>
                      </w14:textFill>
                    </w:rPr>
                    <w:t>排放</w:t>
                  </w:r>
                  <w:r>
                    <w:rPr>
                      <w:color w:val="000000" w:themeColor="text1"/>
                      <w:szCs w:val="21"/>
                      <w:highlight w:val="none"/>
                      <w14:textFill>
                        <w14:solidFill>
                          <w14:schemeClr w14:val="tx1"/>
                        </w14:solidFill>
                      </w14:textFill>
                    </w:rPr>
                    <w:t>标准。</w:t>
                  </w:r>
                  <w:r>
                    <w:rPr>
                      <w:rFonts w:hint="eastAsia"/>
                      <w:color w:val="000000" w:themeColor="text1"/>
                      <w:szCs w:val="21"/>
                      <w:highlight w:val="none"/>
                      <w14:textFill>
                        <w14:solidFill>
                          <w14:schemeClr w14:val="tx1"/>
                        </w14:solidFill>
                      </w14:textFill>
                    </w:rPr>
                    <w:t>主要噪声源均布置在封闭生产车间内，振动设备设减振基础，根据预测，噪声厂界达标。</w:t>
                  </w:r>
                  <w:r>
                    <w:rPr>
                      <w:color w:val="000000" w:themeColor="text1"/>
                      <w:szCs w:val="21"/>
                      <w:highlight w:val="none"/>
                      <w14:textFill>
                        <w14:solidFill>
                          <w14:schemeClr w14:val="tx1"/>
                        </w14:solidFill>
                      </w14:textFill>
                    </w:rPr>
                    <w:t>拟建项目产生的固体废物经合理处置，不外排，危险废物置于危废暂存间，定期交由有资质单位进行处置</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40C2C79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006DA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1AA086A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2158BE4C">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7B27F608">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5.4破碎技术要求</w:t>
                  </w:r>
                </w:p>
                <w:p w14:paraId="79569AE1">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5.4.2固体废物破碎技术包括锤式破碎、冲击式破碎、剪切破碎、鄂式破碎、圆锥破碎、辊式破碎、球磨破碎等。</w:t>
                  </w:r>
                </w:p>
                <w:p w14:paraId="278A6CF6">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5.4.3易燃易爆或易释放挥发性毒性物质的固体废物，不应直接进行破碎处理。为防止爆燃，内部含有液体的固体废物（如废铅酸蓄电池、废溶剂桶等）在破碎处理前，应采用有效措施将液体清空，再进行破碎处理。含有不相容成分的固体废物不应进行混合破碎处理。</w:t>
                  </w:r>
                </w:p>
                <w:p w14:paraId="41A7609D">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5.4.4废塑料、废橡胶等固体废物的破碎宜采用干法破碎；铬渣、硼泥等固体废物的破碎宜采用湿法破碎。</w:t>
                  </w:r>
                </w:p>
                <w:p w14:paraId="653874B8">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5.4.5固体废物破碎处理前应对其进行预处理，以保证给料的均匀性，防止非破碎物混入，引起破碎机械的过载损坏。</w:t>
                  </w:r>
                </w:p>
                <w:p w14:paraId="1EFFD2C5">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5.4.6固体废物粉磨过程应严格控制粉尘的颗粒度、挥发性和火源等，防止发生粉尘爆炸。</w:t>
                  </w:r>
                </w:p>
              </w:tc>
              <w:tc>
                <w:tcPr>
                  <w:tcW w:w="1582" w:type="pct"/>
                  <w:noWrap/>
                  <w:tcMar>
                    <w:top w:w="0" w:type="dxa"/>
                    <w:bottom w:w="0" w:type="dxa"/>
                  </w:tcMar>
                  <w:vAlign w:val="center"/>
                </w:tcPr>
                <w:p w14:paraId="2932D9D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w:t>
                  </w:r>
                  <w:r>
                    <w:rPr>
                      <w:rFonts w:hint="eastAsia"/>
                      <w:color w:val="000000" w:themeColor="text1"/>
                      <w:szCs w:val="21"/>
                      <w:highlight w:val="none"/>
                      <w14:textFill>
                        <w14:solidFill>
                          <w14:schemeClr w14:val="tx1"/>
                        </w14:solidFill>
                      </w14:textFill>
                    </w:rPr>
                    <w:t>工业固废通过破碎、筛分处理，本次改扩建更换现有破碎车间设备，并新增1台颚式破碎机，废气处理利用</w:t>
                  </w:r>
                  <w:r>
                    <w:rPr>
                      <w:color w:val="000000" w:themeColor="text1"/>
                      <w:szCs w:val="21"/>
                      <w:highlight w:val="none"/>
                      <w14:textFill>
                        <w14:solidFill>
                          <w14:schemeClr w14:val="tx1"/>
                        </w14:solidFill>
                      </w14:textFill>
                    </w:rPr>
                    <w:t>现有脉冲布袋除尘器</w:t>
                  </w:r>
                  <w:r>
                    <w:rPr>
                      <w:rFonts w:hint="eastAsia"/>
                      <w:color w:val="000000" w:themeColor="text1"/>
                      <w:szCs w:val="21"/>
                      <w:highlight w:val="none"/>
                      <w14:textFill>
                        <w14:solidFill>
                          <w14:schemeClr w14:val="tx1"/>
                        </w14:solidFill>
                      </w14:textFill>
                    </w:rPr>
                    <w:t>，破碎、筛分等废气经</w:t>
                  </w:r>
                  <w:r>
                    <w:rPr>
                      <w:color w:val="000000" w:themeColor="text1"/>
                      <w:szCs w:val="21"/>
                      <w:highlight w:val="none"/>
                      <w14:textFill>
                        <w14:solidFill>
                          <w14:schemeClr w14:val="tx1"/>
                        </w14:solidFill>
                      </w14:textFill>
                    </w:rPr>
                    <w:t>处理后达标排放</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5C0C848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1DF35B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658AC8A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2F813BF2">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024B6F14">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6固体废物建材利用污染防治技术要求</w:t>
                  </w:r>
                </w:p>
                <w:p w14:paraId="37BB8DFC">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6.1固体废物建材利用设施应配备必要的废气处理、防止或降低噪声与粉尘处理等污染防治装置。</w:t>
                  </w:r>
                </w:p>
                <w:p w14:paraId="6DBB37DB">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6.2利用固体废物生产水泥过程及产品的污染控制应满足GB30485、HJ662与GB30760的要求。</w:t>
                  </w:r>
                </w:p>
                <w:p w14:paraId="30F98FC2">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6.3利用固体废物生产砖瓦、轻骨料、集料、玻璃、陶瓷、陶粒、路基材料等建材过程的污染控制执行相关行业污染物排放标准</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相关产品中有害物质含量参照GB30760的要求执行。</w:t>
                  </w:r>
                </w:p>
                <w:p w14:paraId="1D659BC9">
                  <w:pPr>
                    <w:adjustRightInd w:val="0"/>
                    <w:snapToGrid w:val="0"/>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6.4固体废物建材利用过程中的再生利用工艺单元的污染控制应分别满足本标准中相应再生利用工艺单元的要求。</w:t>
                  </w:r>
                </w:p>
              </w:tc>
              <w:tc>
                <w:tcPr>
                  <w:tcW w:w="1582" w:type="pct"/>
                  <w:noWrap/>
                  <w:tcMar>
                    <w:top w:w="0" w:type="dxa"/>
                    <w:bottom w:w="0" w:type="dxa"/>
                  </w:tcMar>
                  <w:vAlign w:val="center"/>
                </w:tcPr>
                <w:p w14:paraId="19619C4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拟建项目工业污泥</w:t>
                  </w:r>
                  <w:r>
                    <w:rPr>
                      <w:rFonts w:hint="eastAsia"/>
                      <w:color w:val="000000" w:themeColor="text1"/>
                      <w:szCs w:val="21"/>
                      <w:highlight w:val="none"/>
                      <w14:textFill>
                        <w14:solidFill>
                          <w14:schemeClr w14:val="tx1"/>
                        </w14:solidFill>
                      </w14:textFill>
                    </w:rPr>
                    <w:t>、生活污泥</w:t>
                  </w:r>
                  <w:r>
                    <w:rPr>
                      <w:color w:val="000000" w:themeColor="text1"/>
                      <w:szCs w:val="21"/>
                      <w:highlight w:val="none"/>
                      <w14:textFill>
                        <w14:solidFill>
                          <w14:schemeClr w14:val="tx1"/>
                        </w14:solidFill>
                      </w14:textFill>
                    </w:rPr>
                    <w:t>等一般</w:t>
                  </w:r>
                  <w:r>
                    <w:rPr>
                      <w:rFonts w:hint="eastAsia"/>
                      <w:color w:val="000000" w:themeColor="text1"/>
                      <w:szCs w:val="21"/>
                      <w:highlight w:val="none"/>
                      <w14:textFill>
                        <w14:solidFill>
                          <w14:schemeClr w14:val="tx1"/>
                        </w14:solidFill>
                      </w14:textFill>
                    </w:rPr>
                    <w:t>工业固废分别</w:t>
                  </w:r>
                  <w:r>
                    <w:rPr>
                      <w:color w:val="000000" w:themeColor="text1"/>
                      <w:szCs w:val="21"/>
                      <w:highlight w:val="none"/>
                      <w14:textFill>
                        <w14:solidFill>
                          <w14:schemeClr w14:val="tx1"/>
                        </w14:solidFill>
                      </w14:textFill>
                    </w:rPr>
                    <w:t>储存于</w:t>
                  </w:r>
                  <w:r>
                    <w:rPr>
                      <w:rFonts w:hint="eastAsia"/>
                      <w:color w:val="000000" w:themeColor="text1"/>
                      <w:szCs w:val="21"/>
                      <w:highlight w:val="none"/>
                      <w14:textFill>
                        <w14:solidFill>
                          <w14:schemeClr w14:val="tx1"/>
                        </w14:solidFill>
                      </w14:textFill>
                    </w:rPr>
                    <w:t>现有</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库和本次新建的污泥库</w:t>
                  </w:r>
                  <w:r>
                    <w:rPr>
                      <w:color w:val="000000" w:themeColor="text1"/>
                      <w:szCs w:val="21"/>
                      <w:highlight w:val="none"/>
                      <w14:textFill>
                        <w14:solidFill>
                          <w14:schemeClr w14:val="tx1"/>
                        </w14:solidFill>
                      </w14:textFill>
                    </w:rPr>
                    <w:t>内，</w:t>
                  </w:r>
                  <w:r>
                    <w:rPr>
                      <w:rFonts w:hint="eastAsia"/>
                      <w:color w:val="000000" w:themeColor="text1"/>
                      <w:szCs w:val="21"/>
                      <w:highlight w:val="none"/>
                      <w14:textFill>
                        <w14:solidFill>
                          <w14:schemeClr w14:val="tx1"/>
                        </w14:solidFill>
                      </w14:textFill>
                    </w:rPr>
                    <w:t>处于封闭、微负压状态。其他原料储存于封闭原料库内。原料</w:t>
                  </w:r>
                  <w:r>
                    <w:rPr>
                      <w:color w:val="000000" w:themeColor="text1"/>
                      <w:szCs w:val="21"/>
                      <w:highlight w:val="none"/>
                      <w14:textFill>
                        <w14:solidFill>
                          <w14:schemeClr w14:val="tx1"/>
                        </w14:solidFill>
                      </w14:textFill>
                    </w:rPr>
                    <w:t>上料、</w:t>
                  </w:r>
                  <w:r>
                    <w:rPr>
                      <w:rFonts w:hint="eastAsia"/>
                      <w:color w:val="000000" w:themeColor="text1"/>
                      <w:szCs w:val="21"/>
                      <w:highlight w:val="none"/>
                      <w14:textFill>
                        <w14:solidFill>
                          <w14:schemeClr w14:val="tx1"/>
                        </w14:solidFill>
                      </w14:textFill>
                    </w:rPr>
                    <w:t>破碎、筛分等</w:t>
                  </w:r>
                  <w:r>
                    <w:rPr>
                      <w:color w:val="000000" w:themeColor="text1"/>
                      <w:szCs w:val="21"/>
                      <w:highlight w:val="none"/>
                      <w14:textFill>
                        <w14:solidFill>
                          <w14:schemeClr w14:val="tx1"/>
                        </w14:solidFill>
                      </w14:textFill>
                    </w:rPr>
                    <w:t>工序废气经收集后</w:t>
                  </w:r>
                  <w:r>
                    <w:rPr>
                      <w:rFonts w:hint="eastAsia"/>
                      <w:color w:val="000000" w:themeColor="text1"/>
                      <w:szCs w:val="21"/>
                      <w:highlight w:val="none"/>
                      <w14:textFill>
                        <w14:solidFill>
                          <w14:schemeClr w14:val="tx1"/>
                        </w14:solidFill>
                      </w14:textFill>
                    </w:rPr>
                    <w:t>由</w:t>
                  </w:r>
                  <w:r>
                    <w:rPr>
                      <w:color w:val="000000" w:themeColor="text1"/>
                      <w:szCs w:val="21"/>
                      <w:highlight w:val="none"/>
                      <w14:textFill>
                        <w14:solidFill>
                          <w14:schemeClr w14:val="tx1"/>
                        </w14:solidFill>
                      </w14:textFill>
                    </w:rPr>
                    <w:t>脉冲布袋除尘器进行处理</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隧道窑</w:t>
                  </w:r>
                  <w:r>
                    <w:rPr>
                      <w:rFonts w:hint="eastAsia"/>
                      <w:color w:val="000000" w:themeColor="text1"/>
                      <w:szCs w:val="21"/>
                      <w:highlight w:val="none"/>
                      <w14:textFill>
                        <w14:solidFill>
                          <w14:schemeClr w14:val="tx1"/>
                        </w14:solidFill>
                      </w14:textFill>
                    </w:rPr>
                    <w:t>废气经</w:t>
                  </w:r>
                  <w:r>
                    <w:rPr>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SNCR脱硝+</w:t>
                  </w:r>
                  <w:r>
                    <w:rPr>
                      <w:color w:val="000000" w:themeColor="text1"/>
                      <w:szCs w:val="21"/>
                      <w:highlight w:val="none"/>
                      <w14:textFill>
                        <w14:solidFill>
                          <w14:schemeClr w14:val="tx1"/>
                        </w14:solidFill>
                      </w14:textFill>
                    </w:rPr>
                    <w:t>石灰-石膏</w:t>
                  </w:r>
                  <w:r>
                    <w:rPr>
                      <w:rFonts w:hint="eastAsia"/>
                      <w:color w:val="000000" w:themeColor="text1"/>
                      <w:szCs w:val="21"/>
                      <w:highlight w:val="none"/>
                      <w14:textFill>
                        <w14:solidFill>
                          <w14:schemeClr w14:val="tx1"/>
                        </w14:solidFill>
                      </w14:textFill>
                    </w:rPr>
                    <w:t>脱硫</w:t>
                  </w:r>
                  <w:r>
                    <w:rPr>
                      <w:color w:val="000000" w:themeColor="text1"/>
                      <w:szCs w:val="21"/>
                      <w:highlight w:val="none"/>
                      <w14:textFill>
                        <w14:solidFill>
                          <w14:schemeClr w14:val="tx1"/>
                        </w14:solidFill>
                      </w14:textFill>
                    </w:rPr>
                    <w:t>法+湿式电除尘”进行处理，上料、破碎、筛分、搅拌工序颗粒物、隧道窑废气中氟化物排放满足《砖瓦工业大气污染物排放标准》（GB29620-2013）及其修改单表2中有组织废气的相关要求要求，且同时满足</w:t>
                  </w:r>
                  <w:r>
                    <w:rPr>
                      <w:rFonts w:hint="eastAsia"/>
                      <w:color w:val="000000" w:themeColor="text1"/>
                      <w:szCs w:val="21"/>
                      <w:highlight w:val="none"/>
                      <w14:textFill>
                        <w14:solidFill>
                          <w14:schemeClr w14:val="tx1"/>
                        </w14:solidFill>
                      </w14:textFill>
                    </w:rPr>
                    <w:t>《唐山市生态环境局</w:t>
                  </w:r>
                  <w:r>
                    <w:rPr>
                      <w:color w:val="000000" w:themeColor="text1"/>
                      <w:szCs w:val="21"/>
                      <w:highlight w:val="none"/>
                      <w14:textFill>
                        <w14:solidFill>
                          <w14:schemeClr w14:val="tx1"/>
                        </w14:solidFill>
                      </w14:textFill>
                    </w:rPr>
                    <w:t>关于印发独立石灰窑等五个行业工业炉窑烟气达标治理工作方案的通知</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唐环气〔2019〕2号</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中对颗粒物排放浓度的限值要求。</w:t>
                  </w:r>
                  <w:r>
                    <w:rPr>
                      <w:rFonts w:hint="eastAsia"/>
                      <w:color w:val="000000" w:themeColor="text1"/>
                      <w:szCs w:val="21"/>
                      <w:highlight w:val="none"/>
                      <w14:textFill>
                        <w14:solidFill>
                          <w14:schemeClr w14:val="tx1"/>
                        </w14:solidFill>
                      </w14:textFill>
                    </w:rPr>
                    <w:t>隧道窑废气中</w:t>
                  </w:r>
                  <w:r>
                    <w:rPr>
                      <w:color w:val="000000" w:themeColor="text1"/>
                      <w:szCs w:val="21"/>
                      <w:highlight w:val="none"/>
                      <w14:textFill>
                        <w14:solidFill>
                          <w14:schemeClr w14:val="tx1"/>
                        </w14:solidFill>
                      </w14:textFill>
                    </w:rPr>
                    <w:t>颗粒物、二氧化硫、氮氧化物、氯化氢、二噁英、重金属参照执行《生活垃圾焚烧大气污染控制标准》(DB13/5325-2021)表2生活垃圾焚烧炉烟气中污染物排放限值要求</w:t>
                  </w:r>
                  <w:r>
                    <w:rPr>
                      <w:rFonts w:hint="eastAsia"/>
                      <w:color w:val="000000" w:themeColor="text1"/>
                      <w:szCs w:val="21"/>
                      <w:highlight w:val="none"/>
                      <w14:textFill>
                        <w14:solidFill>
                          <w14:schemeClr w14:val="tx1"/>
                        </w14:solidFill>
                      </w14:textFill>
                    </w:rPr>
                    <w:t>及</w:t>
                  </w:r>
                  <w:r>
                    <w:rPr>
                      <w:color w:val="000000" w:themeColor="text1"/>
                      <w:szCs w:val="21"/>
                      <w:highlight w:val="none"/>
                      <w14:textFill>
                        <w14:solidFill>
                          <w14:schemeClr w14:val="tx1"/>
                        </w14:solidFill>
                      </w14:textFill>
                    </w:rPr>
                    <w:t>唐环气〔2019〕2号</w:t>
                  </w:r>
                  <w:r>
                    <w:rPr>
                      <w:rFonts w:hint="eastAsia"/>
                      <w:color w:val="000000" w:themeColor="text1"/>
                      <w:szCs w:val="21"/>
                      <w:highlight w:val="none"/>
                      <w14:textFill>
                        <w14:solidFill>
                          <w14:schemeClr w14:val="tx1"/>
                        </w14:solidFill>
                      </w14:textFill>
                    </w:rPr>
                    <w:t>要求。成品砖中重金属及可浸出重金属含量限值执行《水泥窑协同处置固体废物技术规范》（</w:t>
                  </w:r>
                  <w:r>
                    <w:rPr>
                      <w:color w:val="000000" w:themeColor="text1"/>
                      <w:szCs w:val="21"/>
                      <w:highlight w:val="none"/>
                      <w14:textFill>
                        <w14:solidFill>
                          <w14:schemeClr w14:val="tx1"/>
                        </w14:solidFill>
                      </w14:textFill>
                    </w:rPr>
                    <w:t>GB30760</w:t>
                  </w:r>
                  <w:r>
                    <w:rPr>
                      <w:rFonts w:hint="eastAsia"/>
                      <w:color w:val="000000" w:themeColor="text1"/>
                      <w:szCs w:val="21"/>
                      <w:highlight w:val="none"/>
                      <w14:textFill>
                        <w14:solidFill>
                          <w14:schemeClr w14:val="tx1"/>
                        </w14:solidFill>
                      </w14:textFill>
                    </w:rPr>
                    <w:t>-2014）</w:t>
                  </w:r>
                  <w:r>
                    <w:rPr>
                      <w:color w:val="000000" w:themeColor="text1"/>
                      <w:szCs w:val="21"/>
                      <w:highlight w:val="none"/>
                      <w14:textFill>
                        <w14:solidFill>
                          <w14:schemeClr w14:val="tx1"/>
                        </w14:solidFill>
                      </w14:textFill>
                    </w:rPr>
                    <w:t>的要求</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3D5CFAF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6464A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restart"/>
                  <w:noWrap/>
                  <w:tcMar>
                    <w:top w:w="0" w:type="dxa"/>
                    <w:left w:w="28" w:type="dxa"/>
                    <w:bottom w:w="0" w:type="dxa"/>
                    <w:right w:w="28" w:type="dxa"/>
                  </w:tcMar>
                  <w:vAlign w:val="center"/>
                </w:tcPr>
                <w:p w14:paraId="3FCA353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w:t>
                  </w:r>
                </w:p>
              </w:tc>
              <w:tc>
                <w:tcPr>
                  <w:tcW w:w="737" w:type="pct"/>
                  <w:vMerge w:val="restart"/>
                  <w:noWrap/>
                  <w:tcMar>
                    <w:top w:w="0" w:type="dxa"/>
                    <w:bottom w:w="0" w:type="dxa"/>
                  </w:tcMar>
                  <w:vAlign w:val="center"/>
                </w:tcPr>
                <w:p w14:paraId="6CFF63CA">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color w:val="000000" w:themeColor="text1"/>
                      <w:szCs w:val="21"/>
                      <w:highlight w:val="none"/>
                      <w:shd w:val="clear" w:color="auto" w:fill="FFFFFF"/>
                      <w14:textFill>
                        <w14:solidFill>
                          <w14:schemeClr w14:val="tx1"/>
                        </w14:solidFill>
                      </w14:textFill>
                    </w:rPr>
                    <w:t>《唐山市2022年大气污染综合治理暨稳定“退后十”工作方案》（唐字〔2022〕2号）</w:t>
                  </w:r>
                </w:p>
              </w:tc>
              <w:tc>
                <w:tcPr>
                  <w:tcW w:w="2055" w:type="pct"/>
                  <w:noWrap/>
                  <w:tcMar>
                    <w:top w:w="0" w:type="dxa"/>
                    <w:bottom w:w="0" w:type="dxa"/>
                  </w:tcMar>
                  <w:vAlign w:val="center"/>
                </w:tcPr>
                <w:p w14:paraId="03C897A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强化脱硝设施运行管理。提高脱硝设施的自动化水平，采用烟气脱硝治理且手工监测污染物初始浓度的，5月底前全部改为自动监测并实现自动添加脱硝药剂。强化治理设施的运行管理，确保钢铁企业烧结（球团）、热风炉、石灰、加热炉（退火炉）、自备电厂，焦化行业焦炉，水泥窑窑尾，燃煤电厂，生活垃圾焚烧锅炉，耐火窑，石灰窑，陶瓷窑，砖瓦窑外排废气中NOx浓度均达到管控要求。</w:t>
                  </w:r>
                </w:p>
              </w:tc>
              <w:tc>
                <w:tcPr>
                  <w:tcW w:w="1582" w:type="pct"/>
                  <w:noWrap/>
                  <w:tcMar>
                    <w:top w:w="0" w:type="dxa"/>
                    <w:bottom w:w="0" w:type="dxa"/>
                  </w:tcMar>
                  <w:vAlign w:val="center"/>
                </w:tcPr>
                <w:p w14:paraId="7F9A0DC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本项目隧道窑采用</w:t>
                  </w:r>
                  <w:r>
                    <w:rPr>
                      <w:rFonts w:hint="eastAsia"/>
                      <w:color w:val="000000" w:themeColor="text1"/>
                      <w:szCs w:val="21"/>
                      <w:highlight w:val="none"/>
                      <w:lang w:val="en-US" w:eastAsia="zh-CN"/>
                      <w14:textFill>
                        <w14:solidFill>
                          <w14:schemeClr w14:val="tx1"/>
                        </w14:solidFill>
                      </w14:textFill>
                    </w:rPr>
                    <w:t>SNCR</w:t>
                  </w:r>
                  <w:r>
                    <w:rPr>
                      <w:color w:val="000000" w:themeColor="text1"/>
                      <w:szCs w:val="21"/>
                      <w:highlight w:val="none"/>
                      <w14:textFill>
                        <w14:solidFill>
                          <w14:schemeClr w14:val="tx1"/>
                        </w14:solidFill>
                      </w14:textFill>
                    </w:rPr>
                    <w:t>脱硝并进行在线监测，外排废气中NOx浓度能满足</w:t>
                  </w:r>
                  <w:r>
                    <w:rPr>
                      <w:rFonts w:hint="eastAsia"/>
                      <w:color w:val="000000" w:themeColor="text1"/>
                      <w:szCs w:val="21"/>
                      <w:highlight w:val="none"/>
                      <w:lang w:val="en-US" w:eastAsia="zh-CN"/>
                      <w14:textFill>
                        <w14:solidFill>
                          <w14:schemeClr w14:val="tx1"/>
                        </w14:solidFill>
                      </w14:textFill>
                    </w:rPr>
                    <w:t>5</w:t>
                  </w:r>
                  <w:r>
                    <w:rPr>
                      <w:color w:val="000000" w:themeColor="text1"/>
                      <w:szCs w:val="21"/>
                      <w:highlight w:val="none"/>
                      <w14:textFill>
                        <w14:solidFill>
                          <w14:schemeClr w14:val="tx1"/>
                        </w14:solidFill>
                      </w14:textFill>
                    </w:rPr>
                    <w:t>0mg/Nm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以下的要求</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3D47BA0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39DED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348EE47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49F9554C">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2C20225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强化脱硫设施运行管理。提高脱硫设施自动化水平，采用手工方式监测污染物初始浓度和PH值的，5月底前全部改为自动监测并实现自动添加脱硫药剂。</w:t>
                  </w:r>
                </w:p>
              </w:tc>
              <w:tc>
                <w:tcPr>
                  <w:tcW w:w="1582" w:type="pct"/>
                  <w:noWrap/>
                  <w:tcMar>
                    <w:top w:w="0" w:type="dxa"/>
                    <w:bottom w:w="0" w:type="dxa"/>
                  </w:tcMar>
                  <w:vAlign w:val="center"/>
                </w:tcPr>
                <w:p w14:paraId="3B0614D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项目脱硫设施采取自动加药设施，排气筒采用在线监测</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3999CED2">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04BA26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 w:type="pct"/>
                  <w:vMerge w:val="continue"/>
                  <w:noWrap/>
                  <w:tcMar>
                    <w:top w:w="0" w:type="dxa"/>
                    <w:left w:w="28" w:type="dxa"/>
                    <w:bottom w:w="0" w:type="dxa"/>
                    <w:right w:w="28" w:type="dxa"/>
                  </w:tcMar>
                  <w:vAlign w:val="center"/>
                </w:tcPr>
                <w:p w14:paraId="45C495E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09E947A7">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7B6F54E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开展砂石行业及散料堆场治理。6月底前，石砟破碎、机制砂、散状物料堆场、洗煤厂等扬尘源完成深度治理，所有散状物料全部采用封闭的料棚（料仓）储存，不得露天堆存，且料棚地面全部硬化。料棚内部采取顶部雾化喷淋、重点区域喷雾等抑尘措施，做到抑尘全覆盖。料棚主要出入口改为自动感应门，确保作业时料场处于全封闭状态。料棚出口规范设置车辆冲洗装置。厂区内禁止汽车、装载机露天装卸及倒运物料。原料上料在封闭车间内，上料口采取区域侧、顶三面密封措施并加装集气除尘设施，颗粒物排放浓度不高于10mg/N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。厂区路面硬化无破损，实现“非硬即绿”，厂区门口至交通干道之间路面全部硬化。</w:t>
                  </w:r>
                </w:p>
              </w:tc>
              <w:tc>
                <w:tcPr>
                  <w:tcW w:w="1582" w:type="pct"/>
                  <w:noWrap/>
                  <w:tcMar>
                    <w:top w:w="0" w:type="dxa"/>
                    <w:bottom w:w="0" w:type="dxa"/>
                  </w:tcMar>
                  <w:vAlign w:val="center"/>
                </w:tcPr>
                <w:p w14:paraId="3CE36D1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所有散状物料全部采用封闭原料库储存，</w:t>
                  </w:r>
                  <w:r>
                    <w:rPr>
                      <w:rFonts w:hint="eastAsia"/>
                      <w:color w:val="000000" w:themeColor="text1"/>
                      <w:szCs w:val="21"/>
                      <w:highlight w:val="none"/>
                      <w14:textFill>
                        <w14:solidFill>
                          <w14:schemeClr w14:val="tx1"/>
                        </w14:solidFill>
                      </w14:textFill>
                    </w:rPr>
                    <w:t>库房</w:t>
                  </w:r>
                  <w:r>
                    <w:rPr>
                      <w:color w:val="000000" w:themeColor="text1"/>
                      <w:szCs w:val="21"/>
                      <w:highlight w:val="none"/>
                      <w14:textFill>
                        <w14:solidFill>
                          <w14:schemeClr w14:val="tx1"/>
                        </w14:solidFill>
                      </w14:textFill>
                    </w:rPr>
                    <w:t>地面全部硬化。</w:t>
                  </w:r>
                  <w:r>
                    <w:rPr>
                      <w:rFonts w:hint="eastAsia"/>
                      <w:color w:val="000000" w:themeColor="text1"/>
                      <w:szCs w:val="21"/>
                      <w:highlight w:val="none"/>
                      <w14:textFill>
                        <w14:solidFill>
                          <w14:schemeClr w14:val="tx1"/>
                        </w14:solidFill>
                      </w14:textFill>
                    </w:rPr>
                    <w:t>库房</w:t>
                  </w:r>
                  <w:r>
                    <w:rPr>
                      <w:color w:val="000000" w:themeColor="text1"/>
                      <w:szCs w:val="21"/>
                      <w:highlight w:val="none"/>
                      <w14:textFill>
                        <w14:solidFill>
                          <w14:schemeClr w14:val="tx1"/>
                        </w14:solidFill>
                      </w14:textFill>
                    </w:rPr>
                    <w:t>内部采取顶部雾化喷淋抑尘措施，</w:t>
                  </w:r>
                  <w:r>
                    <w:rPr>
                      <w:rFonts w:hint="eastAsia"/>
                      <w:color w:val="000000" w:themeColor="text1"/>
                      <w:szCs w:val="21"/>
                      <w:highlight w:val="none"/>
                      <w14:textFill>
                        <w14:solidFill>
                          <w14:schemeClr w14:val="tx1"/>
                        </w14:solidFill>
                      </w14:textFill>
                    </w:rPr>
                    <w:t>原料库</w:t>
                  </w:r>
                  <w:r>
                    <w:rPr>
                      <w:color w:val="000000" w:themeColor="text1"/>
                      <w:szCs w:val="21"/>
                      <w:highlight w:val="none"/>
                      <w14:textFill>
                        <w14:solidFill>
                          <w14:schemeClr w14:val="tx1"/>
                        </w14:solidFill>
                      </w14:textFill>
                    </w:rPr>
                    <w:t>主要出入口为自动感应门，</w:t>
                  </w:r>
                  <w:r>
                    <w:rPr>
                      <w:rFonts w:hint="eastAsia"/>
                      <w:color w:val="000000" w:themeColor="text1"/>
                      <w:szCs w:val="21"/>
                      <w:highlight w:val="none"/>
                      <w14:textFill>
                        <w14:solidFill>
                          <w14:schemeClr w14:val="tx1"/>
                        </w14:solidFill>
                      </w14:textFill>
                    </w:rPr>
                    <w:t>原料库</w:t>
                  </w:r>
                  <w:r>
                    <w:rPr>
                      <w:color w:val="000000" w:themeColor="text1"/>
                      <w:szCs w:val="21"/>
                      <w:highlight w:val="none"/>
                      <w14:textFill>
                        <w14:solidFill>
                          <w14:schemeClr w14:val="tx1"/>
                        </w14:solidFill>
                      </w14:textFill>
                    </w:rPr>
                    <w:t>出口规范设置车辆冲洗装置，厂区内不涉及露天装卸及倒运物料，原料上料废气采用三面围挡+</w:t>
                  </w:r>
                  <w:r>
                    <w:rPr>
                      <w:rFonts w:hint="eastAsia"/>
                      <w:color w:val="000000" w:themeColor="text1"/>
                      <w:szCs w:val="21"/>
                      <w:highlight w:val="none"/>
                      <w14:textFill>
                        <w14:solidFill>
                          <w14:schemeClr w14:val="tx1"/>
                        </w14:solidFill>
                      </w14:textFill>
                    </w:rPr>
                    <w:t>喷淋经</w:t>
                  </w:r>
                  <w:r>
                    <w:rPr>
                      <w:color w:val="000000" w:themeColor="text1"/>
                      <w:szCs w:val="21"/>
                      <w:highlight w:val="none"/>
                      <w14:textFill>
                        <w14:solidFill>
                          <w14:schemeClr w14:val="tx1"/>
                        </w14:solidFill>
                      </w14:textFill>
                    </w:rPr>
                    <w:t>脉冲布袋除尘器，厂区路面硬化无破损，实现“非硬即绿”，厂区门口至交通干道之间路面全部硬化</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28F31BE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符合</w:t>
                  </w:r>
                </w:p>
              </w:tc>
            </w:tr>
            <w:tr w14:paraId="46F146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10" w:type="pct"/>
                  <w:vMerge w:val="restart"/>
                  <w:noWrap/>
                  <w:tcMar>
                    <w:top w:w="0" w:type="dxa"/>
                    <w:left w:w="28" w:type="dxa"/>
                    <w:bottom w:w="0" w:type="dxa"/>
                    <w:right w:w="28" w:type="dxa"/>
                  </w:tcMar>
                  <w:vAlign w:val="center"/>
                </w:tcPr>
                <w:p w14:paraId="068210B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13</w:t>
                  </w:r>
                </w:p>
              </w:tc>
              <w:tc>
                <w:tcPr>
                  <w:tcW w:w="737" w:type="pct"/>
                  <w:vMerge w:val="restart"/>
                  <w:noWrap/>
                  <w:tcMar>
                    <w:top w:w="0" w:type="dxa"/>
                    <w:bottom w:w="0" w:type="dxa"/>
                  </w:tcMar>
                  <w:vAlign w:val="center"/>
                </w:tcPr>
                <w:p w14:paraId="4E5BC659">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rFonts w:hint="eastAsia"/>
                      <w:color w:val="000000" w:themeColor="text1"/>
                      <w:szCs w:val="21"/>
                      <w:highlight w:val="none"/>
                      <w:shd w:val="clear" w:color="auto" w:fill="FFFFFF"/>
                      <w14:textFill>
                        <w14:solidFill>
                          <w14:schemeClr w14:val="tx1"/>
                        </w14:solidFill>
                      </w14:textFill>
                    </w:rPr>
                    <w:t>《唐山市生态环境局</w:t>
                  </w:r>
                  <w:r>
                    <w:rPr>
                      <w:color w:val="000000" w:themeColor="text1"/>
                      <w:szCs w:val="21"/>
                      <w:highlight w:val="none"/>
                      <w:shd w:val="clear" w:color="auto" w:fill="FFFFFF"/>
                      <w14:textFill>
                        <w14:solidFill>
                          <w14:schemeClr w14:val="tx1"/>
                        </w14:solidFill>
                      </w14:textFill>
                    </w:rPr>
                    <w:t>关于印发独立石灰窑等五个行业工业炉窑烟气达标治理工作方案的通知</w:t>
                  </w:r>
                  <w:r>
                    <w:rPr>
                      <w:rFonts w:hint="eastAsia"/>
                      <w:color w:val="000000" w:themeColor="text1"/>
                      <w:szCs w:val="21"/>
                      <w:highlight w:val="none"/>
                      <w:shd w:val="clear" w:color="auto" w:fill="FFFFFF"/>
                      <w14:textFill>
                        <w14:solidFill>
                          <w14:schemeClr w14:val="tx1"/>
                        </w14:solidFill>
                      </w14:textFill>
                    </w:rPr>
                    <w:t>》（</w:t>
                  </w:r>
                  <w:r>
                    <w:rPr>
                      <w:color w:val="000000" w:themeColor="text1"/>
                      <w:szCs w:val="21"/>
                      <w:highlight w:val="none"/>
                      <w:shd w:val="clear" w:color="auto" w:fill="FFFFFF"/>
                      <w14:textFill>
                        <w14:solidFill>
                          <w14:schemeClr w14:val="tx1"/>
                        </w14:solidFill>
                      </w14:textFill>
                    </w:rPr>
                    <w:t>唐环气〔2019〕2号</w:t>
                  </w:r>
                  <w:r>
                    <w:rPr>
                      <w:rFonts w:hint="eastAsia"/>
                      <w:color w:val="000000" w:themeColor="text1"/>
                      <w:szCs w:val="21"/>
                      <w:highlight w:val="none"/>
                      <w:shd w:val="clear" w:color="auto" w:fill="FFFFFF"/>
                      <w14:textFill>
                        <w14:solidFill>
                          <w14:schemeClr w14:val="tx1"/>
                        </w14:solidFill>
                      </w14:textFill>
                    </w:rPr>
                    <w:t>）附件5《唐山市砖瓦行业烟气达标治理工作方案》</w:t>
                  </w:r>
                </w:p>
              </w:tc>
              <w:tc>
                <w:tcPr>
                  <w:tcW w:w="2055" w:type="pct"/>
                  <w:noWrap/>
                  <w:tcMar>
                    <w:top w:w="0" w:type="dxa"/>
                    <w:bottom w:w="0" w:type="dxa"/>
                  </w:tcMar>
                  <w:vAlign w:val="center"/>
                </w:tcPr>
                <w:p w14:paraId="547E374C">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（一）物料存储转运污染防治</w:t>
                  </w:r>
                </w:p>
                <w:p w14:paraId="6AEC4219">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所有原料全部进入封闭的料棚，不得露天堆存。原料棚内配套全覆盖的雾炮或其他喷淋抑尘设施，料棚出口设置车辆自动冲洗装置，完善排水设施防止泥土粘带。</w:t>
                  </w:r>
                </w:p>
                <w:p w14:paraId="71353EA0">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厂区内物料运输采用封闭的皮带通廊或管状带式输送机输送，所有落料位置设置集气装置并配套除尘设施；皮带输送机受料点、卸料点应设置封闭罩，并配套除尘设施。颗粒物排放浓度不高于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p w14:paraId="78F05764">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r>
                    <w:rPr>
                      <w:rFonts w:hint="eastAsia"/>
                      <w:color w:val="000000" w:themeColor="text1"/>
                      <w:szCs w:val="21"/>
                      <w:highlight w:val="none"/>
                      <w14:textFill>
                        <w14:solidFill>
                          <w14:schemeClr w14:val="tx1"/>
                        </w14:solidFill>
                      </w14:textFill>
                    </w:rPr>
                    <w:t>厂区内禁止汽车、装载机露天装卸及倒运原料。</w:t>
                  </w:r>
                </w:p>
                <w:p w14:paraId="0644C546">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r>
                    <w:rPr>
                      <w:rFonts w:hint="eastAsia"/>
                      <w:color w:val="000000" w:themeColor="text1"/>
                      <w:szCs w:val="21"/>
                      <w:highlight w:val="none"/>
                      <w14:textFill>
                        <w14:solidFill>
                          <w14:schemeClr w14:val="tx1"/>
                        </w14:solidFill>
                      </w14:textFill>
                    </w:rPr>
                    <w:t>厂界无组织颗粒物浓度不高于</w:t>
                  </w:r>
                  <w:r>
                    <w:rPr>
                      <w:color w:val="000000" w:themeColor="text1"/>
                      <w:szCs w:val="21"/>
                      <w:highlight w:val="none"/>
                      <w14:textFill>
                        <w14:solidFill>
                          <w14:schemeClr w14:val="tx1"/>
                        </w14:solidFill>
                      </w14:textFill>
                    </w:rPr>
                    <w:t>0.5mg/Nm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1582" w:type="pct"/>
                  <w:noWrap/>
                  <w:tcMar>
                    <w:top w:w="0" w:type="dxa"/>
                    <w:bottom w:w="0" w:type="dxa"/>
                  </w:tcMar>
                  <w:vAlign w:val="center"/>
                </w:tcPr>
                <w:p w14:paraId="2588DFB2">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所有原料均在封闭的原料库内存储，不存在露天堆存情况。原料库内已设置全覆盖的喷雾抑尘设施，原料库出口已设置车辆自动冲洗装置，洗车废水沉淀后循环使用，不外排，防止泥土粘带；厂区内物料运输采用封闭的皮带通廊，所有落料位置设置集气罩并配套除尘设施；皮带输送机受料点、卸料点封闭，废气引入除尘设施。根据预测，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；厂区内不存在汽车、装载机露天装卸及倒运原料；根据预测，项目建成后厂界无组织颗粒物浓度满足</w:t>
                  </w:r>
                  <w:r>
                    <w:rPr>
                      <w:color w:val="000000" w:themeColor="text1"/>
                      <w:szCs w:val="21"/>
                      <w:highlight w:val="none"/>
                      <w14:textFill>
                        <w14:solidFill>
                          <w14:schemeClr w14:val="tx1"/>
                        </w14:solidFill>
                      </w14:textFill>
                    </w:rPr>
                    <w:t>0.5mg/Nm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的限值要求。</w:t>
                  </w:r>
                </w:p>
              </w:tc>
              <w:tc>
                <w:tcPr>
                  <w:tcW w:w="316" w:type="pct"/>
                  <w:noWrap/>
                  <w:tcMar>
                    <w:top w:w="0" w:type="dxa"/>
                    <w:bottom w:w="0" w:type="dxa"/>
                  </w:tcMar>
                  <w:vAlign w:val="center"/>
                </w:tcPr>
                <w:p w14:paraId="7738047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1CADEA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10" w:type="pct"/>
                  <w:vMerge w:val="continue"/>
                  <w:noWrap/>
                  <w:tcMar>
                    <w:top w:w="0" w:type="dxa"/>
                    <w:left w:w="28" w:type="dxa"/>
                    <w:bottom w:w="0" w:type="dxa"/>
                    <w:right w:w="28" w:type="dxa"/>
                  </w:tcMar>
                  <w:vAlign w:val="center"/>
                </w:tcPr>
                <w:p w14:paraId="0627303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6C61FDF9">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22A6A5CE">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（二）破碎及搅拌工序污染防治</w:t>
                  </w:r>
                </w:p>
                <w:p w14:paraId="7A7A4EFB">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原料破碎、筛分及搅拌等集中产尘工序应在封闭场所进行，安装单独高效集气及除尘设施实现负压收集，颗粒物排放浓度不高于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1582" w:type="pct"/>
                  <w:noWrap/>
                  <w:tcMar>
                    <w:top w:w="0" w:type="dxa"/>
                    <w:bottom w:w="0" w:type="dxa"/>
                  </w:tcMar>
                  <w:vAlign w:val="center"/>
                </w:tcPr>
                <w:p w14:paraId="16B0FD12">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原料破碎、筛分及搅拌等集中产尘工序全部位于封闭生产车间内，采用脉冲布袋除尘器对废气进行处理，根据预测，颗粒物排放浓度不高于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35C80B7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66D6C5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10" w:type="pct"/>
                  <w:vMerge w:val="continue"/>
                  <w:noWrap/>
                  <w:tcMar>
                    <w:top w:w="0" w:type="dxa"/>
                    <w:left w:w="28" w:type="dxa"/>
                    <w:bottom w:w="0" w:type="dxa"/>
                    <w:right w:w="28" w:type="dxa"/>
                  </w:tcMar>
                  <w:vAlign w:val="center"/>
                </w:tcPr>
                <w:p w14:paraId="220F554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5D9E842B">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78B88CDB">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（三）干燥及焙烧工序污染防治</w:t>
                  </w:r>
                </w:p>
                <w:p w14:paraId="22190911">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干燥、焙烧工序全密闭，焙烧工序应使用清洁能源点火或烧制，配套除尘、脱硫、脱硝治理设施，鼓励采用石灰石</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石膏法和湿式电除尘等高效脱硫、除尘设施。颗粒物、二氧化硫、氮氧化物排放浓度分别不高于</w:t>
                  </w:r>
                  <w:r>
                    <w:rPr>
                      <w:color w:val="000000" w:themeColor="text1"/>
                      <w:szCs w:val="21"/>
                      <w:highlight w:val="none"/>
                      <w14:textFill>
                        <w14:solidFill>
                          <w14:schemeClr w14:val="tx1"/>
                        </w14:solidFill>
                      </w14:textFill>
                    </w:rPr>
                    <w:t>10</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50</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，基准氧含量为</w:t>
                  </w:r>
                  <w:r>
                    <w:rPr>
                      <w:color w:val="000000" w:themeColor="text1"/>
                      <w:szCs w:val="21"/>
                      <w:highlight w:val="none"/>
                      <w14:textFill>
                        <w14:solidFill>
                          <w14:schemeClr w14:val="tx1"/>
                        </w14:solidFill>
                      </w14:textFill>
                    </w:rPr>
                    <w:t>18%</w:t>
                  </w:r>
                  <w:r>
                    <w:rPr>
                      <w:rFonts w:hint="eastAsia"/>
                      <w:color w:val="000000" w:themeColor="text1"/>
                      <w:szCs w:val="21"/>
                      <w:highlight w:val="none"/>
                      <w14:textFill>
                        <w14:solidFill>
                          <w14:schemeClr w14:val="tx1"/>
                        </w14:solidFill>
                      </w14:textFill>
                    </w:rPr>
                    <w:t>。</w:t>
                  </w:r>
                </w:p>
                <w:p w14:paraId="08D56144">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排气筒安装在线监测设施。</w:t>
                  </w:r>
                </w:p>
              </w:tc>
              <w:tc>
                <w:tcPr>
                  <w:tcW w:w="1582" w:type="pct"/>
                  <w:noWrap/>
                  <w:tcMar>
                    <w:top w:w="0" w:type="dxa"/>
                    <w:bottom w:w="0" w:type="dxa"/>
                  </w:tcMar>
                  <w:vAlign w:val="center"/>
                </w:tcPr>
                <w:p w14:paraId="04E3BCDA">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干燥、焙烧工序全密闭，焙烧工序使用天然气清洁能源点火，配套除尘、脱硫、脱硝治理设施，采用石灰石</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石膏法和湿式电除尘的高效脱硫、除尘设施。根据预测，颗粒物、二氧化硫、氮氧化物排放浓度分别不高于</w:t>
                  </w:r>
                  <w:r>
                    <w:rPr>
                      <w:color w:val="000000" w:themeColor="text1"/>
                      <w:szCs w:val="21"/>
                      <w:highlight w:val="none"/>
                      <w14:textFill>
                        <w14:solidFill>
                          <w14:schemeClr w14:val="tx1"/>
                        </w14:solidFill>
                      </w14:textFill>
                    </w:rPr>
                    <w:t>10</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13</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5</w:t>
                  </w:r>
                  <w:r>
                    <w:rPr>
                      <w:color w:val="000000" w:themeColor="text1"/>
                      <w:szCs w:val="21"/>
                      <w:highlight w:val="none"/>
                      <w14:textFill>
                        <w14:solidFill>
                          <w14:schemeClr w14:val="tx1"/>
                        </w14:solidFill>
                      </w14:textFill>
                    </w:rPr>
                    <w:t>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。排气筒安装在线监测设施并联网。</w:t>
                  </w:r>
                </w:p>
              </w:tc>
              <w:tc>
                <w:tcPr>
                  <w:tcW w:w="316" w:type="pct"/>
                  <w:noWrap/>
                  <w:tcMar>
                    <w:top w:w="0" w:type="dxa"/>
                    <w:bottom w:w="0" w:type="dxa"/>
                  </w:tcMar>
                  <w:vAlign w:val="center"/>
                </w:tcPr>
                <w:p w14:paraId="2D4380F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434FD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10" w:type="pct"/>
                  <w:vMerge w:val="continue"/>
                  <w:noWrap/>
                  <w:tcMar>
                    <w:top w:w="0" w:type="dxa"/>
                    <w:left w:w="28" w:type="dxa"/>
                    <w:bottom w:w="0" w:type="dxa"/>
                    <w:right w:w="28" w:type="dxa"/>
                  </w:tcMar>
                  <w:vAlign w:val="center"/>
                </w:tcPr>
                <w:p w14:paraId="7EC5C3E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6140FF8F">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75DE5228">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（四）其他工序污染防治</w:t>
                  </w:r>
                </w:p>
                <w:p w14:paraId="14149853">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生产过程中有切割工序的免烧砖、冲压砖等企业，要在封闭车间进行，在切割工序集中产尘点位安装集气装置，经过除尘设施处理，由排气筒排放，颗粒物排放浓度不高于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p w14:paraId="4FCBC9D5">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产品装车过程中要采取抑尘措施，配套雾炮或其他喷淋设施，严控无组织排放。</w:t>
                  </w:r>
                </w:p>
                <w:p w14:paraId="29F4126F">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r>
                    <w:rPr>
                      <w:rFonts w:hint="eastAsia"/>
                      <w:color w:val="000000" w:themeColor="text1"/>
                      <w:szCs w:val="21"/>
                      <w:highlight w:val="none"/>
                      <w14:textFill>
                        <w14:solidFill>
                          <w14:schemeClr w14:val="tx1"/>
                        </w14:solidFill>
                      </w14:textFill>
                    </w:rPr>
                    <w:t>窑车吹扫工序应配置工业吸尘器，或设置集气和除尘设施，除尘废气由排气筒排放，颗粒物排放浓度不高于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1582" w:type="pct"/>
                  <w:noWrap/>
                  <w:tcMar>
                    <w:top w:w="0" w:type="dxa"/>
                    <w:bottom w:w="0" w:type="dxa"/>
                  </w:tcMar>
                  <w:vAlign w:val="center"/>
                </w:tcPr>
                <w:p w14:paraId="2529C5D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本项目不涉及切割工序；</w:t>
                  </w:r>
                  <w:r>
                    <w:rPr>
                      <w:color w:val="000000" w:themeColor="text1"/>
                      <w:szCs w:val="21"/>
                      <w:highlight w:val="none"/>
                      <w14:textFill>
                        <w14:solidFill>
                          <w14:schemeClr w14:val="tx1"/>
                        </w14:solidFill>
                      </w14:textFill>
                    </w:rPr>
                    <w:t>产品装卸产尘点采取喷淋等有效抑尘措施</w:t>
                  </w:r>
                  <w:r>
                    <w:rPr>
                      <w:rFonts w:hint="eastAsia"/>
                      <w:color w:val="000000" w:themeColor="text1"/>
                      <w:szCs w:val="21"/>
                      <w:highlight w:val="none"/>
                      <w14:textFill>
                        <w14:solidFill>
                          <w14:schemeClr w14:val="tx1"/>
                        </w14:solidFill>
                      </w14:textFill>
                    </w:rPr>
                    <w:t>，严控无组织排放；窑车吹扫工序封闭设置集气和除尘设施，除尘废气由排气筒排放，根据预测，颗粒物排放浓度不高于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6495B3A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18E3AC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10" w:type="pct"/>
                  <w:vMerge w:val="continue"/>
                  <w:noWrap/>
                  <w:tcMar>
                    <w:top w:w="0" w:type="dxa"/>
                    <w:left w:w="28" w:type="dxa"/>
                    <w:bottom w:w="0" w:type="dxa"/>
                    <w:right w:w="28" w:type="dxa"/>
                  </w:tcMar>
                  <w:vAlign w:val="center"/>
                </w:tcPr>
                <w:p w14:paraId="41EDDD9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0ADC8916">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7E62034B">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（五）在线监测相关要求</w:t>
                  </w:r>
                </w:p>
                <w:p w14:paraId="78A6B7B1">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在线监测设施对污染物浓度及氧含量、流速等参数进行监测，污染物浓度量程不得超过标准值</w:t>
                  </w:r>
                  <w:r>
                    <w:rPr>
                      <w:color w:val="000000" w:themeColor="text1"/>
                      <w:szCs w:val="21"/>
                      <w:highlight w:val="none"/>
                      <w14:textFill>
                        <w14:solidFill>
                          <w14:schemeClr w14:val="tx1"/>
                        </w14:solidFill>
                      </w14:textFill>
                    </w:rPr>
                    <w:t>3</w:t>
                  </w:r>
                  <w:r>
                    <w:rPr>
                      <w:rFonts w:hint="eastAsia"/>
                      <w:color w:val="000000" w:themeColor="text1"/>
                      <w:szCs w:val="21"/>
                      <w:highlight w:val="none"/>
                      <w14:textFill>
                        <w14:solidFill>
                          <w14:schemeClr w14:val="tx1"/>
                        </w14:solidFill>
                      </w14:textFill>
                    </w:rPr>
                    <w:t>倍，与市环保指挥中心联网。选用氨法治理工艺的，必须设置氨逃逸在线监测设施，采用</w:t>
                  </w:r>
                  <w:r>
                    <w:rPr>
                      <w:color w:val="000000" w:themeColor="text1"/>
                      <w:szCs w:val="21"/>
                      <w:highlight w:val="none"/>
                      <w14:textFill>
                        <w14:solidFill>
                          <w14:schemeClr w14:val="tx1"/>
                        </w14:solidFill>
                      </w14:textFill>
                    </w:rPr>
                    <w:t>SNCR</w:t>
                  </w:r>
                  <w:r>
                    <w:rPr>
                      <w:rFonts w:hint="eastAsia"/>
                      <w:color w:val="000000" w:themeColor="text1"/>
                      <w:szCs w:val="21"/>
                      <w:highlight w:val="none"/>
                      <w14:textFill>
                        <w14:solidFill>
                          <w14:schemeClr w14:val="tx1"/>
                        </w14:solidFill>
                      </w14:textFill>
                    </w:rPr>
                    <w:t>工艺的氨逃逸浓度不高于</w:t>
                  </w:r>
                  <w:r>
                    <w:rPr>
                      <w:color w:val="000000" w:themeColor="text1"/>
                      <w:szCs w:val="21"/>
                      <w:highlight w:val="none"/>
                      <w14:textFill>
                        <w14:solidFill>
                          <w14:schemeClr w14:val="tx1"/>
                        </w14:solidFill>
                      </w14:textFill>
                    </w:rPr>
                    <w:t>8mg/Nm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、采用</w:t>
                  </w:r>
                  <w:r>
                    <w:rPr>
                      <w:color w:val="000000" w:themeColor="text1"/>
                      <w:szCs w:val="21"/>
                      <w:highlight w:val="none"/>
                      <w14:textFill>
                        <w14:solidFill>
                          <w14:schemeClr w14:val="tx1"/>
                        </w14:solidFill>
                      </w14:textFill>
                    </w:rPr>
                    <w:t>SCR</w:t>
                  </w:r>
                  <w:r>
                    <w:rPr>
                      <w:rFonts w:hint="eastAsia"/>
                      <w:color w:val="000000" w:themeColor="text1"/>
                      <w:szCs w:val="21"/>
                      <w:highlight w:val="none"/>
                      <w14:textFill>
                        <w14:solidFill>
                          <w14:schemeClr w14:val="tx1"/>
                        </w14:solidFill>
                      </w14:textFill>
                    </w:rPr>
                    <w:t>工艺的氨逃逸浓度不高于</w:t>
                  </w:r>
                  <w:r>
                    <w:rPr>
                      <w:color w:val="000000" w:themeColor="text1"/>
                      <w:szCs w:val="21"/>
                      <w:highlight w:val="none"/>
                      <w14:textFill>
                        <w14:solidFill>
                          <w14:schemeClr w14:val="tx1"/>
                        </w14:solidFill>
                      </w14:textFill>
                    </w:rPr>
                    <w:t>2.5mg/Nm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；选用氧化法脱硝工艺的，在线监测必须同时测量一氧化氮和二氧化氮。</w:t>
                  </w:r>
                </w:p>
                <w:p w14:paraId="187A45A6">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建立全厂的无组织排放管控系统，炉窑车间门口</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米处安装</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套</w:t>
                  </w:r>
                  <w:r>
                    <w:rPr>
                      <w:color w:val="000000" w:themeColor="text1"/>
                      <w:szCs w:val="21"/>
                      <w:highlight w:val="none"/>
                      <w14:textFill>
                        <w14:solidFill>
                          <w14:schemeClr w14:val="tx1"/>
                        </w14:solidFill>
                      </w14:textFill>
                    </w:rPr>
                    <w:t>TSP</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10</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2.5</w:t>
                  </w:r>
                  <w:r>
                    <w:rPr>
                      <w:rFonts w:hint="eastAsia"/>
                      <w:color w:val="000000" w:themeColor="text1"/>
                      <w:szCs w:val="21"/>
                      <w:highlight w:val="none"/>
                      <w14:textFill>
                        <w14:solidFill>
                          <w14:schemeClr w14:val="tx1"/>
                        </w14:solidFill>
                      </w14:textFill>
                    </w:rPr>
                    <w:t>在线监测设备，厂区边界主导上、下风向各安装</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套</w:t>
                  </w:r>
                  <w:r>
                    <w:rPr>
                      <w:color w:val="000000" w:themeColor="text1"/>
                      <w:szCs w:val="21"/>
                      <w:highlight w:val="none"/>
                      <w14:textFill>
                        <w14:solidFill>
                          <w14:schemeClr w14:val="tx1"/>
                        </w14:solidFill>
                      </w14:textFill>
                    </w:rPr>
                    <w:t>TSP</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10</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2.5</w:t>
                  </w:r>
                  <w:r>
                    <w:rPr>
                      <w:rFonts w:hint="eastAsia"/>
                      <w:color w:val="000000" w:themeColor="text1"/>
                      <w:szCs w:val="21"/>
                      <w:highlight w:val="none"/>
                      <w14:textFill>
                        <w14:solidFill>
                          <w14:schemeClr w14:val="tx1"/>
                        </w14:solidFill>
                      </w14:textFill>
                    </w:rPr>
                    <w:t>在线监测设备，配备</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台联网的计算机，安装无组织排放监测系统软件（在线设施须有环境保护产品认证证书），与市、县环保指挥中心联网。厂区边界颗粒物浓度不高于</w:t>
                  </w:r>
                  <w:r>
                    <w:rPr>
                      <w:color w:val="000000" w:themeColor="text1"/>
                      <w:szCs w:val="21"/>
                      <w:highlight w:val="none"/>
                      <w14:textFill>
                        <w14:solidFill>
                          <w14:schemeClr w14:val="tx1"/>
                        </w14:solidFill>
                      </w14:textFill>
                    </w:rPr>
                    <w:t>0.5mg/Nm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，炉窑车间外</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米处颗粒物浓度不高于</w:t>
                  </w:r>
                  <w:r>
                    <w:rPr>
                      <w:color w:val="000000" w:themeColor="text1"/>
                      <w:szCs w:val="21"/>
                      <w:highlight w:val="none"/>
                      <w14:textFill>
                        <w14:solidFill>
                          <w14:schemeClr w14:val="tx1"/>
                        </w14:solidFill>
                      </w14:textFill>
                    </w:rPr>
                    <w:t>1.0mg/Nm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1582" w:type="pct"/>
                  <w:noWrap/>
                  <w:tcMar>
                    <w:top w:w="0" w:type="dxa"/>
                    <w:bottom w:w="0" w:type="dxa"/>
                  </w:tcMar>
                  <w:vAlign w:val="center"/>
                </w:tcPr>
                <w:p w14:paraId="2AD1DE19">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在线监测设施污染物浓度量程在标准值</w:t>
                  </w:r>
                  <w:r>
                    <w:rPr>
                      <w:color w:val="000000" w:themeColor="text1"/>
                      <w:szCs w:val="21"/>
                      <w:highlight w:val="none"/>
                      <w14:textFill>
                        <w14:solidFill>
                          <w14:schemeClr w14:val="tx1"/>
                        </w14:solidFill>
                      </w14:textFill>
                    </w:rPr>
                    <w:t>3</w:t>
                  </w:r>
                  <w:r>
                    <w:rPr>
                      <w:rFonts w:hint="eastAsia"/>
                      <w:color w:val="000000" w:themeColor="text1"/>
                      <w:szCs w:val="21"/>
                      <w:highlight w:val="none"/>
                      <w14:textFill>
                        <w14:solidFill>
                          <w14:schemeClr w14:val="tx1"/>
                        </w14:solidFill>
                      </w14:textFill>
                    </w:rPr>
                    <w:t>倍以内，已按要求与主管部门联网；</w:t>
                  </w:r>
                  <w:r>
                    <w:rPr>
                      <w:rFonts w:hint="eastAsia"/>
                      <w:color w:val="000000" w:themeColor="text1"/>
                      <w:szCs w:val="21"/>
                      <w:highlight w:val="none"/>
                      <w:lang w:val="en-US" w:eastAsia="zh-CN"/>
                      <w14:textFill>
                        <w14:solidFill>
                          <w14:schemeClr w14:val="tx1"/>
                        </w14:solidFill>
                      </w14:textFill>
                    </w:rPr>
                    <w:t>企业拟</w:t>
                  </w:r>
                  <w:r>
                    <w:rPr>
                      <w:rFonts w:hint="eastAsia"/>
                      <w:color w:val="000000" w:themeColor="text1"/>
                      <w:szCs w:val="21"/>
                      <w:highlight w:val="none"/>
                      <w14:textFill>
                        <w14:solidFill>
                          <w14:schemeClr w14:val="tx1"/>
                        </w14:solidFill>
                      </w14:textFill>
                    </w:rPr>
                    <w:t>设置氨逃逸在线监测设施，氨逃逸浓度不高于8mg/Nm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炉窑车间门口</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米处安装</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套</w:t>
                  </w:r>
                  <w:r>
                    <w:rPr>
                      <w:color w:val="000000" w:themeColor="text1"/>
                      <w:szCs w:val="21"/>
                      <w:highlight w:val="none"/>
                      <w14:textFill>
                        <w14:solidFill>
                          <w14:schemeClr w14:val="tx1"/>
                        </w14:solidFill>
                      </w14:textFill>
                    </w:rPr>
                    <w:t>TSP</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10</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2.5</w:t>
                  </w:r>
                  <w:r>
                    <w:rPr>
                      <w:rFonts w:hint="eastAsia"/>
                      <w:color w:val="000000" w:themeColor="text1"/>
                      <w:szCs w:val="21"/>
                      <w:highlight w:val="none"/>
                      <w14:textFill>
                        <w14:solidFill>
                          <w14:schemeClr w14:val="tx1"/>
                        </w14:solidFill>
                      </w14:textFill>
                    </w:rPr>
                    <w:t>在线监测设备，厂区边界主导上、下风向各安装</w:t>
                  </w: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套</w:t>
                  </w:r>
                  <w:r>
                    <w:rPr>
                      <w:color w:val="000000" w:themeColor="text1"/>
                      <w:szCs w:val="21"/>
                      <w:highlight w:val="none"/>
                      <w14:textFill>
                        <w14:solidFill>
                          <w14:schemeClr w14:val="tx1"/>
                        </w14:solidFill>
                      </w14:textFill>
                    </w:rPr>
                    <w:t>TSP</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10</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2.5</w:t>
                  </w:r>
                  <w:r>
                    <w:rPr>
                      <w:rFonts w:hint="eastAsia"/>
                      <w:color w:val="000000" w:themeColor="text1"/>
                      <w:szCs w:val="21"/>
                      <w:highlight w:val="none"/>
                      <w14:textFill>
                        <w14:solidFill>
                          <w14:schemeClr w14:val="tx1"/>
                        </w14:solidFill>
                      </w14:textFill>
                    </w:rPr>
                    <w:t>在线监测设备，已与主管部门联网。根据预测，颗粒物无组织排放浓度满足限值要求。</w:t>
                  </w:r>
                </w:p>
              </w:tc>
              <w:tc>
                <w:tcPr>
                  <w:tcW w:w="316" w:type="pct"/>
                  <w:noWrap/>
                  <w:tcMar>
                    <w:top w:w="0" w:type="dxa"/>
                    <w:bottom w:w="0" w:type="dxa"/>
                  </w:tcMar>
                  <w:vAlign w:val="center"/>
                </w:tcPr>
                <w:p w14:paraId="776CBFF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19C3A0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10" w:type="pct"/>
                  <w:vMerge w:val="continue"/>
                  <w:noWrap/>
                  <w:tcMar>
                    <w:top w:w="0" w:type="dxa"/>
                    <w:left w:w="28" w:type="dxa"/>
                    <w:bottom w:w="0" w:type="dxa"/>
                    <w:right w:w="28" w:type="dxa"/>
                  </w:tcMar>
                  <w:vAlign w:val="center"/>
                </w:tcPr>
                <w:p w14:paraId="29ED0FE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6B1A1044">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6D5E0769">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（六）厂容厂貌相关要求</w:t>
                  </w:r>
                </w:p>
                <w:p w14:paraId="61D00195">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厂区路面硬化无破损，增大厂区绿化面积，实现“非硬即绿”，厂区路面采取洒水、水雾喷淋等降尘控制措施。</w:t>
                  </w:r>
                </w:p>
                <w:p w14:paraId="4F03541A">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厂区出口配备全自动高压清洗装置对所有货运车辆车轮、底盘进行冲洗，严禁带泥上路。车辆冲洗装置应配备洗车废水收集、回用装置。</w:t>
                  </w:r>
                </w:p>
                <w:p w14:paraId="23658872">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r>
                    <w:rPr>
                      <w:rFonts w:hint="eastAsia"/>
                      <w:color w:val="000000" w:themeColor="text1"/>
                      <w:szCs w:val="21"/>
                      <w:highlight w:val="none"/>
                      <w14:textFill>
                        <w14:solidFill>
                          <w14:schemeClr w14:val="tx1"/>
                        </w14:solidFill>
                      </w14:textFill>
                    </w:rPr>
                    <w:t>厂房、料棚四面封闭，通道口安装卷帘门、推拉门等封闭性良好且便于开关的硬质门，在无车辆出入时将门关闭，保证空气合理流动不产生湍流。</w:t>
                  </w:r>
                </w:p>
              </w:tc>
              <w:tc>
                <w:tcPr>
                  <w:tcW w:w="1582" w:type="pct"/>
                  <w:noWrap/>
                  <w:tcMar>
                    <w:top w:w="0" w:type="dxa"/>
                    <w:bottom w:w="0" w:type="dxa"/>
                  </w:tcMar>
                  <w:vAlign w:val="center"/>
                </w:tcPr>
                <w:p w14:paraId="34B1787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w:t>
                  </w:r>
                  <w:r>
                    <w:rPr>
                      <w:rFonts w:hint="eastAsia"/>
                      <w:color w:val="000000" w:themeColor="text1"/>
                      <w:szCs w:val="21"/>
                      <w:highlight w:val="none"/>
                      <w14:textFill>
                        <w14:solidFill>
                          <w14:schemeClr w14:val="tx1"/>
                        </w14:solidFill>
                      </w14:textFill>
                    </w:rPr>
                    <w:t>路面全部硬化，且无破损，厂区配备洒水车及湿扫车，降低路面扬尘；</w:t>
                  </w:r>
                  <w:r>
                    <w:rPr>
                      <w:color w:val="000000" w:themeColor="text1"/>
                      <w:szCs w:val="21"/>
                      <w:highlight w:val="none"/>
                      <w14:textFill>
                        <w14:solidFill>
                          <w14:schemeClr w14:val="tx1"/>
                        </w14:solidFill>
                      </w14:textFill>
                    </w:rPr>
                    <w:t>厂区出入口设置</w:t>
                  </w:r>
                  <w:r>
                    <w:rPr>
                      <w:rFonts w:hint="eastAsia"/>
                      <w:color w:val="000000" w:themeColor="text1"/>
                      <w:szCs w:val="21"/>
                      <w:highlight w:val="none"/>
                      <w14:textFill>
                        <w14:solidFill>
                          <w14:schemeClr w14:val="tx1"/>
                        </w14:solidFill>
                      </w14:textFill>
                    </w:rPr>
                    <w:t>车辆洗车平台，长度为6m高度为2.5m，废水经沉淀处理后回用于车辆冲洗；原料库全封闭，且顶部安装喷淋抑尘设施，冬季采用温水防止冷冻期结冰问题，出入口安装自动感应门。</w:t>
                  </w:r>
                </w:p>
              </w:tc>
              <w:tc>
                <w:tcPr>
                  <w:tcW w:w="316" w:type="pct"/>
                  <w:noWrap/>
                  <w:tcMar>
                    <w:top w:w="0" w:type="dxa"/>
                    <w:bottom w:w="0" w:type="dxa"/>
                  </w:tcMar>
                  <w:vAlign w:val="center"/>
                </w:tcPr>
                <w:p w14:paraId="5BEC268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2A5204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10" w:type="pct"/>
                  <w:vMerge w:val="continue"/>
                  <w:noWrap/>
                  <w:tcMar>
                    <w:top w:w="0" w:type="dxa"/>
                    <w:left w:w="28" w:type="dxa"/>
                    <w:bottom w:w="0" w:type="dxa"/>
                    <w:right w:w="28" w:type="dxa"/>
                  </w:tcMar>
                  <w:vAlign w:val="center"/>
                </w:tcPr>
                <w:p w14:paraId="002A843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3CD0532E">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p>
              </w:tc>
              <w:tc>
                <w:tcPr>
                  <w:tcW w:w="2055" w:type="pct"/>
                  <w:noWrap/>
                  <w:tcMar>
                    <w:top w:w="0" w:type="dxa"/>
                    <w:bottom w:w="0" w:type="dxa"/>
                  </w:tcMar>
                  <w:vAlign w:val="center"/>
                </w:tcPr>
                <w:p w14:paraId="0BE20E3F">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（七）其他</w:t>
                  </w:r>
                </w:p>
                <w:p w14:paraId="5AE7F3A5">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int="eastAsia"/>
                      <w:color w:val="000000" w:themeColor="text1"/>
                      <w:szCs w:val="21"/>
                      <w:highlight w:val="none"/>
                      <w14:textFill>
                        <w14:solidFill>
                          <w14:schemeClr w14:val="tx1"/>
                        </w14:solidFill>
                      </w14:textFill>
                    </w:rPr>
                    <w:t>所有排气筒高度应不低于</w:t>
                  </w:r>
                  <w:r>
                    <w:rPr>
                      <w:color w:val="000000" w:themeColor="text1"/>
                      <w:szCs w:val="21"/>
                      <w:highlight w:val="none"/>
                      <w14:textFill>
                        <w14:solidFill>
                          <w14:schemeClr w14:val="tx1"/>
                        </w14:solidFill>
                      </w14:textFill>
                    </w:rPr>
                    <w:t>15</w:t>
                  </w:r>
                  <w:r>
                    <w:rPr>
                      <w:rFonts w:hint="eastAsia"/>
                      <w:color w:val="000000" w:themeColor="text1"/>
                      <w:szCs w:val="21"/>
                      <w:highlight w:val="none"/>
                      <w14:textFill>
                        <w14:solidFill>
                          <w14:schemeClr w14:val="tx1"/>
                        </w14:solidFill>
                      </w14:textFill>
                    </w:rPr>
                    <w:t>米。</w:t>
                  </w:r>
                </w:p>
                <w:p w14:paraId="43FB865E">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按照要求规范排污口，设置明显标识，注明排污口编号、污染物排放种类、排放浓度等相关信息。</w:t>
                  </w:r>
                </w:p>
                <w:p w14:paraId="36FF31AC">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r>
                    <w:rPr>
                      <w:rFonts w:hint="eastAsia"/>
                      <w:color w:val="000000" w:themeColor="text1"/>
                      <w:szCs w:val="21"/>
                      <w:highlight w:val="none"/>
                      <w14:textFill>
                        <w14:solidFill>
                          <w14:schemeClr w14:val="tx1"/>
                        </w14:solidFill>
                      </w14:textFill>
                    </w:rPr>
                    <w:t>干法除尘器卸灰不直接卸落到地面，卸灰区封闭。除尘灰采用气力输送、罐车等密闭方式运输；采用非密闭方式运输的，车辆应苫盖，装卸车时应采取加湿等措施抑尘。</w:t>
                  </w:r>
                </w:p>
                <w:p w14:paraId="3E7566E9">
                  <w:pPr>
                    <w:spacing w:line="280" w:lineRule="exact"/>
                    <w:ind w:left="-51" w:right="-51"/>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r>
                    <w:rPr>
                      <w:rFonts w:hint="eastAsia"/>
                      <w:color w:val="000000" w:themeColor="text1"/>
                      <w:szCs w:val="21"/>
                      <w:highlight w:val="none"/>
                      <w14:textFill>
                        <w14:solidFill>
                          <w14:schemeClr w14:val="tx1"/>
                        </w14:solidFill>
                      </w14:textFill>
                    </w:rPr>
                    <w:t>各企业在厂区门口或明显位置设置电子显示屏，实时发布主要污染物排放信息。</w:t>
                  </w:r>
                </w:p>
              </w:tc>
              <w:tc>
                <w:tcPr>
                  <w:tcW w:w="1582" w:type="pct"/>
                  <w:noWrap/>
                  <w:tcMar>
                    <w:top w:w="0" w:type="dxa"/>
                    <w:bottom w:w="0" w:type="dxa"/>
                  </w:tcMar>
                  <w:vAlign w:val="center"/>
                </w:tcPr>
                <w:p w14:paraId="508E312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所有排气筒高度均不低于15米，并进行排污口规范化建设，干法除尘器卸灰不直接卸落到地面，卸灰区封闭，除尘灰采用气力输送，厂区门口设置电子显示屏，实时发布主要污染物排放信息</w:t>
                  </w:r>
                  <w:r>
                    <w:rPr>
                      <w:rFonts w:hint="eastAsia"/>
                      <w:color w:val="000000" w:themeColor="text1"/>
                      <w:szCs w:val="21"/>
                      <w:highlight w:val="none"/>
                      <w14:textFill>
                        <w14:solidFill>
                          <w14:schemeClr w14:val="tx1"/>
                        </w14:solidFill>
                      </w14:textFill>
                    </w:rPr>
                    <w:t>。</w:t>
                  </w:r>
                </w:p>
              </w:tc>
              <w:tc>
                <w:tcPr>
                  <w:tcW w:w="316" w:type="pct"/>
                  <w:noWrap/>
                  <w:tcMar>
                    <w:top w:w="0" w:type="dxa"/>
                    <w:bottom w:w="0" w:type="dxa"/>
                  </w:tcMar>
                  <w:vAlign w:val="center"/>
                </w:tcPr>
                <w:p w14:paraId="6EEB149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6534E6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310" w:type="pct"/>
                  <w:vMerge w:val="restart"/>
                  <w:noWrap/>
                  <w:tcMar>
                    <w:top w:w="0" w:type="dxa"/>
                    <w:left w:w="28" w:type="dxa"/>
                    <w:bottom w:w="0" w:type="dxa"/>
                    <w:right w:w="28" w:type="dxa"/>
                  </w:tcMar>
                  <w:vAlign w:val="center"/>
                </w:tcPr>
                <w:p w14:paraId="01159A3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14</w:t>
                  </w:r>
                </w:p>
              </w:tc>
              <w:tc>
                <w:tcPr>
                  <w:tcW w:w="737" w:type="pct"/>
                  <w:vMerge w:val="restart"/>
                  <w:noWrap/>
                  <w:tcMar>
                    <w:top w:w="0" w:type="dxa"/>
                    <w:bottom w:w="0" w:type="dxa"/>
                  </w:tcMar>
                  <w:vAlign w:val="center"/>
                </w:tcPr>
                <w:p w14:paraId="3154A040">
                  <w:pPr>
                    <w:adjustRightInd w:val="0"/>
                    <w:snapToGrid w:val="0"/>
                    <w:spacing w:line="280" w:lineRule="exact"/>
                    <w:ind w:left="-105" w:leftChars="-50" w:right="-105" w:rightChars="-50"/>
                    <w:jc w:val="center"/>
                    <w:rPr>
                      <w:color w:val="000000" w:themeColor="text1"/>
                      <w:szCs w:val="21"/>
                      <w:highlight w:val="none"/>
                      <w:shd w:val="clear" w:color="auto" w:fill="FFFFFF"/>
                      <w14:textFill>
                        <w14:solidFill>
                          <w14:schemeClr w14:val="tx1"/>
                        </w14:solidFill>
                      </w14:textFill>
                    </w:rPr>
                  </w:pPr>
                  <w:r>
                    <w:rPr>
                      <w:rFonts w:hint="eastAsia"/>
                      <w:color w:val="000000" w:themeColor="text1"/>
                      <w:szCs w:val="21"/>
                      <w:highlight w:val="none"/>
                      <w14:textFill>
                        <w14:solidFill>
                          <w14:schemeClr w14:val="tx1"/>
                        </w14:solidFill>
                      </w14:textFill>
                    </w:rPr>
                    <w:t>关于印发《城镇污水处理厂污泥处理处置及污染防治技术政策（试行）》的通知（建城[2009]23号）</w:t>
                  </w:r>
                </w:p>
              </w:tc>
              <w:tc>
                <w:tcPr>
                  <w:tcW w:w="2055" w:type="pct"/>
                  <w:noWrap/>
                  <w:tcMar>
                    <w:top w:w="0" w:type="dxa"/>
                    <w:bottom w:w="0" w:type="dxa"/>
                  </w:tcMar>
                  <w:vAlign w:val="center"/>
                </w:tcPr>
                <w:p w14:paraId="2A31E9D3">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泥建筑材料综合利用。有条件的地区，应积极推广污泥建筑材料综合利用。污泥建筑材料综合利用是指污泥的无机化处理，用于制作水泥添加料、制砖、制轻质骨料和路基材料等。污泥建筑材料利用应符合国家和地方的相关标准和规范要求，并严格防范在生产和使用中造成二次污染。</w:t>
                  </w:r>
                </w:p>
              </w:tc>
              <w:tc>
                <w:tcPr>
                  <w:tcW w:w="1582" w:type="pct"/>
                  <w:noWrap/>
                  <w:tcMar>
                    <w:top w:w="0" w:type="dxa"/>
                    <w:bottom w:w="0" w:type="dxa"/>
                  </w:tcMar>
                  <w:vAlign w:val="center"/>
                </w:tcPr>
                <w:p w14:paraId="1B2F4EB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本项目利用煤矸石、页岩及污泥、炉渣、干排淤泥等一般工业固体废物生产烧结砖，</w:t>
                  </w:r>
                  <w:r>
                    <w:rPr>
                      <w:color w:val="000000" w:themeColor="text1"/>
                      <w:szCs w:val="21"/>
                      <w:highlight w:val="none"/>
                      <w14:textFill>
                        <w14:solidFill>
                          <w14:schemeClr w14:val="tx1"/>
                        </w14:solidFill>
                      </w14:textFill>
                    </w:rPr>
                    <w:t>实现了</w:t>
                  </w:r>
                  <w:r>
                    <w:rPr>
                      <w:rFonts w:hint="eastAsia"/>
                      <w:color w:val="000000" w:themeColor="text1"/>
                      <w:szCs w:val="21"/>
                      <w:highlight w:val="none"/>
                      <w14:textFill>
                        <w14:solidFill>
                          <w14:schemeClr w14:val="tx1"/>
                        </w14:solidFill>
                      </w14:textFill>
                    </w:rPr>
                    <w:t>污泥建筑材料</w:t>
                  </w:r>
                  <w:r>
                    <w:rPr>
                      <w:color w:val="000000" w:themeColor="text1"/>
                      <w:szCs w:val="21"/>
                      <w:highlight w:val="none"/>
                      <w14:textFill>
                        <w14:solidFill>
                          <w14:schemeClr w14:val="tx1"/>
                        </w14:solidFill>
                      </w14:textFill>
                    </w:rPr>
                    <w:t>综合利用</w:t>
                  </w:r>
                  <w:r>
                    <w:rPr>
                      <w:rFonts w:hint="eastAsia"/>
                      <w:color w:val="000000" w:themeColor="text1"/>
                      <w:szCs w:val="21"/>
                      <w:highlight w:val="none"/>
                      <w14:textFill>
                        <w14:solidFill>
                          <w14:schemeClr w14:val="tx1"/>
                        </w14:solidFill>
                      </w14:textFill>
                    </w:rPr>
                    <w:t>，符合国家及地方要求，利用过程通过严格控制管理防止二次污染。</w:t>
                  </w:r>
                </w:p>
              </w:tc>
              <w:tc>
                <w:tcPr>
                  <w:tcW w:w="316" w:type="pct"/>
                  <w:vMerge w:val="restart"/>
                  <w:noWrap/>
                  <w:tcMar>
                    <w:top w:w="0" w:type="dxa"/>
                    <w:bottom w:w="0" w:type="dxa"/>
                  </w:tcMar>
                  <w:vAlign w:val="center"/>
                </w:tcPr>
                <w:p w14:paraId="6BAE8EF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335420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10" w:type="pct"/>
                  <w:vMerge w:val="continue"/>
                  <w:noWrap/>
                  <w:tcMar>
                    <w:top w:w="0" w:type="dxa"/>
                    <w:left w:w="28" w:type="dxa"/>
                    <w:bottom w:w="0" w:type="dxa"/>
                    <w:right w:w="28" w:type="dxa"/>
                  </w:tcMar>
                  <w:vAlign w:val="center"/>
                </w:tcPr>
                <w:p w14:paraId="42E901F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37" w:type="pct"/>
                  <w:vMerge w:val="continue"/>
                  <w:noWrap/>
                  <w:tcMar>
                    <w:top w:w="0" w:type="dxa"/>
                    <w:bottom w:w="0" w:type="dxa"/>
                  </w:tcMar>
                  <w:vAlign w:val="center"/>
                </w:tcPr>
                <w:p w14:paraId="20D91DE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2055" w:type="pct"/>
                  <w:noWrap/>
                  <w:tcMar>
                    <w:top w:w="0" w:type="dxa"/>
                    <w:bottom w:w="0" w:type="dxa"/>
                  </w:tcMar>
                  <w:vAlign w:val="center"/>
                </w:tcPr>
                <w:p w14:paraId="29D1E0BB">
                  <w:pPr>
                    <w:spacing w:line="280" w:lineRule="exact"/>
                    <w:ind w:left="-51" w:right="-51"/>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污泥运输。鼓励采用管道、密闭车辆和密闭驳船等方式；运输过程中应进行全过程监控和管理，防止因暴露、洒落或滴漏造成的环境二次污染；严禁随意倾倒、偷排污泥。</w:t>
                  </w:r>
                </w:p>
              </w:tc>
              <w:tc>
                <w:tcPr>
                  <w:tcW w:w="1582" w:type="pct"/>
                  <w:noWrap/>
                  <w:tcMar>
                    <w:top w:w="0" w:type="dxa"/>
                    <w:bottom w:w="0" w:type="dxa"/>
                  </w:tcMar>
                  <w:vAlign w:val="center"/>
                </w:tcPr>
                <w:p w14:paraId="67C9E49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污泥为泥饼状，运输过程采用运输车辆，车辆苫盖，防止运输过程产生二次污染。</w:t>
                  </w:r>
                </w:p>
              </w:tc>
              <w:tc>
                <w:tcPr>
                  <w:tcW w:w="316" w:type="pct"/>
                  <w:vMerge w:val="continue"/>
                  <w:noWrap/>
                  <w:tcMar>
                    <w:top w:w="0" w:type="dxa"/>
                    <w:bottom w:w="0" w:type="dxa"/>
                  </w:tcMar>
                  <w:vAlign w:val="center"/>
                </w:tcPr>
                <w:p w14:paraId="0295D90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p>
              </w:tc>
            </w:tr>
          </w:tbl>
          <w:p w14:paraId="07B7AB7A">
            <w:pPr>
              <w:pStyle w:val="6"/>
              <w:spacing w:line="500" w:lineRule="exact"/>
              <w:ind w:firstLine="482"/>
              <w:rPr>
                <w:b/>
                <w:bCs/>
                <w:snapToGrid w:val="0"/>
                <w:kern w:val="0"/>
                <w:sz w:val="24"/>
                <w:highlight w:val="none"/>
              </w:rPr>
            </w:pPr>
            <w:r>
              <w:rPr>
                <w:rFonts w:hint="eastAsia"/>
                <w:b/>
                <w:bCs/>
                <w:snapToGrid w:val="0"/>
                <w:kern w:val="0"/>
                <w:sz w:val="24"/>
                <w:highlight w:val="none"/>
                <w:lang w:val="en-US" w:eastAsia="zh-CN"/>
              </w:rPr>
              <w:t>5</w:t>
            </w:r>
            <w:r>
              <w:rPr>
                <w:rFonts w:hint="eastAsia"/>
                <w:b/>
                <w:bCs/>
                <w:snapToGrid w:val="0"/>
                <w:kern w:val="0"/>
                <w:sz w:val="24"/>
                <w:highlight w:val="none"/>
              </w:rPr>
              <w:t>、与河北省防沙治沙规划符合性分析</w:t>
            </w:r>
          </w:p>
          <w:p w14:paraId="70EFED22">
            <w:pPr>
              <w:autoSpaceDE w:val="0"/>
              <w:autoSpaceDN w:val="0"/>
              <w:adjustRightInd w:val="0"/>
              <w:snapToGrid w:val="0"/>
              <w:spacing w:line="480" w:lineRule="exact"/>
              <w:ind w:firstLine="420" w:firstLineChars="200"/>
              <w:jc w:val="left"/>
              <w:rPr>
                <w:bCs/>
                <w:color w:val="000000" w:themeColor="text1"/>
                <w:kern w:val="0"/>
                <w:sz w:val="24"/>
                <w:highlight w:val="none"/>
                <w14:textFill>
                  <w14:solidFill>
                    <w14:schemeClr w14:val="tx1"/>
                  </w14:solidFill>
                </w14:textFill>
              </w:rPr>
            </w:pPr>
            <w:r>
              <w:rPr>
                <w:highlight w:val="none"/>
              </w:rPr>
              <w:drawing>
                <wp:anchor distT="0" distB="0" distL="114300" distR="114300" simplePos="0" relativeHeight="251871232" behindDoc="0" locked="0" layoutInCell="1" allowOverlap="1">
                  <wp:simplePos x="0" y="0"/>
                  <wp:positionH relativeFrom="column">
                    <wp:posOffset>1162050</wp:posOffset>
                  </wp:positionH>
                  <wp:positionV relativeFrom="paragraph">
                    <wp:posOffset>21590</wp:posOffset>
                  </wp:positionV>
                  <wp:extent cx="3486150" cy="2200910"/>
                  <wp:effectExtent l="0" t="0" r="0" b="8890"/>
                  <wp:wrapNone/>
                  <wp:docPr id="2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
                          <pic:cNvPicPr>
                            <a:picLocks noChangeAspect="1"/>
                          </pic:cNvPicPr>
                        </pic:nvPicPr>
                        <pic:blipFill>
                          <a:blip r:embed="rId10"/>
                          <a:stretch>
                            <a:fillRect/>
                          </a:stretch>
                        </pic:blipFill>
                        <pic:spPr>
                          <a:xfrm>
                            <a:off x="0" y="0"/>
                            <a:ext cx="3486150" cy="2200910"/>
                          </a:xfrm>
                          <a:prstGeom prst="rect">
                            <a:avLst/>
                          </a:prstGeom>
                          <a:noFill/>
                          <a:ln>
                            <a:noFill/>
                          </a:ln>
                        </pic:spPr>
                      </pic:pic>
                    </a:graphicData>
                  </a:graphic>
                </wp:anchor>
              </w:drawing>
            </w:r>
          </w:p>
          <w:p w14:paraId="54590FA6">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p>
          <w:p w14:paraId="4E0F605F">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sz w:val="24"/>
                <w:highlight w:val="none"/>
              </w:rPr>
              <mc:AlternateContent>
                <mc:Choice Requires="wps">
                  <w:drawing>
                    <wp:anchor distT="0" distB="0" distL="114300" distR="114300" simplePos="0" relativeHeight="251872256" behindDoc="0" locked="0" layoutInCell="1" allowOverlap="1">
                      <wp:simplePos x="0" y="0"/>
                      <wp:positionH relativeFrom="column">
                        <wp:posOffset>2117090</wp:posOffset>
                      </wp:positionH>
                      <wp:positionV relativeFrom="paragraph">
                        <wp:posOffset>635</wp:posOffset>
                      </wp:positionV>
                      <wp:extent cx="722630" cy="257175"/>
                      <wp:effectExtent l="12700" t="12700" r="102870" b="282575"/>
                      <wp:wrapNone/>
                      <wp:docPr id="240" name="矩形标注 240"/>
                      <wp:cNvGraphicFramePr/>
                      <a:graphic xmlns:a="http://schemas.openxmlformats.org/drawingml/2006/main">
                        <a:graphicData uri="http://schemas.microsoft.com/office/word/2010/wordprocessingShape">
                          <wps:wsp>
                            <wps:cNvSpPr/>
                            <wps:spPr>
                              <a:xfrm>
                                <a:off x="1585595" y="7484745"/>
                                <a:ext cx="722630" cy="257175"/>
                              </a:xfrm>
                              <a:prstGeom prst="wedgeRectCallout">
                                <a:avLst>
                                  <a:gd name="adj1" fmla="val 61397"/>
                                  <a:gd name="adj2" fmla="val 151481"/>
                                </a:avLst>
                              </a:prstGeom>
                            </wps:spPr>
                            <wps:style>
                              <a:lnRef idx="2">
                                <a:schemeClr val="accent1">
                                  <a:lumMod val="75000"/>
                                </a:schemeClr>
                              </a:lnRef>
                              <a:fillRef idx="1">
                                <a:schemeClr val="accent1"/>
                              </a:fillRef>
                              <a:effectRef idx="0">
                                <a:srgbClr val="FFFFFF"/>
                              </a:effectRef>
                              <a:fontRef idx="minor">
                                <a:schemeClr val="lt1"/>
                              </a:fontRef>
                            </wps:style>
                            <wps:txbx>
                              <w:txbxContent>
                                <w:p w14:paraId="5206CAD4">
                                  <w:pPr>
                                    <w:jc w:val="center"/>
                                    <w:rPr>
                                      <w:rFonts w:hint="default" w:eastAsia="宋体"/>
                                      <w:sz w:val="18"/>
                                      <w:szCs w:val="18"/>
                                      <w:lang w:val="en-US" w:eastAsia="zh-CN"/>
                                    </w:rPr>
                                  </w:pPr>
                                  <w:r>
                                    <w:rPr>
                                      <w:rFonts w:hint="eastAsia"/>
                                      <w:sz w:val="18"/>
                                      <w:szCs w:val="18"/>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66.7pt;margin-top:0.05pt;height:20.25pt;width:56.9pt;z-index:251872256;v-text-anchor:middle;mso-width-relative:page;mso-height-relative:page;" fillcolor="#4F81BD [3204]" filled="t" stroked="t" coordsize="21600,21600" o:gfxdata="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AatUyHWAAAABwEAAA8A&#10;AAAAAAAAAQAgAAAAIgAAAGRycy9kb3ducmV2LnhtbFBLAQIUABQAAAAIAIdO4kB70aArxAIAAH0F&#10;AAAOAAAAAAAAAAEAIAAAACUBAABkcnMvZTJvRG9jLnhtbFBLBQYAAAAABgAGAFkBAABbBgAAAAA=&#10;" adj="24062,43520">
                      <v:fill on="t" focussize="0,0"/>
                      <v:stroke weight="2pt" color="#376092 [2404]" joinstyle="round"/>
                      <v:imagedata o:title=""/>
                      <o:lock v:ext="edit" aspectratio="f"/>
                      <v:textbox>
                        <w:txbxContent>
                          <w:p w14:paraId="5206CAD4">
                            <w:pPr>
                              <w:jc w:val="center"/>
                              <w:rPr>
                                <w:rFonts w:hint="default" w:eastAsia="宋体"/>
                                <w:sz w:val="18"/>
                                <w:szCs w:val="18"/>
                                <w:lang w:val="en-US" w:eastAsia="zh-CN"/>
                              </w:rPr>
                            </w:pPr>
                            <w:r>
                              <w:rPr>
                                <w:rFonts w:hint="eastAsia"/>
                                <w:sz w:val="18"/>
                                <w:szCs w:val="18"/>
                                <w:lang w:val="en-US" w:eastAsia="zh-CN"/>
                              </w:rPr>
                              <w:t>项目位置</w:t>
                            </w:r>
                          </w:p>
                        </w:txbxContent>
                      </v:textbox>
                    </v:shape>
                  </w:pict>
                </mc:Fallback>
              </mc:AlternateContent>
            </w:r>
          </w:p>
          <w:p w14:paraId="107DCEAB">
            <w:pPr>
              <w:autoSpaceDE w:val="0"/>
              <w:autoSpaceDN w:val="0"/>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sz w:val="24"/>
                <w:highlight w:val="none"/>
              </w:rPr>
              <mc:AlternateContent>
                <mc:Choice Requires="wps">
                  <w:drawing>
                    <wp:anchor distT="0" distB="0" distL="114300" distR="114300" simplePos="0" relativeHeight="251873280" behindDoc="0" locked="0" layoutInCell="1" allowOverlap="1">
                      <wp:simplePos x="0" y="0"/>
                      <wp:positionH relativeFrom="column">
                        <wp:posOffset>2926715</wp:posOffset>
                      </wp:positionH>
                      <wp:positionV relativeFrom="paragraph">
                        <wp:posOffset>210185</wp:posOffset>
                      </wp:positionV>
                      <wp:extent cx="71755" cy="71755"/>
                      <wp:effectExtent l="12700" t="12700" r="29845" b="29845"/>
                      <wp:wrapNone/>
                      <wp:docPr id="241" name="五角星 241"/>
                      <wp:cNvGraphicFramePr/>
                      <a:graphic xmlns:a="http://schemas.openxmlformats.org/drawingml/2006/main">
                        <a:graphicData uri="http://schemas.microsoft.com/office/word/2010/wordprocessingShape">
                          <wps:wsp>
                            <wps:cNvSpPr/>
                            <wps:spPr>
                              <a:xfrm>
                                <a:off x="3947795" y="8132445"/>
                                <a:ext cx="71755" cy="71755"/>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30.45pt;margin-top:16.55pt;height:5.65pt;width:5.65pt;z-index:251873280;v-text-anchor:middle;mso-width-relative:page;mso-height-relative:page;" fillcolor="#FF0000" filled="t" stroked="t" coordsize="71755,71755" o:gfxdata="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Dy/Pc2AAAAAkBAAAPAAAAAAAAAAEAIAAAACIAAABkcnMvZG93&#10;bnJldi54bWxQSwECFAAUAAAACACHTuJAm979hXICAADuBAAADgAAAAAAAAABACAAAAAnAQAAZHJz&#10;L2Uyb0RvYy54bWxQSwUGAAAAAAYABgBZAQAACwYAAAAA&#10;" path="m0,27407l27408,27408,35877,0,44346,27408,71754,27407,49581,44346,58050,71754,35877,54815,13704,71754,22173,44346xe">
                      <v:path o:connectlocs="35877,0;0,27407;13704,71754;58050,71754;71754,27407" o:connectangles="247,164,82,82,0"/>
                      <v:fill on="t" focussize="0,0"/>
                      <v:stroke weight="2pt" color="#FF0000 [2404]" joinstyle="round"/>
                      <v:imagedata o:title=""/>
                      <o:lock v:ext="edit" aspectratio="f"/>
                    </v:shape>
                  </w:pict>
                </mc:Fallback>
              </mc:AlternateContent>
            </w:r>
          </w:p>
          <w:p w14:paraId="102BE178">
            <w:pPr>
              <w:autoSpaceDE w:val="0"/>
              <w:autoSpaceDN w:val="0"/>
              <w:adjustRightInd w:val="0"/>
              <w:snapToGrid w:val="0"/>
              <w:spacing w:line="480" w:lineRule="exact"/>
              <w:jc w:val="left"/>
              <w:rPr>
                <w:bCs/>
                <w:color w:val="000000" w:themeColor="text1"/>
                <w:kern w:val="0"/>
                <w:sz w:val="24"/>
                <w:highlight w:val="none"/>
                <w14:textFill>
                  <w14:solidFill>
                    <w14:schemeClr w14:val="tx1"/>
                  </w14:solidFill>
                </w14:textFill>
              </w:rPr>
            </w:pPr>
          </w:p>
          <w:p w14:paraId="6879AE5A">
            <w:pPr>
              <w:autoSpaceDE w:val="0"/>
              <w:autoSpaceDN w:val="0"/>
              <w:adjustRightInd w:val="0"/>
              <w:snapToGrid w:val="0"/>
              <w:spacing w:line="480" w:lineRule="exact"/>
              <w:jc w:val="left"/>
              <w:rPr>
                <w:bCs/>
                <w:color w:val="000000" w:themeColor="text1"/>
                <w:kern w:val="0"/>
                <w:sz w:val="24"/>
                <w:highlight w:val="none"/>
                <w14:textFill>
                  <w14:solidFill>
                    <w14:schemeClr w14:val="tx1"/>
                  </w14:solidFill>
                </w14:textFill>
              </w:rPr>
            </w:pPr>
          </w:p>
          <w:p w14:paraId="7F8103C4">
            <w:pPr>
              <w:autoSpaceDE w:val="0"/>
              <w:autoSpaceDN w:val="0"/>
              <w:adjustRightInd w:val="0"/>
              <w:snapToGrid w:val="0"/>
              <w:spacing w:line="480" w:lineRule="exact"/>
              <w:jc w:val="left"/>
              <w:rPr>
                <w:bCs/>
                <w:color w:val="000000" w:themeColor="text1"/>
                <w:kern w:val="0"/>
                <w:sz w:val="24"/>
                <w:highlight w:val="none"/>
                <w14:textFill>
                  <w14:solidFill>
                    <w14:schemeClr w14:val="tx1"/>
                  </w14:solidFill>
                </w14:textFill>
              </w:rPr>
            </w:pPr>
          </w:p>
          <w:p w14:paraId="2F96D70B">
            <w:pPr>
              <w:autoSpaceDE w:val="0"/>
              <w:autoSpaceDN w:val="0"/>
              <w:adjustRightInd w:val="0"/>
              <w:snapToGrid w:val="0"/>
              <w:spacing w:line="500" w:lineRule="exact"/>
              <w:ind w:firstLine="2409" w:firstLineChars="1000"/>
              <w:contextualSpacing/>
              <w:jc w:val="left"/>
              <w:rPr>
                <w:rFonts w:hint="eastAsia" w:ascii="宋体" w:hAnsi="宋体"/>
                <w:b/>
                <w:bCs/>
                <w:sz w:val="24"/>
                <w:highlight w:val="none"/>
              </w:rPr>
            </w:pPr>
            <w:r>
              <w:rPr>
                <w:rFonts w:hint="eastAsia"/>
                <w:b/>
                <w:bCs/>
                <w:sz w:val="24"/>
                <w:highlight w:val="none"/>
              </w:rPr>
              <w:t>图1</w:t>
            </w:r>
            <w:r>
              <w:rPr>
                <w:b/>
                <w:bCs/>
                <w:sz w:val="24"/>
                <w:highlight w:val="none"/>
              </w:rPr>
              <w:t>-</w:t>
            </w:r>
            <w:r>
              <w:rPr>
                <w:rFonts w:hint="eastAsia"/>
                <w:b/>
                <w:bCs/>
                <w:sz w:val="24"/>
                <w:highlight w:val="none"/>
                <w:lang w:val="en-US" w:eastAsia="zh-CN"/>
              </w:rPr>
              <w:t>1</w:t>
            </w:r>
            <w:r>
              <w:rPr>
                <w:rFonts w:hint="eastAsia"/>
                <w:b/>
                <w:bCs/>
                <w:sz w:val="24"/>
                <w:highlight w:val="none"/>
              </w:rPr>
              <w:t xml:space="preserve"> 本</w:t>
            </w:r>
            <w:r>
              <w:rPr>
                <w:rFonts w:hint="eastAsia" w:ascii="宋体" w:hAnsi="宋体"/>
                <w:b/>
                <w:bCs/>
                <w:sz w:val="24"/>
                <w:highlight w:val="none"/>
              </w:rPr>
              <w:t>项目与沙化土地分布对比结果图</w:t>
            </w:r>
          </w:p>
          <w:p w14:paraId="2DBB8018">
            <w:pPr>
              <w:autoSpaceDE w:val="0"/>
              <w:autoSpaceDN w:val="0"/>
              <w:adjustRightInd w:val="0"/>
              <w:snapToGrid w:val="0"/>
              <w:spacing w:line="500" w:lineRule="exact"/>
              <w:ind w:firstLine="480" w:firstLineChars="200"/>
              <w:contextualSpacing/>
              <w:rPr>
                <w:rFonts w:hint="eastAsia"/>
                <w:snapToGrid w:val="0"/>
                <w:kern w:val="0"/>
                <w:sz w:val="24"/>
                <w:highlight w:val="none"/>
              </w:rPr>
            </w:pPr>
            <w:r>
              <w:rPr>
                <w:rFonts w:hint="eastAsia"/>
                <w:snapToGrid w:val="0"/>
                <w:kern w:val="0"/>
                <w:sz w:val="24"/>
                <w:highlight w:val="none"/>
              </w:rPr>
              <w:t>本项目位于</w:t>
            </w:r>
            <w:r>
              <w:rPr>
                <w:color w:val="000000" w:themeColor="text1"/>
                <w:sz w:val="24"/>
                <w:highlight w:val="none"/>
                <w14:textFill>
                  <w14:solidFill>
                    <w14:schemeClr w14:val="tx1"/>
                  </w14:solidFill>
                </w14:textFill>
              </w:rPr>
              <w:t>唐山市滦州市响嘡街道田疃村</w:t>
            </w:r>
            <w:r>
              <w:rPr>
                <w:rFonts w:hint="eastAsia"/>
                <w:color w:val="000000" w:themeColor="text1"/>
                <w:sz w:val="24"/>
                <w:highlight w:val="none"/>
                <w14:textFill>
                  <w14:solidFill>
                    <w14:schemeClr w14:val="tx1"/>
                  </w14:solidFill>
                </w14:textFill>
              </w:rPr>
              <w:t>西北侧</w:t>
            </w:r>
            <w:r>
              <w:rPr>
                <w:bCs/>
                <w:color w:val="000000" w:themeColor="text1"/>
                <w:sz w:val="24"/>
                <w:highlight w:val="none"/>
                <w14:textFill>
                  <w14:solidFill>
                    <w14:schemeClr w14:val="tx1"/>
                  </w14:solidFill>
                </w14:textFill>
              </w:rPr>
              <w:t>滦县翼翔新型建材有限公司</w:t>
            </w:r>
            <w:r>
              <w:rPr>
                <w:rFonts w:hint="eastAsia"/>
                <w:bCs/>
                <w:color w:val="000000" w:themeColor="text1"/>
                <w:sz w:val="24"/>
                <w:highlight w:val="none"/>
                <w:lang w:val="en-US" w:eastAsia="zh-CN"/>
                <w14:textFill>
                  <w14:solidFill>
                    <w14:schemeClr w14:val="tx1"/>
                  </w14:solidFill>
                </w14:textFill>
              </w:rPr>
              <w:t>现有厂区内</w:t>
            </w:r>
            <w:r>
              <w:rPr>
                <w:rFonts w:hint="eastAsia"/>
                <w:snapToGrid w:val="0"/>
                <w:kern w:val="0"/>
                <w:sz w:val="24"/>
                <w:highlight w:val="none"/>
              </w:rPr>
              <w:t>，不涉及沙化土地区，厂区现状已采取硬化、绿化措施，本项目实施后建设单位进一步加强厂区绿化，不会加重</w:t>
            </w:r>
            <w:r>
              <w:rPr>
                <w:rFonts w:hint="eastAsia"/>
                <w:snapToGrid w:val="0"/>
                <w:kern w:val="0"/>
                <w:sz w:val="24"/>
                <w:highlight w:val="none"/>
                <w:lang w:val="en-US" w:eastAsia="zh-CN"/>
              </w:rPr>
              <w:t>滦州市土地</w:t>
            </w:r>
            <w:r>
              <w:rPr>
                <w:rFonts w:hint="eastAsia"/>
                <w:snapToGrid w:val="0"/>
                <w:kern w:val="0"/>
                <w:sz w:val="24"/>
                <w:highlight w:val="none"/>
              </w:rPr>
              <w:t>沙化趋势。</w:t>
            </w:r>
          </w:p>
          <w:p w14:paraId="7FC706E3">
            <w:pPr>
              <w:autoSpaceDE w:val="0"/>
              <w:autoSpaceDN w:val="0"/>
              <w:adjustRightInd w:val="0"/>
              <w:snapToGrid w:val="0"/>
              <w:spacing w:line="500" w:lineRule="exact"/>
              <w:ind w:firstLine="2409" w:firstLineChars="1000"/>
              <w:contextualSpacing/>
              <w:jc w:val="left"/>
              <w:rPr>
                <w:rFonts w:hint="eastAsia" w:ascii="宋体" w:hAnsi="宋体"/>
                <w:b/>
                <w:bCs/>
                <w:sz w:val="24"/>
                <w:highlight w:val="none"/>
              </w:rPr>
            </w:pPr>
          </w:p>
        </w:tc>
      </w:tr>
    </w:tbl>
    <w:p w14:paraId="5505DEC9">
      <w:pPr>
        <w:spacing w:line="360" w:lineRule="auto"/>
        <w:ind w:left="-105" w:right="-105"/>
        <w:outlineLvl w:val="0"/>
        <w:rPr>
          <w:rFonts w:eastAsia="黑体"/>
          <w:color w:val="000000" w:themeColor="text1"/>
          <w:sz w:val="30"/>
          <w:highlight w:val="green"/>
          <w14:textFill>
            <w14:solidFill>
              <w14:schemeClr w14:val="tx1"/>
            </w14:solidFill>
          </w14:textFill>
        </w:rPr>
        <w:sectPr>
          <w:footerReference r:id="rId7"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62471010">
      <w:pPr>
        <w:pStyle w:val="20"/>
        <w:ind w:left="-105" w:right="-105"/>
        <w:jc w:val="center"/>
        <w:outlineLvl w:val="0"/>
        <w:rPr>
          <w:rFonts w:ascii="黑体" w:hAnsi="黑体" w:eastAsia="黑体"/>
          <w:snapToGrid w:val="0"/>
          <w:color w:val="000000" w:themeColor="text1"/>
          <w:sz w:val="30"/>
          <w:szCs w:val="30"/>
          <w:highlight w:val="none"/>
          <w14:textFill>
            <w14:solidFill>
              <w14:schemeClr w14:val="tx1"/>
            </w14:solidFill>
          </w14:textFill>
        </w:rPr>
      </w:pPr>
      <w:bookmarkStart w:id="4" w:name="_Toc112747264"/>
      <w:r>
        <w:rPr>
          <w:rFonts w:hint="eastAsia" w:ascii="黑体" w:hAnsi="黑体" w:eastAsia="黑体"/>
          <w:snapToGrid w:val="0"/>
          <w:color w:val="000000" w:themeColor="text1"/>
          <w:sz w:val="30"/>
          <w:szCs w:val="30"/>
          <w:highlight w:val="none"/>
          <w14:textFill>
            <w14:solidFill>
              <w14:schemeClr w14:val="tx1"/>
            </w14:solidFill>
          </w14:textFill>
        </w:rPr>
        <w:t>二、建设项目工程分析</w:t>
      </w:r>
      <w:bookmarkEnd w:id="4"/>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84"/>
      </w:tblGrid>
      <w:tr w14:paraId="03F420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8984" w:type="dxa"/>
            <w:vAlign w:val="center"/>
          </w:tcPr>
          <w:p w14:paraId="6A13F640">
            <w:pPr>
              <w:pStyle w:val="20"/>
              <w:adjustRightInd w:val="0"/>
              <w:snapToGrid w:val="0"/>
              <w:spacing w:before="0" w:beforeAutospacing="0" w:after="0" w:afterAutospacing="0" w:line="480" w:lineRule="exact"/>
              <w:rPr>
                <w:rFonts w:ascii="黑体" w:hAnsi="黑体" w:eastAsia="黑体" w:cs="宋体"/>
                <w:b/>
                <w:color w:val="000000" w:themeColor="text1"/>
                <w:sz w:val="28"/>
                <w:szCs w:val="28"/>
                <w:highlight w:val="none"/>
                <w14:textFill>
                  <w14:solidFill>
                    <w14:schemeClr w14:val="tx1"/>
                  </w14:solidFill>
                </w14:textFill>
              </w:rPr>
            </w:pPr>
            <w:r>
              <w:rPr>
                <w:rFonts w:hint="eastAsia" w:ascii="黑体" w:hAnsi="黑体" w:eastAsia="黑体" w:cs="宋体"/>
                <w:b/>
                <w:color w:val="000000" w:themeColor="text1"/>
                <w:sz w:val="28"/>
                <w:szCs w:val="28"/>
                <w:highlight w:val="none"/>
                <w14:textFill>
                  <w14:solidFill>
                    <w14:schemeClr w14:val="tx1"/>
                  </w14:solidFill>
                </w14:textFill>
              </w:rPr>
              <w:t>建设内容</w:t>
            </w:r>
          </w:p>
          <w:p w14:paraId="611C3F7C">
            <w:pPr>
              <w:spacing w:line="46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1、项目由来</w:t>
            </w:r>
          </w:p>
          <w:p w14:paraId="471085AD">
            <w:pPr>
              <w:spacing w:line="460" w:lineRule="exact"/>
              <w:ind w:firstLine="480" w:firstLineChars="200"/>
              <w:rPr>
                <w:bCs/>
                <w:color w:val="000000" w:themeColor="text1"/>
                <w:sz w:val="24"/>
                <w:highlight w:val="none"/>
                <w14:textFill>
                  <w14:solidFill>
                    <w14:schemeClr w14:val="tx1"/>
                  </w14:solidFill>
                </w14:textFill>
              </w:rPr>
            </w:pPr>
            <w:bookmarkStart w:id="5" w:name="_Toc24437"/>
            <w:bookmarkStart w:id="6" w:name="_Toc1759"/>
            <w:bookmarkStart w:id="7" w:name="_Toc13485"/>
            <w:bookmarkStart w:id="8" w:name="_Toc31605"/>
            <w:bookmarkStart w:id="9" w:name="_Toc18165"/>
            <w:r>
              <w:rPr>
                <w:bCs/>
                <w:color w:val="000000" w:themeColor="text1"/>
                <w:sz w:val="24"/>
                <w:highlight w:val="none"/>
                <w14:textFill>
                  <w14:solidFill>
                    <w14:schemeClr w14:val="tx1"/>
                  </w14:solidFill>
                </w14:textFill>
              </w:rPr>
              <w:t>滦县翼翔新型建材有限公司始建于2010年，于2010年投资1000万元在唐山市滦州市响嘡街道田疃村西北侧实施</w:t>
            </w:r>
            <w:r>
              <w:rPr>
                <w:rFonts w:hint="eastAsia"/>
                <w:bCs/>
                <w:color w:val="000000" w:themeColor="text1"/>
                <w:sz w:val="24"/>
                <w:highlight w:val="none"/>
                <w:lang w:val="en-US" w:eastAsia="zh-CN"/>
                <w14:textFill>
                  <w14:solidFill>
                    <w14:schemeClr w14:val="tx1"/>
                  </w14:solidFill>
                </w14:textFill>
              </w:rPr>
              <w:t>了</w:t>
            </w:r>
            <w:r>
              <w:rPr>
                <w:bCs/>
                <w:color w:val="000000" w:themeColor="text1"/>
                <w:sz w:val="24"/>
                <w:highlight w:val="none"/>
                <w14:textFill>
                  <w14:solidFill>
                    <w14:schemeClr w14:val="tx1"/>
                  </w14:solidFill>
                </w14:textFill>
              </w:rPr>
              <w:t>“滦县翼翔新型建材有限公司年产5000万块页岩砖项目”，生产240×115×53mm</w:t>
            </w:r>
            <w:r>
              <w:rPr>
                <w:rFonts w:hint="eastAsia"/>
                <w:bCs/>
                <w:color w:val="000000" w:themeColor="text1"/>
                <w:sz w:val="24"/>
                <w:highlight w:val="none"/>
                <w14:textFill>
                  <w14:solidFill>
                    <w14:schemeClr w14:val="tx1"/>
                  </w14:solidFill>
                </w14:textFill>
              </w:rPr>
              <w:t>规格的普通页岩砖</w:t>
            </w:r>
            <w:r>
              <w:rPr>
                <w:bCs/>
                <w:color w:val="000000" w:themeColor="text1"/>
                <w:sz w:val="24"/>
                <w:highlight w:val="none"/>
                <w14:textFill>
                  <w14:solidFill>
                    <w14:schemeClr w14:val="tx1"/>
                  </w14:solidFill>
                </w14:textFill>
              </w:rPr>
              <w:t>及240×115×90mm</w:t>
            </w:r>
            <w:r>
              <w:rPr>
                <w:rFonts w:hint="eastAsia"/>
                <w:bCs/>
                <w:color w:val="000000" w:themeColor="text1"/>
                <w:sz w:val="24"/>
                <w:highlight w:val="none"/>
                <w14:textFill>
                  <w14:solidFill>
                    <w14:schemeClr w14:val="tx1"/>
                  </w14:solidFill>
                </w14:textFill>
              </w:rPr>
              <w:t>规格的多孔</w:t>
            </w:r>
            <w:r>
              <w:rPr>
                <w:bCs/>
                <w:color w:val="000000" w:themeColor="text1"/>
                <w:sz w:val="24"/>
                <w:highlight w:val="none"/>
                <w14:textFill>
                  <w14:solidFill>
                    <w14:schemeClr w14:val="tx1"/>
                  </w14:solidFill>
                </w14:textFill>
              </w:rPr>
              <w:t>页岩砖，</w:t>
            </w:r>
            <w:r>
              <w:rPr>
                <w:rFonts w:hint="eastAsia"/>
                <w:bCs/>
                <w:color w:val="000000" w:themeColor="text1"/>
                <w:sz w:val="24"/>
                <w:highlight w:val="none"/>
                <w14:textFill>
                  <w14:solidFill>
                    <w14:schemeClr w14:val="tx1"/>
                  </w14:solidFill>
                </w14:textFill>
              </w:rPr>
              <w:t>年</w:t>
            </w:r>
            <w:r>
              <w:rPr>
                <w:bCs/>
                <w:color w:val="000000" w:themeColor="text1"/>
                <w:sz w:val="24"/>
                <w:highlight w:val="none"/>
                <w14:textFill>
                  <w14:solidFill>
                    <w14:schemeClr w14:val="tx1"/>
                  </w14:solidFill>
                </w14:textFill>
              </w:rPr>
              <w:t>产能5000万块。《滦县翼翔新型建材有限公司年产5000万块页岩砖项目环境影响报告表》于2011年1月12日取得滦县环境保护局审批意见（滦环表[2011]005号），2012年3月7日由滦县环境保护局组织验收通过（滦环验[2012]002号）。</w:t>
            </w:r>
          </w:p>
          <w:p w14:paraId="65B030F8">
            <w:pPr>
              <w:spacing w:line="460" w:lineRule="exact"/>
              <w:ind w:firstLine="480" w:firstLineChars="200"/>
              <w:rPr>
                <w:rFonts w:hint="default" w:eastAsia="宋体"/>
                <w:bCs/>
                <w:color w:val="000000" w:themeColor="text1"/>
                <w:sz w:val="24"/>
                <w:highlight w:val="none"/>
                <w:lang w:val="en-US" w:eastAsia="zh-CN"/>
                <w14:textFill>
                  <w14:solidFill>
                    <w14:schemeClr w14:val="tx1"/>
                  </w14:solidFill>
                </w14:textFill>
              </w:rPr>
            </w:pPr>
            <w:r>
              <w:rPr>
                <w:bCs/>
                <w:color w:val="000000" w:themeColor="text1"/>
                <w:sz w:val="24"/>
                <w:highlight w:val="none"/>
                <w14:textFill>
                  <w14:solidFill>
                    <w14:schemeClr w14:val="tx1"/>
                  </w14:solidFill>
                </w14:textFill>
              </w:rPr>
              <w:t>2018年为提高项目清洁生产水平，污染物排放满足国家及地方污染物排放标准要求，对该项目做了变更</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2019年根据《2019年唐山市生态环境保护工作方案》、《唐山市砖瓦行业烟气达标治理工作方案》中“加强工业炉窑大气污染程度治理，强化无组织排放监管，推动砖瓦行业装备污染治理水平，较少大气污染物排放，确保砖瓦企业颗粒物，二氧化硫、氮氧化物等污染物排放大幅下降的要求”。企业投资450万元建设烟气达标治理项目，在原有脱硫除尘设备基础上对1号、2号、3号、4号焙烧隧道窑的脱硫进行技术改造。《滦县翼翔新型建材有限公司烟气达标治理项目环境影响报告表》已于2020年1月3日取得唐山市生态环境局滦州市分区审批意见（滦环表[2020]1号），2020年4月24日进行自主验收，并取得该项目竣工环境保护验收意见。滦县翼翔新型建材有限公司</w:t>
            </w:r>
            <w:r>
              <w:rPr>
                <w:rFonts w:hint="eastAsia"/>
                <w:bCs/>
                <w:color w:val="000000" w:themeColor="text1"/>
                <w:sz w:val="24"/>
                <w:highlight w:val="none"/>
                <w:lang w:val="en-US" w:eastAsia="zh-CN"/>
                <w14:textFill>
                  <w14:solidFill>
                    <w14:schemeClr w14:val="tx1"/>
                  </w14:solidFill>
                </w14:textFill>
              </w:rPr>
              <w:t>于2020年11月被评定为重污染天气重点行业B级企业。</w:t>
            </w:r>
          </w:p>
          <w:p w14:paraId="6DAFA581">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2021年根据唐山市大气污染防治工作领导小组办公室印发的《唐山市钢铁行业整治提升工作方案》等10项方案的通知（唐气领办[2021]15号），加强砖瓦窑大气污染深度治理，开展了污染治理设施整治提升工作，编制了《滦县</w:t>
            </w:r>
            <w:r>
              <w:rPr>
                <w:rFonts w:hint="eastAsia"/>
                <w:bCs/>
                <w:color w:val="000000" w:themeColor="text1"/>
                <w:sz w:val="24"/>
                <w:highlight w:val="none"/>
                <w14:textFill>
                  <w14:solidFill>
                    <w14:schemeClr w14:val="tx1"/>
                  </w14:solidFill>
                </w14:textFill>
              </w:rPr>
              <w:t>翼翔</w:t>
            </w:r>
            <w:r>
              <w:rPr>
                <w:bCs/>
                <w:color w:val="000000" w:themeColor="text1"/>
                <w:sz w:val="24"/>
                <w:highlight w:val="none"/>
                <w14:textFill>
                  <w14:solidFill>
                    <w14:schemeClr w14:val="tx1"/>
                  </w14:solidFill>
                </w14:textFill>
              </w:rPr>
              <w:t>新型建材有限公司整治提升工作验收报告》，于2021年7月9日取得专家关于《滦县翼翔新型建材有限公司环保整治提升改造验收意见》。</w:t>
            </w:r>
          </w:p>
          <w:p w14:paraId="19F3ABE5">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2021年9月24日填报了建设项目环境影响登记表，投资520万元建设隧道窑窑车吹扫除尘器2台，隧道窑烟气湿式电除尘2台。</w:t>
            </w:r>
          </w:p>
          <w:bookmarkEnd w:id="5"/>
          <w:bookmarkEnd w:id="6"/>
          <w:bookmarkEnd w:id="7"/>
          <w:bookmarkEnd w:id="8"/>
          <w:bookmarkEnd w:id="9"/>
          <w:p w14:paraId="72D1BFA3">
            <w:pPr>
              <w:spacing w:line="46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2023年12月，</w:t>
            </w:r>
            <w:r>
              <w:rPr>
                <w:color w:val="000000" w:themeColor="text1"/>
                <w:sz w:val="24"/>
                <w:highlight w:val="none"/>
                <w14:textFill>
                  <w14:solidFill>
                    <w14:schemeClr w14:val="tx1"/>
                  </w14:solidFill>
                </w14:textFill>
              </w:rPr>
              <w:t>为响应《污泥无害化处理和资源化利用实施方案》（发改环资[2022]1453号）</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《加快烧结砖瓦行业转型发展的若干意见》（工信部联原[2017]279号）</w:t>
            </w:r>
            <w:r>
              <w:rPr>
                <w:rFonts w:hint="eastAsia"/>
                <w:color w:val="000000" w:themeColor="text1"/>
                <w:sz w:val="24"/>
                <w:highlight w:val="none"/>
                <w14:textFill>
                  <w14:solidFill>
                    <w14:schemeClr w14:val="tx1"/>
                  </w14:solidFill>
                </w14:textFill>
              </w:rPr>
              <w:t>等文件，</w:t>
            </w:r>
            <w:r>
              <w:rPr>
                <w:color w:val="000000" w:themeColor="text1"/>
                <w:sz w:val="24"/>
                <w:highlight w:val="none"/>
                <w14:textFill>
                  <w14:solidFill>
                    <w14:schemeClr w14:val="tx1"/>
                  </w14:solidFill>
                </w14:textFill>
              </w:rPr>
              <w:t>降低能源消耗，发展循环经济，</w:t>
            </w:r>
            <w:r>
              <w:rPr>
                <w:rFonts w:hint="eastAsia"/>
                <w:color w:val="000000" w:themeColor="text1"/>
                <w:sz w:val="24"/>
                <w:highlight w:val="none"/>
                <w14:textFill>
                  <w14:solidFill>
                    <w14:schemeClr w14:val="tx1"/>
                  </w14:solidFill>
                </w14:textFill>
              </w:rPr>
              <w:t>建设单位</w:t>
            </w:r>
            <w:r>
              <w:rPr>
                <w:color w:val="000000" w:themeColor="text1"/>
                <w:sz w:val="24"/>
                <w:highlight w:val="none"/>
                <w14:textFill>
                  <w14:solidFill>
                    <w14:schemeClr w14:val="tx1"/>
                  </w14:solidFill>
                </w14:textFill>
              </w:rPr>
              <w:t>拟将工业污泥等一般固体废物替代原料中</w:t>
            </w:r>
            <w:r>
              <w:rPr>
                <w:rFonts w:hint="eastAsia"/>
                <w:color w:val="000000" w:themeColor="text1"/>
                <w:sz w:val="24"/>
                <w:highlight w:val="none"/>
                <w14:textFill>
                  <w14:solidFill>
                    <w14:schemeClr w14:val="tx1"/>
                  </w14:solidFill>
                </w14:textFill>
              </w:rPr>
              <w:t>部分</w:t>
            </w:r>
            <w:r>
              <w:rPr>
                <w:color w:val="000000" w:themeColor="text1"/>
                <w:sz w:val="24"/>
                <w:highlight w:val="none"/>
                <w14:textFill>
                  <w14:solidFill>
                    <w14:schemeClr w14:val="tx1"/>
                  </w14:solidFill>
                </w14:textFill>
              </w:rPr>
              <w:t>页岩，投资500万元</w:t>
            </w:r>
            <w:r>
              <w:rPr>
                <w:rFonts w:hint="eastAsia"/>
                <w:color w:val="000000" w:themeColor="text1"/>
                <w:sz w:val="24"/>
                <w:highlight w:val="none"/>
                <w14:textFill>
                  <w14:solidFill>
                    <w14:schemeClr w14:val="tx1"/>
                  </w14:solidFill>
                </w14:textFill>
              </w:rPr>
              <w:t>建设</w:t>
            </w:r>
            <w:r>
              <w:rPr>
                <w:color w:val="000000" w:themeColor="text1"/>
                <w:sz w:val="24"/>
                <w:highlight w:val="none"/>
                <w14:textFill>
                  <w14:solidFill>
                    <w14:schemeClr w14:val="tx1"/>
                  </w14:solidFill>
                </w14:textFill>
              </w:rPr>
              <w:t>技术改造</w:t>
            </w:r>
            <w:r>
              <w:rPr>
                <w:rFonts w:hint="eastAsia"/>
                <w:color w:val="000000" w:themeColor="text1"/>
                <w:sz w:val="24"/>
                <w:highlight w:val="none"/>
                <w14:textFill>
                  <w14:solidFill>
                    <w14:schemeClr w14:val="tx1"/>
                  </w14:solidFill>
                </w14:textFill>
              </w:rPr>
              <w:t>项目</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委托河北璟润环境科技有限公司编制</w:t>
            </w:r>
            <w:r>
              <w:rPr>
                <w:rFonts w:hint="eastAsia"/>
                <w:color w:val="000000" w:themeColor="text1"/>
                <w:sz w:val="24"/>
                <w:highlight w:val="none"/>
                <w:lang w:val="en-US" w:eastAsia="zh-CN"/>
                <w14:textFill>
                  <w14:solidFill>
                    <w14:schemeClr w14:val="tx1"/>
                  </w14:solidFill>
                </w14:textFill>
              </w:rPr>
              <w:t>了</w:t>
            </w:r>
            <w:r>
              <w:rPr>
                <w:rFonts w:hint="eastAsia"/>
                <w:color w:val="000000" w:themeColor="text1"/>
                <w:sz w:val="24"/>
                <w:highlight w:val="none"/>
                <w14:textFill>
                  <w14:solidFill>
                    <w14:schemeClr w14:val="tx1"/>
                  </w14:solidFill>
                </w14:textFill>
              </w:rPr>
              <w:t>《滦县翼翔新型建材有限公司固体废物综合利用技改项目环境影响报告表》，并于2024年1月15日取得滦州市行政审批局的审批意见（滦审批表[2024]2号）。由于建设单位拟增加利用生活污泥，于2024年4月19日召开了专家论证会，根据论证结论，增加利用生活污泥种类满足标准要求，在不增加利用的污泥总量情况下，可以增加利用生活污泥种类进行制砖。该项目于2024年5月16日进行自主验收取得专家组验收意见。</w:t>
            </w:r>
          </w:p>
          <w:p w14:paraId="5A10EA68">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工业和信息化部、环境保护部、国家安全监管总局关于《加快烧结砖瓦行业转型发展的若干意见》（工信部联原[2017]279号）中“强化综合利用鼓励利用工业固废、矿物尾渣、淤泥、污泥、农林废弃物等替代一次原燃料，支持利用建筑垃圾生产砖瓦制品，进一步扩大资源综合利用范围，提高原燃料中固废掺配比例，减少对天然资源的消耗。加大力度研发利用砖瓦烧结窑炉协同处置河湖淤泥、建筑废弃土、建筑渣土及其他废弃物的成套技术，探索利用大型烧结砖隧道窑安全处置城市污泥，提高综合处置能力和利用效率”、《唐山市“十四五”时期“无废城市”建设实施方案》（唐山市人民政府2022年12月）“多路径强化一般工业固体废物利用处置监管能力，提升一般工业固体废物综合利用水平，培育一般工业固体废物高值化综合利用骨干企业，积极推动一般工业固体废物综合利用制备新型建材、装配式建材”。</w:t>
            </w:r>
            <w:r>
              <w:rPr>
                <w:rFonts w:hint="eastAsia"/>
                <w:color w:val="000000" w:themeColor="text1"/>
                <w:sz w:val="24"/>
                <w:highlight w:val="none"/>
                <w14:textFill>
                  <w14:solidFill>
                    <w14:schemeClr w14:val="tx1"/>
                  </w14:solidFill>
                </w14:textFill>
              </w:rPr>
              <w:t>除工业污泥外，一些其他一般工业固体废物也可用于制砖，如炉渣、铁选厂干排淤泥</w:t>
            </w:r>
            <w:r>
              <w:rPr>
                <w:color w:val="000000" w:themeColor="text1"/>
                <w:sz w:val="24"/>
                <w:highlight w:val="none"/>
                <w14:textFill>
                  <w14:solidFill>
                    <w14:schemeClr w14:val="tx1"/>
                  </w14:solidFill>
                </w14:textFill>
              </w:rPr>
              <w:t>等</w:t>
            </w:r>
            <w:r>
              <w:rPr>
                <w:rFonts w:hint="eastAsia"/>
                <w:color w:val="000000" w:themeColor="text1"/>
                <w:sz w:val="24"/>
                <w:highlight w:val="none"/>
                <w14:textFill>
                  <w14:solidFill>
                    <w14:schemeClr w14:val="tx1"/>
                  </w14:solidFill>
                </w14:textFill>
              </w:rPr>
              <w:t>，通过提高固废掺配比例，可减少天然资料消耗，同时</w:t>
            </w:r>
            <w:r>
              <w:rPr>
                <w:color w:val="000000" w:themeColor="text1"/>
                <w:sz w:val="24"/>
                <w:highlight w:val="none"/>
                <w14:textFill>
                  <w14:solidFill>
                    <w14:schemeClr w14:val="tx1"/>
                  </w14:solidFill>
                </w14:textFill>
              </w:rPr>
              <w:t>在烧制的过程中，</w:t>
            </w:r>
            <w:r>
              <w:rPr>
                <w:rFonts w:hint="eastAsia"/>
                <w:color w:val="000000" w:themeColor="text1"/>
                <w:sz w:val="24"/>
                <w:highlight w:val="none"/>
                <w14:textFill>
                  <w14:solidFill>
                    <w14:schemeClr w14:val="tx1"/>
                  </w14:solidFill>
                </w14:textFill>
              </w:rPr>
              <w:t>炉渣的高</w:t>
            </w:r>
            <w:r>
              <w:rPr>
                <w:color w:val="000000" w:themeColor="text1"/>
                <w:sz w:val="24"/>
                <w:highlight w:val="none"/>
                <w14:textFill>
                  <w14:solidFill>
                    <w14:schemeClr w14:val="tx1"/>
                  </w14:solidFill>
                </w14:textFill>
              </w:rPr>
              <w:t>热值补充了高温焙烧的热量，同时降低了能源的消耗</w:t>
            </w:r>
            <w:r>
              <w:rPr>
                <w:rFonts w:hint="eastAsia"/>
                <w:color w:val="000000" w:themeColor="text1"/>
                <w:sz w:val="24"/>
                <w:highlight w:val="none"/>
                <w14:textFill>
                  <w14:solidFill>
                    <w14:schemeClr w14:val="tx1"/>
                  </w14:solidFill>
                </w14:textFill>
              </w:rPr>
              <w:t>，降低成本。</w:t>
            </w:r>
          </w:p>
          <w:p w14:paraId="5D9B26FD">
            <w:pPr>
              <w:spacing w:line="460" w:lineRule="exact"/>
              <w:ind w:firstLine="480" w:firstLineChars="200"/>
              <w:rPr>
                <w:rFonts w:hint="default" w:eastAsia="宋体"/>
                <w:bCs/>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为此，</w:t>
            </w:r>
            <w:r>
              <w:rPr>
                <w:rFonts w:hint="eastAsia"/>
                <w:color w:val="000000" w:themeColor="text1"/>
                <w:sz w:val="24"/>
                <w:highlight w:val="none"/>
                <w14:textFill>
                  <w14:solidFill>
                    <w14:schemeClr w14:val="tx1"/>
                  </w14:solidFill>
                </w14:textFill>
              </w:rPr>
              <w:t>滦县翼翔新型建材有限公司</w:t>
            </w:r>
            <w:r>
              <w:rPr>
                <w:rFonts w:hint="eastAsia"/>
                <w:color w:val="000000" w:themeColor="text1"/>
                <w:sz w:val="24"/>
                <w:highlight w:val="none"/>
                <w:lang w:val="en-US" w:eastAsia="zh-CN"/>
                <w14:textFill>
                  <w14:solidFill>
                    <w14:schemeClr w14:val="tx1"/>
                  </w14:solidFill>
                </w14:textFill>
              </w:rPr>
              <w:t>于2025年5月实施了“</w:t>
            </w:r>
            <w:r>
              <w:rPr>
                <w:rFonts w:hint="eastAsia"/>
                <w:bCs/>
                <w:color w:val="000000" w:themeColor="text1"/>
                <w:sz w:val="24"/>
                <w:highlight w:val="none"/>
                <w14:textFill>
                  <w14:solidFill>
                    <w14:schemeClr w14:val="tx1"/>
                  </w14:solidFill>
                </w14:textFill>
              </w:rPr>
              <w:t>年产32000万块烧结粉煤灰页岩多孔砖生产线及10万立方米加气混凝土砌块建设项目</w:t>
            </w:r>
            <w:r>
              <w:rPr>
                <w:rFonts w:hint="eastAsia"/>
                <w:color w:val="000000" w:themeColor="text1"/>
                <w:sz w:val="24"/>
                <w:highlight w:val="none"/>
                <w:lang w:val="en-US" w:eastAsia="zh-CN"/>
                <w14:textFill>
                  <w14:solidFill>
                    <w14:schemeClr w14:val="tx1"/>
                  </w14:solidFill>
                </w14:textFill>
              </w:rPr>
              <w:t>”，企业承诺</w:t>
            </w:r>
            <w:r>
              <w:rPr>
                <w:rFonts w:hint="eastAsia"/>
                <w:color w:val="000000" w:themeColor="text1"/>
                <w:sz w:val="24"/>
                <w:highlight w:val="none"/>
                <w14:textFill>
                  <w14:solidFill>
                    <w14:schemeClr w14:val="tx1"/>
                  </w14:solidFill>
                </w14:textFill>
              </w:rPr>
              <w:t>不再建设</w:t>
            </w:r>
            <w:r>
              <w:rPr>
                <w:rFonts w:hint="eastAsia"/>
                <w:bCs/>
                <w:color w:val="000000" w:themeColor="text1"/>
                <w:sz w:val="24"/>
                <w:highlight w:val="none"/>
                <w14:textFill>
                  <w14:solidFill>
                    <w14:schemeClr w14:val="tx1"/>
                  </w14:solidFill>
                </w14:textFill>
              </w:rPr>
              <w:t>10万立方米加气混凝土砌块生产线，</w:t>
            </w:r>
            <w:r>
              <w:rPr>
                <w:rFonts w:hint="eastAsia"/>
                <w:bCs/>
                <w:color w:val="000000" w:themeColor="text1"/>
                <w:sz w:val="24"/>
                <w:highlight w:val="none"/>
                <w:lang w:val="en-US" w:eastAsia="zh-CN"/>
                <w14:textFill>
                  <w14:solidFill>
                    <w14:schemeClr w14:val="tx1"/>
                  </w14:solidFill>
                </w14:textFill>
              </w:rPr>
              <w:t>仅</w:t>
            </w:r>
            <w:r>
              <w:rPr>
                <w:rFonts w:hint="eastAsia"/>
                <w:bCs/>
                <w:color w:val="000000" w:themeColor="text1"/>
                <w:sz w:val="24"/>
                <w:highlight w:val="none"/>
                <w14:textFill>
                  <w14:solidFill>
                    <w14:schemeClr w14:val="tx1"/>
                  </w14:solidFill>
                </w14:textFill>
              </w:rPr>
              <w:t>建设12000万块烧结页岩砖，其余产能由企业根据市场情况决定并办理相关环评手续</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该项目于2025年5月13日取得了滦州市行政审批局的批复文件（滦审批表[2025]24号），目前该项目处于前期建设阶段。</w:t>
            </w:r>
          </w:p>
          <w:p w14:paraId="62D7D981">
            <w:pPr>
              <w:spacing w:line="460" w:lineRule="exact"/>
              <w:ind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近期由于市场需求的变化，企业拟将年产能从</w:t>
            </w:r>
            <w:r>
              <w:rPr>
                <w:rFonts w:hint="eastAsia"/>
                <w:bCs/>
                <w:color w:val="000000" w:themeColor="text1"/>
                <w:sz w:val="24"/>
                <w:highlight w:val="none"/>
                <w14:textFill>
                  <w14:solidFill>
                    <w14:schemeClr w14:val="tx1"/>
                  </w14:solidFill>
                </w14:textFill>
              </w:rPr>
              <w:t>12000万块烧结页岩砖</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折标砖13300万块</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提升至3</w:t>
            </w:r>
            <w:r>
              <w:rPr>
                <w:rFonts w:hint="eastAsia"/>
                <w:bCs/>
                <w:color w:val="000000" w:themeColor="text1"/>
                <w:sz w:val="24"/>
                <w:highlight w:val="none"/>
                <w14:textFill>
                  <w14:solidFill>
                    <w14:schemeClr w14:val="tx1"/>
                  </w14:solidFill>
                </w14:textFill>
              </w:rPr>
              <w:t>2000万块烧结页岩砖</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折标砖40115万块</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根据《关于印发（污染影响类建设项目重大变动清单）试行》的通知》（环办环评函[2020]688号）“生产能力增大30%及以上的”属于重大变动。</w:t>
            </w:r>
          </w:p>
          <w:p w14:paraId="69271118">
            <w:pPr>
              <w:spacing w:line="480" w:lineRule="exact"/>
              <w:ind w:firstLine="1528" w:firstLineChars="637"/>
              <w:rPr>
                <w:rFonts w:ascii="黑体" w:hAnsi="黑体" w:eastAsia="黑体"/>
                <w:color w:val="000000" w:themeColor="text1"/>
                <w:kern w:val="0"/>
                <w:sz w:val="24"/>
                <w:highlight w:val="none"/>
                <w14:textFill>
                  <w14:solidFill>
                    <w14:schemeClr w14:val="tx1"/>
                  </w14:solidFill>
                </w14:textFill>
              </w:rPr>
            </w:pPr>
            <w:r>
              <w:rPr>
                <w:rFonts w:ascii="黑体" w:hAnsi="黑体" w:eastAsia="黑体"/>
                <w:color w:val="000000" w:themeColor="text1"/>
                <w:kern w:val="0"/>
                <w:sz w:val="24"/>
                <w:highlight w:val="none"/>
                <w14:textFill>
                  <w14:solidFill>
                    <w14:schemeClr w14:val="tx1"/>
                  </w14:solidFill>
                </w14:textFill>
              </w:rPr>
              <w:t xml:space="preserve">表2-1 </w:t>
            </w:r>
            <w:r>
              <w:rPr>
                <w:rFonts w:hint="eastAsia"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lang w:val="en-US" w:eastAsia="zh-CN"/>
                <w14:textFill>
                  <w14:solidFill>
                    <w14:schemeClr w14:val="tx1"/>
                  </w14:solidFill>
                </w14:textFill>
              </w:rPr>
              <w:t>项目重大变动判定情况</w:t>
            </w:r>
            <w:r>
              <w:rPr>
                <w:rFonts w:ascii="黑体" w:hAnsi="黑体" w:eastAsia="黑体"/>
                <w:color w:val="000000" w:themeColor="text1"/>
                <w:kern w:val="0"/>
                <w:sz w:val="24"/>
                <w:highlight w:val="none"/>
                <w14:textFill>
                  <w14:solidFill>
                    <w14:schemeClr w14:val="tx1"/>
                  </w14:solidFill>
                </w14:textFill>
              </w:rPr>
              <w:t>一览表</w:t>
            </w:r>
          </w:p>
          <w:tbl>
            <w:tblPr>
              <w:tblStyle w:val="24"/>
              <w:tblW w:w="88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741"/>
              <w:gridCol w:w="2155"/>
              <w:gridCol w:w="2973"/>
              <w:gridCol w:w="1972"/>
            </w:tblGrid>
            <w:tr w14:paraId="66219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741" w:type="dxa"/>
                  <w:vAlign w:val="center"/>
                </w:tcPr>
                <w:p w14:paraId="14BDD901">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原生产能力</w:t>
                  </w:r>
                </w:p>
              </w:tc>
              <w:tc>
                <w:tcPr>
                  <w:tcW w:w="2155" w:type="dxa"/>
                  <w:vAlign w:val="center"/>
                </w:tcPr>
                <w:p w14:paraId="2654D4C5">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拟变更生产能力为</w:t>
                  </w:r>
                </w:p>
              </w:tc>
              <w:tc>
                <w:tcPr>
                  <w:tcW w:w="2973" w:type="dxa"/>
                  <w:vAlign w:val="center"/>
                </w:tcPr>
                <w:p w14:paraId="33EA00B8">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产能变化情况</w:t>
                  </w:r>
                </w:p>
              </w:tc>
              <w:tc>
                <w:tcPr>
                  <w:tcW w:w="1972" w:type="dxa"/>
                  <w:vAlign w:val="center"/>
                </w:tcPr>
                <w:p w14:paraId="5EE84851">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是否属于重大变动</w:t>
                  </w:r>
                </w:p>
              </w:tc>
            </w:tr>
            <w:tr w14:paraId="058E41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741" w:type="dxa"/>
                  <w:vAlign w:val="center"/>
                </w:tcPr>
                <w:p w14:paraId="47E402D7">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13300万块标砖/年</w:t>
                  </w:r>
                </w:p>
              </w:tc>
              <w:tc>
                <w:tcPr>
                  <w:tcW w:w="2155" w:type="dxa"/>
                  <w:vAlign w:val="center"/>
                </w:tcPr>
                <w:p w14:paraId="1AE0A378">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40115万块标砖/年</w:t>
                  </w:r>
                </w:p>
              </w:tc>
              <w:tc>
                <w:tcPr>
                  <w:tcW w:w="2973" w:type="dxa"/>
                  <w:vAlign w:val="center"/>
                </w:tcPr>
                <w:p w14:paraId="63550138">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生产能力增大约2倍</w:t>
                  </w:r>
                </w:p>
              </w:tc>
              <w:tc>
                <w:tcPr>
                  <w:tcW w:w="1972" w:type="dxa"/>
                  <w:vAlign w:val="center"/>
                </w:tcPr>
                <w:p w14:paraId="37BF94F2">
                  <w:pPr>
                    <w:adjustRightInd w:val="0"/>
                    <w:snapToGrid w:val="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属于</w:t>
                  </w:r>
                </w:p>
              </w:tc>
            </w:tr>
          </w:tbl>
          <w:p w14:paraId="59C911D4">
            <w:pPr>
              <w:spacing w:line="460" w:lineRule="exact"/>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本项目生产能力变化情况属于重大变动，应重新报批</w:t>
            </w:r>
            <w:r>
              <w:rPr>
                <w:rFonts w:hint="eastAsia"/>
                <w:color w:val="000000" w:themeColor="text1"/>
                <w:sz w:val="24"/>
                <w:highlight w:val="none"/>
                <w:lang w:val="en-US"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年产32000万块烧结粉煤灰页岩多孔砖生产线及10万立方米加气混凝土砌块建设项目</w:t>
            </w:r>
            <w:r>
              <w:rPr>
                <w:rFonts w:hint="eastAsia"/>
                <w:color w:val="000000" w:themeColor="text1"/>
                <w:sz w:val="24"/>
                <w:highlight w:val="none"/>
                <w:lang w:val="en-US"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环境影响评价文件。</w:t>
            </w:r>
            <w:r>
              <w:rPr>
                <w:color w:val="000000" w:themeColor="text1"/>
                <w:sz w:val="24"/>
                <w:highlight w:val="none"/>
                <w14:textFill>
                  <w14:solidFill>
                    <w14:schemeClr w14:val="tx1"/>
                  </w14:solidFill>
                </w14:textFill>
              </w:rPr>
              <w:t>根据《中华人民共和国环境影响评价法》、《建设项目环境保护管理条例》、《建设项目环境影响评价分类管理名录》（2021年）及国家有关法律、法规的要求，本项目属于</w:t>
            </w:r>
            <w:r>
              <w:rPr>
                <w:rFonts w:hint="eastAsia"/>
                <w:color w:val="000000" w:themeColor="text1"/>
                <w:sz w:val="24"/>
                <w:highlight w:val="none"/>
                <w14:textFill>
                  <w14:solidFill>
                    <w14:schemeClr w14:val="tx1"/>
                  </w14:solidFill>
                </w14:textFill>
              </w:rPr>
              <w:t>“二十七、非金属矿物制品业</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56砖瓦、石材等建筑材料制造303</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粘土砖瓦及建筑砌块制造”，应当编制</w:t>
            </w:r>
            <w:r>
              <w:rPr>
                <w:color w:val="000000" w:themeColor="text1"/>
                <w:sz w:val="24"/>
                <w:highlight w:val="none"/>
                <w14:textFill>
                  <w14:solidFill>
                    <w14:schemeClr w14:val="tx1"/>
                  </w14:solidFill>
                </w14:textFill>
              </w:rPr>
              <w:t>建设项目环境影响报告表</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四十三、生态保护和环境治理业—一般工业固体废物（含污水处理污泥）、建筑施工废弃物处置及综合利用—其他</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应编制建设项目环境影响报告表。</w:t>
            </w:r>
          </w:p>
          <w:p w14:paraId="5263C1A3">
            <w:pPr>
              <w:spacing w:line="46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综合以上要求，本项目应当编制</w:t>
            </w:r>
            <w:r>
              <w:rPr>
                <w:color w:val="000000" w:themeColor="text1"/>
                <w:sz w:val="24"/>
                <w:highlight w:val="none"/>
                <w14:textFill>
                  <w14:solidFill>
                    <w14:schemeClr w14:val="tx1"/>
                  </w14:solidFill>
                </w14:textFill>
              </w:rPr>
              <w:t>建设项目环境影响报告表</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为此，</w:t>
            </w:r>
            <w:r>
              <w:rPr>
                <w:rFonts w:hint="eastAsia"/>
                <w:bCs/>
                <w:color w:val="000000" w:themeColor="text1"/>
                <w:sz w:val="24"/>
                <w:highlight w:val="none"/>
                <w14:textFill>
                  <w14:solidFill>
                    <w14:schemeClr w14:val="tx1"/>
                  </w14:solidFill>
                </w14:textFill>
              </w:rPr>
              <w:t>滦县翼翔新型建材有限公司</w:t>
            </w:r>
            <w:r>
              <w:rPr>
                <w:color w:val="000000" w:themeColor="text1"/>
                <w:sz w:val="24"/>
                <w:highlight w:val="none"/>
                <w14:textFill>
                  <w14:solidFill>
                    <w14:schemeClr w14:val="tx1"/>
                  </w14:solidFill>
                </w14:textFill>
              </w:rPr>
              <w:t>委托</w:t>
            </w:r>
            <w:r>
              <w:rPr>
                <w:rFonts w:hint="eastAsia"/>
                <w:color w:val="000000" w:themeColor="text1"/>
                <w:sz w:val="24"/>
                <w:highlight w:val="none"/>
                <w14:textFill>
                  <w14:solidFill>
                    <w14:schemeClr w14:val="tx1"/>
                  </w14:solidFill>
                </w14:textFill>
              </w:rPr>
              <w:t>我公司</w:t>
            </w:r>
            <w:r>
              <w:rPr>
                <w:color w:val="000000" w:themeColor="text1"/>
                <w:sz w:val="24"/>
                <w:highlight w:val="none"/>
                <w14:textFill>
                  <w14:solidFill>
                    <w14:schemeClr w14:val="tx1"/>
                  </w14:solidFill>
                </w14:textFill>
              </w:rPr>
              <w:t>进行该项目环境影响评价工作。在接受委托后，</w:t>
            </w:r>
            <w:r>
              <w:rPr>
                <w:rFonts w:hint="eastAsia"/>
                <w:color w:val="000000" w:themeColor="text1"/>
                <w:sz w:val="24"/>
                <w:highlight w:val="none"/>
                <w14:textFill>
                  <w14:solidFill>
                    <w14:schemeClr w14:val="tx1"/>
                  </w14:solidFill>
                </w14:textFill>
              </w:rPr>
              <w:t>我公司</w:t>
            </w:r>
            <w:r>
              <w:rPr>
                <w:color w:val="000000" w:themeColor="text1"/>
                <w:sz w:val="24"/>
                <w:highlight w:val="none"/>
                <w14:textFill>
                  <w14:solidFill>
                    <w14:schemeClr w14:val="tx1"/>
                  </w14:solidFill>
                </w14:textFill>
              </w:rPr>
              <w:t>即派工程技术人员进行了现场踏勘、资料收集，并按照国家相关要求编制完成了本报告表。</w:t>
            </w:r>
          </w:p>
          <w:p w14:paraId="60099E8A">
            <w:pPr>
              <w:spacing w:line="48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2、现有工程概况</w:t>
            </w:r>
          </w:p>
          <w:p w14:paraId="671BB6CC">
            <w:pPr>
              <w:pStyle w:val="48"/>
              <w:spacing w:line="480" w:lineRule="exact"/>
              <w:ind w:firstLine="480" w:firstLineChars="200"/>
              <w:rPr>
                <w:rFonts w:ascii="Times New Roman"/>
                <w:color w:val="000000" w:themeColor="text1"/>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现有工程产品为普通页岩砖</w:t>
            </w:r>
            <w:r>
              <w:rPr>
                <w:bCs/>
                <w:color w:val="000000" w:themeColor="text1"/>
                <w:sz w:val="24"/>
                <w:highlight w:val="none"/>
                <w14:textFill>
                  <w14:solidFill>
                    <w14:schemeClr w14:val="tx1"/>
                  </w14:solidFill>
                </w14:textFill>
              </w:rPr>
              <w:t>及</w:t>
            </w:r>
            <w:r>
              <w:rPr>
                <w:rFonts w:hint="eastAsia"/>
                <w:bCs/>
                <w:color w:val="000000" w:themeColor="text1"/>
                <w:sz w:val="24"/>
                <w:highlight w:val="none"/>
                <w14:textFill>
                  <w14:solidFill>
                    <w14:schemeClr w14:val="tx1"/>
                  </w14:solidFill>
                </w14:textFill>
              </w:rPr>
              <w:t>多孔</w:t>
            </w:r>
            <w:r>
              <w:rPr>
                <w:bCs/>
                <w:color w:val="000000" w:themeColor="text1"/>
                <w:sz w:val="24"/>
                <w:highlight w:val="none"/>
                <w14:textFill>
                  <w14:solidFill>
                    <w14:schemeClr w14:val="tx1"/>
                  </w14:solidFill>
                </w14:textFill>
              </w:rPr>
              <w:t>页岩砖，</w:t>
            </w:r>
            <w:r>
              <w:rPr>
                <w:rFonts w:hint="eastAsia"/>
                <w:bCs/>
                <w:color w:val="000000" w:themeColor="text1"/>
                <w:sz w:val="24"/>
                <w:highlight w:val="none"/>
                <w14:textFill>
                  <w14:solidFill>
                    <w14:schemeClr w14:val="tx1"/>
                  </w14:solidFill>
                </w14:textFill>
              </w:rPr>
              <w:t>年</w:t>
            </w:r>
            <w:r>
              <w:rPr>
                <w:bCs/>
                <w:color w:val="000000" w:themeColor="text1"/>
                <w:sz w:val="24"/>
                <w:highlight w:val="none"/>
                <w14:textFill>
                  <w14:solidFill>
                    <w14:schemeClr w14:val="tx1"/>
                  </w14:solidFill>
                </w14:textFill>
              </w:rPr>
              <w:t>产能5000万块</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年工作300天，</w:t>
            </w:r>
            <w:r>
              <w:rPr>
                <w:rFonts w:ascii="Times New Roman"/>
                <w:color w:val="000000" w:themeColor="text1"/>
                <w:kern w:val="0"/>
                <w:highlight w:val="none"/>
                <w14:textFill>
                  <w14:solidFill>
                    <w14:schemeClr w14:val="tx1"/>
                  </w14:solidFill>
                </w14:textFill>
              </w:rPr>
              <w:t>原料破碎、陈化、成型、码坯工段每天</w:t>
            </w:r>
            <w:r>
              <w:rPr>
                <w:rFonts w:hint="eastAsia" w:ascii="Times New Roman"/>
                <w:color w:val="000000" w:themeColor="text1"/>
                <w:kern w:val="0"/>
                <w:highlight w:val="none"/>
                <w:lang w:val="en-US" w:eastAsia="zh-CN"/>
                <w14:textFill>
                  <w14:solidFill>
                    <w14:schemeClr w14:val="tx1"/>
                  </w14:solidFill>
                </w14:textFill>
              </w:rPr>
              <w:t>1</w:t>
            </w:r>
            <w:r>
              <w:rPr>
                <w:rFonts w:ascii="Times New Roman"/>
                <w:color w:val="000000" w:themeColor="text1"/>
                <w:kern w:val="0"/>
                <w:highlight w:val="none"/>
                <w14:textFill>
                  <w14:solidFill>
                    <w14:schemeClr w14:val="tx1"/>
                  </w14:solidFill>
                </w14:textFill>
              </w:rPr>
              <w:t>班，每班8小时，干燥及焙烧工序每天3班</w:t>
            </w:r>
            <w:r>
              <w:rPr>
                <w:rFonts w:hint="eastAsia" w:ascii="Times New Roman"/>
                <w:color w:val="000000" w:themeColor="text1"/>
                <w:highlight w:val="none"/>
                <w14:textFill>
                  <w14:solidFill>
                    <w14:schemeClr w14:val="tx1"/>
                  </w14:solidFill>
                </w14:textFill>
              </w:rPr>
              <w:t>，每班8</w:t>
            </w:r>
            <w:r>
              <w:rPr>
                <w:rFonts w:ascii="Times New Roman"/>
                <w:color w:val="000000" w:themeColor="text1"/>
                <w:highlight w:val="none"/>
                <w14:textFill>
                  <w14:solidFill>
                    <w14:schemeClr w14:val="tx1"/>
                  </w14:solidFill>
                </w14:textFill>
              </w:rPr>
              <w:t>小时</w:t>
            </w:r>
            <w:r>
              <w:rPr>
                <w:rFonts w:hint="eastAsia" w:ascii="Times New Roman"/>
                <w:color w:val="000000" w:themeColor="text1"/>
                <w:highlight w:val="none"/>
                <w14:textFill>
                  <w14:solidFill>
                    <w14:schemeClr w14:val="tx1"/>
                  </w14:solidFill>
                </w14:textFill>
              </w:rPr>
              <w:t>。</w:t>
            </w:r>
          </w:p>
          <w:p w14:paraId="6F730F3A">
            <w:pPr>
              <w:autoSpaceDE w:val="0"/>
              <w:autoSpaceDN w:val="0"/>
              <w:adjustRightInd w:val="0"/>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现有工程</w:t>
            </w:r>
            <w:r>
              <w:rPr>
                <w:color w:val="000000" w:themeColor="text1"/>
                <w:sz w:val="24"/>
                <w:highlight w:val="none"/>
                <w14:textFill>
                  <w14:solidFill>
                    <w14:schemeClr w14:val="tx1"/>
                  </w14:solidFill>
                </w14:textFill>
              </w:rPr>
              <w:t>建设内容一览表见表2-</w:t>
            </w:r>
            <w:r>
              <w:rPr>
                <w:rFonts w:hint="eastAsia"/>
                <w:color w:val="000000" w:themeColor="text1"/>
                <w:sz w:val="24"/>
                <w:highlight w:val="none"/>
                <w:lang w:val="en-US" w:eastAsia="zh-CN"/>
                <w14:textFill>
                  <w14:solidFill>
                    <w14:schemeClr w14:val="tx1"/>
                  </w14:solidFill>
                </w14:textFill>
              </w:rPr>
              <w:t>2</w:t>
            </w:r>
            <w:r>
              <w:rPr>
                <w:color w:val="000000" w:themeColor="text1"/>
                <w:sz w:val="24"/>
                <w:highlight w:val="none"/>
                <w14:textFill>
                  <w14:solidFill>
                    <w14:schemeClr w14:val="tx1"/>
                  </w14:solidFill>
                </w14:textFill>
              </w:rPr>
              <w:t>。</w:t>
            </w:r>
          </w:p>
          <w:p w14:paraId="066DEC5E">
            <w:pPr>
              <w:spacing w:line="480" w:lineRule="exact"/>
              <w:ind w:firstLine="1528" w:firstLineChars="637"/>
              <w:rPr>
                <w:rFonts w:ascii="黑体" w:hAnsi="黑体" w:eastAsia="黑体"/>
                <w:color w:val="000000" w:themeColor="text1"/>
                <w:kern w:val="0"/>
                <w:sz w:val="24"/>
                <w:highlight w:val="none"/>
                <w14:textFill>
                  <w14:solidFill>
                    <w14:schemeClr w14:val="tx1"/>
                  </w14:solidFill>
                </w14:textFill>
              </w:rPr>
            </w:pPr>
            <w:r>
              <w:rPr>
                <w:rFonts w:ascii="黑体" w:hAnsi="黑体" w:eastAsia="黑体"/>
                <w:color w:val="000000" w:themeColor="text1"/>
                <w:kern w:val="0"/>
                <w:sz w:val="24"/>
                <w:highlight w:val="none"/>
                <w14:textFill>
                  <w14:solidFill>
                    <w14:schemeClr w14:val="tx1"/>
                  </w14:solidFill>
                </w14:textFill>
              </w:rPr>
              <w:t>表2-</w:t>
            </w:r>
            <w:r>
              <w:rPr>
                <w:rFonts w:hint="eastAsia" w:ascii="黑体" w:hAnsi="黑体" w:eastAsia="黑体"/>
                <w:color w:val="000000" w:themeColor="text1"/>
                <w:kern w:val="0"/>
                <w:sz w:val="24"/>
                <w:highlight w:val="none"/>
                <w:lang w:val="en-US" w:eastAsia="zh-CN"/>
                <w14:textFill>
                  <w14:solidFill>
                    <w14:schemeClr w14:val="tx1"/>
                  </w14:solidFill>
                </w14:textFill>
              </w:rPr>
              <w:t>2</w:t>
            </w:r>
            <w:r>
              <w:rPr>
                <w:rFonts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14:textFill>
                  <w14:solidFill>
                    <w14:schemeClr w14:val="tx1"/>
                  </w14:solidFill>
                </w14:textFill>
              </w:rPr>
              <w:t xml:space="preserve">       </w:t>
            </w:r>
            <w:r>
              <w:rPr>
                <w:rFonts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14:textFill>
                  <w14:solidFill>
                    <w14:schemeClr w14:val="tx1"/>
                  </w14:solidFill>
                </w14:textFill>
              </w:rPr>
              <w:t xml:space="preserve"> 现有工程建设内容</w:t>
            </w:r>
            <w:r>
              <w:rPr>
                <w:rFonts w:ascii="黑体" w:hAnsi="黑体" w:eastAsia="黑体"/>
                <w:color w:val="000000" w:themeColor="text1"/>
                <w:kern w:val="0"/>
                <w:sz w:val="24"/>
                <w:highlight w:val="none"/>
                <w14:textFill>
                  <w14:solidFill>
                    <w14:schemeClr w14:val="tx1"/>
                  </w14:solidFill>
                </w14:textFill>
              </w:rPr>
              <w:t>一览表</w:t>
            </w:r>
          </w:p>
          <w:tbl>
            <w:tblPr>
              <w:tblStyle w:val="24"/>
              <w:tblW w:w="88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11"/>
              <w:gridCol w:w="384"/>
              <w:gridCol w:w="274"/>
              <w:gridCol w:w="573"/>
              <w:gridCol w:w="6521"/>
              <w:gridCol w:w="478"/>
            </w:tblGrid>
            <w:tr w14:paraId="10BA6B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Align w:val="center"/>
                </w:tcPr>
                <w:p w14:paraId="13D4F7C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w:t>
                  </w:r>
                </w:p>
              </w:tc>
              <w:tc>
                <w:tcPr>
                  <w:tcW w:w="1231" w:type="dxa"/>
                  <w:gridSpan w:val="3"/>
                  <w:vAlign w:val="center"/>
                </w:tcPr>
                <w:p w14:paraId="5F47760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工程名称</w:t>
                  </w:r>
                </w:p>
              </w:tc>
              <w:tc>
                <w:tcPr>
                  <w:tcW w:w="6521" w:type="dxa"/>
                  <w:vAlign w:val="center"/>
                </w:tcPr>
                <w:p w14:paraId="67A49F6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工程内容</w:t>
                  </w:r>
                </w:p>
              </w:tc>
              <w:tc>
                <w:tcPr>
                  <w:tcW w:w="478" w:type="dxa"/>
                  <w:vAlign w:val="center"/>
                </w:tcPr>
                <w:p w14:paraId="0EF49A3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0AB801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restart"/>
                  <w:vAlign w:val="center"/>
                </w:tcPr>
                <w:p w14:paraId="1BDFA26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主体</w:t>
                  </w:r>
                </w:p>
                <w:p w14:paraId="3ED78A0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231" w:type="dxa"/>
                  <w:gridSpan w:val="3"/>
                  <w:vAlign w:val="center"/>
                </w:tcPr>
                <w:p w14:paraId="368D189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破碎车间</w:t>
                  </w:r>
                </w:p>
              </w:tc>
              <w:tc>
                <w:tcPr>
                  <w:tcW w:w="6521" w:type="dxa"/>
                  <w:vAlign w:val="center"/>
                </w:tcPr>
                <w:p w14:paraId="7F208B85">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主要为原料制备工段：破碎生产线，主要包括颚式破碎机、箱式给料机、板式给料机、锤式破碎机、圆滚筛、双轴搅拌机、双轴搅拌挤出机、皮带输送机</w:t>
                  </w:r>
                </w:p>
              </w:tc>
              <w:tc>
                <w:tcPr>
                  <w:tcW w:w="478" w:type="dxa"/>
                  <w:vAlign w:val="center"/>
                </w:tcPr>
                <w:p w14:paraId="01F22187">
                  <w:pPr>
                    <w:adjustRightInd w:val="0"/>
                    <w:snapToGrid w:val="0"/>
                    <w:jc w:val="center"/>
                    <w:rPr>
                      <w:color w:val="000000" w:themeColor="text1"/>
                      <w:szCs w:val="21"/>
                      <w:highlight w:val="none"/>
                      <w14:textFill>
                        <w14:solidFill>
                          <w14:schemeClr w14:val="tx1"/>
                        </w14:solidFill>
                      </w14:textFill>
                    </w:rPr>
                  </w:pPr>
                </w:p>
              </w:tc>
            </w:tr>
            <w:tr w14:paraId="211194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0E95E646">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13B2CDE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陈化库</w:t>
                  </w:r>
                </w:p>
              </w:tc>
              <w:tc>
                <w:tcPr>
                  <w:tcW w:w="6521" w:type="dxa"/>
                  <w:vAlign w:val="center"/>
                </w:tcPr>
                <w:p w14:paraId="0B939960">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主要为物料陈化工段：陈化布料皮带、多斗挖土机等</w:t>
                  </w:r>
                </w:p>
              </w:tc>
              <w:tc>
                <w:tcPr>
                  <w:tcW w:w="478" w:type="dxa"/>
                  <w:vAlign w:val="center"/>
                </w:tcPr>
                <w:p w14:paraId="72AFBE61">
                  <w:pPr>
                    <w:adjustRightInd w:val="0"/>
                    <w:snapToGrid w:val="0"/>
                    <w:jc w:val="center"/>
                    <w:rPr>
                      <w:color w:val="000000" w:themeColor="text1"/>
                      <w:szCs w:val="21"/>
                      <w:highlight w:val="none"/>
                      <w14:textFill>
                        <w14:solidFill>
                          <w14:schemeClr w14:val="tx1"/>
                        </w14:solidFill>
                      </w14:textFill>
                    </w:rPr>
                  </w:pPr>
                </w:p>
              </w:tc>
            </w:tr>
            <w:tr w14:paraId="2D1AEC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8DD87CA">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5102E00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制坯车间</w:t>
                  </w:r>
                </w:p>
              </w:tc>
              <w:tc>
                <w:tcPr>
                  <w:tcW w:w="6521" w:type="dxa"/>
                  <w:vAlign w:val="center"/>
                </w:tcPr>
                <w:p w14:paraId="6CC41743">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主要为成型与切坯工段：真空挤出机、自动切条切坯机、自动码坯机、皮带输送机等</w:t>
                  </w:r>
                </w:p>
              </w:tc>
              <w:tc>
                <w:tcPr>
                  <w:tcW w:w="478" w:type="dxa"/>
                  <w:vAlign w:val="center"/>
                </w:tcPr>
                <w:p w14:paraId="2C3C41C5">
                  <w:pPr>
                    <w:adjustRightInd w:val="0"/>
                    <w:snapToGrid w:val="0"/>
                    <w:jc w:val="center"/>
                    <w:rPr>
                      <w:color w:val="000000" w:themeColor="text1"/>
                      <w:szCs w:val="21"/>
                      <w:highlight w:val="none"/>
                      <w14:textFill>
                        <w14:solidFill>
                          <w14:schemeClr w14:val="tx1"/>
                        </w14:solidFill>
                      </w14:textFill>
                    </w:rPr>
                  </w:pPr>
                </w:p>
              </w:tc>
            </w:tr>
            <w:tr w14:paraId="05105F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5AAF4CD">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1256E1A4">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焙烧、</w:t>
                  </w:r>
                  <w:r>
                    <w:rPr>
                      <w:color w:val="000000" w:themeColor="text1"/>
                      <w:szCs w:val="21"/>
                      <w:highlight w:val="none"/>
                      <w14:textFill>
                        <w14:solidFill>
                          <w14:schemeClr w14:val="tx1"/>
                        </w14:solidFill>
                      </w14:textFill>
                    </w:rPr>
                    <w:t>烘干车间</w:t>
                  </w:r>
                </w:p>
              </w:tc>
              <w:tc>
                <w:tcPr>
                  <w:tcW w:w="6521" w:type="dxa"/>
                  <w:vAlign w:val="center"/>
                </w:tcPr>
                <w:p w14:paraId="5B7CDBD3">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主要为烧结与烘干工段：4座隧道焙烧窑、4座隧道型干燥室，单座均为长113m×宽3.6m，</w:t>
                  </w:r>
                  <w:r>
                    <w:rPr>
                      <w:rFonts w:hint="eastAsia"/>
                      <w:color w:val="000000" w:themeColor="text1"/>
                      <w:szCs w:val="21"/>
                      <w:highlight w:val="none"/>
                      <w14:textFill>
                        <w14:solidFill>
                          <w14:schemeClr w14:val="tx1"/>
                        </w14:solidFill>
                      </w14:textFill>
                    </w:rPr>
                    <w:t>380个窑车、8台电动摆渡车，</w:t>
                  </w:r>
                  <w:r>
                    <w:rPr>
                      <w:color w:val="000000" w:themeColor="text1"/>
                      <w:szCs w:val="21"/>
                      <w:highlight w:val="none"/>
                      <w14:textFill>
                        <w14:solidFill>
                          <w14:schemeClr w14:val="tx1"/>
                        </w14:solidFill>
                      </w14:textFill>
                    </w:rPr>
                    <w:t>供热风机、排潮风机、循环风机等</w:t>
                  </w:r>
                </w:p>
              </w:tc>
              <w:tc>
                <w:tcPr>
                  <w:tcW w:w="478" w:type="dxa"/>
                  <w:vAlign w:val="center"/>
                </w:tcPr>
                <w:p w14:paraId="6887F2CC">
                  <w:pPr>
                    <w:adjustRightInd w:val="0"/>
                    <w:snapToGrid w:val="0"/>
                    <w:jc w:val="center"/>
                    <w:rPr>
                      <w:color w:val="000000" w:themeColor="text1"/>
                      <w:szCs w:val="21"/>
                      <w:highlight w:val="none"/>
                      <w14:textFill>
                        <w14:solidFill>
                          <w14:schemeClr w14:val="tx1"/>
                        </w14:solidFill>
                      </w14:textFill>
                    </w:rPr>
                  </w:pPr>
                </w:p>
              </w:tc>
            </w:tr>
            <w:tr w14:paraId="12A0D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restart"/>
                  <w:vAlign w:val="center"/>
                </w:tcPr>
                <w:p w14:paraId="6ECD58F3">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辅助</w:t>
                  </w:r>
                </w:p>
                <w:p w14:paraId="0E2B69B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231" w:type="dxa"/>
                  <w:gridSpan w:val="3"/>
                  <w:vAlign w:val="center"/>
                </w:tcPr>
                <w:p w14:paraId="719DCE7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办公室、门卫、磅房</w:t>
                  </w:r>
                </w:p>
              </w:tc>
              <w:tc>
                <w:tcPr>
                  <w:tcW w:w="6521" w:type="dxa"/>
                  <w:vAlign w:val="center"/>
                </w:tcPr>
                <w:p w14:paraId="6F0C1E11">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砖混结构、2层、建筑面积1132m</w:t>
                  </w:r>
                  <w:r>
                    <w:rPr>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，供员工办公等</w:t>
                  </w:r>
                </w:p>
              </w:tc>
              <w:tc>
                <w:tcPr>
                  <w:tcW w:w="478" w:type="dxa"/>
                  <w:vAlign w:val="center"/>
                </w:tcPr>
                <w:p w14:paraId="55724B49">
                  <w:pPr>
                    <w:adjustRightInd w:val="0"/>
                    <w:snapToGrid w:val="0"/>
                    <w:jc w:val="center"/>
                    <w:rPr>
                      <w:color w:val="000000" w:themeColor="text1"/>
                      <w:szCs w:val="21"/>
                      <w:highlight w:val="none"/>
                      <w14:textFill>
                        <w14:solidFill>
                          <w14:schemeClr w14:val="tx1"/>
                        </w14:solidFill>
                      </w14:textFill>
                    </w:rPr>
                  </w:pPr>
                </w:p>
              </w:tc>
            </w:tr>
            <w:tr w14:paraId="1645C2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329FAEF6">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6F73ED29">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洗车平台</w:t>
                  </w:r>
                </w:p>
              </w:tc>
              <w:tc>
                <w:tcPr>
                  <w:tcW w:w="6521" w:type="dxa"/>
                  <w:vAlign w:val="center"/>
                </w:tcPr>
                <w:p w14:paraId="0497AA3E">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厂区出入口、</w:t>
                  </w:r>
                  <w:r>
                    <w:rPr>
                      <w:rFonts w:hint="eastAsia"/>
                      <w:color w:val="000000" w:themeColor="text1"/>
                      <w:szCs w:val="21"/>
                      <w:highlight w:val="none"/>
                      <w14:textFill>
                        <w14:solidFill>
                          <w14:schemeClr w14:val="tx1"/>
                        </w14:solidFill>
                      </w14:textFill>
                    </w:rPr>
                    <w:t>原料库出入</w:t>
                  </w:r>
                  <w:r>
                    <w:rPr>
                      <w:color w:val="000000" w:themeColor="text1"/>
                      <w:szCs w:val="21"/>
                      <w:highlight w:val="none"/>
                      <w14:textFill>
                        <w14:solidFill>
                          <w14:schemeClr w14:val="tx1"/>
                        </w14:solidFill>
                      </w14:textFill>
                    </w:rPr>
                    <w:t>口分别设置1座洗车平台（地下建筑、抗渗混凝土浇筑6m×2.5m）</w:t>
                  </w:r>
                  <w:r>
                    <w:rPr>
                      <w:rFonts w:hint="eastAsia"/>
                      <w:color w:val="000000" w:themeColor="text1"/>
                      <w:szCs w:val="21"/>
                      <w:highlight w:val="none"/>
                      <w14:textFill>
                        <w14:solidFill>
                          <w14:schemeClr w14:val="tx1"/>
                        </w14:solidFill>
                      </w14:textFill>
                    </w:rPr>
                    <w:t>，分别设置1排花式喷射喷头，两侧均设围挡，冬季使用温水有效防冻措施</w:t>
                  </w:r>
                </w:p>
              </w:tc>
              <w:tc>
                <w:tcPr>
                  <w:tcW w:w="478" w:type="dxa"/>
                  <w:vAlign w:val="center"/>
                </w:tcPr>
                <w:p w14:paraId="5136CE35">
                  <w:pPr>
                    <w:adjustRightInd w:val="0"/>
                    <w:snapToGrid w:val="0"/>
                    <w:jc w:val="center"/>
                    <w:rPr>
                      <w:color w:val="000000" w:themeColor="text1"/>
                      <w:szCs w:val="21"/>
                      <w:highlight w:val="none"/>
                      <w14:textFill>
                        <w14:solidFill>
                          <w14:schemeClr w14:val="tx1"/>
                        </w14:solidFill>
                      </w14:textFill>
                    </w:rPr>
                  </w:pPr>
                </w:p>
              </w:tc>
            </w:tr>
            <w:tr w14:paraId="60EDD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restart"/>
                  <w:vAlign w:val="center"/>
                </w:tcPr>
                <w:p w14:paraId="7CFFC03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储运</w:t>
                  </w:r>
                </w:p>
                <w:p w14:paraId="1917291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384" w:type="dxa"/>
                  <w:vMerge w:val="restart"/>
                  <w:vAlign w:val="center"/>
                </w:tcPr>
                <w:p w14:paraId="44DAF763">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w:t>
                  </w:r>
                  <w:r>
                    <w:rPr>
                      <w:rFonts w:hint="eastAsia"/>
                      <w:color w:val="000000" w:themeColor="text1"/>
                      <w:szCs w:val="21"/>
                      <w:highlight w:val="none"/>
                      <w14:textFill>
                        <w14:solidFill>
                          <w14:schemeClr w14:val="tx1"/>
                        </w14:solidFill>
                      </w14:textFill>
                    </w:rPr>
                    <w:t>库</w:t>
                  </w:r>
                </w:p>
              </w:tc>
              <w:tc>
                <w:tcPr>
                  <w:tcW w:w="847" w:type="dxa"/>
                  <w:gridSpan w:val="2"/>
                  <w:vAlign w:val="center"/>
                </w:tcPr>
                <w:p w14:paraId="5726F62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煤矸石原料库</w:t>
                  </w:r>
                </w:p>
              </w:tc>
              <w:tc>
                <w:tcPr>
                  <w:tcW w:w="6521" w:type="dxa"/>
                  <w:vAlign w:val="center"/>
                </w:tcPr>
                <w:p w14:paraId="6FCE083B">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主要用于储存原料煤矸石，最大存储量为7300t，存储周期为</w:t>
                  </w:r>
                  <w:r>
                    <w:rPr>
                      <w:rFonts w:hint="eastAsia"/>
                      <w:color w:val="000000" w:themeColor="text1"/>
                      <w:szCs w:val="21"/>
                      <w:highlight w:val="none"/>
                      <w14:textFill>
                        <w14:solidFill>
                          <w14:schemeClr w14:val="tx1"/>
                        </w14:solidFill>
                      </w14:textFill>
                    </w:rPr>
                    <w:t>31</w:t>
                  </w:r>
                  <w:r>
                    <w:rPr>
                      <w:color w:val="000000" w:themeColor="text1"/>
                      <w:szCs w:val="21"/>
                      <w:highlight w:val="none"/>
                      <w14:textFill>
                        <w14:solidFill>
                          <w14:schemeClr w14:val="tx1"/>
                        </w14:solidFill>
                      </w14:textFill>
                    </w:rPr>
                    <w:t>d</w:t>
                  </w:r>
                </w:p>
              </w:tc>
              <w:tc>
                <w:tcPr>
                  <w:tcW w:w="478" w:type="dxa"/>
                  <w:vAlign w:val="center"/>
                </w:tcPr>
                <w:p w14:paraId="5E8647E3">
                  <w:pPr>
                    <w:adjustRightInd w:val="0"/>
                    <w:snapToGrid w:val="0"/>
                    <w:jc w:val="center"/>
                    <w:rPr>
                      <w:color w:val="000000" w:themeColor="text1"/>
                      <w:szCs w:val="21"/>
                      <w:highlight w:val="none"/>
                      <w14:textFill>
                        <w14:solidFill>
                          <w14:schemeClr w14:val="tx1"/>
                        </w14:solidFill>
                      </w14:textFill>
                    </w:rPr>
                  </w:pPr>
                </w:p>
              </w:tc>
            </w:tr>
            <w:tr w14:paraId="3DD6BB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7917660C">
                  <w:pPr>
                    <w:adjustRightInd w:val="0"/>
                    <w:snapToGrid w:val="0"/>
                    <w:jc w:val="center"/>
                    <w:rPr>
                      <w:color w:val="000000" w:themeColor="text1"/>
                      <w:szCs w:val="21"/>
                      <w:highlight w:val="none"/>
                      <w14:textFill>
                        <w14:solidFill>
                          <w14:schemeClr w14:val="tx1"/>
                        </w14:solidFill>
                      </w14:textFill>
                    </w:rPr>
                  </w:pPr>
                </w:p>
              </w:tc>
              <w:tc>
                <w:tcPr>
                  <w:tcW w:w="384" w:type="dxa"/>
                  <w:vMerge w:val="continue"/>
                  <w:vAlign w:val="center"/>
                </w:tcPr>
                <w:p w14:paraId="00EA957F">
                  <w:pPr>
                    <w:adjustRightInd w:val="0"/>
                    <w:snapToGrid w:val="0"/>
                    <w:jc w:val="center"/>
                    <w:rPr>
                      <w:color w:val="000000" w:themeColor="text1"/>
                      <w:szCs w:val="21"/>
                      <w:highlight w:val="none"/>
                      <w14:textFill>
                        <w14:solidFill>
                          <w14:schemeClr w14:val="tx1"/>
                        </w14:solidFill>
                      </w14:textFill>
                    </w:rPr>
                  </w:pPr>
                </w:p>
              </w:tc>
              <w:tc>
                <w:tcPr>
                  <w:tcW w:w="847" w:type="dxa"/>
                  <w:gridSpan w:val="2"/>
                  <w:vAlign w:val="center"/>
                </w:tcPr>
                <w:p w14:paraId="1E410C4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页岩原料库</w:t>
                  </w:r>
                </w:p>
              </w:tc>
              <w:tc>
                <w:tcPr>
                  <w:tcW w:w="6521" w:type="dxa"/>
                  <w:vAlign w:val="center"/>
                </w:tcPr>
                <w:p w14:paraId="7D2141F7">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主要用于储存原料页岩，最大存储量为7300t，存储周期为</w:t>
                  </w:r>
                  <w:r>
                    <w:rPr>
                      <w:rFonts w:hint="eastAsia"/>
                      <w:color w:val="000000" w:themeColor="text1"/>
                      <w:szCs w:val="21"/>
                      <w:highlight w:val="none"/>
                      <w14:textFill>
                        <w14:solidFill>
                          <w14:schemeClr w14:val="tx1"/>
                        </w14:solidFill>
                      </w14:textFill>
                    </w:rPr>
                    <w:t>22</w:t>
                  </w:r>
                  <w:r>
                    <w:rPr>
                      <w:color w:val="000000" w:themeColor="text1"/>
                      <w:szCs w:val="21"/>
                      <w:highlight w:val="none"/>
                      <w14:textFill>
                        <w14:solidFill>
                          <w14:schemeClr w14:val="tx1"/>
                        </w14:solidFill>
                      </w14:textFill>
                    </w:rPr>
                    <w:t>d</w:t>
                  </w:r>
                </w:p>
              </w:tc>
              <w:tc>
                <w:tcPr>
                  <w:tcW w:w="478" w:type="dxa"/>
                  <w:vAlign w:val="center"/>
                </w:tcPr>
                <w:p w14:paraId="726F325D">
                  <w:pPr>
                    <w:adjustRightInd w:val="0"/>
                    <w:snapToGrid w:val="0"/>
                    <w:jc w:val="center"/>
                    <w:rPr>
                      <w:color w:val="000000" w:themeColor="text1"/>
                      <w:szCs w:val="21"/>
                      <w:highlight w:val="none"/>
                      <w14:textFill>
                        <w14:solidFill>
                          <w14:schemeClr w14:val="tx1"/>
                        </w14:solidFill>
                      </w14:textFill>
                    </w:rPr>
                  </w:pPr>
                </w:p>
              </w:tc>
            </w:tr>
            <w:tr w14:paraId="5AE96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D4DE7FC">
                  <w:pPr>
                    <w:adjustRightInd w:val="0"/>
                    <w:snapToGrid w:val="0"/>
                    <w:jc w:val="center"/>
                    <w:rPr>
                      <w:color w:val="000000" w:themeColor="text1"/>
                      <w:szCs w:val="21"/>
                      <w:highlight w:val="none"/>
                      <w14:textFill>
                        <w14:solidFill>
                          <w14:schemeClr w14:val="tx1"/>
                        </w14:solidFill>
                      </w14:textFill>
                    </w:rPr>
                  </w:pPr>
                </w:p>
              </w:tc>
              <w:tc>
                <w:tcPr>
                  <w:tcW w:w="384" w:type="dxa"/>
                  <w:vMerge w:val="continue"/>
                  <w:vAlign w:val="center"/>
                </w:tcPr>
                <w:p w14:paraId="06F5C43D">
                  <w:pPr>
                    <w:adjustRightInd w:val="0"/>
                    <w:snapToGrid w:val="0"/>
                    <w:jc w:val="center"/>
                    <w:rPr>
                      <w:color w:val="000000" w:themeColor="text1"/>
                      <w:szCs w:val="21"/>
                      <w:highlight w:val="none"/>
                      <w14:textFill>
                        <w14:solidFill>
                          <w14:schemeClr w14:val="tx1"/>
                        </w14:solidFill>
                      </w14:textFill>
                    </w:rPr>
                  </w:pPr>
                </w:p>
              </w:tc>
              <w:tc>
                <w:tcPr>
                  <w:tcW w:w="847" w:type="dxa"/>
                  <w:gridSpan w:val="2"/>
                  <w:vAlign w:val="center"/>
                </w:tcPr>
                <w:p w14:paraId="656E327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p>
              </w:tc>
              <w:tc>
                <w:tcPr>
                  <w:tcW w:w="6521" w:type="dxa"/>
                  <w:vAlign w:val="center"/>
                </w:tcPr>
                <w:p w14:paraId="52024E47">
                  <w:pPr>
                    <w:adjustRightInd w:val="0"/>
                    <w:snapToGrid w:val="0"/>
                    <w:jc w:val="left"/>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储存工业污泥</w:t>
                  </w:r>
                  <w:r>
                    <w:rPr>
                      <w:rFonts w:hint="eastAsia"/>
                      <w:bCs/>
                      <w:color w:val="000000" w:themeColor="text1"/>
                      <w:szCs w:val="21"/>
                      <w:highlight w:val="none"/>
                      <w14:textFill>
                        <w14:solidFill>
                          <w14:schemeClr w14:val="tx1"/>
                        </w14:solidFill>
                      </w14:textFill>
                    </w:rPr>
                    <w:t>等一般固体废物</w:t>
                  </w:r>
                  <w:r>
                    <w:rPr>
                      <w:bCs/>
                      <w:color w:val="000000" w:themeColor="text1"/>
                      <w:szCs w:val="21"/>
                      <w:highlight w:val="none"/>
                      <w14:textFill>
                        <w14:solidFill>
                          <w14:schemeClr w14:val="tx1"/>
                        </w14:solidFill>
                      </w14:textFill>
                    </w:rPr>
                    <w:t>，存储周期</w:t>
                  </w:r>
                  <w:r>
                    <w:rPr>
                      <w:rFonts w:hint="eastAsia"/>
                      <w:bCs/>
                      <w:color w:val="000000" w:themeColor="text1"/>
                      <w:szCs w:val="21"/>
                      <w:highlight w:val="none"/>
                      <w:lang w:val="en-US" w:eastAsia="zh-CN"/>
                      <w14:textFill>
                        <w14:solidFill>
                          <w14:schemeClr w14:val="tx1"/>
                        </w14:solidFill>
                      </w14:textFill>
                    </w:rPr>
                    <w:t>小于24h，</w:t>
                  </w:r>
                  <w:r>
                    <w:rPr>
                      <w:bCs/>
                      <w:color w:val="000000" w:themeColor="text1"/>
                      <w:szCs w:val="21"/>
                      <w:highlight w:val="none"/>
                      <w14:textFill>
                        <w14:solidFill>
                          <w14:schemeClr w14:val="tx1"/>
                        </w14:solidFill>
                      </w14:textFill>
                    </w:rPr>
                    <w:t>按照相关要求做好防腐防渗</w:t>
                  </w:r>
                </w:p>
              </w:tc>
              <w:tc>
                <w:tcPr>
                  <w:tcW w:w="478" w:type="dxa"/>
                  <w:vAlign w:val="center"/>
                </w:tcPr>
                <w:p w14:paraId="3ADBD254">
                  <w:pPr>
                    <w:adjustRightInd w:val="0"/>
                    <w:snapToGrid w:val="0"/>
                    <w:jc w:val="center"/>
                    <w:rPr>
                      <w:color w:val="000000" w:themeColor="text1"/>
                      <w:szCs w:val="21"/>
                      <w:highlight w:val="none"/>
                      <w14:textFill>
                        <w14:solidFill>
                          <w14:schemeClr w14:val="tx1"/>
                        </w14:solidFill>
                      </w14:textFill>
                    </w:rPr>
                  </w:pPr>
                </w:p>
              </w:tc>
            </w:tr>
            <w:tr w14:paraId="0AB4CC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8870DFC">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0A7568DC">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一般固废暂存区</w:t>
                  </w:r>
                </w:p>
              </w:tc>
              <w:tc>
                <w:tcPr>
                  <w:tcW w:w="6521" w:type="dxa"/>
                  <w:vAlign w:val="center"/>
                </w:tcPr>
                <w:p w14:paraId="3BDE27E5">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位于成品车间内，</w:t>
                  </w:r>
                  <w:r>
                    <w:rPr>
                      <w:rFonts w:hint="eastAsia"/>
                      <w:color w:val="000000" w:themeColor="text1"/>
                      <w:szCs w:val="21"/>
                      <w:highlight w:val="none"/>
                      <w14:textFill>
                        <w14:solidFill>
                          <w14:schemeClr w14:val="tx1"/>
                        </w14:solidFill>
                      </w14:textFill>
                    </w:rPr>
                    <w:t>50</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，防渗处理</w:t>
                  </w:r>
                  <w:r>
                    <w:rPr>
                      <w:rFonts w:hint="eastAsia"/>
                      <w:color w:val="000000" w:themeColor="text1"/>
                      <w:szCs w:val="21"/>
                      <w:highlight w:val="none"/>
                      <w14:textFill>
                        <w14:solidFill>
                          <w14:schemeClr w14:val="tx1"/>
                        </w14:solidFill>
                      </w14:textFill>
                    </w:rPr>
                    <w:t>，储存烧成产生的废砖、除尘器产生的废滤袋、脱硫脱硝工序产生的废包装袋</w:t>
                  </w:r>
                </w:p>
              </w:tc>
              <w:tc>
                <w:tcPr>
                  <w:tcW w:w="478" w:type="dxa"/>
                  <w:vAlign w:val="center"/>
                </w:tcPr>
                <w:p w14:paraId="7219E901">
                  <w:pPr>
                    <w:adjustRightInd w:val="0"/>
                    <w:snapToGrid w:val="0"/>
                    <w:jc w:val="center"/>
                    <w:rPr>
                      <w:color w:val="000000" w:themeColor="text1"/>
                      <w:szCs w:val="21"/>
                      <w:highlight w:val="none"/>
                      <w14:textFill>
                        <w14:solidFill>
                          <w14:schemeClr w14:val="tx1"/>
                        </w14:solidFill>
                      </w14:textFill>
                    </w:rPr>
                  </w:pPr>
                </w:p>
              </w:tc>
            </w:tr>
            <w:tr w14:paraId="28AA6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1F885F71">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0E05606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危险废物暂存间</w:t>
                  </w:r>
                </w:p>
              </w:tc>
              <w:tc>
                <w:tcPr>
                  <w:tcW w:w="6521" w:type="dxa"/>
                  <w:vAlign w:val="center"/>
                </w:tcPr>
                <w:p w14:paraId="168CBA2A">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位于制坯车间内，1座，建筑面积9m</w:t>
                  </w:r>
                  <w:r>
                    <w:rPr>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，用于存放危险废物</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防渗处理。危废间</w:t>
                  </w:r>
                  <w:r>
                    <w:rPr>
                      <w:rFonts w:hint="eastAsia"/>
                      <w:color w:val="000000" w:themeColor="text1"/>
                      <w:szCs w:val="21"/>
                      <w:highlight w:val="none"/>
                      <w14:textFill>
                        <w14:solidFill>
                          <w14:schemeClr w14:val="tx1"/>
                        </w14:solidFill>
                      </w14:textFill>
                    </w:rPr>
                    <w:t>已</w:t>
                  </w:r>
                  <w:r>
                    <w:rPr>
                      <w:color w:val="000000" w:themeColor="text1"/>
                      <w:szCs w:val="21"/>
                      <w:highlight w:val="none"/>
                      <w14:textFill>
                        <w14:solidFill>
                          <w14:schemeClr w14:val="tx1"/>
                        </w14:solidFill>
                      </w14:textFill>
                    </w:rPr>
                    <w:t>做</w:t>
                  </w:r>
                  <w:r>
                    <w:rPr>
                      <w:rFonts w:hint="eastAsia"/>
                      <w:color w:val="000000" w:themeColor="text1"/>
                      <w:szCs w:val="21"/>
                      <w:highlight w:val="none"/>
                      <w14:textFill>
                        <w14:solidFill>
                          <w14:schemeClr w14:val="tx1"/>
                        </w14:solidFill>
                      </w14:textFill>
                    </w:rPr>
                    <w:t>防腐</w:t>
                  </w:r>
                  <w:r>
                    <w:rPr>
                      <w:color w:val="000000" w:themeColor="text1"/>
                      <w:szCs w:val="21"/>
                      <w:highlight w:val="none"/>
                      <w14:textFill>
                        <w14:solidFill>
                          <w14:schemeClr w14:val="tx1"/>
                        </w14:solidFill>
                      </w14:textFill>
                    </w:rPr>
                    <w:t>防渗处理，渗透系数≤1.0×10</w:t>
                  </w:r>
                  <w:r>
                    <w:rPr>
                      <w:color w:val="000000" w:themeColor="text1"/>
                      <w:szCs w:val="21"/>
                      <w:highlight w:val="none"/>
                      <w:vertAlign w:val="superscript"/>
                      <w14:textFill>
                        <w14:solidFill>
                          <w14:schemeClr w14:val="tx1"/>
                        </w14:solidFill>
                      </w14:textFill>
                    </w:rPr>
                    <w:t>-10</w:t>
                  </w:r>
                  <w:r>
                    <w:rPr>
                      <w:color w:val="000000" w:themeColor="text1"/>
                      <w:szCs w:val="21"/>
                      <w:highlight w:val="none"/>
                      <w14:textFill>
                        <w14:solidFill>
                          <w14:schemeClr w14:val="tx1"/>
                        </w14:solidFill>
                      </w14:textFill>
                    </w:rPr>
                    <w:t>cm/s</w:t>
                  </w:r>
                </w:p>
              </w:tc>
              <w:tc>
                <w:tcPr>
                  <w:tcW w:w="478" w:type="dxa"/>
                  <w:vAlign w:val="center"/>
                </w:tcPr>
                <w:p w14:paraId="2B3C6399">
                  <w:pPr>
                    <w:adjustRightInd w:val="0"/>
                    <w:snapToGrid w:val="0"/>
                    <w:jc w:val="center"/>
                    <w:rPr>
                      <w:color w:val="000000" w:themeColor="text1"/>
                      <w:szCs w:val="21"/>
                      <w:highlight w:val="none"/>
                      <w14:textFill>
                        <w14:solidFill>
                          <w14:schemeClr w14:val="tx1"/>
                        </w14:solidFill>
                      </w14:textFill>
                    </w:rPr>
                  </w:pPr>
                </w:p>
              </w:tc>
            </w:tr>
            <w:tr w14:paraId="47371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7DDEDECA">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3B38BF4F">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污泥运输</w:t>
                  </w:r>
                </w:p>
              </w:tc>
              <w:tc>
                <w:tcPr>
                  <w:tcW w:w="6521" w:type="dxa"/>
                  <w:vAlign w:val="center"/>
                </w:tcPr>
                <w:p w14:paraId="09BE8FE9">
                  <w:pPr>
                    <w:adjustRightInd w:val="0"/>
                    <w:snapToGrid w:val="0"/>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使用国五及以上排放标准车辆或新能源汽车运输，要求车辆采取苫盖措施；严格落实污泥准入标准，</w:t>
                  </w:r>
                  <w:r>
                    <w:rPr>
                      <w:bCs/>
                      <w:color w:val="000000" w:themeColor="text1"/>
                      <w:szCs w:val="21"/>
                      <w:highlight w:val="none"/>
                      <w14:textFill>
                        <w14:solidFill>
                          <w14:schemeClr w14:val="tx1"/>
                        </w14:solidFill>
                      </w14:textFill>
                    </w:rPr>
                    <w:t>重点</w:t>
                  </w:r>
                  <w:r>
                    <w:rPr>
                      <w:rFonts w:hint="eastAsia"/>
                      <w:bCs/>
                      <w:color w:val="000000" w:themeColor="text1"/>
                      <w:szCs w:val="21"/>
                      <w:highlight w:val="none"/>
                      <w14:textFill>
                        <w14:solidFill>
                          <w14:schemeClr w14:val="tx1"/>
                        </w14:solidFill>
                      </w14:textFill>
                    </w:rPr>
                    <w:t>分析</w:t>
                  </w:r>
                  <w:r>
                    <w:rPr>
                      <w:bCs/>
                      <w:color w:val="000000" w:themeColor="text1"/>
                      <w:szCs w:val="21"/>
                      <w:highlight w:val="none"/>
                      <w14:textFill>
                        <w14:solidFill>
                          <w14:schemeClr w14:val="tx1"/>
                        </w14:solidFill>
                      </w14:textFill>
                    </w:rPr>
                    <w:t>污泥是否属于危险废物，判断固体废物是否可以进厂协同处置</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如来源及生产工艺发生变化导致污泥成分发生变化时，针对所使用污泥</w:t>
                  </w:r>
                  <w:r>
                    <w:rPr>
                      <w:rFonts w:hint="eastAsia"/>
                      <w:bCs/>
                      <w:color w:val="000000" w:themeColor="text1"/>
                      <w:szCs w:val="21"/>
                      <w:highlight w:val="none"/>
                      <w14:textFill>
                        <w14:solidFill>
                          <w14:schemeClr w14:val="tx1"/>
                        </w14:solidFill>
                      </w14:textFill>
                    </w:rPr>
                    <w:t>进行检测，</w:t>
                  </w:r>
                  <w:r>
                    <w:rPr>
                      <w:bCs/>
                      <w:color w:val="000000" w:themeColor="text1"/>
                      <w:szCs w:val="21"/>
                      <w:highlight w:val="none"/>
                      <w14:textFill>
                        <w14:solidFill>
                          <w14:schemeClr w14:val="tx1"/>
                        </w14:solidFill>
                      </w14:textFill>
                    </w:rPr>
                    <w:t>判断固体废物是否可以进厂协同处置</w:t>
                  </w:r>
                  <w:r>
                    <w:rPr>
                      <w:rFonts w:hint="eastAsia"/>
                      <w:bCs/>
                      <w:color w:val="000000" w:themeColor="text1"/>
                      <w:szCs w:val="21"/>
                      <w:highlight w:val="none"/>
                      <w14:textFill>
                        <w14:solidFill>
                          <w14:schemeClr w14:val="tx1"/>
                        </w14:solidFill>
                      </w14:textFill>
                    </w:rPr>
                    <w:t>。污泥</w:t>
                  </w:r>
                  <w:r>
                    <w:rPr>
                      <w:bCs/>
                      <w:color w:val="000000" w:themeColor="text1"/>
                      <w:szCs w:val="21"/>
                      <w:highlight w:val="none"/>
                      <w14:textFill>
                        <w14:solidFill>
                          <w14:schemeClr w14:val="tx1"/>
                        </w14:solidFill>
                      </w14:textFill>
                    </w:rPr>
                    <w:t>卸车前检查相关证件的完整性，</w:t>
                  </w:r>
                  <w:r>
                    <w:rPr>
                      <w:color w:val="000000" w:themeColor="text1"/>
                      <w:szCs w:val="21"/>
                      <w:highlight w:val="none"/>
                      <w14:textFill>
                        <w14:solidFill>
                          <w14:schemeClr w14:val="tx1"/>
                        </w14:solidFill>
                      </w14:textFill>
                    </w:rPr>
                    <w:t>污泥产生单位、污泥运输单位和本企业建立污泥转运联单制度。</w:t>
                  </w:r>
                  <w:r>
                    <w:rPr>
                      <w:rFonts w:hint="eastAsia"/>
                      <w:bCs/>
                      <w:color w:val="000000" w:themeColor="text1"/>
                      <w:szCs w:val="21"/>
                      <w:highlight w:val="none"/>
                      <w14:textFill>
                        <w14:solidFill>
                          <w14:schemeClr w14:val="tx1"/>
                        </w14:solidFill>
                      </w14:textFill>
                    </w:rPr>
                    <w:t>入厂前核对</w:t>
                  </w:r>
                  <w:r>
                    <w:rPr>
                      <w:bCs/>
                      <w:color w:val="000000" w:themeColor="text1"/>
                      <w:szCs w:val="21"/>
                      <w:highlight w:val="none"/>
                      <w14:textFill>
                        <w14:solidFill>
                          <w14:schemeClr w14:val="tx1"/>
                        </w14:solidFill>
                      </w14:textFill>
                    </w:rPr>
                    <w:t>污泥转移联单上的品名、数量、描述等内容是否对应，是否属于建设单位协同处置的污泥，是否属于建设单位协议处置污泥来源，对于不满足要求的污泥，退还给产污泥单位</w:t>
                  </w:r>
                </w:p>
              </w:tc>
              <w:tc>
                <w:tcPr>
                  <w:tcW w:w="478" w:type="dxa"/>
                  <w:vAlign w:val="center"/>
                </w:tcPr>
                <w:p w14:paraId="4A7CDB6B">
                  <w:pPr>
                    <w:adjustRightInd w:val="0"/>
                    <w:snapToGrid w:val="0"/>
                    <w:jc w:val="center"/>
                    <w:rPr>
                      <w:color w:val="000000" w:themeColor="text1"/>
                      <w:szCs w:val="21"/>
                      <w:highlight w:val="none"/>
                      <w14:textFill>
                        <w14:solidFill>
                          <w14:schemeClr w14:val="tx1"/>
                        </w14:solidFill>
                      </w14:textFill>
                    </w:rPr>
                  </w:pPr>
                </w:p>
              </w:tc>
            </w:tr>
            <w:tr w14:paraId="7097C6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32BB6214">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1507BF62">
                  <w:pPr>
                    <w:adjustRightInd w:val="0"/>
                    <w:snapToGrid w:val="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原料、产品</w:t>
                  </w:r>
                </w:p>
                <w:p w14:paraId="2FEC4BC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运输</w:t>
                  </w:r>
                </w:p>
              </w:tc>
              <w:tc>
                <w:tcPr>
                  <w:tcW w:w="6521" w:type="dxa"/>
                  <w:vAlign w:val="center"/>
                </w:tcPr>
                <w:p w14:paraId="7F9B4B3C">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原料及产品</w:t>
                  </w:r>
                  <w:r>
                    <w:rPr>
                      <w:rFonts w:hint="eastAsia"/>
                      <w:bCs/>
                      <w:color w:val="000000" w:themeColor="text1"/>
                      <w:szCs w:val="21"/>
                      <w:highlight w:val="none"/>
                      <w14:textFill>
                        <w14:solidFill>
                          <w14:schemeClr w14:val="tx1"/>
                        </w14:solidFill>
                      </w14:textFill>
                    </w:rPr>
                    <w:t>均采用汽车运输，使用国五及以上排放标准车辆或新能源汽车运输，要求车辆采取苫盖措施，运输车辆车斗采用苫布苫盖，苫布边缘至少要遮住槽帮上沿以下</w:t>
                  </w:r>
                  <w:r>
                    <w:rPr>
                      <w:bCs/>
                      <w:color w:val="000000" w:themeColor="text1"/>
                      <w:szCs w:val="21"/>
                      <w:highlight w:val="none"/>
                      <w14:textFill>
                        <w14:solidFill>
                          <w14:schemeClr w14:val="tx1"/>
                        </w14:solidFill>
                      </w14:textFill>
                    </w:rPr>
                    <w:t>15cm</w:t>
                  </w:r>
                  <w:r>
                    <w:rPr>
                      <w:rFonts w:hint="eastAsia"/>
                      <w:bCs/>
                      <w:color w:val="000000" w:themeColor="text1"/>
                      <w:szCs w:val="21"/>
                      <w:highlight w:val="none"/>
                      <w14:textFill>
                        <w14:solidFill>
                          <w14:schemeClr w14:val="tx1"/>
                        </w14:solidFill>
                      </w14:textFill>
                    </w:rPr>
                    <w:t>。车辆配备高效的举升和卸载系统，以便于原料的装载和卸载。</w:t>
                  </w:r>
                  <w:r>
                    <w:rPr>
                      <w:color w:val="000000" w:themeColor="text1"/>
                      <w:szCs w:val="21"/>
                      <w:highlight w:val="none"/>
                      <w14:textFill>
                        <w14:solidFill>
                          <w14:schemeClr w14:val="tx1"/>
                        </w14:solidFill>
                      </w14:textFill>
                    </w:rPr>
                    <w:t>厂内原料及产品主要采用装载机运输</w:t>
                  </w:r>
                  <w:r>
                    <w:rPr>
                      <w:rFonts w:hint="eastAsia"/>
                      <w:color w:val="000000" w:themeColor="text1"/>
                      <w:szCs w:val="21"/>
                      <w:highlight w:val="none"/>
                      <w14:textFill>
                        <w14:solidFill>
                          <w14:schemeClr w14:val="tx1"/>
                        </w14:solidFill>
                      </w14:textFill>
                    </w:rPr>
                    <w:t>，装载机满足国四标准，物料转运均设置封闭的皮带</w:t>
                  </w:r>
                </w:p>
              </w:tc>
              <w:tc>
                <w:tcPr>
                  <w:tcW w:w="478" w:type="dxa"/>
                  <w:vAlign w:val="center"/>
                </w:tcPr>
                <w:p w14:paraId="30517552">
                  <w:pPr>
                    <w:adjustRightInd w:val="0"/>
                    <w:snapToGrid w:val="0"/>
                    <w:jc w:val="center"/>
                    <w:rPr>
                      <w:color w:val="000000" w:themeColor="text1"/>
                      <w:szCs w:val="21"/>
                      <w:highlight w:val="none"/>
                      <w14:textFill>
                        <w14:solidFill>
                          <w14:schemeClr w14:val="tx1"/>
                        </w14:solidFill>
                      </w14:textFill>
                    </w:rPr>
                  </w:pPr>
                </w:p>
              </w:tc>
            </w:tr>
            <w:tr w14:paraId="662D6B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restart"/>
                  <w:vAlign w:val="center"/>
                </w:tcPr>
                <w:p w14:paraId="4A69F083">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公用</w:t>
                  </w:r>
                </w:p>
                <w:p w14:paraId="585C8CCB">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231" w:type="dxa"/>
                  <w:gridSpan w:val="3"/>
                  <w:vAlign w:val="center"/>
                </w:tcPr>
                <w:p w14:paraId="69B0E75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给水</w:t>
                  </w:r>
                </w:p>
              </w:tc>
              <w:tc>
                <w:tcPr>
                  <w:tcW w:w="6521" w:type="dxa"/>
                  <w:vAlign w:val="center"/>
                </w:tcPr>
                <w:p w14:paraId="47538316">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厂区自备井，水源为地下水，企业已取得取水许可证，编号为B130284G2021-67204，有效期为自202</w:t>
                  </w: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年12月7日至202</w:t>
                  </w:r>
                  <w:r>
                    <w:rPr>
                      <w:rFonts w:hint="eastAsia"/>
                      <w:color w:val="000000" w:themeColor="text1"/>
                      <w:szCs w:val="21"/>
                      <w:highlight w:val="none"/>
                      <w14:textFill>
                        <w14:solidFill>
                          <w14:schemeClr w14:val="tx1"/>
                        </w14:solidFill>
                      </w14:textFill>
                    </w:rPr>
                    <w:t>7</w:t>
                  </w:r>
                  <w:r>
                    <w:rPr>
                      <w:color w:val="000000" w:themeColor="text1"/>
                      <w:szCs w:val="21"/>
                      <w:highlight w:val="none"/>
                      <w14:textFill>
                        <w14:solidFill>
                          <w14:schemeClr w14:val="tx1"/>
                        </w14:solidFill>
                      </w14:textFill>
                    </w:rPr>
                    <w:t>年12月6日</w:t>
                  </w:r>
                </w:p>
              </w:tc>
              <w:tc>
                <w:tcPr>
                  <w:tcW w:w="478" w:type="dxa"/>
                  <w:vAlign w:val="center"/>
                </w:tcPr>
                <w:p w14:paraId="32B5D1BB">
                  <w:pPr>
                    <w:adjustRightInd w:val="0"/>
                    <w:snapToGrid w:val="0"/>
                    <w:jc w:val="center"/>
                    <w:rPr>
                      <w:color w:val="000000" w:themeColor="text1"/>
                      <w:szCs w:val="21"/>
                      <w:highlight w:val="none"/>
                      <w14:textFill>
                        <w14:solidFill>
                          <w14:schemeClr w14:val="tx1"/>
                        </w14:solidFill>
                      </w14:textFill>
                    </w:rPr>
                  </w:pPr>
                </w:p>
              </w:tc>
            </w:tr>
            <w:tr w14:paraId="20DF9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5A232852">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4AD51EBE">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排水</w:t>
                  </w:r>
                </w:p>
              </w:tc>
              <w:tc>
                <w:tcPr>
                  <w:tcW w:w="6521" w:type="dxa"/>
                  <w:vAlign w:val="center"/>
                </w:tcPr>
                <w:p w14:paraId="3298C3FA">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生产废水全部回用，不外排；生活污水主要为职工盥洗废水，产生量小且水质简单，用于厂区泼洒地面抑尘</w:t>
                  </w:r>
                </w:p>
              </w:tc>
              <w:tc>
                <w:tcPr>
                  <w:tcW w:w="478" w:type="dxa"/>
                  <w:vAlign w:val="center"/>
                </w:tcPr>
                <w:p w14:paraId="3553D11B">
                  <w:pPr>
                    <w:adjustRightInd w:val="0"/>
                    <w:snapToGrid w:val="0"/>
                    <w:jc w:val="center"/>
                    <w:rPr>
                      <w:color w:val="000000" w:themeColor="text1"/>
                      <w:szCs w:val="21"/>
                      <w:highlight w:val="none"/>
                      <w14:textFill>
                        <w14:solidFill>
                          <w14:schemeClr w14:val="tx1"/>
                        </w14:solidFill>
                      </w14:textFill>
                    </w:rPr>
                  </w:pPr>
                </w:p>
              </w:tc>
            </w:tr>
            <w:tr w14:paraId="439EB6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53FF3F7A">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3961B95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供电</w:t>
                  </w:r>
                </w:p>
              </w:tc>
              <w:tc>
                <w:tcPr>
                  <w:tcW w:w="6521" w:type="dxa"/>
                  <w:vAlign w:val="center"/>
                </w:tcPr>
                <w:p w14:paraId="44BCFA82">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响嘡街道供电网供给</w:t>
                  </w:r>
                </w:p>
              </w:tc>
              <w:tc>
                <w:tcPr>
                  <w:tcW w:w="478" w:type="dxa"/>
                  <w:vAlign w:val="center"/>
                </w:tcPr>
                <w:p w14:paraId="715E9795">
                  <w:pPr>
                    <w:adjustRightInd w:val="0"/>
                    <w:snapToGrid w:val="0"/>
                    <w:jc w:val="center"/>
                    <w:rPr>
                      <w:color w:val="000000" w:themeColor="text1"/>
                      <w:szCs w:val="21"/>
                      <w:highlight w:val="none"/>
                      <w14:textFill>
                        <w14:solidFill>
                          <w14:schemeClr w14:val="tx1"/>
                        </w14:solidFill>
                      </w14:textFill>
                    </w:rPr>
                  </w:pPr>
                </w:p>
              </w:tc>
            </w:tr>
            <w:tr w14:paraId="06C50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2F416DC7">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4B228AE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供暖</w:t>
                  </w:r>
                </w:p>
              </w:tc>
              <w:tc>
                <w:tcPr>
                  <w:tcW w:w="6521" w:type="dxa"/>
                  <w:vAlign w:val="center"/>
                </w:tcPr>
                <w:p w14:paraId="7664B758">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办公室采暖使用隧道窑余热供暖</w:t>
                  </w:r>
                </w:p>
              </w:tc>
              <w:tc>
                <w:tcPr>
                  <w:tcW w:w="478" w:type="dxa"/>
                  <w:vAlign w:val="center"/>
                </w:tcPr>
                <w:p w14:paraId="33343105">
                  <w:pPr>
                    <w:adjustRightInd w:val="0"/>
                    <w:snapToGrid w:val="0"/>
                    <w:jc w:val="center"/>
                    <w:rPr>
                      <w:color w:val="000000" w:themeColor="text1"/>
                      <w:szCs w:val="21"/>
                      <w:highlight w:val="none"/>
                      <w14:textFill>
                        <w14:solidFill>
                          <w14:schemeClr w14:val="tx1"/>
                        </w14:solidFill>
                      </w14:textFill>
                    </w:rPr>
                  </w:pPr>
                </w:p>
              </w:tc>
            </w:tr>
            <w:tr w14:paraId="717A6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50CE3958">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5053A47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供气</w:t>
                  </w:r>
                </w:p>
              </w:tc>
              <w:tc>
                <w:tcPr>
                  <w:tcW w:w="6521" w:type="dxa"/>
                  <w:vAlign w:val="center"/>
                </w:tcPr>
                <w:p w14:paraId="2E3ABA48">
                  <w:pPr>
                    <w:adjustRightInd w:val="0"/>
                    <w:snapToGrid w:val="0"/>
                    <w:jc w:val="left"/>
                    <w:rPr>
                      <w:rFonts w:hint="eastAsia" w:eastAsia="宋体"/>
                      <w:color w:val="000000" w:themeColor="text1"/>
                      <w:szCs w:val="21"/>
                      <w:highlight w:val="none"/>
                      <w:lang w:eastAsia="zh-CN"/>
                      <w14:textFill>
                        <w14:solidFill>
                          <w14:schemeClr w14:val="tx1"/>
                        </w14:solidFill>
                      </w14:textFill>
                    </w:rPr>
                  </w:pPr>
                  <w:r>
                    <w:rPr>
                      <w:color w:val="000000" w:themeColor="text1"/>
                      <w:szCs w:val="21"/>
                      <w:highlight w:val="none"/>
                      <w14:textFill>
                        <w14:solidFill>
                          <w14:schemeClr w14:val="tx1"/>
                        </w14:solidFill>
                      </w14:textFill>
                    </w:rPr>
                    <w:t>天然气</w:t>
                  </w:r>
                  <w:r>
                    <w:rPr>
                      <w:rFonts w:hint="eastAsia"/>
                      <w:color w:val="000000" w:themeColor="text1"/>
                      <w:szCs w:val="21"/>
                      <w:highlight w:val="none"/>
                      <w:lang w:eastAsia="zh-CN"/>
                      <w14:textFill>
                        <w14:solidFill>
                          <w14:schemeClr w14:val="tx1"/>
                        </w14:solidFill>
                      </w14:textFill>
                    </w:rPr>
                    <w:t>管道</w:t>
                  </w:r>
                </w:p>
              </w:tc>
              <w:tc>
                <w:tcPr>
                  <w:tcW w:w="478" w:type="dxa"/>
                  <w:vAlign w:val="center"/>
                </w:tcPr>
                <w:p w14:paraId="2FA11FB7">
                  <w:pPr>
                    <w:adjustRightInd w:val="0"/>
                    <w:snapToGrid w:val="0"/>
                    <w:jc w:val="center"/>
                    <w:rPr>
                      <w:color w:val="000000" w:themeColor="text1"/>
                      <w:szCs w:val="21"/>
                      <w:highlight w:val="none"/>
                      <w14:textFill>
                        <w14:solidFill>
                          <w14:schemeClr w14:val="tx1"/>
                        </w14:solidFill>
                      </w14:textFill>
                    </w:rPr>
                  </w:pPr>
                </w:p>
              </w:tc>
            </w:tr>
            <w:tr w14:paraId="04E23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restart"/>
                  <w:vAlign w:val="center"/>
                </w:tcPr>
                <w:p w14:paraId="1BBFE513">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环保</w:t>
                  </w:r>
                </w:p>
                <w:p w14:paraId="6F86575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231" w:type="dxa"/>
                  <w:gridSpan w:val="3"/>
                  <w:vAlign w:val="center"/>
                </w:tcPr>
                <w:p w14:paraId="274B1C3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w:t>
                  </w:r>
                </w:p>
              </w:tc>
              <w:tc>
                <w:tcPr>
                  <w:tcW w:w="6521" w:type="dxa"/>
                  <w:vAlign w:val="center"/>
                </w:tcPr>
                <w:p w14:paraId="13EDF596">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①</w:t>
                  </w:r>
                  <w:r>
                    <w:rPr>
                      <w:color w:val="000000" w:themeColor="text1"/>
                      <w:szCs w:val="21"/>
                      <w:highlight w:val="none"/>
                      <w14:textFill>
                        <w14:solidFill>
                          <w14:schemeClr w14:val="tx1"/>
                        </w14:solidFill>
                      </w14:textFill>
                    </w:rPr>
                    <w:t>页岩上料口采取三面封闭+喷淋，下料口设置全封闭集气罩+引风管；颚式破碎机、锤式破碎机、圆滚筛、搅拌机均封闭处理+集尘管；皮带通廊全封闭；皮带转运点均设置集气罩，</w:t>
                  </w:r>
                  <w:r>
                    <w:rPr>
                      <w:rFonts w:hint="eastAsia"/>
                      <w:color w:val="000000" w:themeColor="text1"/>
                      <w:szCs w:val="21"/>
                      <w:highlight w:val="none"/>
                      <w14:textFill>
                        <w14:solidFill>
                          <w14:schemeClr w14:val="tx1"/>
                        </w14:solidFill>
                      </w14:textFill>
                    </w:rPr>
                    <w:t>以上</w:t>
                  </w:r>
                  <w:r>
                    <w:rPr>
                      <w:color w:val="000000" w:themeColor="text1"/>
                      <w:szCs w:val="21"/>
                      <w:highlight w:val="none"/>
                      <w14:textFill>
                        <w14:solidFill>
                          <w14:schemeClr w14:val="tx1"/>
                        </w14:solidFill>
                      </w14:textFill>
                    </w:rPr>
                    <w:t>废气收集引至布袋除尘器进行处理后经15m高排气筒（DA00</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）排放；</w:t>
                  </w:r>
                </w:p>
                <w:p w14:paraId="1D65FAB0">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②</w:t>
                  </w:r>
                  <w:r>
                    <w:rPr>
                      <w:rFonts w:hint="eastAsia"/>
                      <w:color w:val="000000" w:themeColor="text1"/>
                      <w:szCs w:val="21"/>
                      <w:highlight w:val="none"/>
                      <w14:textFill>
                        <w14:solidFill>
                          <w14:schemeClr w14:val="tx1"/>
                        </w14:solidFill>
                      </w14:textFill>
                    </w:rPr>
                    <w:t>煤矸石</w:t>
                  </w:r>
                  <w:r>
                    <w:rPr>
                      <w:color w:val="000000" w:themeColor="text1"/>
                      <w:szCs w:val="21"/>
                      <w:highlight w:val="none"/>
                      <w14:textFill>
                        <w14:solidFill>
                          <w14:schemeClr w14:val="tx1"/>
                        </w14:solidFill>
                      </w14:textFill>
                    </w:rPr>
                    <w:t>上料仓三面封闭+喷淋+下料口设置全封闭集气罩；圆滚筛全封闭+集尘管；皮带通廊全封闭；皮带转运点设置集气罩，</w:t>
                  </w:r>
                  <w:r>
                    <w:rPr>
                      <w:rFonts w:hint="eastAsia"/>
                      <w:color w:val="000000" w:themeColor="text1"/>
                      <w:szCs w:val="21"/>
                      <w:highlight w:val="none"/>
                      <w14:textFill>
                        <w14:solidFill>
                          <w14:schemeClr w14:val="tx1"/>
                        </w14:solidFill>
                      </w14:textFill>
                    </w:rPr>
                    <w:t>以上</w:t>
                  </w:r>
                  <w:r>
                    <w:rPr>
                      <w:color w:val="000000" w:themeColor="text1"/>
                      <w:szCs w:val="21"/>
                      <w:highlight w:val="none"/>
                      <w14:textFill>
                        <w14:solidFill>
                          <w14:schemeClr w14:val="tx1"/>
                        </w14:solidFill>
                      </w14:textFill>
                    </w:rPr>
                    <w:t>废气收集引至布袋除尘器进行处理后经15m高排气筒（DA00</w:t>
                  </w: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）排放；</w:t>
                  </w:r>
                </w:p>
                <w:p w14:paraId="4105BDF5">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③</w:t>
                  </w:r>
                  <w:r>
                    <w:rPr>
                      <w:color w:val="000000" w:themeColor="text1"/>
                      <w:szCs w:val="21"/>
                      <w:highlight w:val="none"/>
                      <w14:textFill>
                        <w14:solidFill>
                          <w14:schemeClr w14:val="tx1"/>
                        </w14:solidFill>
                      </w14:textFill>
                    </w:rPr>
                    <w:t>1#、2#隧道窑废气，主要为颗粒物、二氧化硫、氮氧化物、氟化物、</w:t>
                  </w:r>
                  <w:r>
                    <w:rPr>
                      <w:bCs/>
                      <w:color w:val="000000" w:themeColor="text1"/>
                      <w:szCs w:val="21"/>
                      <w:highlight w:val="none"/>
                      <w14:textFill>
                        <w14:solidFill>
                          <w14:schemeClr w14:val="tx1"/>
                        </w14:solidFill>
                      </w14:textFill>
                    </w:rPr>
                    <w:t>氯化氢、二噁英类、重金属</w:t>
                  </w:r>
                  <w:r>
                    <w:rPr>
                      <w:color w:val="000000" w:themeColor="text1"/>
                      <w:szCs w:val="21"/>
                      <w:highlight w:val="none"/>
                      <w14:textFill>
                        <w14:solidFill>
                          <w14:schemeClr w14:val="tx1"/>
                        </w14:solidFill>
                      </w14:textFill>
                    </w:rPr>
                    <w:t>等，窑体全封闭，废气经石灰-石膏法脱硫+氧化法脱硝+湿式电除尘器处理后+38m高排气筒（DA00</w:t>
                  </w: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）排放；</w:t>
                  </w:r>
                </w:p>
                <w:p w14:paraId="2EAD8D80">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④</w:t>
                  </w:r>
                  <w:r>
                    <w:rPr>
                      <w:color w:val="000000" w:themeColor="text1"/>
                      <w:szCs w:val="21"/>
                      <w:highlight w:val="none"/>
                      <w14:textFill>
                        <w14:solidFill>
                          <w14:schemeClr w14:val="tx1"/>
                        </w14:solidFill>
                      </w14:textFill>
                    </w:rPr>
                    <w:t>3#、4#隧道窑废气，主要为颗粒物、二氧化硫、氮氧化物、氟化物、</w:t>
                  </w:r>
                  <w:r>
                    <w:rPr>
                      <w:bCs/>
                      <w:color w:val="000000" w:themeColor="text1"/>
                      <w:szCs w:val="21"/>
                      <w:highlight w:val="none"/>
                      <w14:textFill>
                        <w14:solidFill>
                          <w14:schemeClr w14:val="tx1"/>
                        </w14:solidFill>
                      </w14:textFill>
                    </w:rPr>
                    <w:t>氯化氢、二噁英类、重金属</w:t>
                  </w:r>
                  <w:r>
                    <w:rPr>
                      <w:color w:val="000000" w:themeColor="text1"/>
                      <w:szCs w:val="21"/>
                      <w:highlight w:val="none"/>
                      <w14:textFill>
                        <w14:solidFill>
                          <w14:schemeClr w14:val="tx1"/>
                        </w14:solidFill>
                      </w14:textFill>
                    </w:rPr>
                    <w:t>等，窑体全封闭，废气经石灰-石膏法脱硫+氧化法脱硝+湿式电除尘器处理后+38m高排气筒（DA00</w:t>
                  </w: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）排放；</w:t>
                  </w:r>
                </w:p>
                <w:p w14:paraId="5C01A123">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⑤</w:t>
                  </w:r>
                  <w:r>
                    <w:rPr>
                      <w:color w:val="000000" w:themeColor="text1"/>
                      <w:szCs w:val="21"/>
                      <w:highlight w:val="none"/>
                      <w14:textFill>
                        <w14:solidFill>
                          <w14:schemeClr w14:val="tx1"/>
                        </w14:solidFill>
                      </w14:textFill>
                    </w:rPr>
                    <w:t>1#、2#隧道窑窑车吹扫固定封闭工位，吹扫废气经全封闭集气罩收集+布袋除尘器处理后经15m高排气筒（DA005）排放；</w:t>
                  </w:r>
                </w:p>
                <w:p w14:paraId="0CB96C29">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⑥</w:t>
                  </w:r>
                  <w:r>
                    <w:rPr>
                      <w:color w:val="000000" w:themeColor="text1"/>
                      <w:szCs w:val="21"/>
                      <w:highlight w:val="none"/>
                      <w14:textFill>
                        <w14:solidFill>
                          <w14:schemeClr w14:val="tx1"/>
                        </w14:solidFill>
                      </w14:textFill>
                    </w:rPr>
                    <w:t>3#、4#隧道窑窑车吹扫固定封闭工位，吹扫废气经全封闭集气罩收集+布袋除尘器处理后经15m高排气筒（DA006）排放；</w:t>
                  </w:r>
                </w:p>
                <w:p w14:paraId="1B868583">
                  <w:pPr>
                    <w:adjustRightInd w:val="0"/>
                    <w:snapToGrid w:val="0"/>
                    <w:jc w:val="left"/>
                    <w:rPr>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⑦</w:t>
                  </w:r>
                  <w:r>
                    <w:rPr>
                      <w:bCs/>
                      <w:color w:val="000000" w:themeColor="text1"/>
                      <w:szCs w:val="21"/>
                      <w:highlight w:val="none"/>
                      <w14:textFill>
                        <w14:solidFill>
                          <w14:schemeClr w14:val="tx1"/>
                        </w14:solidFill>
                      </w14:textFill>
                    </w:rPr>
                    <w:t>污泥</w:t>
                  </w:r>
                  <w:r>
                    <w:rPr>
                      <w:rFonts w:hint="eastAsia"/>
                      <w:bCs/>
                      <w:color w:val="000000" w:themeColor="text1"/>
                      <w:szCs w:val="21"/>
                      <w:highlight w:val="none"/>
                      <w14:textFill>
                        <w14:solidFill>
                          <w14:schemeClr w14:val="tx1"/>
                        </w14:solidFill>
                      </w14:textFill>
                    </w:rPr>
                    <w:t>库</w:t>
                  </w:r>
                  <w:r>
                    <w:rPr>
                      <w:bCs/>
                      <w:color w:val="000000" w:themeColor="text1"/>
                      <w:szCs w:val="21"/>
                      <w:highlight w:val="none"/>
                      <w14:textFill>
                        <w14:solidFill>
                          <w14:schemeClr w14:val="tx1"/>
                        </w14:solidFill>
                      </w14:textFill>
                    </w:rPr>
                    <w:t>恶臭气体，污泥</w:t>
                  </w:r>
                  <w:r>
                    <w:rPr>
                      <w:rFonts w:hint="eastAsia"/>
                      <w:bCs/>
                      <w:color w:val="000000" w:themeColor="text1"/>
                      <w:szCs w:val="21"/>
                      <w:highlight w:val="none"/>
                      <w14:textFill>
                        <w14:solidFill>
                          <w14:schemeClr w14:val="tx1"/>
                        </w14:solidFill>
                      </w14:textFill>
                    </w:rPr>
                    <w:t>库</w:t>
                  </w:r>
                  <w:r>
                    <w:rPr>
                      <w:bCs/>
                      <w:color w:val="000000" w:themeColor="text1"/>
                      <w:szCs w:val="21"/>
                      <w:highlight w:val="none"/>
                      <w14:textFill>
                        <w14:solidFill>
                          <w14:schemeClr w14:val="tx1"/>
                        </w14:solidFill>
                      </w14:textFill>
                    </w:rPr>
                    <w:t>全封闭，</w:t>
                  </w:r>
                  <w:r>
                    <w:rPr>
                      <w:rFonts w:hint="eastAsia"/>
                      <w:bCs/>
                      <w:color w:val="000000" w:themeColor="text1"/>
                      <w:szCs w:val="21"/>
                      <w:highlight w:val="none"/>
                      <w14:textFill>
                        <w14:solidFill>
                          <w14:schemeClr w14:val="tx1"/>
                        </w14:solidFill>
                      </w14:textFill>
                    </w:rPr>
                    <w:t>微</w:t>
                  </w:r>
                  <w:r>
                    <w:rPr>
                      <w:bCs/>
                      <w:color w:val="000000" w:themeColor="text1"/>
                      <w:szCs w:val="21"/>
                      <w:highlight w:val="none"/>
                      <w14:textFill>
                        <w14:solidFill>
                          <w14:schemeClr w14:val="tx1"/>
                        </w14:solidFill>
                      </w14:textFill>
                    </w:rPr>
                    <w:t>负压收集，正常生产时，将恶臭气体引至1#隧道窑进行高温焙烧，随隧道窑废气经过现有环保工程后经38m高排气筒排放；隧道窑停产时，将恶臭气体引至两级活性炭吸附装置处理后经1根15m高排气筒（DA007）排放；</w:t>
                  </w:r>
                </w:p>
                <w:p w14:paraId="1FD86607">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⑧</w:t>
                  </w:r>
                  <w:r>
                    <w:rPr>
                      <w:color w:val="000000" w:themeColor="text1"/>
                      <w:szCs w:val="21"/>
                      <w:highlight w:val="none"/>
                      <w14:textFill>
                        <w14:solidFill>
                          <w14:schemeClr w14:val="tx1"/>
                        </w14:solidFill>
                      </w14:textFill>
                    </w:rPr>
                    <w:t>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为封闭库房，顶部设置可覆盖整个</w:t>
                  </w:r>
                  <w:r>
                    <w:rPr>
                      <w:rFonts w:hint="eastAsia"/>
                      <w:color w:val="000000" w:themeColor="text1"/>
                      <w:szCs w:val="21"/>
                      <w:highlight w:val="none"/>
                      <w14:textFill>
                        <w14:solidFill>
                          <w14:schemeClr w14:val="tx1"/>
                        </w14:solidFill>
                      </w14:textFill>
                    </w:rPr>
                    <w:t>原料库</w:t>
                  </w:r>
                  <w:r>
                    <w:rPr>
                      <w:color w:val="000000" w:themeColor="text1"/>
                      <w:szCs w:val="21"/>
                      <w:highlight w:val="none"/>
                      <w14:textFill>
                        <w14:solidFill>
                          <w14:schemeClr w14:val="tx1"/>
                        </w14:solidFill>
                      </w14:textFill>
                    </w:rPr>
                    <w:t>的喷淋装置；</w:t>
                  </w:r>
                  <w:r>
                    <w:rPr>
                      <w:bCs/>
                      <w:color w:val="000000" w:themeColor="text1"/>
                      <w:szCs w:val="21"/>
                      <w:highlight w:val="none"/>
                      <w14:textFill>
                        <w14:solidFill>
                          <w14:schemeClr w14:val="tx1"/>
                        </w14:solidFill>
                      </w14:textFill>
                    </w:rPr>
                    <w:t>污泥</w:t>
                  </w:r>
                  <w:r>
                    <w:rPr>
                      <w:rFonts w:hint="eastAsia"/>
                      <w:bCs/>
                      <w:color w:val="000000" w:themeColor="text1"/>
                      <w:szCs w:val="21"/>
                      <w:highlight w:val="none"/>
                      <w14:textFill>
                        <w14:solidFill>
                          <w14:schemeClr w14:val="tx1"/>
                        </w14:solidFill>
                      </w14:textFill>
                    </w:rPr>
                    <w:t>库</w:t>
                  </w:r>
                  <w:r>
                    <w:rPr>
                      <w:bCs/>
                      <w:color w:val="000000" w:themeColor="text1"/>
                      <w:szCs w:val="21"/>
                      <w:highlight w:val="none"/>
                      <w14:textFill>
                        <w14:solidFill>
                          <w14:schemeClr w14:val="tx1"/>
                        </w14:solidFill>
                      </w14:textFill>
                    </w:rPr>
                    <w:t>整体密闭，</w:t>
                  </w:r>
                  <w:r>
                    <w:rPr>
                      <w:rFonts w:hint="eastAsia"/>
                      <w:bCs/>
                      <w:color w:val="000000" w:themeColor="text1"/>
                      <w:szCs w:val="21"/>
                      <w:highlight w:val="none"/>
                      <w14:textFill>
                        <w14:solidFill>
                          <w14:schemeClr w14:val="tx1"/>
                        </w14:solidFill>
                      </w14:textFill>
                    </w:rPr>
                    <w:t>设自动感应门，仅车辆进出时开启；</w:t>
                  </w:r>
                </w:p>
                <w:p w14:paraId="3A73EC63">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⑨</w:t>
                  </w:r>
                  <w:r>
                    <w:rPr>
                      <w:color w:val="000000" w:themeColor="text1"/>
                      <w:szCs w:val="21"/>
                      <w:highlight w:val="none"/>
                      <w14:textFill>
                        <w14:solidFill>
                          <w14:schemeClr w14:val="tx1"/>
                        </w14:solidFill>
                      </w14:textFill>
                    </w:rPr>
                    <w:t>生产车间为封闭车间，物料转运采用全封闭皮带通廊</w:t>
                  </w:r>
                  <w:r>
                    <w:rPr>
                      <w:rFonts w:hint="eastAsia"/>
                      <w:color w:val="000000" w:themeColor="text1"/>
                      <w:szCs w:val="21"/>
                      <w:highlight w:val="none"/>
                      <w14:textFill>
                        <w14:solidFill>
                          <w14:schemeClr w14:val="tx1"/>
                        </w14:solidFill>
                      </w14:textFill>
                    </w:rPr>
                    <w:t>；</w:t>
                  </w:r>
                </w:p>
                <w:p w14:paraId="4C05C85F">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⑩</w:t>
                  </w:r>
                  <w:r>
                    <w:rPr>
                      <w:color w:val="000000" w:themeColor="text1"/>
                      <w:szCs w:val="21"/>
                      <w:highlight w:val="none"/>
                      <w14:textFill>
                        <w14:solidFill>
                          <w14:schemeClr w14:val="tx1"/>
                        </w14:solidFill>
                      </w14:textFill>
                    </w:rPr>
                    <w:t>厂区内汽车运输采取苫盖措施，装载机卸料及倒运均在封闭的原料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内进行。</w:t>
                  </w:r>
                </w:p>
              </w:tc>
              <w:tc>
                <w:tcPr>
                  <w:tcW w:w="478" w:type="dxa"/>
                  <w:vAlign w:val="center"/>
                </w:tcPr>
                <w:p w14:paraId="15C0E362">
                  <w:pPr>
                    <w:adjustRightInd w:val="0"/>
                    <w:snapToGrid w:val="0"/>
                    <w:jc w:val="center"/>
                    <w:rPr>
                      <w:color w:val="000000" w:themeColor="text1"/>
                      <w:szCs w:val="21"/>
                      <w:highlight w:val="none"/>
                      <w14:textFill>
                        <w14:solidFill>
                          <w14:schemeClr w14:val="tx1"/>
                        </w14:solidFill>
                      </w14:textFill>
                    </w:rPr>
                  </w:pPr>
                </w:p>
              </w:tc>
            </w:tr>
            <w:tr w14:paraId="6D146E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F30AEDC">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0702C4F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废水</w:t>
                  </w:r>
                </w:p>
              </w:tc>
              <w:tc>
                <w:tcPr>
                  <w:tcW w:w="6521" w:type="dxa"/>
                  <w:vAlign w:val="center"/>
                </w:tcPr>
                <w:p w14:paraId="03338015">
                  <w:pPr>
                    <w:adjustRightInd w:val="0"/>
                    <w:snapToGrid w:val="0"/>
                    <w:jc w:val="left"/>
                    <w:rPr>
                      <w:rFonts w:ascii="宋体" w:hAnsi="宋体" w:cs="宋体"/>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①</w:t>
                  </w:r>
                  <w:r>
                    <w:rPr>
                      <w:rFonts w:ascii="宋体" w:hAnsi="宋体" w:cs="宋体"/>
                      <w:bCs/>
                      <w:color w:val="000000" w:themeColor="text1"/>
                      <w:szCs w:val="21"/>
                      <w:highlight w:val="none"/>
                      <w14:textFill>
                        <w14:solidFill>
                          <w14:schemeClr w14:val="tx1"/>
                        </w14:solidFill>
                      </w14:textFill>
                    </w:rPr>
                    <w:t>设备清洗废水经沉淀池沉淀后，回用于设备清洗</w:t>
                  </w:r>
                  <w:r>
                    <w:rPr>
                      <w:rFonts w:hint="eastAsia" w:ascii="宋体" w:hAnsi="宋体" w:cs="宋体"/>
                      <w:bCs/>
                      <w:color w:val="000000" w:themeColor="text1"/>
                      <w:szCs w:val="21"/>
                      <w:highlight w:val="none"/>
                      <w14:textFill>
                        <w14:solidFill>
                          <w14:schemeClr w14:val="tx1"/>
                        </w14:solidFill>
                      </w14:textFill>
                    </w:rPr>
                    <w:t>；</w:t>
                  </w:r>
                </w:p>
                <w:p w14:paraId="188C3045">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②</w:t>
                  </w:r>
                  <w:r>
                    <w:rPr>
                      <w:color w:val="000000" w:themeColor="text1"/>
                      <w:szCs w:val="21"/>
                      <w:highlight w:val="none"/>
                      <w14:textFill>
                        <w14:solidFill>
                          <w14:schemeClr w14:val="tx1"/>
                        </w14:solidFill>
                      </w14:textFill>
                    </w:rPr>
                    <w:t>脱硫废水经脱硫池沉淀后回用于脱硫，不外排；</w:t>
                  </w:r>
                </w:p>
                <w:p w14:paraId="0E38E20A">
                  <w:pPr>
                    <w:adjustRightInd w:val="0"/>
                    <w:snapToGrid w:val="0"/>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③</w:t>
                  </w:r>
                  <w:r>
                    <w:rPr>
                      <w:color w:val="000000" w:themeColor="text1"/>
                      <w:szCs w:val="21"/>
                      <w:highlight w:val="none"/>
                      <w14:textFill>
                        <w14:solidFill>
                          <w14:schemeClr w14:val="tx1"/>
                        </w14:solidFill>
                      </w14:textFill>
                    </w:rPr>
                    <w:t>厂区出入口、封闭原</w:t>
                  </w:r>
                  <w:r>
                    <w:rPr>
                      <w:rFonts w:hint="eastAsia"/>
                      <w:color w:val="000000" w:themeColor="text1"/>
                      <w:szCs w:val="21"/>
                      <w:highlight w:val="none"/>
                      <w14:textFill>
                        <w14:solidFill>
                          <w14:schemeClr w14:val="tx1"/>
                        </w14:solidFill>
                      </w14:textFill>
                    </w:rPr>
                    <w:t>料库</w:t>
                  </w:r>
                  <w:r>
                    <w:rPr>
                      <w:color w:val="000000" w:themeColor="text1"/>
                      <w:szCs w:val="21"/>
                      <w:highlight w:val="none"/>
                      <w14:textFill>
                        <w14:solidFill>
                          <w14:schemeClr w14:val="tx1"/>
                        </w14:solidFill>
                      </w14:textFill>
                    </w:rPr>
                    <w:t>出口分别设置1座洗车平台（地下建筑、抗渗混凝土浇筑6m×2.5m），洗车废水经沉淀后循环使用，不外排；</w:t>
                  </w:r>
                </w:p>
                <w:p w14:paraId="0D3CB20D">
                  <w:pPr>
                    <w:adjustRightInd w:val="0"/>
                    <w:snapToGrid w:val="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④</w:t>
                  </w:r>
                  <w:r>
                    <w:rPr>
                      <w:color w:val="000000" w:themeColor="text1"/>
                      <w:szCs w:val="21"/>
                      <w:highlight w:val="none"/>
                      <w14:textFill>
                        <w14:solidFill>
                          <w14:schemeClr w14:val="tx1"/>
                        </w14:solidFill>
                      </w14:textFill>
                    </w:rPr>
                    <w:t>职工生活污水为职工盥洗废水，水质简单，产生量小，全部用于厂区内泼洒地面抑尘，不外排。</w:t>
                  </w:r>
                </w:p>
              </w:tc>
              <w:tc>
                <w:tcPr>
                  <w:tcW w:w="478" w:type="dxa"/>
                  <w:vAlign w:val="center"/>
                </w:tcPr>
                <w:p w14:paraId="2E87D134">
                  <w:pPr>
                    <w:adjustRightInd w:val="0"/>
                    <w:snapToGrid w:val="0"/>
                    <w:jc w:val="center"/>
                    <w:rPr>
                      <w:color w:val="000000" w:themeColor="text1"/>
                      <w:szCs w:val="21"/>
                      <w:highlight w:val="none"/>
                      <w14:textFill>
                        <w14:solidFill>
                          <w14:schemeClr w14:val="tx1"/>
                        </w14:solidFill>
                      </w14:textFill>
                    </w:rPr>
                  </w:pPr>
                </w:p>
              </w:tc>
            </w:tr>
            <w:tr w14:paraId="213B54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2B618765">
                  <w:pPr>
                    <w:adjustRightInd w:val="0"/>
                    <w:snapToGrid w:val="0"/>
                    <w:jc w:val="center"/>
                    <w:rPr>
                      <w:color w:val="000000" w:themeColor="text1"/>
                      <w:szCs w:val="21"/>
                      <w:highlight w:val="none"/>
                      <w14:textFill>
                        <w14:solidFill>
                          <w14:schemeClr w14:val="tx1"/>
                        </w14:solidFill>
                      </w14:textFill>
                    </w:rPr>
                  </w:pPr>
                </w:p>
              </w:tc>
              <w:tc>
                <w:tcPr>
                  <w:tcW w:w="1231" w:type="dxa"/>
                  <w:gridSpan w:val="3"/>
                  <w:vAlign w:val="center"/>
                </w:tcPr>
                <w:p w14:paraId="123DE9B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噪声</w:t>
                  </w:r>
                </w:p>
              </w:tc>
              <w:tc>
                <w:tcPr>
                  <w:tcW w:w="6521" w:type="dxa"/>
                  <w:vAlign w:val="center"/>
                </w:tcPr>
                <w:p w14:paraId="62CE5A38">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合理布局，选用低噪音设备，采取基础减振、厂房隔声，风机</w:t>
                  </w:r>
                  <w:r>
                    <w:rPr>
                      <w:rFonts w:hint="eastAsia"/>
                      <w:color w:val="000000" w:themeColor="text1"/>
                      <w:szCs w:val="21"/>
                      <w:highlight w:val="none"/>
                      <w14:textFill>
                        <w14:solidFill>
                          <w14:schemeClr w14:val="tx1"/>
                        </w14:solidFill>
                      </w14:textFill>
                    </w:rPr>
                    <w:t>软连接</w:t>
                  </w:r>
                  <w:r>
                    <w:rPr>
                      <w:color w:val="000000" w:themeColor="text1"/>
                      <w:szCs w:val="21"/>
                      <w:highlight w:val="none"/>
                      <w14:textFill>
                        <w14:solidFill>
                          <w14:schemeClr w14:val="tx1"/>
                        </w14:solidFill>
                      </w14:textFill>
                    </w:rPr>
                    <w:t>等措施</w:t>
                  </w:r>
                </w:p>
              </w:tc>
              <w:tc>
                <w:tcPr>
                  <w:tcW w:w="478" w:type="dxa"/>
                  <w:vAlign w:val="center"/>
                </w:tcPr>
                <w:p w14:paraId="0815006B">
                  <w:pPr>
                    <w:adjustRightInd w:val="0"/>
                    <w:snapToGrid w:val="0"/>
                    <w:jc w:val="center"/>
                    <w:rPr>
                      <w:color w:val="000000" w:themeColor="text1"/>
                      <w:szCs w:val="21"/>
                      <w:highlight w:val="none"/>
                      <w14:textFill>
                        <w14:solidFill>
                          <w14:schemeClr w14:val="tx1"/>
                        </w14:solidFill>
                      </w14:textFill>
                    </w:rPr>
                  </w:pPr>
                </w:p>
              </w:tc>
            </w:tr>
            <w:tr w14:paraId="016C02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FCD204C">
                  <w:pPr>
                    <w:adjustRightInd w:val="0"/>
                    <w:snapToGrid w:val="0"/>
                    <w:jc w:val="center"/>
                    <w:rPr>
                      <w:color w:val="000000" w:themeColor="text1"/>
                      <w:szCs w:val="21"/>
                      <w:highlight w:val="none"/>
                      <w14:textFill>
                        <w14:solidFill>
                          <w14:schemeClr w14:val="tx1"/>
                        </w14:solidFill>
                      </w14:textFill>
                    </w:rPr>
                  </w:pPr>
                </w:p>
              </w:tc>
              <w:tc>
                <w:tcPr>
                  <w:tcW w:w="658" w:type="dxa"/>
                  <w:gridSpan w:val="2"/>
                  <w:vMerge w:val="restart"/>
                  <w:vAlign w:val="center"/>
                </w:tcPr>
                <w:p w14:paraId="610EDA2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固废</w:t>
                  </w:r>
                </w:p>
              </w:tc>
              <w:tc>
                <w:tcPr>
                  <w:tcW w:w="573" w:type="dxa"/>
                  <w:vAlign w:val="center"/>
                </w:tcPr>
                <w:p w14:paraId="7C9F436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w:t>
                  </w:r>
                </w:p>
                <w:p w14:paraId="41FB064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固废</w:t>
                  </w:r>
                </w:p>
              </w:tc>
              <w:tc>
                <w:tcPr>
                  <w:tcW w:w="6521" w:type="dxa"/>
                  <w:vAlign w:val="center"/>
                </w:tcPr>
                <w:p w14:paraId="1132E109">
                  <w:pPr>
                    <w:adjustRightInd w:val="0"/>
                    <w:snapToGrid w:val="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检验工序产生的废砖</w:t>
                  </w:r>
                  <w:r>
                    <w:rPr>
                      <w:rFonts w:hint="eastAsia"/>
                      <w:color w:val="000000" w:themeColor="text1"/>
                      <w:szCs w:val="21"/>
                      <w:highlight w:val="none"/>
                      <w14:textFill>
                        <w14:solidFill>
                          <w14:schemeClr w14:val="tx1"/>
                        </w14:solidFill>
                      </w14:textFill>
                    </w:rPr>
                    <w:t>、袋式除尘器产生的</w:t>
                  </w:r>
                  <w:r>
                    <w:rPr>
                      <w:color w:val="000000" w:themeColor="text1"/>
                      <w:szCs w:val="21"/>
                      <w:highlight w:val="none"/>
                      <w14:textFill>
                        <w14:solidFill>
                          <w14:schemeClr w14:val="tx1"/>
                        </w14:solidFill>
                      </w14:textFill>
                    </w:rPr>
                    <w:t>废滤袋</w:t>
                  </w:r>
                  <w:r>
                    <w:rPr>
                      <w:rFonts w:hint="eastAsia"/>
                      <w:color w:val="000000" w:themeColor="text1"/>
                      <w:szCs w:val="21"/>
                      <w:highlight w:val="none"/>
                      <w14:textFill>
                        <w14:solidFill>
                          <w14:schemeClr w14:val="tx1"/>
                        </w14:solidFill>
                      </w14:textFill>
                    </w:rPr>
                    <w:t>、脱硫脱硝工序产生的废包装袋集中收集暂存车间一般固废区，定期外售</w:t>
                  </w:r>
                  <w:r>
                    <w:rPr>
                      <w:color w:val="000000" w:themeColor="text1"/>
                      <w:szCs w:val="21"/>
                      <w:highlight w:val="none"/>
                      <w14:textFill>
                        <w14:solidFill>
                          <w14:schemeClr w14:val="tx1"/>
                        </w14:solidFill>
                      </w14:textFill>
                    </w:rPr>
                    <w:t>；切坯工序产生的废</w:t>
                  </w:r>
                  <w:r>
                    <w:rPr>
                      <w:rFonts w:hint="eastAsia"/>
                      <w:color w:val="000000" w:themeColor="text1"/>
                      <w:szCs w:val="21"/>
                      <w:highlight w:val="none"/>
                      <w14:textFill>
                        <w14:solidFill>
                          <w14:schemeClr w14:val="tx1"/>
                        </w14:solidFill>
                      </w14:textFill>
                    </w:rPr>
                    <w:t>砖坯、</w:t>
                  </w:r>
                  <w:r>
                    <w:rPr>
                      <w:color w:val="000000" w:themeColor="text1"/>
                      <w:szCs w:val="21"/>
                      <w:highlight w:val="none"/>
                      <w14:textFill>
                        <w14:solidFill>
                          <w14:schemeClr w14:val="tx1"/>
                        </w14:solidFill>
                      </w14:textFill>
                    </w:rPr>
                    <w:t>布袋除尘器</w:t>
                  </w:r>
                  <w:r>
                    <w:rPr>
                      <w:rFonts w:hint="eastAsia"/>
                      <w:color w:val="000000" w:themeColor="text1"/>
                      <w:szCs w:val="21"/>
                      <w:highlight w:val="none"/>
                      <w14:textFill>
                        <w14:solidFill>
                          <w14:schemeClr w14:val="tx1"/>
                        </w14:solidFill>
                      </w14:textFill>
                    </w:rPr>
                    <w:t>收集</w:t>
                  </w:r>
                  <w:r>
                    <w:rPr>
                      <w:color w:val="000000" w:themeColor="text1"/>
                      <w:szCs w:val="21"/>
                      <w:highlight w:val="none"/>
                      <w14:textFill>
                        <w14:solidFill>
                          <w14:schemeClr w14:val="tx1"/>
                        </w14:solidFill>
                      </w14:textFill>
                    </w:rPr>
                    <w:t>的除尘灰、烟气脱硫产生的脱硫石膏、湿式电除尘产生的除尘灰浆</w:t>
                  </w:r>
                  <w:r>
                    <w:rPr>
                      <w:rFonts w:hint="eastAsia"/>
                      <w:color w:val="000000" w:themeColor="text1"/>
                      <w:szCs w:val="21"/>
                      <w:highlight w:val="none"/>
                      <w14:textFill>
                        <w14:solidFill>
                          <w14:schemeClr w14:val="tx1"/>
                        </w14:solidFill>
                      </w14:textFill>
                    </w:rPr>
                    <w:t>收集后送入</w:t>
                  </w:r>
                  <w:r>
                    <w:rPr>
                      <w:color w:val="000000" w:themeColor="text1"/>
                      <w:szCs w:val="21"/>
                      <w:highlight w:val="none"/>
                      <w14:textFill>
                        <w14:solidFill>
                          <w14:schemeClr w14:val="tx1"/>
                        </w14:solidFill>
                      </w14:textFill>
                    </w:rPr>
                    <w:t>搅拌工序，回用于生产；</w:t>
                  </w:r>
                  <w:r>
                    <w:rPr>
                      <w:rFonts w:hint="eastAsia"/>
                      <w:color w:val="000000" w:themeColor="text1"/>
                      <w:szCs w:val="21"/>
                      <w:highlight w:val="none"/>
                      <w14:textFill>
                        <w14:solidFill>
                          <w14:schemeClr w14:val="tx1"/>
                        </w14:solidFill>
                      </w14:textFill>
                    </w:rPr>
                    <w:t>洗车平台产生的污泥定期清理，回用于生产。</w:t>
                  </w:r>
                  <w:r>
                    <w:rPr>
                      <w:color w:val="000000" w:themeColor="text1"/>
                      <w:szCs w:val="21"/>
                      <w:highlight w:val="none"/>
                      <w14:textFill>
                        <w14:solidFill>
                          <w14:schemeClr w14:val="tx1"/>
                        </w14:solidFill>
                      </w14:textFill>
                    </w:rPr>
                    <w:t>职工生活垃圾由环卫部门定期清运处理</w:t>
                  </w:r>
                </w:p>
              </w:tc>
              <w:tc>
                <w:tcPr>
                  <w:tcW w:w="478" w:type="dxa"/>
                  <w:vAlign w:val="center"/>
                </w:tcPr>
                <w:p w14:paraId="342FD146">
                  <w:pPr>
                    <w:adjustRightInd w:val="0"/>
                    <w:snapToGrid w:val="0"/>
                    <w:jc w:val="center"/>
                    <w:rPr>
                      <w:color w:val="000000" w:themeColor="text1"/>
                      <w:szCs w:val="21"/>
                      <w:highlight w:val="none"/>
                      <w14:textFill>
                        <w14:solidFill>
                          <w14:schemeClr w14:val="tx1"/>
                        </w14:solidFill>
                      </w14:textFill>
                    </w:rPr>
                  </w:pPr>
                </w:p>
              </w:tc>
            </w:tr>
            <w:tr w14:paraId="3E1A23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Merge w:val="continue"/>
                  <w:vAlign w:val="center"/>
                </w:tcPr>
                <w:p w14:paraId="43C83A7E">
                  <w:pPr>
                    <w:adjustRightInd w:val="0"/>
                    <w:snapToGrid w:val="0"/>
                    <w:jc w:val="center"/>
                    <w:rPr>
                      <w:color w:val="000000" w:themeColor="text1"/>
                      <w:szCs w:val="21"/>
                      <w:highlight w:val="none"/>
                      <w14:textFill>
                        <w14:solidFill>
                          <w14:schemeClr w14:val="tx1"/>
                        </w14:solidFill>
                      </w14:textFill>
                    </w:rPr>
                  </w:pPr>
                </w:p>
              </w:tc>
              <w:tc>
                <w:tcPr>
                  <w:tcW w:w="658" w:type="dxa"/>
                  <w:gridSpan w:val="2"/>
                  <w:vMerge w:val="continue"/>
                  <w:tcBorders>
                    <w:bottom w:val="single" w:color="auto" w:sz="4" w:space="0"/>
                  </w:tcBorders>
                  <w:vAlign w:val="center"/>
                </w:tcPr>
                <w:p w14:paraId="0222A6F7">
                  <w:pPr>
                    <w:adjustRightInd w:val="0"/>
                    <w:snapToGrid w:val="0"/>
                    <w:jc w:val="center"/>
                    <w:rPr>
                      <w:color w:val="000000" w:themeColor="text1"/>
                      <w:szCs w:val="21"/>
                      <w:highlight w:val="none"/>
                      <w14:textFill>
                        <w14:solidFill>
                          <w14:schemeClr w14:val="tx1"/>
                        </w14:solidFill>
                      </w14:textFill>
                    </w:rPr>
                  </w:pPr>
                </w:p>
              </w:tc>
              <w:tc>
                <w:tcPr>
                  <w:tcW w:w="573" w:type="dxa"/>
                  <w:tcBorders>
                    <w:bottom w:val="single" w:color="auto" w:sz="4" w:space="0"/>
                  </w:tcBorders>
                  <w:vAlign w:val="center"/>
                </w:tcPr>
                <w:p w14:paraId="1E62991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w:t>
                  </w:r>
                </w:p>
                <w:p w14:paraId="1E668BE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废物</w:t>
                  </w:r>
                </w:p>
              </w:tc>
              <w:tc>
                <w:tcPr>
                  <w:tcW w:w="6521" w:type="dxa"/>
                  <w:vAlign w:val="center"/>
                </w:tcPr>
                <w:p w14:paraId="28901A4F">
                  <w:pPr>
                    <w:adjustRightInd w:val="0"/>
                    <w:snapToGrid w:val="0"/>
                    <w:jc w:val="left"/>
                    <w:rPr>
                      <w:color w:val="000000" w:themeColor="text1"/>
                      <w:szCs w:val="21"/>
                      <w:highlight w:val="none"/>
                      <w14:textFill>
                        <w14:solidFill>
                          <w14:schemeClr w14:val="tx1"/>
                        </w14:solidFill>
                      </w14:textFill>
                    </w:rPr>
                  </w:pPr>
                  <w:r>
                    <w:rPr>
                      <w:bCs/>
                      <w:snapToGrid w:val="0"/>
                      <w:color w:val="000000" w:themeColor="text1"/>
                      <w:kern w:val="0"/>
                      <w:szCs w:val="21"/>
                      <w:highlight w:val="none"/>
                      <w14:textFill>
                        <w14:solidFill>
                          <w14:schemeClr w14:val="tx1"/>
                        </w14:solidFill>
                      </w14:textFill>
                    </w:rPr>
                    <w:t>废润滑油</w:t>
                  </w:r>
                  <w:r>
                    <w:rPr>
                      <w:rFonts w:hint="eastAsia"/>
                      <w:bCs/>
                      <w:snapToGrid w:val="0"/>
                      <w:color w:val="000000" w:themeColor="text1"/>
                      <w:kern w:val="0"/>
                      <w:szCs w:val="21"/>
                      <w:highlight w:val="none"/>
                      <w14:textFill>
                        <w14:solidFill>
                          <w14:schemeClr w14:val="tx1"/>
                        </w14:solidFill>
                      </w14:textFill>
                    </w:rPr>
                    <w:t>采用专用容器贮存</w:t>
                  </w:r>
                  <w:r>
                    <w:rPr>
                      <w:rFonts w:hint="eastAsia"/>
                      <w:snapToGrid w:val="0"/>
                      <w:color w:val="000000" w:themeColor="text1"/>
                      <w:kern w:val="0"/>
                      <w:szCs w:val="21"/>
                      <w:highlight w:val="none"/>
                      <w14:textFill>
                        <w14:solidFill>
                          <w14:schemeClr w14:val="tx1"/>
                        </w14:solidFill>
                      </w14:textFill>
                    </w:rPr>
                    <w:t>，</w:t>
                  </w:r>
                  <w:r>
                    <w:rPr>
                      <w:rFonts w:hint="eastAsia"/>
                      <w:bCs/>
                      <w:snapToGrid w:val="0"/>
                      <w:color w:val="000000" w:themeColor="text1"/>
                      <w:kern w:val="0"/>
                      <w:szCs w:val="21"/>
                      <w:highlight w:val="none"/>
                      <w14:textFill>
                        <w14:solidFill>
                          <w14:schemeClr w14:val="tx1"/>
                        </w14:solidFill>
                      </w14:textFill>
                    </w:rPr>
                    <w:t>废活性炭</w:t>
                  </w:r>
                  <w:r>
                    <w:rPr>
                      <w:rFonts w:hint="eastAsia"/>
                      <w:snapToGrid w:val="0"/>
                      <w:color w:val="000000" w:themeColor="text1"/>
                      <w:kern w:val="0"/>
                      <w:szCs w:val="21"/>
                      <w:highlight w:val="none"/>
                      <w14:textFill>
                        <w14:solidFill>
                          <w14:schemeClr w14:val="tx1"/>
                        </w14:solidFill>
                      </w14:textFill>
                    </w:rPr>
                    <w:t>采用内塑外编的包装袋收集封口，废油桶密封，以上危废暂存</w:t>
                  </w:r>
                  <w:r>
                    <w:rPr>
                      <w:rFonts w:hint="eastAsia"/>
                      <w:snapToGrid w:val="0"/>
                      <w:color w:val="000000" w:themeColor="text1"/>
                      <w:kern w:val="0"/>
                      <w:szCs w:val="21"/>
                      <w:highlight w:val="none"/>
                      <w:lang w:val="en-US" w:eastAsia="zh-CN"/>
                      <w14:textFill>
                        <w14:solidFill>
                          <w14:schemeClr w14:val="tx1"/>
                        </w14:solidFill>
                      </w14:textFill>
                    </w:rPr>
                    <w:t>于</w:t>
                  </w:r>
                  <w:r>
                    <w:rPr>
                      <w:rFonts w:hint="eastAsia"/>
                      <w:snapToGrid w:val="0"/>
                      <w:color w:val="000000" w:themeColor="text1"/>
                      <w:kern w:val="0"/>
                      <w:szCs w:val="21"/>
                      <w:highlight w:val="none"/>
                      <w14:textFill>
                        <w14:solidFill>
                          <w14:schemeClr w14:val="tx1"/>
                        </w14:solidFill>
                      </w14:textFill>
                    </w:rPr>
                    <w:t>危废间，交有资质单位处理</w:t>
                  </w:r>
                </w:p>
              </w:tc>
              <w:tc>
                <w:tcPr>
                  <w:tcW w:w="478" w:type="dxa"/>
                  <w:vAlign w:val="center"/>
                </w:tcPr>
                <w:p w14:paraId="3263475A">
                  <w:pPr>
                    <w:adjustRightInd w:val="0"/>
                    <w:snapToGrid w:val="0"/>
                    <w:jc w:val="center"/>
                    <w:rPr>
                      <w:color w:val="000000" w:themeColor="text1"/>
                      <w:szCs w:val="21"/>
                      <w:highlight w:val="none"/>
                      <w14:textFill>
                        <w14:solidFill>
                          <w14:schemeClr w14:val="tx1"/>
                        </w14:solidFill>
                      </w14:textFill>
                    </w:rPr>
                  </w:pPr>
                </w:p>
              </w:tc>
            </w:tr>
            <w:tr w14:paraId="044B9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11" w:type="dxa"/>
                  <w:vAlign w:val="center"/>
                </w:tcPr>
                <w:p w14:paraId="6F8A8CD9">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防渗工程</w:t>
                  </w:r>
                </w:p>
              </w:tc>
              <w:tc>
                <w:tcPr>
                  <w:tcW w:w="1231" w:type="dxa"/>
                  <w:gridSpan w:val="3"/>
                  <w:tcBorders>
                    <w:top w:val="single" w:color="auto" w:sz="4" w:space="0"/>
                  </w:tcBorders>
                  <w:vAlign w:val="center"/>
                </w:tcPr>
                <w:p w14:paraId="42BAF565">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分区防渗</w:t>
                  </w:r>
                </w:p>
              </w:tc>
              <w:tc>
                <w:tcPr>
                  <w:tcW w:w="6521" w:type="dxa"/>
                  <w:vAlign w:val="center"/>
                </w:tcPr>
                <w:p w14:paraId="3CB86BAE">
                  <w:pPr>
                    <w:adjustRightInd w:val="0"/>
                    <w:snapToGrid w:val="0"/>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重点防渗区：危废间</w:t>
                  </w:r>
                  <w:r>
                    <w:rPr>
                      <w:bCs/>
                      <w:color w:val="000000" w:themeColor="text1"/>
                      <w:szCs w:val="21"/>
                      <w:highlight w:val="none"/>
                      <w14:textFill>
                        <w14:solidFill>
                          <w14:schemeClr w14:val="tx1"/>
                        </w14:solidFill>
                      </w14:textFill>
                    </w:rPr>
                    <w:t>底部铺设30</w:t>
                  </w:r>
                  <w:r>
                    <w:rPr>
                      <w:rFonts w:hint="eastAsia"/>
                      <w:bCs/>
                      <w:color w:val="000000" w:themeColor="text1"/>
                      <w:szCs w:val="21"/>
                      <w:highlight w:val="none"/>
                      <w14:textFill>
                        <w14:solidFill>
                          <w14:schemeClr w14:val="tx1"/>
                        </w14:solidFill>
                      </w14:textFill>
                    </w:rPr>
                    <w:t>0</w:t>
                  </w:r>
                  <w:r>
                    <w:rPr>
                      <w:bCs/>
                      <w:color w:val="000000" w:themeColor="text1"/>
                      <w:szCs w:val="21"/>
                      <w:highlight w:val="none"/>
                      <w14:textFill>
                        <w14:solidFill>
                          <w14:schemeClr w14:val="tx1"/>
                        </w14:solidFill>
                      </w14:textFill>
                    </w:rPr>
                    <w:t>mm粘土层（保护层，同时作为辅助防渗层）压实平整，粘土层上铺设HDPE-GCL复合防渗系统（2mm</w:t>
                  </w:r>
                  <w:r>
                    <w:rPr>
                      <w:rFonts w:hint="eastAsia"/>
                      <w:bCs/>
                      <w:color w:val="000000" w:themeColor="text1"/>
                      <w:szCs w:val="21"/>
                      <w:highlight w:val="none"/>
                      <w14:textFill>
                        <w14:solidFill>
                          <w14:schemeClr w14:val="tx1"/>
                        </w14:solidFill>
                      </w14:textFill>
                    </w:rPr>
                    <w:t>厚</w:t>
                  </w:r>
                  <w:r>
                    <w:rPr>
                      <w:bCs/>
                      <w:color w:val="000000" w:themeColor="text1"/>
                      <w:szCs w:val="21"/>
                      <w:highlight w:val="none"/>
                      <w14:textFill>
                        <w14:solidFill>
                          <w14:schemeClr w14:val="tx1"/>
                        </w14:solidFill>
                      </w14:textFill>
                    </w:rPr>
                    <w:t>高密度聚乙烯膜、300g/m</w:t>
                  </w:r>
                  <w:r>
                    <w:rPr>
                      <w:bCs/>
                      <w:color w:val="000000" w:themeColor="text1"/>
                      <w:szCs w:val="21"/>
                      <w:highlight w:val="none"/>
                      <w:vertAlign w:val="superscript"/>
                      <w14:textFill>
                        <w14:solidFill>
                          <w14:schemeClr w14:val="tx1"/>
                        </w14:solidFill>
                      </w14:textFill>
                    </w:rPr>
                    <w:t>2</w:t>
                  </w:r>
                  <w:r>
                    <w:rPr>
                      <w:bCs/>
                      <w:color w:val="000000" w:themeColor="text1"/>
                      <w:szCs w:val="21"/>
                      <w:highlight w:val="none"/>
                      <w14:textFill>
                        <w14:solidFill>
                          <w14:schemeClr w14:val="tx1"/>
                        </w14:solidFill>
                      </w14:textFill>
                    </w:rPr>
                    <w:t>土工织物膨润土垫）、上部外加耐腐蚀混凝土15cm（保护层）防渗</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渗透系数≤10</w:t>
                  </w:r>
                  <w:r>
                    <w:rPr>
                      <w:bCs/>
                      <w:color w:val="000000" w:themeColor="text1"/>
                      <w:szCs w:val="21"/>
                      <w:highlight w:val="none"/>
                      <w:vertAlign w:val="superscript"/>
                      <w14:textFill>
                        <w14:solidFill>
                          <w14:schemeClr w14:val="tx1"/>
                        </w14:solidFill>
                      </w14:textFill>
                    </w:rPr>
                    <w:t>-10</w:t>
                  </w:r>
                  <w:r>
                    <w:rPr>
                      <w:bCs/>
                      <w:color w:val="000000" w:themeColor="text1"/>
                      <w:szCs w:val="21"/>
                      <w:highlight w:val="none"/>
                      <w14:textFill>
                        <w14:solidFill>
                          <w14:schemeClr w14:val="tx1"/>
                        </w14:solidFill>
                      </w14:textFill>
                    </w:rPr>
                    <w:t>cm/s</w:t>
                  </w:r>
                  <w:r>
                    <w:rPr>
                      <w:rFonts w:hint="eastAsia"/>
                      <w:bCs/>
                      <w:color w:val="000000" w:themeColor="text1"/>
                      <w:szCs w:val="21"/>
                      <w:highlight w:val="none"/>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脱硫水池、</w:t>
                  </w:r>
                  <w:r>
                    <w:rPr>
                      <w:rFonts w:hint="eastAsia"/>
                      <w:bCs/>
                      <w:color w:val="000000" w:themeColor="text1"/>
                      <w:szCs w:val="21"/>
                      <w:highlight w:val="none"/>
                      <w14:textFill>
                        <w14:solidFill>
                          <w14:schemeClr w14:val="tx1"/>
                        </w14:solidFill>
                      </w14:textFill>
                    </w:rPr>
                    <w:t>污泥库</w:t>
                  </w:r>
                  <w:r>
                    <w:rPr>
                      <w:bCs/>
                      <w:color w:val="000000" w:themeColor="text1"/>
                      <w:szCs w:val="21"/>
                      <w:highlight w:val="none"/>
                      <w14:textFill>
                        <w14:solidFill>
                          <w14:schemeClr w14:val="tx1"/>
                        </w14:solidFill>
                      </w14:textFill>
                    </w:rPr>
                    <w:t>底部铺设300mm粘土层（保护层，同时作为辅助防渗层）压实平整，粘土层上铺设2mm厚的高密度聚乙烯膜，上部外加耐腐蚀混凝土15cm（保护层）防渗，表面涂2-4mm厚防腐、抗渗环氧树脂，渗透系数≤10</w:t>
                  </w:r>
                  <w:r>
                    <w:rPr>
                      <w:bCs/>
                      <w:color w:val="000000" w:themeColor="text1"/>
                      <w:szCs w:val="21"/>
                      <w:highlight w:val="none"/>
                      <w:vertAlign w:val="superscript"/>
                      <w14:textFill>
                        <w14:solidFill>
                          <w14:schemeClr w14:val="tx1"/>
                        </w14:solidFill>
                      </w14:textFill>
                    </w:rPr>
                    <w:t>-</w:t>
                  </w:r>
                  <w:r>
                    <w:rPr>
                      <w:rFonts w:hint="eastAsia"/>
                      <w:bCs/>
                      <w:color w:val="000000" w:themeColor="text1"/>
                      <w:szCs w:val="21"/>
                      <w:highlight w:val="none"/>
                      <w:vertAlign w:val="superscript"/>
                      <w14:textFill>
                        <w14:solidFill>
                          <w14:schemeClr w14:val="tx1"/>
                        </w14:solidFill>
                      </w14:textFill>
                    </w:rPr>
                    <w:t>7</w:t>
                  </w:r>
                  <w:r>
                    <w:rPr>
                      <w:bCs/>
                      <w:color w:val="000000" w:themeColor="text1"/>
                      <w:szCs w:val="21"/>
                      <w:highlight w:val="none"/>
                      <w14:textFill>
                        <w14:solidFill>
                          <w14:schemeClr w14:val="tx1"/>
                        </w14:solidFill>
                      </w14:textFill>
                    </w:rPr>
                    <w:t>cm/s，同时设置防雨、防渗漏、防流失等措施</w:t>
                  </w:r>
                  <w:r>
                    <w:rPr>
                      <w:rFonts w:hint="eastAsia"/>
                      <w:bCs/>
                      <w:color w:val="000000" w:themeColor="text1"/>
                      <w:szCs w:val="21"/>
                      <w:highlight w:val="none"/>
                      <w14:textFill>
                        <w14:solidFill>
                          <w14:schemeClr w14:val="tx1"/>
                        </w14:solidFill>
                      </w14:textFill>
                    </w:rPr>
                    <w:t>。</w:t>
                  </w:r>
                </w:p>
                <w:p w14:paraId="32DA6EE3">
                  <w:pPr>
                    <w:adjustRightInd w:val="0"/>
                    <w:snapToGrid w:val="0"/>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一般防渗区：生产车间、原料库、一般固废区地面</w:t>
                  </w:r>
                  <w:r>
                    <w:rPr>
                      <w:bCs/>
                      <w:color w:val="000000" w:themeColor="text1"/>
                      <w:szCs w:val="21"/>
                      <w:highlight w:val="none"/>
                      <w14:textFill>
                        <w14:solidFill>
                          <w14:schemeClr w14:val="tx1"/>
                        </w14:solidFill>
                      </w14:textFill>
                    </w:rPr>
                    <w:t>采用防渗钢筋混凝土结构，结构厚度不小于250mm，混凝土的抗渗等级不低于P8</w:t>
                  </w:r>
                  <w:r>
                    <w:rPr>
                      <w:rFonts w:hint="eastAsia"/>
                      <w:bCs/>
                      <w:color w:val="000000" w:themeColor="text1"/>
                      <w:szCs w:val="21"/>
                      <w:highlight w:val="none"/>
                      <w14:textFill>
                        <w14:solidFill>
                          <w14:schemeClr w14:val="tx1"/>
                        </w14:solidFill>
                      </w14:textFill>
                    </w:rPr>
                    <w:t>。洗车平台池体采用抗渗混凝土结构。</w:t>
                  </w:r>
                </w:p>
                <w:p w14:paraId="6F375E9B">
                  <w:pPr>
                    <w:adjustRightInd w:val="0"/>
                    <w:snapToGrid w:val="0"/>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简单防渗区：厂区内道路全部硬化。</w:t>
                  </w:r>
                </w:p>
              </w:tc>
              <w:tc>
                <w:tcPr>
                  <w:tcW w:w="478" w:type="dxa"/>
                  <w:vAlign w:val="center"/>
                </w:tcPr>
                <w:p w14:paraId="48B52367">
                  <w:pPr>
                    <w:adjustRightInd w:val="0"/>
                    <w:snapToGrid w:val="0"/>
                    <w:jc w:val="center"/>
                    <w:rPr>
                      <w:color w:val="000000" w:themeColor="text1"/>
                      <w:szCs w:val="21"/>
                      <w:highlight w:val="none"/>
                      <w14:textFill>
                        <w14:solidFill>
                          <w14:schemeClr w14:val="tx1"/>
                        </w14:solidFill>
                      </w14:textFill>
                    </w:rPr>
                  </w:pPr>
                </w:p>
              </w:tc>
            </w:tr>
          </w:tbl>
          <w:p w14:paraId="6DE32BCA">
            <w:pPr>
              <w:spacing w:line="480" w:lineRule="exact"/>
              <w:ind w:firstLine="480" w:firstLineChars="200"/>
              <w:rPr>
                <w:rFonts w:eastAsia="黑体"/>
                <w:color w:val="000000" w:themeColor="text1"/>
                <w:kern w:val="0"/>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现有工程</w:t>
            </w:r>
            <w:r>
              <w:rPr>
                <w:color w:val="000000" w:themeColor="text1"/>
                <w:sz w:val="24"/>
                <w:highlight w:val="none"/>
                <w14:textFill>
                  <w14:solidFill>
                    <w14:schemeClr w14:val="tx1"/>
                  </w14:solidFill>
                </w14:textFill>
              </w:rPr>
              <w:t>主要建构筑物见</w:t>
            </w:r>
            <w:r>
              <w:rPr>
                <w:rFonts w:hint="eastAsia"/>
                <w:color w:val="000000" w:themeColor="text1"/>
                <w:sz w:val="24"/>
                <w:highlight w:val="none"/>
                <w14:textFill>
                  <w14:solidFill>
                    <w14:schemeClr w14:val="tx1"/>
                  </w14:solidFill>
                </w14:textFill>
              </w:rPr>
              <w:t>下</w:t>
            </w:r>
            <w:r>
              <w:rPr>
                <w:color w:val="000000" w:themeColor="text1"/>
                <w:sz w:val="24"/>
                <w:highlight w:val="none"/>
                <w14:textFill>
                  <w14:solidFill>
                    <w14:schemeClr w14:val="tx1"/>
                  </w14:solidFill>
                </w14:textFill>
              </w:rPr>
              <w:t>表。</w:t>
            </w:r>
          </w:p>
          <w:p w14:paraId="790C66ED">
            <w:pPr>
              <w:spacing w:line="480" w:lineRule="exact"/>
              <w:ind w:firstLine="1200" w:firstLineChars="500"/>
              <w:rPr>
                <w:rFonts w:ascii="黑体" w:hAnsi="黑体" w:eastAsia="黑体"/>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2-</w:t>
            </w:r>
            <w:r>
              <w:rPr>
                <w:rFonts w:hint="eastAsia" w:ascii="黑体" w:hAnsi="黑体" w:eastAsia="黑体"/>
                <w:bCs/>
                <w:color w:val="000000" w:themeColor="text1"/>
                <w:sz w:val="24"/>
                <w:highlight w:val="none"/>
                <w:lang w:val="en-US" w:eastAsia="zh-CN"/>
                <w14:textFill>
                  <w14:solidFill>
                    <w14:schemeClr w14:val="tx1"/>
                  </w14:solidFill>
                </w14:textFill>
              </w:rPr>
              <w:t>3</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现有工程</w:t>
            </w:r>
            <w:r>
              <w:rPr>
                <w:rFonts w:ascii="黑体" w:hAnsi="黑体" w:eastAsia="黑体"/>
                <w:bCs/>
                <w:color w:val="000000" w:themeColor="text1"/>
                <w:sz w:val="24"/>
                <w:highlight w:val="none"/>
                <w14:textFill>
                  <w14:solidFill>
                    <w14:schemeClr w14:val="tx1"/>
                  </w14:solidFill>
                </w14:textFill>
              </w:rPr>
              <w:t>主要建构筑物一览表</w:t>
            </w:r>
          </w:p>
          <w:tbl>
            <w:tblPr>
              <w:tblStyle w:val="24"/>
              <w:tblW w:w="88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89"/>
              <w:gridCol w:w="1198"/>
              <w:gridCol w:w="677"/>
              <w:gridCol w:w="798"/>
              <w:gridCol w:w="1644"/>
              <w:gridCol w:w="567"/>
              <w:gridCol w:w="2977"/>
              <w:gridCol w:w="649"/>
            </w:tblGrid>
            <w:tr w14:paraId="16C9FC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218AD8E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1198" w:type="dxa"/>
                  <w:tcBorders>
                    <w:tl2br w:val="nil"/>
                    <w:tr2bl w:val="nil"/>
                  </w:tcBorders>
                  <w:vAlign w:val="center"/>
                </w:tcPr>
                <w:p w14:paraId="62D6B880">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677" w:type="dxa"/>
                  <w:tcBorders>
                    <w:tl2br w:val="nil"/>
                    <w:tr2bl w:val="nil"/>
                  </w:tcBorders>
                  <w:vAlign w:val="center"/>
                </w:tcPr>
                <w:p w14:paraId="7E47C2A1">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占地面积m</w:t>
                  </w:r>
                  <w:r>
                    <w:rPr>
                      <w:color w:val="000000" w:themeColor="text1"/>
                      <w:szCs w:val="21"/>
                      <w:highlight w:val="none"/>
                      <w:vertAlign w:val="superscript"/>
                      <w14:textFill>
                        <w14:solidFill>
                          <w14:schemeClr w14:val="tx1"/>
                        </w14:solidFill>
                      </w14:textFill>
                    </w:rPr>
                    <w:t>2</w:t>
                  </w:r>
                </w:p>
              </w:tc>
              <w:tc>
                <w:tcPr>
                  <w:tcW w:w="798" w:type="dxa"/>
                  <w:tcBorders>
                    <w:tl2br w:val="nil"/>
                    <w:tr2bl w:val="nil"/>
                  </w:tcBorders>
                  <w:vAlign w:val="center"/>
                </w:tcPr>
                <w:p w14:paraId="3F41EF1F">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建筑面积m</w:t>
                  </w:r>
                  <w:r>
                    <w:rPr>
                      <w:color w:val="000000" w:themeColor="text1"/>
                      <w:szCs w:val="21"/>
                      <w:highlight w:val="none"/>
                      <w:vertAlign w:val="superscript"/>
                      <w14:textFill>
                        <w14:solidFill>
                          <w14:schemeClr w14:val="tx1"/>
                        </w14:solidFill>
                      </w14:textFill>
                    </w:rPr>
                    <w:t>2</w:t>
                  </w:r>
                </w:p>
              </w:tc>
              <w:tc>
                <w:tcPr>
                  <w:tcW w:w="1644" w:type="dxa"/>
                  <w:tcBorders>
                    <w:tl2br w:val="nil"/>
                    <w:tr2bl w:val="nil"/>
                  </w:tcBorders>
                  <w:vAlign w:val="center"/>
                </w:tcPr>
                <w:p w14:paraId="60E2E319">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规格、尺寸</w:t>
                  </w:r>
                </w:p>
              </w:tc>
              <w:tc>
                <w:tcPr>
                  <w:tcW w:w="567" w:type="dxa"/>
                  <w:tcBorders>
                    <w:tl2br w:val="nil"/>
                    <w:tr2bl w:val="nil"/>
                  </w:tcBorders>
                  <w:vAlign w:val="center"/>
                </w:tcPr>
                <w:p w14:paraId="4DE425B1">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数量</w:t>
                  </w:r>
                </w:p>
              </w:tc>
              <w:tc>
                <w:tcPr>
                  <w:tcW w:w="2977" w:type="dxa"/>
                  <w:tcBorders>
                    <w:tl2br w:val="nil"/>
                    <w:tr2bl w:val="nil"/>
                  </w:tcBorders>
                  <w:vAlign w:val="center"/>
                </w:tcPr>
                <w:p w14:paraId="5C5E0CAE">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结构形式</w:t>
                  </w:r>
                </w:p>
              </w:tc>
              <w:tc>
                <w:tcPr>
                  <w:tcW w:w="649" w:type="dxa"/>
                  <w:tcBorders>
                    <w:tl2br w:val="nil"/>
                    <w:tr2bl w:val="nil"/>
                  </w:tcBorders>
                  <w:vAlign w:val="center"/>
                </w:tcPr>
                <w:p w14:paraId="22A036B9">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50DDC5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782E6453">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198" w:type="dxa"/>
                  <w:tcBorders>
                    <w:tl2br w:val="nil"/>
                    <w:tr2bl w:val="nil"/>
                  </w:tcBorders>
                  <w:vAlign w:val="center"/>
                </w:tcPr>
                <w:p w14:paraId="755FBA87">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破碎车间</w:t>
                  </w:r>
                </w:p>
              </w:tc>
              <w:tc>
                <w:tcPr>
                  <w:tcW w:w="677" w:type="dxa"/>
                  <w:tcBorders>
                    <w:tl2br w:val="nil"/>
                    <w:tr2bl w:val="nil"/>
                  </w:tcBorders>
                  <w:vAlign w:val="center"/>
                </w:tcPr>
                <w:p w14:paraId="06193578">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2628</w:t>
                  </w:r>
                </w:p>
              </w:tc>
              <w:tc>
                <w:tcPr>
                  <w:tcW w:w="798" w:type="dxa"/>
                  <w:tcBorders>
                    <w:tl2br w:val="nil"/>
                    <w:tr2bl w:val="nil"/>
                  </w:tcBorders>
                  <w:vAlign w:val="center"/>
                </w:tcPr>
                <w:p w14:paraId="016C0536">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2628</w:t>
                  </w:r>
                </w:p>
              </w:tc>
              <w:tc>
                <w:tcPr>
                  <w:tcW w:w="1644" w:type="dxa"/>
                  <w:tcBorders>
                    <w:tl2br w:val="nil"/>
                    <w:tr2bl w:val="nil"/>
                  </w:tcBorders>
                  <w:vAlign w:val="center"/>
                </w:tcPr>
                <w:p w14:paraId="136931E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50m×52.56m×4m</w:t>
                  </w:r>
                </w:p>
              </w:tc>
              <w:tc>
                <w:tcPr>
                  <w:tcW w:w="567" w:type="dxa"/>
                  <w:tcBorders>
                    <w:tl2br w:val="nil"/>
                    <w:tr2bl w:val="nil"/>
                  </w:tcBorders>
                  <w:vAlign w:val="center"/>
                </w:tcPr>
                <w:p w14:paraId="6A890E79">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restart"/>
                  <w:tcBorders>
                    <w:tl2br w:val="nil"/>
                    <w:tr2bl w:val="nil"/>
                  </w:tcBorders>
                  <w:vAlign w:val="center"/>
                </w:tcPr>
                <w:p w14:paraId="138EFECE">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1层，设2.0m的钢筋混凝土基础墙，封闭双层彩钢结构</w:t>
                  </w:r>
                </w:p>
              </w:tc>
              <w:tc>
                <w:tcPr>
                  <w:tcW w:w="649" w:type="dxa"/>
                  <w:tcBorders>
                    <w:tl2br w:val="nil"/>
                    <w:tr2bl w:val="nil"/>
                  </w:tcBorders>
                  <w:vAlign w:val="center"/>
                </w:tcPr>
                <w:p w14:paraId="3C9BEB9A">
                  <w:pPr>
                    <w:widowControl/>
                    <w:spacing w:line="280" w:lineRule="exact"/>
                    <w:jc w:val="center"/>
                    <w:rPr>
                      <w:color w:val="000000" w:themeColor="text1"/>
                      <w:szCs w:val="21"/>
                      <w:highlight w:val="none"/>
                      <w14:textFill>
                        <w14:solidFill>
                          <w14:schemeClr w14:val="tx1"/>
                        </w14:solidFill>
                      </w14:textFill>
                    </w:rPr>
                  </w:pPr>
                </w:p>
              </w:tc>
            </w:tr>
            <w:tr w14:paraId="557DB5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2152B38F">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198" w:type="dxa"/>
                  <w:tcBorders>
                    <w:tl2br w:val="nil"/>
                    <w:tr2bl w:val="nil"/>
                  </w:tcBorders>
                  <w:vAlign w:val="center"/>
                </w:tcPr>
                <w:p w14:paraId="227FD120">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陈化库</w:t>
                  </w:r>
                </w:p>
              </w:tc>
              <w:tc>
                <w:tcPr>
                  <w:tcW w:w="677" w:type="dxa"/>
                  <w:tcBorders>
                    <w:tl2br w:val="nil"/>
                    <w:tr2bl w:val="nil"/>
                  </w:tcBorders>
                  <w:vAlign w:val="center"/>
                </w:tcPr>
                <w:p w14:paraId="02464468">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3306</w:t>
                  </w:r>
                </w:p>
              </w:tc>
              <w:tc>
                <w:tcPr>
                  <w:tcW w:w="798" w:type="dxa"/>
                  <w:tcBorders>
                    <w:tl2br w:val="nil"/>
                    <w:tr2bl w:val="nil"/>
                  </w:tcBorders>
                  <w:vAlign w:val="center"/>
                </w:tcPr>
                <w:p w14:paraId="3C603432">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3306</w:t>
                  </w:r>
                </w:p>
              </w:tc>
              <w:tc>
                <w:tcPr>
                  <w:tcW w:w="1644" w:type="dxa"/>
                  <w:tcBorders>
                    <w:tl2br w:val="nil"/>
                    <w:tr2bl w:val="nil"/>
                  </w:tcBorders>
                  <w:vAlign w:val="center"/>
                </w:tcPr>
                <w:p w14:paraId="0D286C50">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165.3m×20m×9m</w:t>
                  </w:r>
                </w:p>
              </w:tc>
              <w:tc>
                <w:tcPr>
                  <w:tcW w:w="567" w:type="dxa"/>
                  <w:tcBorders>
                    <w:tl2br w:val="nil"/>
                    <w:tr2bl w:val="nil"/>
                  </w:tcBorders>
                  <w:vAlign w:val="center"/>
                </w:tcPr>
                <w:p w14:paraId="5E78530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continue"/>
                  <w:tcBorders>
                    <w:tl2br w:val="nil"/>
                    <w:tr2bl w:val="nil"/>
                  </w:tcBorders>
                  <w:vAlign w:val="center"/>
                </w:tcPr>
                <w:p w14:paraId="6EB4E301">
                  <w:pPr>
                    <w:widowControl/>
                    <w:spacing w:line="280" w:lineRule="exact"/>
                    <w:jc w:val="center"/>
                    <w:rPr>
                      <w:color w:val="000000" w:themeColor="text1"/>
                      <w:szCs w:val="21"/>
                      <w:highlight w:val="none"/>
                      <w14:textFill>
                        <w14:solidFill>
                          <w14:schemeClr w14:val="tx1"/>
                        </w14:solidFill>
                      </w14:textFill>
                    </w:rPr>
                  </w:pPr>
                </w:p>
              </w:tc>
              <w:tc>
                <w:tcPr>
                  <w:tcW w:w="649" w:type="dxa"/>
                  <w:tcBorders>
                    <w:tl2br w:val="nil"/>
                    <w:tr2bl w:val="nil"/>
                  </w:tcBorders>
                  <w:vAlign w:val="center"/>
                </w:tcPr>
                <w:p w14:paraId="34A01F9B">
                  <w:pPr>
                    <w:widowControl/>
                    <w:spacing w:line="280" w:lineRule="exact"/>
                    <w:jc w:val="center"/>
                    <w:rPr>
                      <w:color w:val="000000" w:themeColor="text1"/>
                      <w:szCs w:val="21"/>
                      <w:highlight w:val="none"/>
                      <w14:textFill>
                        <w14:solidFill>
                          <w14:schemeClr w14:val="tx1"/>
                        </w14:solidFill>
                      </w14:textFill>
                    </w:rPr>
                  </w:pPr>
                </w:p>
              </w:tc>
            </w:tr>
            <w:tr w14:paraId="793744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15D81633">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198" w:type="dxa"/>
                  <w:tcBorders>
                    <w:tl2br w:val="nil"/>
                    <w:tr2bl w:val="nil"/>
                  </w:tcBorders>
                  <w:vAlign w:val="center"/>
                </w:tcPr>
                <w:p w14:paraId="0732EA8B">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制坯车间</w:t>
                  </w:r>
                </w:p>
              </w:tc>
              <w:tc>
                <w:tcPr>
                  <w:tcW w:w="677" w:type="dxa"/>
                  <w:tcBorders>
                    <w:tl2br w:val="nil"/>
                    <w:tr2bl w:val="nil"/>
                  </w:tcBorders>
                  <w:vAlign w:val="center"/>
                </w:tcPr>
                <w:p w14:paraId="724E5954">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6840</w:t>
                  </w:r>
                </w:p>
              </w:tc>
              <w:tc>
                <w:tcPr>
                  <w:tcW w:w="798" w:type="dxa"/>
                  <w:tcBorders>
                    <w:tl2br w:val="nil"/>
                    <w:tr2bl w:val="nil"/>
                  </w:tcBorders>
                  <w:vAlign w:val="center"/>
                </w:tcPr>
                <w:p w14:paraId="7B3B2AFB">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6840</w:t>
                  </w:r>
                </w:p>
              </w:tc>
              <w:tc>
                <w:tcPr>
                  <w:tcW w:w="1644" w:type="dxa"/>
                  <w:tcBorders>
                    <w:tl2br w:val="nil"/>
                    <w:tr2bl w:val="nil"/>
                  </w:tcBorders>
                  <w:vAlign w:val="center"/>
                </w:tcPr>
                <w:p w14:paraId="23BB52A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165m×41.45m×9m</w:t>
                  </w:r>
                </w:p>
              </w:tc>
              <w:tc>
                <w:tcPr>
                  <w:tcW w:w="567" w:type="dxa"/>
                  <w:tcBorders>
                    <w:tl2br w:val="nil"/>
                    <w:tr2bl w:val="nil"/>
                  </w:tcBorders>
                  <w:vAlign w:val="center"/>
                </w:tcPr>
                <w:p w14:paraId="77F4C6DD">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restart"/>
                  <w:tcBorders>
                    <w:tl2br w:val="nil"/>
                    <w:tr2bl w:val="nil"/>
                  </w:tcBorders>
                  <w:vAlign w:val="center"/>
                </w:tcPr>
                <w:p w14:paraId="16F00DE6">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1层，全部为双层彩钢结构，内设4座隧道焙烧窑（113m×3.6m）、4座隧道型干燥室（113m×3.6m）</w:t>
                  </w:r>
                </w:p>
              </w:tc>
              <w:tc>
                <w:tcPr>
                  <w:tcW w:w="649" w:type="dxa"/>
                  <w:tcBorders>
                    <w:tl2br w:val="nil"/>
                    <w:tr2bl w:val="nil"/>
                  </w:tcBorders>
                  <w:vAlign w:val="center"/>
                </w:tcPr>
                <w:p w14:paraId="502EBEC1">
                  <w:pPr>
                    <w:widowControl/>
                    <w:spacing w:line="280" w:lineRule="exact"/>
                    <w:jc w:val="center"/>
                    <w:rPr>
                      <w:color w:val="000000" w:themeColor="text1"/>
                      <w:szCs w:val="21"/>
                      <w:highlight w:val="none"/>
                      <w14:textFill>
                        <w14:solidFill>
                          <w14:schemeClr w14:val="tx1"/>
                        </w14:solidFill>
                      </w14:textFill>
                    </w:rPr>
                  </w:pPr>
                </w:p>
              </w:tc>
            </w:tr>
            <w:tr w14:paraId="47799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108571BB">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198" w:type="dxa"/>
                  <w:tcBorders>
                    <w:tl2br w:val="nil"/>
                    <w:tr2bl w:val="nil"/>
                  </w:tcBorders>
                  <w:vAlign w:val="center"/>
                </w:tcPr>
                <w:p w14:paraId="6E9D949C">
                  <w:pPr>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焙烧、</w:t>
                  </w:r>
                  <w:r>
                    <w:rPr>
                      <w:color w:val="000000" w:themeColor="text1"/>
                      <w:szCs w:val="21"/>
                      <w:highlight w:val="none"/>
                      <w14:textFill>
                        <w14:solidFill>
                          <w14:schemeClr w14:val="tx1"/>
                        </w14:solidFill>
                      </w14:textFill>
                    </w:rPr>
                    <w:t>烘干车间</w:t>
                  </w:r>
                </w:p>
              </w:tc>
              <w:tc>
                <w:tcPr>
                  <w:tcW w:w="677" w:type="dxa"/>
                  <w:tcBorders>
                    <w:tl2br w:val="nil"/>
                    <w:tr2bl w:val="nil"/>
                  </w:tcBorders>
                  <w:vAlign w:val="center"/>
                </w:tcPr>
                <w:p w14:paraId="34781382">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15561</w:t>
                  </w:r>
                </w:p>
              </w:tc>
              <w:tc>
                <w:tcPr>
                  <w:tcW w:w="798" w:type="dxa"/>
                  <w:tcBorders>
                    <w:tl2br w:val="nil"/>
                    <w:tr2bl w:val="nil"/>
                  </w:tcBorders>
                  <w:vAlign w:val="center"/>
                </w:tcPr>
                <w:p w14:paraId="3F3C0C31">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15561</w:t>
                  </w:r>
                </w:p>
              </w:tc>
              <w:tc>
                <w:tcPr>
                  <w:tcW w:w="1644" w:type="dxa"/>
                  <w:tcBorders>
                    <w:tl2br w:val="nil"/>
                    <w:tr2bl w:val="nil"/>
                  </w:tcBorders>
                  <w:vAlign w:val="center"/>
                </w:tcPr>
                <w:p w14:paraId="17C5F73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121m×128.6m×9m</w:t>
                  </w:r>
                </w:p>
              </w:tc>
              <w:tc>
                <w:tcPr>
                  <w:tcW w:w="567" w:type="dxa"/>
                  <w:tcBorders>
                    <w:tl2br w:val="nil"/>
                    <w:tr2bl w:val="nil"/>
                  </w:tcBorders>
                  <w:vAlign w:val="center"/>
                </w:tcPr>
                <w:p w14:paraId="205AF20B">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continue"/>
                  <w:tcBorders>
                    <w:tl2br w:val="nil"/>
                    <w:tr2bl w:val="nil"/>
                  </w:tcBorders>
                  <w:vAlign w:val="center"/>
                </w:tcPr>
                <w:p w14:paraId="11C4245D">
                  <w:pPr>
                    <w:widowControl/>
                    <w:spacing w:line="280" w:lineRule="exact"/>
                    <w:jc w:val="center"/>
                    <w:rPr>
                      <w:color w:val="000000" w:themeColor="text1"/>
                      <w:szCs w:val="21"/>
                      <w:highlight w:val="none"/>
                      <w14:textFill>
                        <w14:solidFill>
                          <w14:schemeClr w14:val="tx1"/>
                        </w14:solidFill>
                      </w14:textFill>
                    </w:rPr>
                  </w:pPr>
                </w:p>
              </w:tc>
              <w:tc>
                <w:tcPr>
                  <w:tcW w:w="649" w:type="dxa"/>
                  <w:tcBorders>
                    <w:tl2br w:val="nil"/>
                    <w:tr2bl w:val="nil"/>
                  </w:tcBorders>
                  <w:vAlign w:val="center"/>
                </w:tcPr>
                <w:p w14:paraId="7DAECE22">
                  <w:pPr>
                    <w:widowControl/>
                    <w:spacing w:line="280" w:lineRule="exact"/>
                    <w:jc w:val="center"/>
                    <w:rPr>
                      <w:color w:val="000000" w:themeColor="text1"/>
                      <w:szCs w:val="21"/>
                      <w:highlight w:val="none"/>
                      <w14:textFill>
                        <w14:solidFill>
                          <w14:schemeClr w14:val="tx1"/>
                        </w14:solidFill>
                      </w14:textFill>
                    </w:rPr>
                  </w:pPr>
                </w:p>
              </w:tc>
            </w:tr>
            <w:tr w14:paraId="022009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106182A3">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198" w:type="dxa"/>
                  <w:tcBorders>
                    <w:tl2br w:val="nil"/>
                    <w:tr2bl w:val="nil"/>
                  </w:tcBorders>
                  <w:vAlign w:val="center"/>
                </w:tcPr>
                <w:p w14:paraId="1BDACFB6">
                  <w:pPr>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煤矸石</w:t>
                  </w:r>
                  <w:r>
                    <w:rPr>
                      <w:color w:val="000000" w:themeColor="text1"/>
                      <w:szCs w:val="21"/>
                      <w:highlight w:val="none"/>
                      <w14:textFill>
                        <w14:solidFill>
                          <w14:schemeClr w14:val="tx1"/>
                        </w14:solidFill>
                      </w14:textFill>
                    </w:rPr>
                    <w:t>原料库</w:t>
                  </w:r>
                </w:p>
              </w:tc>
              <w:tc>
                <w:tcPr>
                  <w:tcW w:w="677" w:type="dxa"/>
                  <w:tcBorders>
                    <w:tl2br w:val="nil"/>
                    <w:tr2bl w:val="nil"/>
                  </w:tcBorders>
                  <w:vAlign w:val="center"/>
                </w:tcPr>
                <w:p w14:paraId="4F98FAD8">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798" w:type="dxa"/>
                  <w:tcBorders>
                    <w:tl2br w:val="nil"/>
                    <w:tr2bl w:val="nil"/>
                  </w:tcBorders>
                  <w:vAlign w:val="center"/>
                </w:tcPr>
                <w:p w14:paraId="1C566C6A">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1644" w:type="dxa"/>
                  <w:tcBorders>
                    <w:tl2br w:val="nil"/>
                    <w:tr2bl w:val="nil"/>
                  </w:tcBorders>
                  <w:vAlign w:val="center"/>
                </w:tcPr>
                <w:p w14:paraId="4E52D384">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75m×29.2m×6m</w:t>
                  </w:r>
                </w:p>
              </w:tc>
              <w:tc>
                <w:tcPr>
                  <w:tcW w:w="567" w:type="dxa"/>
                  <w:tcBorders>
                    <w:tl2br w:val="nil"/>
                    <w:tr2bl w:val="nil"/>
                  </w:tcBorders>
                  <w:vAlign w:val="center"/>
                </w:tcPr>
                <w:p w14:paraId="2822C58B">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082B7EFA">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w:t>
                  </w:r>
                </w:p>
              </w:tc>
              <w:tc>
                <w:tcPr>
                  <w:tcW w:w="649" w:type="dxa"/>
                  <w:tcBorders>
                    <w:tl2br w:val="nil"/>
                    <w:tr2bl w:val="nil"/>
                  </w:tcBorders>
                  <w:vAlign w:val="center"/>
                </w:tcPr>
                <w:p w14:paraId="14CF3DAB">
                  <w:pPr>
                    <w:widowControl/>
                    <w:spacing w:line="280" w:lineRule="exact"/>
                    <w:jc w:val="center"/>
                    <w:rPr>
                      <w:color w:val="000000" w:themeColor="text1"/>
                      <w:szCs w:val="21"/>
                      <w:highlight w:val="none"/>
                      <w14:textFill>
                        <w14:solidFill>
                          <w14:schemeClr w14:val="tx1"/>
                        </w14:solidFill>
                      </w14:textFill>
                    </w:rPr>
                  </w:pPr>
                </w:p>
              </w:tc>
            </w:tr>
            <w:tr w14:paraId="1B01B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5296991F">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1198" w:type="dxa"/>
                  <w:tcBorders>
                    <w:tl2br w:val="nil"/>
                    <w:tr2bl w:val="nil"/>
                  </w:tcBorders>
                  <w:vAlign w:val="center"/>
                </w:tcPr>
                <w:p w14:paraId="007FB9A6">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页岩原料库</w:t>
                  </w:r>
                </w:p>
              </w:tc>
              <w:tc>
                <w:tcPr>
                  <w:tcW w:w="677" w:type="dxa"/>
                  <w:tcBorders>
                    <w:tl2br w:val="nil"/>
                    <w:tr2bl w:val="nil"/>
                  </w:tcBorders>
                  <w:vAlign w:val="center"/>
                </w:tcPr>
                <w:p w14:paraId="4C2A3E34">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798" w:type="dxa"/>
                  <w:tcBorders>
                    <w:tl2br w:val="nil"/>
                    <w:tr2bl w:val="nil"/>
                  </w:tcBorders>
                  <w:vAlign w:val="center"/>
                </w:tcPr>
                <w:p w14:paraId="205B38FA">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1644" w:type="dxa"/>
                  <w:tcBorders>
                    <w:tl2br w:val="nil"/>
                    <w:tr2bl w:val="nil"/>
                  </w:tcBorders>
                  <w:vAlign w:val="center"/>
                </w:tcPr>
                <w:p w14:paraId="566A0955">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75m×29.2m×6m</w:t>
                  </w:r>
                </w:p>
              </w:tc>
              <w:tc>
                <w:tcPr>
                  <w:tcW w:w="567" w:type="dxa"/>
                  <w:tcBorders>
                    <w:tl2br w:val="nil"/>
                    <w:tr2bl w:val="nil"/>
                  </w:tcBorders>
                  <w:vAlign w:val="center"/>
                </w:tcPr>
                <w:p w14:paraId="5F8DB7EE">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1145F2B8">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w:t>
                  </w:r>
                </w:p>
              </w:tc>
              <w:tc>
                <w:tcPr>
                  <w:tcW w:w="649" w:type="dxa"/>
                  <w:tcBorders>
                    <w:tl2br w:val="nil"/>
                    <w:tr2bl w:val="nil"/>
                  </w:tcBorders>
                  <w:vAlign w:val="center"/>
                </w:tcPr>
                <w:p w14:paraId="1493F265">
                  <w:pPr>
                    <w:widowControl/>
                    <w:spacing w:line="280" w:lineRule="exact"/>
                    <w:jc w:val="center"/>
                    <w:rPr>
                      <w:color w:val="000000" w:themeColor="text1"/>
                      <w:szCs w:val="21"/>
                      <w:highlight w:val="none"/>
                      <w14:textFill>
                        <w14:solidFill>
                          <w14:schemeClr w14:val="tx1"/>
                        </w14:solidFill>
                      </w14:textFill>
                    </w:rPr>
                  </w:pPr>
                </w:p>
              </w:tc>
            </w:tr>
            <w:tr w14:paraId="25ECB2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520A6EEF">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1198" w:type="dxa"/>
                  <w:tcBorders>
                    <w:tl2br w:val="nil"/>
                    <w:tr2bl w:val="nil"/>
                  </w:tcBorders>
                  <w:vAlign w:val="center"/>
                </w:tcPr>
                <w:p w14:paraId="7DA56E67">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p>
              </w:tc>
              <w:tc>
                <w:tcPr>
                  <w:tcW w:w="677" w:type="dxa"/>
                  <w:tcBorders>
                    <w:tl2br w:val="nil"/>
                    <w:tr2bl w:val="nil"/>
                  </w:tcBorders>
                  <w:vAlign w:val="center"/>
                </w:tcPr>
                <w:p w14:paraId="05D2443B">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176</w:t>
                  </w:r>
                </w:p>
              </w:tc>
              <w:tc>
                <w:tcPr>
                  <w:tcW w:w="798" w:type="dxa"/>
                  <w:tcBorders>
                    <w:tl2br w:val="nil"/>
                    <w:tr2bl w:val="nil"/>
                  </w:tcBorders>
                  <w:vAlign w:val="center"/>
                </w:tcPr>
                <w:p w14:paraId="3FB2675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176</w:t>
                  </w:r>
                </w:p>
              </w:tc>
              <w:tc>
                <w:tcPr>
                  <w:tcW w:w="1644" w:type="dxa"/>
                  <w:tcBorders>
                    <w:tl2br w:val="nil"/>
                    <w:tr2bl w:val="nil"/>
                  </w:tcBorders>
                  <w:vAlign w:val="center"/>
                </w:tcPr>
                <w:p w14:paraId="36FB3BA3">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22m×8m×6m</w:t>
                  </w:r>
                </w:p>
              </w:tc>
              <w:tc>
                <w:tcPr>
                  <w:tcW w:w="567" w:type="dxa"/>
                  <w:tcBorders>
                    <w:tl2br w:val="nil"/>
                    <w:tr2bl w:val="nil"/>
                  </w:tcBorders>
                  <w:vAlign w:val="center"/>
                </w:tcPr>
                <w:p w14:paraId="35959B3A">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33D42182">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w:t>
                  </w:r>
                  <w:r>
                    <w:rPr>
                      <w:rFonts w:hint="eastAsia"/>
                      <w:color w:val="000000" w:themeColor="text1"/>
                      <w:szCs w:val="21"/>
                      <w:highlight w:val="none"/>
                      <w14:textFill>
                        <w14:solidFill>
                          <w14:schemeClr w14:val="tx1"/>
                        </w14:solidFill>
                      </w14:textFill>
                    </w:rPr>
                    <w:t>位于页岩原料库内，双层</w:t>
                  </w:r>
                  <w:r>
                    <w:rPr>
                      <w:color w:val="000000" w:themeColor="text1"/>
                      <w:szCs w:val="21"/>
                      <w:highlight w:val="none"/>
                      <w14:textFill>
                        <w14:solidFill>
                          <w14:schemeClr w14:val="tx1"/>
                        </w14:solidFill>
                      </w14:textFill>
                    </w:rPr>
                    <w:t>彩钢结构，污泥</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地面防腐防渗</w:t>
                  </w:r>
                  <w:r>
                    <w:rPr>
                      <w:rFonts w:hint="eastAsia"/>
                      <w:color w:val="000000" w:themeColor="text1"/>
                      <w:szCs w:val="21"/>
                      <w:highlight w:val="none"/>
                      <w14:textFill>
                        <w14:solidFill>
                          <w14:schemeClr w14:val="tx1"/>
                        </w14:solidFill>
                      </w14:textFill>
                    </w:rPr>
                    <w:t>处理</w:t>
                  </w:r>
                </w:p>
              </w:tc>
              <w:tc>
                <w:tcPr>
                  <w:tcW w:w="649" w:type="dxa"/>
                  <w:tcBorders>
                    <w:tl2br w:val="nil"/>
                    <w:tr2bl w:val="nil"/>
                  </w:tcBorders>
                  <w:vAlign w:val="center"/>
                </w:tcPr>
                <w:p w14:paraId="6FA4825A">
                  <w:pPr>
                    <w:widowControl/>
                    <w:spacing w:line="280" w:lineRule="exact"/>
                    <w:jc w:val="center"/>
                    <w:rPr>
                      <w:color w:val="000000" w:themeColor="text1"/>
                      <w:szCs w:val="21"/>
                      <w:highlight w:val="none"/>
                      <w14:textFill>
                        <w14:solidFill>
                          <w14:schemeClr w14:val="tx1"/>
                        </w14:solidFill>
                      </w14:textFill>
                    </w:rPr>
                  </w:pPr>
                </w:p>
              </w:tc>
            </w:tr>
            <w:tr w14:paraId="4713E2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075DC5ED">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1198" w:type="dxa"/>
                  <w:tcBorders>
                    <w:tl2br w:val="nil"/>
                    <w:tr2bl w:val="nil"/>
                  </w:tcBorders>
                  <w:vAlign w:val="center"/>
                </w:tcPr>
                <w:p w14:paraId="5A338D19">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脱硫车间</w:t>
                  </w:r>
                </w:p>
              </w:tc>
              <w:tc>
                <w:tcPr>
                  <w:tcW w:w="677" w:type="dxa"/>
                  <w:tcBorders>
                    <w:tl2br w:val="nil"/>
                    <w:tr2bl w:val="nil"/>
                  </w:tcBorders>
                  <w:vAlign w:val="center"/>
                </w:tcPr>
                <w:p w14:paraId="312A2711">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1280</w:t>
                  </w:r>
                </w:p>
              </w:tc>
              <w:tc>
                <w:tcPr>
                  <w:tcW w:w="798" w:type="dxa"/>
                  <w:tcBorders>
                    <w:tl2br w:val="nil"/>
                    <w:tr2bl w:val="nil"/>
                  </w:tcBorders>
                  <w:vAlign w:val="center"/>
                </w:tcPr>
                <w:p w14:paraId="1599A295">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1280</w:t>
                  </w:r>
                </w:p>
              </w:tc>
              <w:tc>
                <w:tcPr>
                  <w:tcW w:w="1644" w:type="dxa"/>
                  <w:tcBorders>
                    <w:tl2br w:val="nil"/>
                    <w:tr2bl w:val="nil"/>
                  </w:tcBorders>
                  <w:vAlign w:val="center"/>
                </w:tcPr>
                <w:p w14:paraId="08C11CC9">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18.82m×68m×4m</w:t>
                  </w:r>
                </w:p>
              </w:tc>
              <w:tc>
                <w:tcPr>
                  <w:tcW w:w="567" w:type="dxa"/>
                  <w:tcBorders>
                    <w:tl2br w:val="nil"/>
                    <w:tr2bl w:val="nil"/>
                  </w:tcBorders>
                  <w:vAlign w:val="center"/>
                </w:tcPr>
                <w:p w14:paraId="6CF51D66">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57B191DE">
                  <w:pPr>
                    <w:widowControl/>
                    <w:tabs>
                      <w:tab w:val="left" w:pos="327"/>
                    </w:tabs>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w:t>
                  </w:r>
                </w:p>
              </w:tc>
              <w:tc>
                <w:tcPr>
                  <w:tcW w:w="649" w:type="dxa"/>
                  <w:tcBorders>
                    <w:tl2br w:val="nil"/>
                    <w:tr2bl w:val="nil"/>
                  </w:tcBorders>
                  <w:vAlign w:val="center"/>
                </w:tcPr>
                <w:p w14:paraId="32A1F914">
                  <w:pPr>
                    <w:widowControl/>
                    <w:spacing w:line="280" w:lineRule="exact"/>
                    <w:jc w:val="center"/>
                    <w:rPr>
                      <w:color w:val="000000" w:themeColor="text1"/>
                      <w:szCs w:val="21"/>
                      <w:highlight w:val="none"/>
                      <w14:textFill>
                        <w14:solidFill>
                          <w14:schemeClr w14:val="tx1"/>
                        </w14:solidFill>
                      </w14:textFill>
                    </w:rPr>
                  </w:pPr>
                </w:p>
              </w:tc>
            </w:tr>
            <w:tr w14:paraId="275A52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32F2CA48">
                  <w:pPr>
                    <w:spacing w:line="28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9</w:t>
                  </w:r>
                </w:p>
              </w:tc>
              <w:tc>
                <w:tcPr>
                  <w:tcW w:w="1198" w:type="dxa"/>
                  <w:tcBorders>
                    <w:tl2br w:val="nil"/>
                    <w:tr2bl w:val="nil"/>
                  </w:tcBorders>
                  <w:vAlign w:val="center"/>
                </w:tcPr>
                <w:p w14:paraId="7329067E">
                  <w:pPr>
                    <w:spacing w:line="28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脱硫水池</w:t>
                  </w:r>
                </w:p>
              </w:tc>
              <w:tc>
                <w:tcPr>
                  <w:tcW w:w="677" w:type="dxa"/>
                  <w:tcBorders>
                    <w:tl2br w:val="nil"/>
                    <w:tr2bl w:val="nil"/>
                  </w:tcBorders>
                  <w:vAlign w:val="center"/>
                </w:tcPr>
                <w:p w14:paraId="0F737E23">
                  <w:pPr>
                    <w:widowControl/>
                    <w:spacing w:line="28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798" w:type="dxa"/>
                  <w:tcBorders>
                    <w:tl2br w:val="nil"/>
                    <w:tr2bl w:val="nil"/>
                  </w:tcBorders>
                  <w:vAlign w:val="center"/>
                </w:tcPr>
                <w:p w14:paraId="063740A2">
                  <w:pPr>
                    <w:widowControl/>
                    <w:spacing w:line="28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1644" w:type="dxa"/>
                  <w:tcBorders>
                    <w:tl2br w:val="nil"/>
                    <w:tr2bl w:val="nil"/>
                  </w:tcBorders>
                  <w:vAlign w:val="center"/>
                </w:tcPr>
                <w:p w14:paraId="67496BE3">
                  <w:pPr>
                    <w:widowControl/>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w:t>
                  </w:r>
                  <w:r>
                    <w:rPr>
                      <w:color w:val="000000" w:themeColor="text1"/>
                      <w:szCs w:val="21"/>
                      <w:highlight w:val="none"/>
                      <w14:textFill>
                        <w14:solidFill>
                          <w14:schemeClr w14:val="tx1"/>
                        </w14:solidFill>
                      </w14:textFill>
                    </w:rPr>
                    <w:t>m×</w:t>
                  </w:r>
                  <w:r>
                    <w:rPr>
                      <w:rFonts w:hint="eastAsia"/>
                      <w:color w:val="000000" w:themeColor="text1"/>
                      <w:szCs w:val="21"/>
                      <w:highlight w:val="none"/>
                      <w:lang w:val="en-US" w:eastAsia="zh-CN"/>
                      <w14:textFill>
                        <w14:solidFill>
                          <w14:schemeClr w14:val="tx1"/>
                        </w14:solidFill>
                      </w14:textFill>
                    </w:rPr>
                    <w:t>3</w:t>
                  </w:r>
                  <w:r>
                    <w:rPr>
                      <w:color w:val="000000" w:themeColor="text1"/>
                      <w:szCs w:val="21"/>
                      <w:highlight w:val="none"/>
                      <w14:textFill>
                        <w14:solidFill>
                          <w14:schemeClr w14:val="tx1"/>
                        </w14:solidFill>
                      </w14:textFill>
                    </w:rPr>
                    <w:t>m×</w:t>
                  </w:r>
                  <w:r>
                    <w:rPr>
                      <w:rFonts w:hint="eastAsia"/>
                      <w:color w:val="000000" w:themeColor="text1"/>
                      <w:szCs w:val="21"/>
                      <w:highlight w:val="none"/>
                      <w:lang w:val="en-US" w:eastAsia="zh-CN"/>
                      <w14:textFill>
                        <w14:solidFill>
                          <w14:schemeClr w14:val="tx1"/>
                        </w14:solidFill>
                      </w14:textFill>
                    </w:rPr>
                    <w:t>4</w:t>
                  </w:r>
                  <w:r>
                    <w:rPr>
                      <w:color w:val="000000" w:themeColor="text1"/>
                      <w:szCs w:val="21"/>
                      <w:highlight w:val="none"/>
                      <w14:textFill>
                        <w14:solidFill>
                          <w14:schemeClr w14:val="tx1"/>
                        </w14:solidFill>
                      </w14:textFill>
                    </w:rPr>
                    <w:t>m</w:t>
                  </w:r>
                </w:p>
              </w:tc>
              <w:tc>
                <w:tcPr>
                  <w:tcW w:w="567" w:type="dxa"/>
                  <w:tcBorders>
                    <w:tl2br w:val="nil"/>
                    <w:tr2bl w:val="nil"/>
                  </w:tcBorders>
                  <w:vAlign w:val="center"/>
                </w:tcPr>
                <w:p w14:paraId="5F63D04B">
                  <w:pPr>
                    <w:widowControl/>
                    <w:spacing w:line="28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2977" w:type="dxa"/>
                  <w:tcBorders>
                    <w:tl2br w:val="nil"/>
                    <w:tr2bl w:val="nil"/>
                  </w:tcBorders>
                  <w:vAlign w:val="center"/>
                </w:tcPr>
                <w:p w14:paraId="39390E62">
                  <w:pPr>
                    <w:widowControl/>
                    <w:tabs>
                      <w:tab w:val="left" w:pos="327"/>
                    </w:tabs>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防渗处理，渗透系数≤1.0×10</w:t>
                  </w:r>
                  <w:r>
                    <w:rPr>
                      <w:color w:val="000000" w:themeColor="text1"/>
                      <w:szCs w:val="21"/>
                      <w:highlight w:val="none"/>
                      <w:vertAlign w:val="superscript"/>
                      <w14:textFill>
                        <w14:solidFill>
                          <w14:schemeClr w14:val="tx1"/>
                        </w14:solidFill>
                      </w14:textFill>
                    </w:rPr>
                    <w:t>-7</w:t>
                  </w:r>
                  <w:r>
                    <w:rPr>
                      <w:color w:val="000000" w:themeColor="text1"/>
                      <w:szCs w:val="21"/>
                      <w:highlight w:val="none"/>
                      <w14:textFill>
                        <w14:solidFill>
                          <w14:schemeClr w14:val="tx1"/>
                        </w14:solidFill>
                      </w14:textFill>
                    </w:rPr>
                    <w:t>cm/s</w:t>
                  </w:r>
                </w:p>
              </w:tc>
              <w:tc>
                <w:tcPr>
                  <w:tcW w:w="649" w:type="dxa"/>
                  <w:tcBorders>
                    <w:tl2br w:val="nil"/>
                    <w:tr2bl w:val="nil"/>
                  </w:tcBorders>
                  <w:vAlign w:val="center"/>
                </w:tcPr>
                <w:p w14:paraId="0EADA017">
                  <w:pPr>
                    <w:widowControl/>
                    <w:spacing w:line="280" w:lineRule="exact"/>
                    <w:jc w:val="center"/>
                    <w:rPr>
                      <w:color w:val="000000" w:themeColor="text1"/>
                      <w:szCs w:val="21"/>
                      <w:highlight w:val="none"/>
                      <w14:textFill>
                        <w14:solidFill>
                          <w14:schemeClr w14:val="tx1"/>
                        </w14:solidFill>
                      </w14:textFill>
                    </w:rPr>
                  </w:pPr>
                </w:p>
              </w:tc>
            </w:tr>
            <w:tr w14:paraId="37FE1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54AE38D3">
                  <w:pPr>
                    <w:spacing w:line="28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10</w:t>
                  </w:r>
                </w:p>
              </w:tc>
              <w:tc>
                <w:tcPr>
                  <w:tcW w:w="1198" w:type="dxa"/>
                  <w:tcBorders>
                    <w:tl2br w:val="nil"/>
                    <w:tr2bl w:val="nil"/>
                  </w:tcBorders>
                  <w:vAlign w:val="center"/>
                </w:tcPr>
                <w:p w14:paraId="53CF7A2A">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办公室、门卫、磅房</w:t>
                  </w:r>
                </w:p>
              </w:tc>
              <w:tc>
                <w:tcPr>
                  <w:tcW w:w="677" w:type="dxa"/>
                  <w:tcBorders>
                    <w:tl2br w:val="nil"/>
                    <w:tr2bl w:val="nil"/>
                  </w:tcBorders>
                  <w:vAlign w:val="center"/>
                </w:tcPr>
                <w:p w14:paraId="228A87D3">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556</w:t>
                  </w:r>
                </w:p>
              </w:tc>
              <w:tc>
                <w:tcPr>
                  <w:tcW w:w="798" w:type="dxa"/>
                  <w:tcBorders>
                    <w:tl2br w:val="nil"/>
                    <w:tr2bl w:val="nil"/>
                  </w:tcBorders>
                  <w:vAlign w:val="center"/>
                </w:tcPr>
                <w:p w14:paraId="4B213A23">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1112</w:t>
                  </w:r>
                </w:p>
              </w:tc>
              <w:tc>
                <w:tcPr>
                  <w:tcW w:w="1644" w:type="dxa"/>
                  <w:tcBorders>
                    <w:tl2br w:val="nil"/>
                    <w:tr2bl w:val="nil"/>
                  </w:tcBorders>
                  <w:vAlign w:val="center"/>
                </w:tcPr>
                <w:p w14:paraId="767A1B8B">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8.17m×68m×8m</w:t>
                  </w:r>
                </w:p>
              </w:tc>
              <w:tc>
                <w:tcPr>
                  <w:tcW w:w="567" w:type="dxa"/>
                  <w:tcBorders>
                    <w:tl2br w:val="nil"/>
                    <w:tr2bl w:val="nil"/>
                  </w:tcBorders>
                  <w:vAlign w:val="center"/>
                </w:tcPr>
                <w:p w14:paraId="1F103CF6">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0D6669E5">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2层，砖混结构</w:t>
                  </w:r>
                </w:p>
              </w:tc>
              <w:tc>
                <w:tcPr>
                  <w:tcW w:w="649" w:type="dxa"/>
                  <w:tcBorders>
                    <w:tl2br w:val="nil"/>
                    <w:tr2bl w:val="nil"/>
                  </w:tcBorders>
                  <w:vAlign w:val="center"/>
                </w:tcPr>
                <w:p w14:paraId="7515C243">
                  <w:pPr>
                    <w:widowControl/>
                    <w:spacing w:line="280" w:lineRule="exact"/>
                    <w:jc w:val="center"/>
                    <w:rPr>
                      <w:color w:val="000000" w:themeColor="text1"/>
                      <w:szCs w:val="21"/>
                      <w:highlight w:val="none"/>
                      <w14:textFill>
                        <w14:solidFill>
                          <w14:schemeClr w14:val="tx1"/>
                        </w14:solidFill>
                      </w14:textFill>
                    </w:rPr>
                  </w:pPr>
                </w:p>
              </w:tc>
            </w:tr>
            <w:tr w14:paraId="65923A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2CA69919">
                  <w:pPr>
                    <w:spacing w:line="28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11</w:t>
                  </w:r>
                </w:p>
              </w:tc>
              <w:tc>
                <w:tcPr>
                  <w:tcW w:w="1198" w:type="dxa"/>
                  <w:tcBorders>
                    <w:tl2br w:val="nil"/>
                    <w:tr2bl w:val="nil"/>
                  </w:tcBorders>
                  <w:vAlign w:val="center"/>
                </w:tcPr>
                <w:p w14:paraId="56CF32A9">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一般固废暂存区</w:t>
                  </w:r>
                </w:p>
              </w:tc>
              <w:tc>
                <w:tcPr>
                  <w:tcW w:w="677" w:type="dxa"/>
                  <w:tcBorders>
                    <w:tl2br w:val="nil"/>
                    <w:tr2bl w:val="nil"/>
                  </w:tcBorders>
                  <w:vAlign w:val="center"/>
                </w:tcPr>
                <w:p w14:paraId="0046FE21">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798" w:type="dxa"/>
                  <w:tcBorders>
                    <w:tl2br w:val="nil"/>
                    <w:tr2bl w:val="nil"/>
                  </w:tcBorders>
                  <w:vAlign w:val="center"/>
                </w:tcPr>
                <w:p w14:paraId="547E375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644" w:type="dxa"/>
                  <w:tcBorders>
                    <w:tl2br w:val="nil"/>
                    <w:tr2bl w:val="nil"/>
                  </w:tcBorders>
                  <w:vAlign w:val="center"/>
                </w:tcPr>
                <w:p w14:paraId="518B88BB">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5m×10m</w:t>
                  </w:r>
                </w:p>
              </w:tc>
              <w:tc>
                <w:tcPr>
                  <w:tcW w:w="567" w:type="dxa"/>
                  <w:tcBorders>
                    <w:tl2br w:val="nil"/>
                    <w:tr2bl w:val="nil"/>
                  </w:tcBorders>
                  <w:vAlign w:val="center"/>
                </w:tcPr>
                <w:p w14:paraId="2EB88416">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217DAD7C">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位于成品车间内，防渗处理，渗透系数≤1.0×10</w:t>
                  </w:r>
                  <w:r>
                    <w:rPr>
                      <w:color w:val="000000" w:themeColor="text1"/>
                      <w:szCs w:val="21"/>
                      <w:highlight w:val="none"/>
                      <w:vertAlign w:val="superscript"/>
                      <w14:textFill>
                        <w14:solidFill>
                          <w14:schemeClr w14:val="tx1"/>
                        </w14:solidFill>
                      </w14:textFill>
                    </w:rPr>
                    <w:t>-7</w:t>
                  </w:r>
                  <w:r>
                    <w:rPr>
                      <w:color w:val="000000" w:themeColor="text1"/>
                      <w:szCs w:val="21"/>
                      <w:highlight w:val="none"/>
                      <w14:textFill>
                        <w14:solidFill>
                          <w14:schemeClr w14:val="tx1"/>
                        </w14:solidFill>
                      </w14:textFill>
                    </w:rPr>
                    <w:t>cm/s</w:t>
                  </w:r>
                </w:p>
              </w:tc>
              <w:tc>
                <w:tcPr>
                  <w:tcW w:w="649" w:type="dxa"/>
                  <w:tcBorders>
                    <w:tl2br w:val="nil"/>
                    <w:tr2bl w:val="nil"/>
                  </w:tcBorders>
                  <w:vAlign w:val="center"/>
                </w:tcPr>
                <w:p w14:paraId="317E034E">
                  <w:pPr>
                    <w:widowControl/>
                    <w:spacing w:line="280" w:lineRule="exact"/>
                    <w:jc w:val="center"/>
                    <w:rPr>
                      <w:color w:val="000000" w:themeColor="text1"/>
                      <w:szCs w:val="21"/>
                      <w:highlight w:val="none"/>
                      <w14:textFill>
                        <w14:solidFill>
                          <w14:schemeClr w14:val="tx1"/>
                        </w14:solidFill>
                      </w14:textFill>
                    </w:rPr>
                  </w:pPr>
                </w:p>
              </w:tc>
            </w:tr>
            <w:tr w14:paraId="504A7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4A219981">
                  <w:pPr>
                    <w:spacing w:line="28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12</w:t>
                  </w:r>
                </w:p>
              </w:tc>
              <w:tc>
                <w:tcPr>
                  <w:tcW w:w="1198" w:type="dxa"/>
                  <w:tcBorders>
                    <w:tl2br w:val="nil"/>
                    <w:tr2bl w:val="nil"/>
                  </w:tcBorders>
                  <w:vAlign w:val="center"/>
                </w:tcPr>
                <w:p w14:paraId="5F6DF0A5">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危险废物暂存间</w:t>
                  </w:r>
                </w:p>
              </w:tc>
              <w:tc>
                <w:tcPr>
                  <w:tcW w:w="677" w:type="dxa"/>
                  <w:tcBorders>
                    <w:tl2br w:val="nil"/>
                    <w:tr2bl w:val="nil"/>
                  </w:tcBorders>
                  <w:vAlign w:val="center"/>
                </w:tcPr>
                <w:p w14:paraId="5FDF3EDB">
                  <w:pPr>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p>
              </w:tc>
              <w:tc>
                <w:tcPr>
                  <w:tcW w:w="798" w:type="dxa"/>
                  <w:tcBorders>
                    <w:tl2br w:val="nil"/>
                    <w:tr2bl w:val="nil"/>
                  </w:tcBorders>
                  <w:vAlign w:val="center"/>
                </w:tcPr>
                <w:p w14:paraId="66B16CA7">
                  <w:pPr>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p>
              </w:tc>
              <w:tc>
                <w:tcPr>
                  <w:tcW w:w="1644" w:type="dxa"/>
                  <w:tcBorders>
                    <w:tl2br w:val="nil"/>
                    <w:tr2bl w:val="nil"/>
                  </w:tcBorders>
                  <w:vAlign w:val="center"/>
                </w:tcPr>
                <w:p w14:paraId="0D36D6DE">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3m×3m×3m</w:t>
                  </w:r>
                </w:p>
              </w:tc>
              <w:tc>
                <w:tcPr>
                  <w:tcW w:w="567" w:type="dxa"/>
                  <w:tcBorders>
                    <w:tl2br w:val="nil"/>
                    <w:tr2bl w:val="nil"/>
                  </w:tcBorders>
                  <w:vAlign w:val="center"/>
                </w:tcPr>
                <w:p w14:paraId="0041CE55">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206F9C88">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位于制坯车间内，防渗处理，渗透系数≤1.0×10</w:t>
                  </w:r>
                  <w:r>
                    <w:rPr>
                      <w:color w:val="000000" w:themeColor="text1"/>
                      <w:szCs w:val="21"/>
                      <w:highlight w:val="none"/>
                      <w:vertAlign w:val="superscript"/>
                      <w14:textFill>
                        <w14:solidFill>
                          <w14:schemeClr w14:val="tx1"/>
                        </w14:solidFill>
                      </w14:textFill>
                    </w:rPr>
                    <w:t>-10</w:t>
                  </w:r>
                  <w:r>
                    <w:rPr>
                      <w:color w:val="000000" w:themeColor="text1"/>
                      <w:szCs w:val="21"/>
                      <w:highlight w:val="none"/>
                      <w14:textFill>
                        <w14:solidFill>
                          <w14:schemeClr w14:val="tx1"/>
                        </w14:solidFill>
                      </w14:textFill>
                    </w:rPr>
                    <w:t>cm/s</w:t>
                  </w:r>
                </w:p>
              </w:tc>
              <w:tc>
                <w:tcPr>
                  <w:tcW w:w="649" w:type="dxa"/>
                  <w:tcBorders>
                    <w:tl2br w:val="nil"/>
                    <w:tr2bl w:val="nil"/>
                  </w:tcBorders>
                  <w:vAlign w:val="center"/>
                </w:tcPr>
                <w:p w14:paraId="65C3A337">
                  <w:pPr>
                    <w:widowControl/>
                    <w:spacing w:line="280" w:lineRule="exact"/>
                    <w:jc w:val="center"/>
                    <w:rPr>
                      <w:color w:val="000000" w:themeColor="text1"/>
                      <w:szCs w:val="21"/>
                      <w:highlight w:val="none"/>
                      <w14:textFill>
                        <w14:solidFill>
                          <w14:schemeClr w14:val="tx1"/>
                        </w14:solidFill>
                      </w14:textFill>
                    </w:rPr>
                  </w:pPr>
                </w:p>
              </w:tc>
            </w:tr>
            <w:tr w14:paraId="348A2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1876FED0">
                  <w:pPr>
                    <w:spacing w:line="28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13</w:t>
                  </w:r>
                </w:p>
              </w:tc>
              <w:tc>
                <w:tcPr>
                  <w:tcW w:w="1198" w:type="dxa"/>
                  <w:tcBorders>
                    <w:tl2br w:val="nil"/>
                    <w:tr2bl w:val="nil"/>
                  </w:tcBorders>
                  <w:vAlign w:val="center"/>
                </w:tcPr>
                <w:p w14:paraId="7EB3AD23">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洗车平台</w:t>
                  </w:r>
                </w:p>
              </w:tc>
              <w:tc>
                <w:tcPr>
                  <w:tcW w:w="677" w:type="dxa"/>
                  <w:tcBorders>
                    <w:tl2br w:val="nil"/>
                    <w:tr2bl w:val="nil"/>
                  </w:tcBorders>
                  <w:vAlign w:val="center"/>
                </w:tcPr>
                <w:p w14:paraId="3016DC1B">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798" w:type="dxa"/>
                  <w:tcBorders>
                    <w:tl2br w:val="nil"/>
                    <w:tr2bl w:val="nil"/>
                  </w:tcBorders>
                  <w:vAlign w:val="center"/>
                </w:tcPr>
                <w:p w14:paraId="01E8B85B">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644" w:type="dxa"/>
                  <w:tcBorders>
                    <w:tl2br w:val="nil"/>
                    <w:tr2bl w:val="nil"/>
                  </w:tcBorders>
                  <w:vAlign w:val="center"/>
                </w:tcPr>
                <w:p w14:paraId="2B2AEB67">
                  <w:pPr>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6m×2.5m</w:t>
                  </w:r>
                </w:p>
              </w:tc>
              <w:tc>
                <w:tcPr>
                  <w:tcW w:w="567" w:type="dxa"/>
                  <w:tcBorders>
                    <w:tl2br w:val="nil"/>
                    <w:tr2bl w:val="nil"/>
                  </w:tcBorders>
                  <w:vAlign w:val="center"/>
                </w:tcPr>
                <w:p w14:paraId="19CDA829">
                  <w:pPr>
                    <w:widowControl/>
                    <w:spacing w:line="28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2977" w:type="dxa"/>
                  <w:tcBorders>
                    <w:tl2br w:val="nil"/>
                    <w:tr2bl w:val="nil"/>
                  </w:tcBorders>
                  <w:vAlign w:val="center"/>
                </w:tcPr>
                <w:p w14:paraId="5328ED25">
                  <w:pPr>
                    <w:widowControl/>
                    <w:spacing w:line="28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分别位于</w:t>
                  </w:r>
                  <w:r>
                    <w:rPr>
                      <w:color w:val="000000" w:themeColor="text1"/>
                      <w:szCs w:val="21"/>
                      <w:highlight w:val="none"/>
                      <w14:textFill>
                        <w14:solidFill>
                          <w14:schemeClr w14:val="tx1"/>
                        </w14:solidFill>
                      </w14:textFill>
                    </w:rPr>
                    <w:t>厂区出入口、封闭原料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出口</w:t>
                  </w:r>
                  <w:r>
                    <w:rPr>
                      <w:rFonts w:hint="eastAsia"/>
                      <w:color w:val="000000" w:themeColor="text1"/>
                      <w:szCs w:val="21"/>
                      <w:highlight w:val="none"/>
                      <w14:textFill>
                        <w14:solidFill>
                          <w14:schemeClr w14:val="tx1"/>
                        </w14:solidFill>
                      </w14:textFill>
                    </w:rPr>
                    <w:t>处</w:t>
                  </w:r>
                </w:p>
              </w:tc>
              <w:tc>
                <w:tcPr>
                  <w:tcW w:w="649" w:type="dxa"/>
                  <w:tcBorders>
                    <w:tl2br w:val="nil"/>
                    <w:tr2bl w:val="nil"/>
                  </w:tcBorders>
                  <w:vAlign w:val="center"/>
                </w:tcPr>
                <w:p w14:paraId="49025588">
                  <w:pPr>
                    <w:widowControl/>
                    <w:spacing w:line="280" w:lineRule="exact"/>
                    <w:jc w:val="center"/>
                    <w:rPr>
                      <w:color w:val="000000" w:themeColor="text1"/>
                      <w:szCs w:val="21"/>
                      <w:highlight w:val="none"/>
                      <w14:textFill>
                        <w14:solidFill>
                          <w14:schemeClr w14:val="tx1"/>
                        </w14:solidFill>
                      </w14:textFill>
                    </w:rPr>
                  </w:pPr>
                </w:p>
              </w:tc>
            </w:tr>
          </w:tbl>
          <w:p w14:paraId="4EBD70A1">
            <w:pPr>
              <w:spacing w:line="480" w:lineRule="exact"/>
              <w:ind w:firstLine="480" w:firstLineChars="200"/>
              <w:rPr>
                <w:rFonts w:eastAsia="黑体"/>
                <w:color w:val="000000" w:themeColor="text1"/>
                <w:kern w:val="0"/>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现有工程产品方案</w:t>
            </w:r>
            <w:r>
              <w:rPr>
                <w:color w:val="000000" w:themeColor="text1"/>
                <w:sz w:val="24"/>
                <w:highlight w:val="none"/>
                <w14:textFill>
                  <w14:solidFill>
                    <w14:schemeClr w14:val="tx1"/>
                  </w14:solidFill>
                </w14:textFill>
              </w:rPr>
              <w:t>见表</w:t>
            </w:r>
            <w:r>
              <w:rPr>
                <w:rFonts w:hint="eastAsia"/>
                <w:color w:val="000000" w:themeColor="text1"/>
                <w:sz w:val="24"/>
                <w:highlight w:val="none"/>
                <w14:textFill>
                  <w14:solidFill>
                    <w14:schemeClr w14:val="tx1"/>
                  </w14:solidFill>
                </w14:textFill>
              </w:rPr>
              <w:t>2-</w:t>
            </w:r>
            <w:r>
              <w:rPr>
                <w:rFonts w:hint="eastAsia"/>
                <w:color w:val="000000" w:themeColor="text1"/>
                <w:sz w:val="24"/>
                <w:highlight w:val="none"/>
                <w:lang w:val="en-US" w:eastAsia="zh-CN"/>
                <w14:textFill>
                  <w14:solidFill>
                    <w14:schemeClr w14:val="tx1"/>
                  </w14:solidFill>
                </w14:textFill>
              </w:rPr>
              <w:t>4</w:t>
            </w:r>
            <w:r>
              <w:rPr>
                <w:color w:val="000000" w:themeColor="text1"/>
                <w:sz w:val="24"/>
                <w:highlight w:val="none"/>
                <w14:textFill>
                  <w14:solidFill>
                    <w14:schemeClr w14:val="tx1"/>
                  </w14:solidFill>
                </w14:textFill>
              </w:rPr>
              <w:t>。</w:t>
            </w:r>
          </w:p>
          <w:p w14:paraId="2986D7EA">
            <w:pPr>
              <w:pStyle w:val="20"/>
              <w:adjustRightInd w:val="0"/>
              <w:snapToGrid w:val="0"/>
              <w:spacing w:before="0" w:beforeAutospacing="0" w:after="0" w:afterAutospacing="0" w:line="480" w:lineRule="exact"/>
              <w:ind w:firstLine="1320" w:firstLineChars="550"/>
              <w:rPr>
                <w:rFonts w:ascii="黑体" w:hAnsi="黑体" w:eastAsia="黑体"/>
                <w:color w:val="000000" w:themeColor="text1"/>
                <w:szCs w:val="24"/>
                <w:highlight w:val="none"/>
                <w14:textFill>
                  <w14:solidFill>
                    <w14:schemeClr w14:val="tx1"/>
                  </w14:solidFill>
                </w14:textFill>
              </w:rPr>
            </w:pPr>
            <w:r>
              <w:rPr>
                <w:rFonts w:ascii="黑体" w:hAnsi="黑体" w:eastAsia="黑体"/>
                <w:color w:val="000000" w:themeColor="text1"/>
                <w:szCs w:val="24"/>
                <w:highlight w:val="none"/>
                <w14:textFill>
                  <w14:solidFill>
                    <w14:schemeClr w14:val="tx1"/>
                  </w14:solidFill>
                </w14:textFill>
              </w:rPr>
              <w:t>表</w:t>
            </w:r>
            <w:r>
              <w:rPr>
                <w:rFonts w:hint="eastAsia" w:ascii="黑体" w:hAnsi="黑体" w:eastAsia="黑体"/>
                <w:color w:val="000000" w:themeColor="text1"/>
                <w:szCs w:val="24"/>
                <w:highlight w:val="none"/>
                <w14:textFill>
                  <w14:solidFill>
                    <w14:schemeClr w14:val="tx1"/>
                  </w14:solidFill>
                </w14:textFill>
              </w:rPr>
              <w:t>2-</w:t>
            </w:r>
            <w:r>
              <w:rPr>
                <w:rFonts w:hint="eastAsia" w:ascii="黑体" w:hAnsi="黑体" w:eastAsia="黑体"/>
                <w:color w:val="000000" w:themeColor="text1"/>
                <w:szCs w:val="24"/>
                <w:highlight w:val="none"/>
                <w:lang w:val="en-US" w:eastAsia="zh-CN"/>
                <w14:textFill>
                  <w14:solidFill>
                    <w14:schemeClr w14:val="tx1"/>
                  </w14:solidFill>
                </w14:textFill>
              </w:rPr>
              <w:t>4</w:t>
            </w:r>
            <w:r>
              <w:rPr>
                <w:rFonts w:ascii="黑体" w:hAnsi="黑体" w:eastAsia="黑体"/>
                <w:color w:val="000000" w:themeColor="text1"/>
                <w:szCs w:val="24"/>
                <w:highlight w:val="none"/>
                <w14:textFill>
                  <w14:solidFill>
                    <w14:schemeClr w14:val="tx1"/>
                  </w14:solidFill>
                </w14:textFill>
              </w:rPr>
              <w:t xml:space="preserve"> </w:t>
            </w:r>
            <w:r>
              <w:rPr>
                <w:rFonts w:hint="eastAsia" w:ascii="黑体" w:hAnsi="黑体" w:eastAsia="黑体"/>
                <w:color w:val="000000" w:themeColor="text1"/>
                <w:szCs w:val="24"/>
                <w:highlight w:val="none"/>
                <w14:textFill>
                  <w14:solidFill>
                    <w14:schemeClr w14:val="tx1"/>
                  </w14:solidFill>
                </w14:textFill>
              </w:rPr>
              <w:t xml:space="preserve">           现有工程</w:t>
            </w:r>
            <w:r>
              <w:rPr>
                <w:rFonts w:ascii="黑体" w:hAnsi="黑体" w:eastAsia="黑体"/>
                <w:color w:val="000000" w:themeColor="text1"/>
                <w:szCs w:val="24"/>
                <w:highlight w:val="none"/>
                <w14:textFill>
                  <w14:solidFill>
                    <w14:schemeClr w14:val="tx1"/>
                  </w14:solidFill>
                </w14:textFill>
              </w:rPr>
              <w:t>产品方案一览表</w:t>
            </w:r>
          </w:p>
          <w:tbl>
            <w:tblPr>
              <w:tblStyle w:val="24"/>
              <w:tblW w:w="89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41"/>
              <w:gridCol w:w="1561"/>
              <w:gridCol w:w="992"/>
              <w:gridCol w:w="1276"/>
              <w:gridCol w:w="1563"/>
              <w:gridCol w:w="2776"/>
            </w:tblGrid>
            <w:tr w14:paraId="4F991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pct"/>
                  <w:tcBorders>
                    <w:tl2br w:val="nil"/>
                    <w:tr2bl w:val="nil"/>
                  </w:tcBorders>
                  <w:vAlign w:val="center"/>
                </w:tcPr>
                <w:p w14:paraId="35E63B53">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876" w:type="pct"/>
                  <w:tcBorders>
                    <w:tl2br w:val="nil"/>
                    <w:tr2bl w:val="nil"/>
                  </w:tcBorders>
                  <w:vAlign w:val="center"/>
                </w:tcPr>
                <w:p w14:paraId="1EA089E6">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产品名称</w:t>
                  </w:r>
                </w:p>
              </w:tc>
              <w:tc>
                <w:tcPr>
                  <w:tcW w:w="557" w:type="pct"/>
                  <w:tcBorders>
                    <w:tl2br w:val="nil"/>
                    <w:tr2bl w:val="nil"/>
                  </w:tcBorders>
                  <w:vAlign w:val="center"/>
                </w:tcPr>
                <w:p w14:paraId="7DDC3A41">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单位</w:t>
                  </w:r>
                </w:p>
              </w:tc>
              <w:tc>
                <w:tcPr>
                  <w:tcW w:w="716" w:type="pct"/>
                  <w:tcBorders>
                    <w:tl2br w:val="nil"/>
                    <w:tr2bl w:val="nil"/>
                  </w:tcBorders>
                  <w:vAlign w:val="center"/>
                </w:tcPr>
                <w:p w14:paraId="571DD46F">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产量</w:t>
                  </w:r>
                </w:p>
              </w:tc>
              <w:tc>
                <w:tcPr>
                  <w:tcW w:w="877" w:type="pct"/>
                  <w:tcBorders>
                    <w:tl2br w:val="nil"/>
                    <w:tr2bl w:val="nil"/>
                  </w:tcBorders>
                  <w:vAlign w:val="center"/>
                </w:tcPr>
                <w:p w14:paraId="794B3E0B">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规格mm</w:t>
                  </w:r>
                </w:p>
              </w:tc>
              <w:tc>
                <w:tcPr>
                  <w:tcW w:w="1559" w:type="pct"/>
                  <w:tcBorders>
                    <w:tl2br w:val="nil"/>
                    <w:tr2bl w:val="nil"/>
                  </w:tcBorders>
                  <w:vAlign w:val="center"/>
                </w:tcPr>
                <w:p w14:paraId="28872B9F">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产品标准</w:t>
                  </w:r>
                </w:p>
              </w:tc>
            </w:tr>
            <w:tr w14:paraId="62A18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pct"/>
                  <w:tcBorders>
                    <w:tl2br w:val="nil"/>
                    <w:tr2bl w:val="nil"/>
                  </w:tcBorders>
                  <w:vAlign w:val="center"/>
                </w:tcPr>
                <w:p w14:paraId="6666622F">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876" w:type="pct"/>
                  <w:tcBorders>
                    <w:tl2br w:val="nil"/>
                    <w:tr2bl w:val="nil"/>
                  </w:tcBorders>
                  <w:vAlign w:val="center"/>
                </w:tcPr>
                <w:p w14:paraId="012BC591">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普通页岩砖</w:t>
                  </w:r>
                </w:p>
              </w:tc>
              <w:tc>
                <w:tcPr>
                  <w:tcW w:w="557" w:type="pct"/>
                  <w:tcBorders>
                    <w:tl2br w:val="nil"/>
                    <w:tr2bl w:val="nil"/>
                  </w:tcBorders>
                  <w:vAlign w:val="center"/>
                </w:tcPr>
                <w:p w14:paraId="73BEEF3E">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万块/a</w:t>
                  </w:r>
                </w:p>
              </w:tc>
              <w:tc>
                <w:tcPr>
                  <w:tcW w:w="716" w:type="pct"/>
                  <w:tcBorders>
                    <w:tl2br w:val="nil"/>
                    <w:tr2bl w:val="nil"/>
                  </w:tcBorders>
                  <w:vAlign w:val="center"/>
                </w:tcPr>
                <w:p w14:paraId="397B425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2000</w:t>
                  </w:r>
                </w:p>
              </w:tc>
              <w:tc>
                <w:tcPr>
                  <w:tcW w:w="877" w:type="pct"/>
                  <w:tcBorders>
                    <w:tl2br w:val="nil"/>
                    <w:tr2bl w:val="nil"/>
                  </w:tcBorders>
                  <w:vAlign w:val="center"/>
                </w:tcPr>
                <w:p w14:paraId="5419BA6D">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240×115×53</w:t>
                  </w:r>
                </w:p>
              </w:tc>
              <w:tc>
                <w:tcPr>
                  <w:tcW w:w="1559" w:type="pct"/>
                  <w:tcBorders>
                    <w:tl2br w:val="nil"/>
                    <w:tr2bl w:val="nil"/>
                  </w:tcBorders>
                  <w:vAlign w:val="center"/>
                </w:tcPr>
                <w:p w14:paraId="3B631A8E">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《烧结普通砖》（GB/T5101-2017）</w:t>
                  </w:r>
                </w:p>
              </w:tc>
            </w:tr>
            <w:tr w14:paraId="763E37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6" w:type="pct"/>
                  <w:tcBorders>
                    <w:tl2br w:val="nil"/>
                    <w:tr2bl w:val="nil"/>
                  </w:tcBorders>
                  <w:vAlign w:val="center"/>
                </w:tcPr>
                <w:p w14:paraId="0E68CCAF">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876" w:type="pct"/>
                  <w:tcBorders>
                    <w:tl2br w:val="nil"/>
                    <w:tr2bl w:val="nil"/>
                  </w:tcBorders>
                  <w:vAlign w:val="center"/>
                </w:tcPr>
                <w:p w14:paraId="26CE652B">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多孔页岩砖</w:t>
                  </w:r>
                </w:p>
              </w:tc>
              <w:tc>
                <w:tcPr>
                  <w:tcW w:w="557" w:type="pct"/>
                  <w:tcBorders>
                    <w:tl2br w:val="nil"/>
                    <w:tr2bl w:val="nil"/>
                  </w:tcBorders>
                  <w:vAlign w:val="center"/>
                </w:tcPr>
                <w:p w14:paraId="351939C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万块/a</w:t>
                  </w:r>
                </w:p>
              </w:tc>
              <w:tc>
                <w:tcPr>
                  <w:tcW w:w="716" w:type="pct"/>
                  <w:tcBorders>
                    <w:tl2br w:val="nil"/>
                    <w:tr2bl w:val="nil"/>
                  </w:tcBorders>
                  <w:vAlign w:val="center"/>
                </w:tcPr>
                <w:p w14:paraId="1C3A018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3000</w:t>
                  </w:r>
                </w:p>
              </w:tc>
              <w:tc>
                <w:tcPr>
                  <w:tcW w:w="877" w:type="pct"/>
                  <w:tcBorders>
                    <w:tl2br w:val="nil"/>
                    <w:tr2bl w:val="nil"/>
                  </w:tcBorders>
                  <w:vAlign w:val="center"/>
                </w:tcPr>
                <w:p w14:paraId="3F24595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240×115×90</w:t>
                  </w:r>
                </w:p>
              </w:tc>
              <w:tc>
                <w:tcPr>
                  <w:tcW w:w="1559" w:type="pct"/>
                  <w:tcBorders>
                    <w:tl2br w:val="nil"/>
                    <w:tr2bl w:val="nil"/>
                  </w:tcBorders>
                  <w:vAlign w:val="center"/>
                </w:tcPr>
                <w:p w14:paraId="1F510BD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《烧结多孔砖和多孔砌块》（GB/T13544-2011）</w:t>
                  </w:r>
                </w:p>
              </w:tc>
            </w:tr>
          </w:tbl>
          <w:p w14:paraId="7B91AFE0">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现有工程原辅材料及能源消耗见表2-</w:t>
            </w:r>
            <w:r>
              <w:rPr>
                <w:rFonts w:hint="eastAsia"/>
                <w:color w:val="000000" w:themeColor="text1"/>
                <w:sz w:val="24"/>
                <w:highlight w:val="none"/>
                <w:lang w:val="en-US" w:eastAsia="zh-CN"/>
                <w14:textFill>
                  <w14:solidFill>
                    <w14:schemeClr w14:val="tx1"/>
                  </w14:solidFill>
                </w14:textFill>
              </w:rPr>
              <w:t>5</w:t>
            </w:r>
            <w:r>
              <w:rPr>
                <w:rFonts w:hint="eastAsia"/>
                <w:color w:val="000000" w:themeColor="text1"/>
                <w:sz w:val="24"/>
                <w:highlight w:val="none"/>
                <w14:textFill>
                  <w14:solidFill>
                    <w14:schemeClr w14:val="tx1"/>
                  </w14:solidFill>
                </w14:textFill>
              </w:rPr>
              <w:t>。</w:t>
            </w:r>
          </w:p>
          <w:p w14:paraId="7263E3EA">
            <w:pPr>
              <w:pStyle w:val="20"/>
              <w:adjustRightInd w:val="0"/>
              <w:snapToGrid w:val="0"/>
              <w:spacing w:before="0" w:beforeAutospacing="0" w:after="0" w:afterAutospacing="0" w:line="480" w:lineRule="exact"/>
              <w:ind w:firstLine="1320" w:firstLineChars="550"/>
              <w:rPr>
                <w:rFonts w:ascii="黑体" w:hAnsi="黑体" w:eastAsia="黑体"/>
                <w:color w:val="000000" w:themeColor="text1"/>
                <w:szCs w:val="24"/>
                <w:highlight w:val="none"/>
                <w14:textFill>
                  <w14:solidFill>
                    <w14:schemeClr w14:val="tx1"/>
                  </w14:solidFill>
                </w14:textFill>
              </w:rPr>
            </w:pPr>
            <w:r>
              <w:rPr>
                <w:rFonts w:ascii="黑体" w:hAnsi="黑体" w:eastAsia="黑体"/>
                <w:color w:val="000000" w:themeColor="text1"/>
                <w:szCs w:val="24"/>
                <w:highlight w:val="none"/>
                <w14:textFill>
                  <w14:solidFill>
                    <w14:schemeClr w14:val="tx1"/>
                  </w14:solidFill>
                </w14:textFill>
              </w:rPr>
              <w:t>表</w:t>
            </w:r>
            <w:r>
              <w:rPr>
                <w:rFonts w:hint="eastAsia" w:ascii="黑体" w:hAnsi="黑体" w:eastAsia="黑体"/>
                <w:color w:val="000000" w:themeColor="text1"/>
                <w:szCs w:val="24"/>
                <w:highlight w:val="none"/>
                <w14:textFill>
                  <w14:solidFill>
                    <w14:schemeClr w14:val="tx1"/>
                  </w14:solidFill>
                </w14:textFill>
              </w:rPr>
              <w:t>2-</w:t>
            </w:r>
            <w:r>
              <w:rPr>
                <w:rFonts w:hint="eastAsia" w:ascii="黑体" w:hAnsi="黑体" w:eastAsia="黑体"/>
                <w:color w:val="000000" w:themeColor="text1"/>
                <w:szCs w:val="24"/>
                <w:highlight w:val="none"/>
                <w:lang w:val="en-US" w:eastAsia="zh-CN"/>
                <w14:textFill>
                  <w14:solidFill>
                    <w14:schemeClr w14:val="tx1"/>
                  </w14:solidFill>
                </w14:textFill>
              </w:rPr>
              <w:t>5</w:t>
            </w:r>
            <w:r>
              <w:rPr>
                <w:rFonts w:hint="eastAsia" w:ascii="黑体" w:hAnsi="黑体" w:eastAsia="黑体"/>
                <w:color w:val="000000" w:themeColor="text1"/>
                <w:szCs w:val="24"/>
                <w:highlight w:val="none"/>
                <w14:textFill>
                  <w14:solidFill>
                    <w14:schemeClr w14:val="tx1"/>
                  </w14:solidFill>
                </w14:textFill>
              </w:rPr>
              <w:t xml:space="preserve">    现有工程</w:t>
            </w:r>
            <w:r>
              <w:rPr>
                <w:rFonts w:ascii="黑体" w:hAnsi="黑体" w:eastAsia="黑体"/>
                <w:color w:val="000000" w:themeColor="text1"/>
                <w:szCs w:val="24"/>
                <w:highlight w:val="none"/>
                <w14:textFill>
                  <w14:solidFill>
                    <w14:schemeClr w14:val="tx1"/>
                  </w14:solidFill>
                </w14:textFill>
              </w:rPr>
              <w:t>主要原辅材料及能源消耗一览表</w:t>
            </w:r>
          </w:p>
          <w:tbl>
            <w:tblPr>
              <w:tblStyle w:val="24"/>
              <w:tblW w:w="508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019"/>
              <w:gridCol w:w="908"/>
              <w:gridCol w:w="992"/>
              <w:gridCol w:w="1151"/>
              <w:gridCol w:w="4348"/>
            </w:tblGrid>
            <w:tr w14:paraId="55850A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1B1F886B">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570" w:type="pct"/>
                  <w:noWrap/>
                  <w:vAlign w:val="center"/>
                </w:tcPr>
                <w:p w14:paraId="7644957E">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508" w:type="pct"/>
                  <w:noWrap/>
                  <w:vAlign w:val="center"/>
                </w:tcPr>
                <w:p w14:paraId="43BA3A92">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单位</w:t>
                  </w:r>
                </w:p>
              </w:tc>
              <w:tc>
                <w:tcPr>
                  <w:tcW w:w="555" w:type="pct"/>
                  <w:vAlign w:val="center"/>
                </w:tcPr>
                <w:p w14:paraId="217859D3">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消耗量</w:t>
                  </w:r>
                </w:p>
              </w:tc>
              <w:tc>
                <w:tcPr>
                  <w:tcW w:w="644" w:type="pct"/>
                  <w:noWrap/>
                  <w:vAlign w:val="center"/>
                </w:tcPr>
                <w:p w14:paraId="0AB24FD4">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最大贮存量（t）</w:t>
                  </w:r>
                </w:p>
              </w:tc>
              <w:tc>
                <w:tcPr>
                  <w:tcW w:w="2436" w:type="pct"/>
                  <w:noWrap/>
                  <w:vAlign w:val="center"/>
                </w:tcPr>
                <w:p w14:paraId="77E6A337">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包装形式/规格/存储位置/性状</w:t>
                  </w:r>
                </w:p>
              </w:tc>
            </w:tr>
            <w:tr w14:paraId="3EF3B4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5223EEB5">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570" w:type="pct"/>
                  <w:noWrap/>
                  <w:vAlign w:val="center"/>
                </w:tcPr>
                <w:p w14:paraId="48978C95">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w:t>
                  </w:r>
                </w:p>
              </w:tc>
              <w:tc>
                <w:tcPr>
                  <w:tcW w:w="508" w:type="pct"/>
                  <w:noWrap/>
                  <w:vAlign w:val="center"/>
                </w:tcPr>
                <w:p w14:paraId="19C3EE52">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12A3EC52">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81810</w:t>
                  </w:r>
                </w:p>
              </w:tc>
              <w:tc>
                <w:tcPr>
                  <w:tcW w:w="644" w:type="pct"/>
                  <w:noWrap/>
                  <w:vAlign w:val="center"/>
                </w:tcPr>
                <w:p w14:paraId="4488E55D">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7300</w:t>
                  </w:r>
                </w:p>
              </w:tc>
              <w:tc>
                <w:tcPr>
                  <w:tcW w:w="2436" w:type="pct"/>
                  <w:noWrap/>
                  <w:vAlign w:val="center"/>
                </w:tcPr>
                <w:p w14:paraId="6EF52B4F">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外购、汽车运输采取苫盖措施，固体、块状，散装。页岩原料库储存。制砖原料</w:t>
                  </w:r>
                </w:p>
              </w:tc>
            </w:tr>
            <w:tr w14:paraId="19F7FB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730688CA">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570" w:type="pct"/>
                  <w:noWrap/>
                  <w:vAlign w:val="center"/>
                </w:tcPr>
                <w:p w14:paraId="1ABFA862">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煤矸石</w:t>
                  </w:r>
                </w:p>
              </w:tc>
              <w:tc>
                <w:tcPr>
                  <w:tcW w:w="508" w:type="pct"/>
                  <w:noWrap/>
                  <w:vAlign w:val="center"/>
                </w:tcPr>
                <w:p w14:paraId="0E66D5A4">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62573441">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70000</w:t>
                  </w:r>
                </w:p>
              </w:tc>
              <w:tc>
                <w:tcPr>
                  <w:tcW w:w="644" w:type="pct"/>
                  <w:noWrap/>
                  <w:vAlign w:val="center"/>
                </w:tcPr>
                <w:p w14:paraId="21FB2E8B">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7300</w:t>
                  </w:r>
                </w:p>
              </w:tc>
              <w:tc>
                <w:tcPr>
                  <w:tcW w:w="2436" w:type="pct"/>
                  <w:noWrap/>
                  <w:vAlign w:val="center"/>
                </w:tcPr>
                <w:p w14:paraId="16FDDCE7">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外购、汽车运输采取苫盖措施，固体、块状，散装，煤矸石原料库储存。制砖原料</w:t>
                  </w:r>
                </w:p>
              </w:tc>
            </w:tr>
            <w:tr w14:paraId="2A7F31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0D8093C8">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570" w:type="pct"/>
                  <w:noWrap/>
                  <w:vAlign w:val="center"/>
                </w:tcPr>
                <w:p w14:paraId="2570B7D4">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剥岩废料</w:t>
                  </w:r>
                </w:p>
              </w:tc>
              <w:tc>
                <w:tcPr>
                  <w:tcW w:w="508" w:type="pct"/>
                  <w:noWrap/>
                  <w:vAlign w:val="center"/>
                </w:tcPr>
                <w:p w14:paraId="3601750A">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37D90C51">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8750</w:t>
                  </w:r>
                </w:p>
              </w:tc>
              <w:tc>
                <w:tcPr>
                  <w:tcW w:w="644" w:type="pct"/>
                  <w:noWrap/>
                  <w:vAlign w:val="center"/>
                </w:tcPr>
                <w:p w14:paraId="39BCFFE9">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p>
              </w:tc>
              <w:tc>
                <w:tcPr>
                  <w:tcW w:w="2436" w:type="pct"/>
                  <w:noWrap/>
                  <w:vAlign w:val="center"/>
                </w:tcPr>
                <w:p w14:paraId="0D4103BF">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外购、汽车运输采取苫盖措施，固体、块状，散装，</w:t>
                  </w:r>
                  <w:r>
                    <w:rPr>
                      <w:rFonts w:hint="eastAsia"/>
                      <w:color w:val="000000" w:themeColor="text1"/>
                      <w:szCs w:val="21"/>
                      <w:highlight w:val="none"/>
                      <w14:textFill>
                        <w14:solidFill>
                          <w14:schemeClr w14:val="tx1"/>
                        </w14:solidFill>
                      </w14:textFill>
                    </w:rPr>
                    <w:t>页岩</w:t>
                  </w:r>
                  <w:r>
                    <w:rPr>
                      <w:color w:val="000000" w:themeColor="text1"/>
                      <w:szCs w:val="21"/>
                      <w:highlight w:val="none"/>
                      <w14:textFill>
                        <w14:solidFill>
                          <w14:schemeClr w14:val="tx1"/>
                        </w14:solidFill>
                      </w14:textFill>
                    </w:rPr>
                    <w:t>原料库储存。制砖原料</w:t>
                  </w:r>
                </w:p>
              </w:tc>
            </w:tr>
            <w:tr w14:paraId="315AAA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7640DFD0">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570" w:type="pct"/>
                  <w:noWrap/>
                  <w:vAlign w:val="center"/>
                </w:tcPr>
                <w:p w14:paraId="7721B53B">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工业污泥等一般</w:t>
                  </w:r>
                  <w:r>
                    <w:rPr>
                      <w:rFonts w:hint="eastAsia"/>
                      <w:color w:val="000000" w:themeColor="text1"/>
                      <w:szCs w:val="21"/>
                      <w:highlight w:val="none"/>
                      <w14:textFill>
                        <w14:solidFill>
                          <w14:schemeClr w14:val="tx1"/>
                        </w14:solidFill>
                      </w14:textFill>
                    </w:rPr>
                    <w:t>工业固废</w:t>
                  </w:r>
                </w:p>
              </w:tc>
              <w:tc>
                <w:tcPr>
                  <w:tcW w:w="508" w:type="pct"/>
                  <w:noWrap/>
                  <w:vAlign w:val="center"/>
                </w:tcPr>
                <w:p w14:paraId="7A713639">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6EB35A7F">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38300</w:t>
                  </w:r>
                </w:p>
              </w:tc>
              <w:tc>
                <w:tcPr>
                  <w:tcW w:w="644" w:type="pct"/>
                  <w:noWrap/>
                  <w:vAlign w:val="center"/>
                </w:tcPr>
                <w:p w14:paraId="4B8C2C26">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p>
              </w:tc>
              <w:tc>
                <w:tcPr>
                  <w:tcW w:w="2436" w:type="pct"/>
                  <w:noWrap/>
                  <w:vAlign w:val="center"/>
                </w:tcPr>
                <w:p w14:paraId="3BCE5A59">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外购唐山三友远达纤维有限公司工业污泥、</w:t>
                  </w:r>
                  <w:r>
                    <w:rPr>
                      <w:rFonts w:hint="eastAsia"/>
                      <w:color w:val="000000" w:themeColor="text1"/>
                      <w:szCs w:val="21"/>
                      <w:highlight w:val="none"/>
                      <w14:textFill>
                        <w14:solidFill>
                          <w14:schemeClr w14:val="tx1"/>
                        </w14:solidFill>
                      </w14:textFill>
                    </w:rPr>
                    <w:t>滦州粤海环保有限公司生活污泥、</w:t>
                  </w:r>
                  <w:r>
                    <w:rPr>
                      <w:color w:val="000000" w:themeColor="text1"/>
                      <w:szCs w:val="21"/>
                      <w:highlight w:val="none"/>
                      <w14:textFill>
                        <w14:solidFill>
                          <w14:schemeClr w14:val="tx1"/>
                        </w14:solidFill>
                      </w14:textFill>
                    </w:rPr>
                    <w:t>汽车运输采取苫盖措施，固体、压滤后</w:t>
                  </w:r>
                  <w:r>
                    <w:rPr>
                      <w:rFonts w:hint="eastAsia"/>
                      <w:color w:val="000000" w:themeColor="text1"/>
                      <w:szCs w:val="21"/>
                      <w:highlight w:val="none"/>
                      <w14:textFill>
                        <w14:solidFill>
                          <w14:schemeClr w14:val="tx1"/>
                        </w14:solidFill>
                      </w14:textFill>
                    </w:rPr>
                    <w:t>的</w:t>
                  </w:r>
                  <w:r>
                    <w:rPr>
                      <w:color w:val="000000" w:themeColor="text1"/>
                      <w:szCs w:val="21"/>
                      <w:highlight w:val="none"/>
                      <w14:textFill>
                        <w14:solidFill>
                          <w14:schemeClr w14:val="tx1"/>
                        </w14:solidFill>
                      </w14:textFill>
                    </w:rPr>
                    <w:t>泥饼，含水率</w:t>
                  </w:r>
                  <w:r>
                    <w:rPr>
                      <w:rFonts w:hint="eastAsia"/>
                      <w:color w:val="000000" w:themeColor="text1"/>
                      <w:szCs w:val="21"/>
                      <w:highlight w:val="none"/>
                      <w14:textFill>
                        <w14:solidFill>
                          <w14:schemeClr w14:val="tx1"/>
                        </w14:solidFill>
                      </w14:textFill>
                    </w:rPr>
                    <w:t>分别</w:t>
                  </w:r>
                  <w:r>
                    <w:rPr>
                      <w:color w:val="000000" w:themeColor="text1"/>
                      <w:szCs w:val="21"/>
                      <w:highlight w:val="none"/>
                      <w14:textFill>
                        <w14:solidFill>
                          <w14:schemeClr w14:val="tx1"/>
                        </w14:solidFill>
                      </w14:textFill>
                    </w:rPr>
                    <w:t>为62.3%</w:t>
                  </w:r>
                  <w:r>
                    <w:rPr>
                      <w:rFonts w:hint="eastAsia"/>
                      <w:color w:val="000000" w:themeColor="text1"/>
                      <w:szCs w:val="21"/>
                      <w:highlight w:val="none"/>
                      <w14:textFill>
                        <w14:solidFill>
                          <w14:schemeClr w14:val="tx1"/>
                        </w14:solidFill>
                      </w14:textFill>
                    </w:rPr>
                    <w:t>、59.5%</w:t>
                  </w:r>
                  <w:r>
                    <w:rPr>
                      <w:color w:val="000000" w:themeColor="text1"/>
                      <w:szCs w:val="21"/>
                      <w:highlight w:val="none"/>
                      <w14:textFill>
                        <w14:solidFill>
                          <w14:schemeClr w14:val="tx1"/>
                        </w14:solidFill>
                      </w14:textFill>
                    </w:rPr>
                    <w:t>，散装</w:t>
                  </w:r>
                  <w:r>
                    <w:rPr>
                      <w:rFonts w:hint="eastAsia"/>
                      <w:color w:val="000000" w:themeColor="text1"/>
                      <w:szCs w:val="21"/>
                      <w:highlight w:val="none"/>
                      <w14:textFill>
                        <w14:solidFill>
                          <w14:schemeClr w14:val="tx1"/>
                        </w14:solidFill>
                      </w14:textFill>
                    </w:rPr>
                    <w:t>，严格落实污泥准入要求，</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内储存，</w:t>
                  </w:r>
                  <w:r>
                    <w:rPr>
                      <w:rFonts w:hint="eastAsia"/>
                      <w:color w:val="000000" w:themeColor="text1"/>
                      <w:szCs w:val="21"/>
                      <w:highlight w:val="none"/>
                      <w14:textFill>
                        <w14:solidFill>
                          <w14:schemeClr w14:val="tx1"/>
                        </w14:solidFill>
                      </w14:textFill>
                    </w:rPr>
                    <w:t>污泥库处于封闭、微负压状态。</w:t>
                  </w:r>
                  <w:r>
                    <w:rPr>
                      <w:color w:val="000000" w:themeColor="text1"/>
                      <w:szCs w:val="21"/>
                      <w:highlight w:val="none"/>
                      <w14:textFill>
                        <w14:solidFill>
                          <w14:schemeClr w14:val="tx1"/>
                        </w14:solidFill>
                      </w14:textFill>
                    </w:rPr>
                    <w:t>制砖原料</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替代部分页岩</w:t>
                  </w:r>
                  <w:r>
                    <w:rPr>
                      <w:rFonts w:hint="eastAsia"/>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一般固废代码</w:t>
                  </w:r>
                  <w:r>
                    <w:rPr>
                      <w:color w:val="000000" w:themeColor="text1"/>
                      <w:szCs w:val="21"/>
                      <w:highlight w:val="none"/>
                      <w14:textFill>
                        <w14:solidFill>
                          <w14:schemeClr w14:val="tx1"/>
                        </w14:solidFill>
                      </w14:textFill>
                    </w:rPr>
                    <w:t>900-099-S07</w:t>
                  </w:r>
                </w:p>
              </w:tc>
            </w:tr>
            <w:tr w14:paraId="4D8AA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6D2B7AFD">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570" w:type="pct"/>
                  <w:noWrap/>
                  <w:vAlign w:val="center"/>
                </w:tcPr>
                <w:p w14:paraId="4FEAEA36">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石灰粉（CaO）</w:t>
                  </w:r>
                </w:p>
              </w:tc>
              <w:tc>
                <w:tcPr>
                  <w:tcW w:w="508" w:type="pct"/>
                  <w:noWrap/>
                  <w:vAlign w:val="center"/>
                </w:tcPr>
                <w:p w14:paraId="7767F27C">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126ADC88">
                  <w:pPr>
                    <w:spacing w:line="30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90</w:t>
                  </w:r>
                </w:p>
              </w:tc>
              <w:tc>
                <w:tcPr>
                  <w:tcW w:w="644" w:type="pct"/>
                  <w:noWrap/>
                  <w:vAlign w:val="center"/>
                </w:tcPr>
                <w:p w14:paraId="4FD32A02">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436" w:type="pct"/>
                  <w:noWrap/>
                  <w:vAlign w:val="center"/>
                </w:tcPr>
                <w:p w14:paraId="1C6544B7">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外购，固体、粉状、袋装，石灰粉仓储存，用于石灰-石膏法脱硫</w:t>
                  </w:r>
                </w:p>
              </w:tc>
            </w:tr>
            <w:tr w14:paraId="3A8AD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244268C7">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570" w:type="pct"/>
                  <w:noWrap/>
                  <w:vAlign w:val="center"/>
                </w:tcPr>
                <w:p w14:paraId="6BDC6043">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脱硝剂</w:t>
                  </w:r>
                </w:p>
              </w:tc>
              <w:tc>
                <w:tcPr>
                  <w:tcW w:w="508" w:type="pct"/>
                  <w:noWrap/>
                  <w:vAlign w:val="center"/>
                </w:tcPr>
                <w:p w14:paraId="269A94A1">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2B0CEF35">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644" w:type="pct"/>
                  <w:noWrap/>
                  <w:vAlign w:val="center"/>
                </w:tcPr>
                <w:p w14:paraId="7681B58E">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436" w:type="pct"/>
                  <w:noWrap/>
                  <w:vAlign w:val="center"/>
                </w:tcPr>
                <w:p w14:paraId="56BAFF81">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外购，低温复合脱硝剂，不含氨水和尿素</w:t>
                  </w:r>
                </w:p>
              </w:tc>
            </w:tr>
            <w:tr w14:paraId="35B07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0F21AA5D">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570" w:type="pct"/>
                  <w:noWrap/>
                  <w:vAlign w:val="center"/>
                </w:tcPr>
                <w:p w14:paraId="7EF1B9FB">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润滑油</w:t>
                  </w:r>
                </w:p>
              </w:tc>
              <w:tc>
                <w:tcPr>
                  <w:tcW w:w="508" w:type="pct"/>
                  <w:noWrap/>
                  <w:vAlign w:val="center"/>
                </w:tcPr>
                <w:p w14:paraId="033F1736">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02B788A1">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0.6</w:t>
                  </w:r>
                </w:p>
              </w:tc>
              <w:tc>
                <w:tcPr>
                  <w:tcW w:w="644" w:type="pct"/>
                  <w:noWrap/>
                  <w:vAlign w:val="center"/>
                </w:tcPr>
                <w:p w14:paraId="3A43FE88">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0.6</w:t>
                  </w:r>
                </w:p>
              </w:tc>
              <w:tc>
                <w:tcPr>
                  <w:tcW w:w="2436" w:type="pct"/>
                  <w:noWrap/>
                  <w:vAlign w:val="center"/>
                </w:tcPr>
                <w:p w14:paraId="1CF5BDF3">
                  <w:pPr>
                    <w:spacing w:line="30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外购，液态、桶装，50kg/桶，</w:t>
                  </w:r>
                  <w:r>
                    <w:rPr>
                      <w:rFonts w:hint="eastAsia"/>
                      <w:color w:val="000000" w:themeColor="text1"/>
                      <w:szCs w:val="21"/>
                      <w:highlight w:val="none"/>
                      <w:lang w:val="en-US" w:eastAsia="zh-CN"/>
                      <w14:textFill>
                        <w14:solidFill>
                          <w14:schemeClr w14:val="tx1"/>
                        </w14:solidFill>
                      </w14:textFill>
                    </w:rPr>
                    <w:t>不在厂区存储</w:t>
                  </w:r>
                </w:p>
              </w:tc>
            </w:tr>
            <w:tr w14:paraId="08EFDB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679D924A">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570" w:type="pct"/>
                  <w:noWrap/>
                  <w:vAlign w:val="center"/>
                </w:tcPr>
                <w:p w14:paraId="2796C997">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活性炭</w:t>
                  </w:r>
                </w:p>
              </w:tc>
              <w:tc>
                <w:tcPr>
                  <w:tcW w:w="508" w:type="pct"/>
                  <w:noWrap/>
                  <w:vAlign w:val="center"/>
                </w:tcPr>
                <w:p w14:paraId="42ABF01D">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5E93A494">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644" w:type="pct"/>
                  <w:noWrap/>
                  <w:vAlign w:val="center"/>
                </w:tcPr>
                <w:p w14:paraId="4551A6D3">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436" w:type="pct"/>
                  <w:noWrap/>
                  <w:vAlign w:val="center"/>
                </w:tcPr>
                <w:p w14:paraId="2187795B">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外购，袋装，蜂窝状，碘值为</w:t>
                  </w:r>
                  <w:r>
                    <w:rPr>
                      <w:color w:val="000000" w:themeColor="text1"/>
                      <w:szCs w:val="21"/>
                      <w:highlight w:val="none"/>
                      <w14:textFill>
                        <w14:solidFill>
                          <w14:schemeClr w14:val="tx1"/>
                        </w14:solidFill>
                      </w14:textFill>
                    </w:rPr>
                    <w:t>800mg/g</w:t>
                  </w:r>
                  <w:r>
                    <w:rPr>
                      <w:rFonts w:hint="eastAsia"/>
                      <w:color w:val="000000" w:themeColor="text1"/>
                      <w:szCs w:val="21"/>
                      <w:highlight w:val="none"/>
                      <w14:textFill>
                        <w14:solidFill>
                          <w14:schemeClr w14:val="tx1"/>
                        </w14:solidFill>
                      </w14:textFill>
                    </w:rPr>
                    <w:t>，用于恶臭气体吸附</w:t>
                  </w:r>
                </w:p>
              </w:tc>
            </w:tr>
            <w:tr w14:paraId="4B1B3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shd w:val="clear" w:color="auto" w:fill="auto"/>
                  <w:noWrap/>
                  <w:tcMar>
                    <w:top w:w="51" w:type="dxa"/>
                    <w:left w:w="51" w:type="dxa"/>
                    <w:bottom w:w="51" w:type="dxa"/>
                    <w:right w:w="51" w:type="dxa"/>
                  </w:tcMar>
                  <w:vAlign w:val="center"/>
                </w:tcPr>
                <w:p w14:paraId="49BE60E3">
                  <w:pPr>
                    <w:spacing w:line="300" w:lineRule="exact"/>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9</w:t>
                  </w:r>
                </w:p>
              </w:tc>
              <w:tc>
                <w:tcPr>
                  <w:tcW w:w="570" w:type="pct"/>
                  <w:noWrap/>
                  <w:vAlign w:val="center"/>
                </w:tcPr>
                <w:p w14:paraId="1177DC0C">
                  <w:pPr>
                    <w:spacing w:line="300" w:lineRule="exact"/>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滤袋</w:t>
                  </w:r>
                </w:p>
              </w:tc>
              <w:tc>
                <w:tcPr>
                  <w:tcW w:w="508" w:type="pct"/>
                  <w:noWrap/>
                  <w:vAlign w:val="center"/>
                </w:tcPr>
                <w:p w14:paraId="6E172B15">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555" w:type="pct"/>
                  <w:noWrap/>
                  <w:vAlign w:val="center"/>
                </w:tcPr>
                <w:p w14:paraId="5FEF2636">
                  <w:pPr>
                    <w:spacing w:line="30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w:t>
                  </w:r>
                </w:p>
              </w:tc>
              <w:tc>
                <w:tcPr>
                  <w:tcW w:w="644" w:type="pct"/>
                  <w:noWrap/>
                  <w:vAlign w:val="center"/>
                </w:tcPr>
                <w:p w14:paraId="3FF57B07">
                  <w:pPr>
                    <w:spacing w:line="300" w:lineRule="exact"/>
                    <w:ind w:left="-105" w:leftChars="-50" w:right="-105" w:rightChars="-5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436" w:type="pct"/>
                  <w:noWrap/>
                  <w:vAlign w:val="center"/>
                </w:tcPr>
                <w:p w14:paraId="6C90BF96">
                  <w:pPr>
                    <w:spacing w:line="30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由除尘器厂家供应</w:t>
                  </w:r>
                </w:p>
              </w:tc>
            </w:tr>
            <w:tr w14:paraId="33294F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shd w:val="clear" w:color="auto" w:fill="auto"/>
                  <w:noWrap/>
                  <w:tcMar>
                    <w:top w:w="51" w:type="dxa"/>
                    <w:left w:w="51" w:type="dxa"/>
                    <w:bottom w:w="51" w:type="dxa"/>
                    <w:right w:w="51" w:type="dxa"/>
                  </w:tcMar>
                  <w:vAlign w:val="center"/>
                </w:tcPr>
                <w:p w14:paraId="62BBB3AE">
                  <w:pPr>
                    <w:spacing w:line="300" w:lineRule="exact"/>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10</w:t>
                  </w:r>
                </w:p>
              </w:tc>
              <w:tc>
                <w:tcPr>
                  <w:tcW w:w="570" w:type="pct"/>
                  <w:noWrap/>
                  <w:vAlign w:val="center"/>
                </w:tcPr>
                <w:p w14:paraId="49639FF5">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天然气</w:t>
                  </w:r>
                </w:p>
              </w:tc>
              <w:tc>
                <w:tcPr>
                  <w:tcW w:w="508" w:type="pct"/>
                  <w:noWrap/>
                  <w:vAlign w:val="center"/>
                </w:tcPr>
                <w:p w14:paraId="5CF9F5DD">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/a</w:t>
                  </w:r>
                </w:p>
              </w:tc>
              <w:tc>
                <w:tcPr>
                  <w:tcW w:w="555" w:type="pct"/>
                  <w:noWrap/>
                  <w:vAlign w:val="center"/>
                </w:tcPr>
                <w:p w14:paraId="6FA76EEB">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644" w:type="pct"/>
                  <w:noWrap/>
                  <w:vAlign w:val="center"/>
                </w:tcPr>
                <w:p w14:paraId="3A726967">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0.08</w:t>
                  </w:r>
                </w:p>
              </w:tc>
              <w:tc>
                <w:tcPr>
                  <w:tcW w:w="2436" w:type="pct"/>
                  <w:noWrap/>
                  <w:vAlign w:val="center"/>
                </w:tcPr>
                <w:p w14:paraId="6DC24780">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由</w:t>
                  </w:r>
                  <w:r>
                    <w:rPr>
                      <w:rFonts w:hint="eastAsia"/>
                      <w:color w:val="000000" w:themeColor="text1"/>
                      <w:szCs w:val="21"/>
                      <w:highlight w:val="none"/>
                      <w:lang w:eastAsia="zh-CN"/>
                      <w14:textFill>
                        <w14:solidFill>
                          <w14:schemeClr w14:val="tx1"/>
                        </w14:solidFill>
                      </w14:textFill>
                    </w:rPr>
                    <w:t>滦州新奥清洁能源</w:t>
                  </w:r>
                  <w:r>
                    <w:rPr>
                      <w:color w:val="000000" w:themeColor="text1"/>
                      <w:szCs w:val="21"/>
                      <w:highlight w:val="none"/>
                      <w14:textFill>
                        <w14:solidFill>
                          <w14:schemeClr w14:val="tx1"/>
                        </w14:solidFill>
                      </w14:textFill>
                    </w:rPr>
                    <w:t>有限公司</w:t>
                  </w:r>
                  <w:r>
                    <w:rPr>
                      <w:rFonts w:hint="eastAsia"/>
                      <w:color w:val="000000" w:themeColor="text1"/>
                      <w:szCs w:val="21"/>
                      <w:highlight w:val="none"/>
                      <w:lang w:eastAsia="zh-CN"/>
                      <w14:textFill>
                        <w14:solidFill>
                          <w14:schemeClr w14:val="tx1"/>
                        </w14:solidFill>
                      </w14:textFill>
                    </w:rPr>
                    <w:t>通过管道</w:t>
                  </w:r>
                  <w:r>
                    <w:rPr>
                      <w:color w:val="000000" w:themeColor="text1"/>
                      <w:szCs w:val="21"/>
                      <w:highlight w:val="none"/>
                      <w14:textFill>
                        <w14:solidFill>
                          <w14:schemeClr w14:val="tx1"/>
                        </w14:solidFill>
                      </w14:textFill>
                    </w:rPr>
                    <w:t>供给，隧道窑点火升温引燃燃料</w:t>
                  </w:r>
                </w:p>
              </w:tc>
            </w:tr>
            <w:tr w14:paraId="0CAEAA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shd w:val="clear" w:color="auto" w:fill="auto"/>
                  <w:noWrap/>
                  <w:tcMar>
                    <w:top w:w="51" w:type="dxa"/>
                    <w:left w:w="51" w:type="dxa"/>
                    <w:bottom w:w="51" w:type="dxa"/>
                    <w:right w:w="51" w:type="dxa"/>
                  </w:tcMar>
                  <w:vAlign w:val="center"/>
                </w:tcPr>
                <w:p w14:paraId="68AB627D">
                  <w:pPr>
                    <w:spacing w:line="300" w:lineRule="exact"/>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12</w:t>
                  </w:r>
                </w:p>
              </w:tc>
              <w:tc>
                <w:tcPr>
                  <w:tcW w:w="570" w:type="pct"/>
                  <w:noWrap/>
                  <w:vAlign w:val="center"/>
                </w:tcPr>
                <w:p w14:paraId="7BFC9814">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电</w:t>
                  </w:r>
                </w:p>
              </w:tc>
              <w:tc>
                <w:tcPr>
                  <w:tcW w:w="508" w:type="pct"/>
                  <w:noWrap/>
                  <w:vAlign w:val="center"/>
                </w:tcPr>
                <w:p w14:paraId="62D51ABD">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万kWh/a</w:t>
                  </w:r>
                </w:p>
              </w:tc>
              <w:tc>
                <w:tcPr>
                  <w:tcW w:w="555" w:type="pct"/>
                  <w:noWrap/>
                  <w:vAlign w:val="center"/>
                </w:tcPr>
                <w:p w14:paraId="1C67A7AE">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1200</w:t>
                  </w:r>
                </w:p>
              </w:tc>
              <w:tc>
                <w:tcPr>
                  <w:tcW w:w="644" w:type="pct"/>
                  <w:noWrap/>
                  <w:vAlign w:val="center"/>
                </w:tcPr>
                <w:p w14:paraId="618F4417">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436" w:type="pct"/>
                  <w:noWrap/>
                  <w:vAlign w:val="center"/>
                </w:tcPr>
                <w:p w14:paraId="2AE99980">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响嘡街道供电系统</w:t>
                  </w:r>
                </w:p>
              </w:tc>
            </w:tr>
            <w:tr w14:paraId="12C2B4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82" w:type="pct"/>
                  <w:noWrap/>
                  <w:tcMar>
                    <w:top w:w="51" w:type="dxa"/>
                    <w:left w:w="51" w:type="dxa"/>
                    <w:bottom w:w="51" w:type="dxa"/>
                    <w:right w:w="51" w:type="dxa"/>
                  </w:tcMar>
                  <w:vAlign w:val="center"/>
                </w:tcPr>
                <w:p w14:paraId="7F0B9C00">
                  <w:pPr>
                    <w:spacing w:line="30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13</w:t>
                  </w:r>
                </w:p>
              </w:tc>
              <w:tc>
                <w:tcPr>
                  <w:tcW w:w="570" w:type="pct"/>
                  <w:noWrap/>
                  <w:vAlign w:val="center"/>
                </w:tcPr>
                <w:p w14:paraId="6F27D8D1">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水</w:t>
                  </w:r>
                </w:p>
              </w:tc>
              <w:tc>
                <w:tcPr>
                  <w:tcW w:w="508" w:type="pct"/>
                  <w:noWrap/>
                  <w:vAlign w:val="center"/>
                </w:tcPr>
                <w:p w14:paraId="377629B8">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/a</w:t>
                  </w:r>
                </w:p>
              </w:tc>
              <w:tc>
                <w:tcPr>
                  <w:tcW w:w="555" w:type="pct"/>
                  <w:noWrap/>
                  <w:vAlign w:val="center"/>
                </w:tcPr>
                <w:p w14:paraId="1B87DED5">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8310</w:t>
                  </w:r>
                </w:p>
              </w:tc>
              <w:tc>
                <w:tcPr>
                  <w:tcW w:w="644" w:type="pct"/>
                  <w:noWrap/>
                  <w:vAlign w:val="center"/>
                </w:tcPr>
                <w:p w14:paraId="7C0528F5">
                  <w:pPr>
                    <w:spacing w:line="30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436" w:type="pct"/>
                  <w:noWrap/>
                  <w:vAlign w:val="center"/>
                </w:tcPr>
                <w:p w14:paraId="74B96397">
                  <w:pPr>
                    <w:spacing w:line="3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厂区自备井，水源为地下水，企业已取得取水许可证，编号为B130284G2021-67204，有效期为自202</w:t>
                  </w: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年12月7日至202</w:t>
                  </w:r>
                  <w:r>
                    <w:rPr>
                      <w:rFonts w:hint="eastAsia"/>
                      <w:color w:val="000000" w:themeColor="text1"/>
                      <w:szCs w:val="21"/>
                      <w:highlight w:val="none"/>
                      <w14:textFill>
                        <w14:solidFill>
                          <w14:schemeClr w14:val="tx1"/>
                        </w14:solidFill>
                      </w14:textFill>
                    </w:rPr>
                    <w:t>7</w:t>
                  </w:r>
                  <w:r>
                    <w:rPr>
                      <w:color w:val="000000" w:themeColor="text1"/>
                      <w:szCs w:val="21"/>
                      <w:highlight w:val="none"/>
                      <w14:textFill>
                        <w14:solidFill>
                          <w14:schemeClr w14:val="tx1"/>
                        </w14:solidFill>
                      </w14:textFill>
                    </w:rPr>
                    <w:t>年12月6日</w:t>
                  </w:r>
                </w:p>
              </w:tc>
            </w:tr>
          </w:tbl>
          <w:p w14:paraId="0868DEE0">
            <w:pPr>
              <w:spacing w:line="480" w:lineRule="exact"/>
              <w:ind w:firstLine="1200" w:firstLineChars="500"/>
              <w:rPr>
                <w:rFonts w:ascii="黑体" w:hAnsi="黑体" w:eastAsia="黑体"/>
                <w:color w:val="000000" w:themeColor="text1"/>
                <w:kern w:val="0"/>
                <w:sz w:val="24"/>
                <w:highlight w:val="none"/>
                <w14:textFill>
                  <w14:solidFill>
                    <w14:schemeClr w14:val="tx1"/>
                  </w14:solidFill>
                </w14:textFill>
              </w:rPr>
            </w:pPr>
            <w:r>
              <w:rPr>
                <w:rFonts w:hint="eastAsia" w:ascii="黑体" w:hAnsi="黑体" w:eastAsia="黑体"/>
                <w:color w:val="000000" w:themeColor="text1"/>
                <w:kern w:val="0"/>
                <w:sz w:val="24"/>
                <w:highlight w:val="none"/>
                <w14:textFill>
                  <w14:solidFill>
                    <w14:schemeClr w14:val="tx1"/>
                  </w14:solidFill>
                </w14:textFill>
              </w:rPr>
              <w:t>表2-</w:t>
            </w:r>
            <w:r>
              <w:rPr>
                <w:rFonts w:hint="eastAsia" w:ascii="黑体" w:hAnsi="黑体" w:eastAsia="黑体"/>
                <w:color w:val="000000" w:themeColor="text1"/>
                <w:kern w:val="0"/>
                <w:sz w:val="24"/>
                <w:highlight w:val="none"/>
                <w:lang w:val="en-US" w:eastAsia="zh-CN"/>
                <w14:textFill>
                  <w14:solidFill>
                    <w14:schemeClr w14:val="tx1"/>
                  </w14:solidFill>
                </w14:textFill>
              </w:rPr>
              <w:t>6</w:t>
            </w:r>
            <w:r>
              <w:rPr>
                <w:rFonts w:hint="eastAsia" w:ascii="黑体" w:hAnsi="黑体" w:eastAsia="黑体"/>
                <w:color w:val="000000" w:themeColor="text1"/>
                <w:kern w:val="0"/>
                <w:sz w:val="24"/>
                <w:highlight w:val="none"/>
                <w14:textFill>
                  <w14:solidFill>
                    <w14:schemeClr w14:val="tx1"/>
                  </w14:solidFill>
                </w14:textFill>
              </w:rPr>
              <w:t xml:space="preserve">         现有工程</w:t>
            </w:r>
            <w:r>
              <w:rPr>
                <w:rFonts w:ascii="黑体" w:hAnsi="黑体" w:eastAsia="黑体"/>
                <w:color w:val="000000" w:themeColor="text1"/>
                <w:kern w:val="0"/>
                <w:sz w:val="24"/>
                <w:highlight w:val="none"/>
                <w14:textFill>
                  <w14:solidFill>
                    <w14:schemeClr w14:val="tx1"/>
                  </w14:solidFill>
                </w14:textFill>
              </w:rPr>
              <w:t>主要设备设施一览表</w:t>
            </w:r>
          </w:p>
          <w:tbl>
            <w:tblPr>
              <w:tblStyle w:val="24"/>
              <w:tblW w:w="507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4"/>
              <w:gridCol w:w="434"/>
              <w:gridCol w:w="411"/>
              <w:gridCol w:w="1383"/>
              <w:gridCol w:w="1274"/>
              <w:gridCol w:w="1335"/>
              <w:gridCol w:w="568"/>
              <w:gridCol w:w="710"/>
              <w:gridCol w:w="2349"/>
            </w:tblGrid>
            <w:tr w14:paraId="6E9F4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0815B946">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序号</w:t>
                  </w:r>
                </w:p>
              </w:tc>
              <w:tc>
                <w:tcPr>
                  <w:tcW w:w="1251" w:type="pct"/>
                  <w:gridSpan w:val="3"/>
                  <w:vAlign w:val="center"/>
                </w:tcPr>
                <w:p w14:paraId="6042C342">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设备名称</w:t>
                  </w:r>
                </w:p>
              </w:tc>
              <w:tc>
                <w:tcPr>
                  <w:tcW w:w="715" w:type="pct"/>
                  <w:vAlign w:val="center"/>
                </w:tcPr>
                <w:p w14:paraId="1BC20E59">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规格型号</w:t>
                  </w:r>
                </w:p>
              </w:tc>
              <w:tc>
                <w:tcPr>
                  <w:tcW w:w="750" w:type="pct"/>
                  <w:vAlign w:val="center"/>
                </w:tcPr>
                <w:p w14:paraId="480AAFEF">
                  <w:pPr>
                    <w:widowControl/>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设施参数</w:t>
                  </w:r>
                </w:p>
              </w:tc>
              <w:tc>
                <w:tcPr>
                  <w:tcW w:w="319" w:type="pct"/>
                  <w:vAlign w:val="center"/>
                </w:tcPr>
                <w:p w14:paraId="22CCFD5B">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单位</w:t>
                  </w:r>
                </w:p>
              </w:tc>
              <w:tc>
                <w:tcPr>
                  <w:tcW w:w="398" w:type="pct"/>
                  <w:vAlign w:val="center"/>
                </w:tcPr>
                <w:p w14:paraId="350A31DA">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数量</w:t>
                  </w:r>
                </w:p>
              </w:tc>
              <w:tc>
                <w:tcPr>
                  <w:tcW w:w="1319" w:type="pct"/>
                  <w:vAlign w:val="center"/>
                </w:tcPr>
                <w:p w14:paraId="3D7FCFD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备注</w:t>
                  </w:r>
                </w:p>
              </w:tc>
            </w:tr>
            <w:tr w14:paraId="57FB7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4FFF972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243" w:type="pct"/>
                  <w:vMerge w:val="restart"/>
                  <w:vAlign w:val="center"/>
                </w:tcPr>
                <w:p w14:paraId="3581EC7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主体设备</w:t>
                  </w:r>
                </w:p>
              </w:tc>
              <w:tc>
                <w:tcPr>
                  <w:tcW w:w="230" w:type="pct"/>
                  <w:vMerge w:val="restart"/>
                  <w:vAlign w:val="center"/>
                </w:tcPr>
                <w:p w14:paraId="04972C1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破碎工段</w:t>
                  </w:r>
                </w:p>
              </w:tc>
              <w:tc>
                <w:tcPr>
                  <w:tcW w:w="777" w:type="pct"/>
                  <w:vAlign w:val="center"/>
                </w:tcPr>
                <w:p w14:paraId="2CB7CB7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颚式破碎机</w:t>
                  </w:r>
                </w:p>
              </w:tc>
              <w:tc>
                <w:tcPr>
                  <w:tcW w:w="715" w:type="pct"/>
                  <w:vAlign w:val="center"/>
                </w:tcPr>
                <w:p w14:paraId="4D45403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PE400*600</w:t>
                  </w:r>
                </w:p>
              </w:tc>
              <w:tc>
                <w:tcPr>
                  <w:tcW w:w="750" w:type="pct"/>
                  <w:vAlign w:val="center"/>
                </w:tcPr>
                <w:p w14:paraId="223372C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台时产量92t/h</w:t>
                  </w:r>
                </w:p>
              </w:tc>
              <w:tc>
                <w:tcPr>
                  <w:tcW w:w="319" w:type="pct"/>
                  <w:vAlign w:val="center"/>
                </w:tcPr>
                <w:p w14:paraId="6AAE612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813C31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725C697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粗破</w:t>
                  </w:r>
                </w:p>
              </w:tc>
            </w:tr>
            <w:tr w14:paraId="0ED32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0BDDF2F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243" w:type="pct"/>
                  <w:vMerge w:val="continue"/>
                  <w:vAlign w:val="center"/>
                </w:tcPr>
                <w:p w14:paraId="21BFE24E">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13E3000B">
                  <w:pPr>
                    <w:jc w:val="center"/>
                    <w:rPr>
                      <w:color w:val="000000" w:themeColor="text1"/>
                      <w:sz w:val="21"/>
                      <w:szCs w:val="21"/>
                      <w:highlight w:val="none"/>
                      <w14:textFill>
                        <w14:solidFill>
                          <w14:schemeClr w14:val="tx1"/>
                        </w14:solidFill>
                      </w14:textFill>
                    </w:rPr>
                  </w:pPr>
                </w:p>
              </w:tc>
              <w:tc>
                <w:tcPr>
                  <w:tcW w:w="777" w:type="pct"/>
                  <w:vAlign w:val="center"/>
                </w:tcPr>
                <w:p w14:paraId="1826BF6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锤式破碎机</w:t>
                  </w:r>
                </w:p>
              </w:tc>
              <w:tc>
                <w:tcPr>
                  <w:tcW w:w="715" w:type="pct"/>
                  <w:vAlign w:val="center"/>
                </w:tcPr>
                <w:p w14:paraId="280C66A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PE800*600</w:t>
                  </w:r>
                </w:p>
              </w:tc>
              <w:tc>
                <w:tcPr>
                  <w:tcW w:w="750" w:type="pct"/>
                  <w:vAlign w:val="center"/>
                </w:tcPr>
                <w:p w14:paraId="40F7D57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台时产量46t/h</w:t>
                  </w:r>
                </w:p>
              </w:tc>
              <w:tc>
                <w:tcPr>
                  <w:tcW w:w="319" w:type="pct"/>
                  <w:vAlign w:val="center"/>
                </w:tcPr>
                <w:p w14:paraId="08E1F71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2788EE5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5E806F2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细碎</w:t>
                  </w:r>
                </w:p>
              </w:tc>
            </w:tr>
            <w:tr w14:paraId="6DC90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D16552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w:t>
                  </w:r>
                </w:p>
              </w:tc>
              <w:tc>
                <w:tcPr>
                  <w:tcW w:w="243" w:type="pct"/>
                  <w:vMerge w:val="continue"/>
                  <w:vAlign w:val="center"/>
                </w:tcPr>
                <w:p w14:paraId="607500BD">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403A6C28">
                  <w:pPr>
                    <w:jc w:val="center"/>
                    <w:rPr>
                      <w:color w:val="000000" w:themeColor="text1"/>
                      <w:sz w:val="21"/>
                      <w:szCs w:val="21"/>
                      <w:highlight w:val="none"/>
                      <w14:textFill>
                        <w14:solidFill>
                          <w14:schemeClr w14:val="tx1"/>
                        </w14:solidFill>
                      </w14:textFill>
                    </w:rPr>
                  </w:pPr>
                </w:p>
              </w:tc>
              <w:tc>
                <w:tcPr>
                  <w:tcW w:w="777" w:type="pct"/>
                  <w:vAlign w:val="center"/>
                </w:tcPr>
                <w:p w14:paraId="6183BFA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圆滚筛</w:t>
                  </w:r>
                </w:p>
              </w:tc>
              <w:tc>
                <w:tcPr>
                  <w:tcW w:w="715" w:type="pct"/>
                  <w:vAlign w:val="center"/>
                </w:tcPr>
                <w:p w14:paraId="75ECB95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XS50*15</w:t>
                  </w:r>
                </w:p>
              </w:tc>
              <w:tc>
                <w:tcPr>
                  <w:tcW w:w="750" w:type="pct"/>
                  <w:vAlign w:val="center"/>
                </w:tcPr>
                <w:p w14:paraId="49BB2ED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台时产量23t/h</w:t>
                  </w:r>
                </w:p>
              </w:tc>
              <w:tc>
                <w:tcPr>
                  <w:tcW w:w="319" w:type="pct"/>
                  <w:vAlign w:val="center"/>
                </w:tcPr>
                <w:p w14:paraId="6C0F928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3B6CF5A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319" w:type="pct"/>
                  <w:vAlign w:val="center"/>
                </w:tcPr>
                <w:p w14:paraId="68276D9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筛分</w:t>
                  </w:r>
                </w:p>
              </w:tc>
            </w:tr>
            <w:tr w14:paraId="4454F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01E8B77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243" w:type="pct"/>
                  <w:vMerge w:val="continue"/>
                  <w:vAlign w:val="center"/>
                </w:tcPr>
                <w:p w14:paraId="04D726F6">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1ED65CEC">
                  <w:pPr>
                    <w:jc w:val="center"/>
                    <w:rPr>
                      <w:color w:val="000000" w:themeColor="text1"/>
                      <w:sz w:val="21"/>
                      <w:szCs w:val="21"/>
                      <w:highlight w:val="none"/>
                      <w14:textFill>
                        <w14:solidFill>
                          <w14:schemeClr w14:val="tx1"/>
                        </w14:solidFill>
                      </w14:textFill>
                    </w:rPr>
                  </w:pPr>
                </w:p>
              </w:tc>
              <w:tc>
                <w:tcPr>
                  <w:tcW w:w="777" w:type="pct"/>
                  <w:vAlign w:val="center"/>
                </w:tcPr>
                <w:p w14:paraId="2CCC9C7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双轴搅拌机</w:t>
                  </w:r>
                </w:p>
              </w:tc>
              <w:tc>
                <w:tcPr>
                  <w:tcW w:w="715" w:type="pct"/>
                  <w:vAlign w:val="center"/>
                </w:tcPr>
                <w:p w14:paraId="61991D1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SJ300*42</w:t>
                  </w:r>
                </w:p>
              </w:tc>
              <w:tc>
                <w:tcPr>
                  <w:tcW w:w="750" w:type="pct"/>
                  <w:vAlign w:val="center"/>
                </w:tcPr>
                <w:p w14:paraId="60371BC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台时产量25t/h</w:t>
                  </w:r>
                </w:p>
              </w:tc>
              <w:tc>
                <w:tcPr>
                  <w:tcW w:w="319" w:type="pct"/>
                  <w:vAlign w:val="center"/>
                </w:tcPr>
                <w:p w14:paraId="4878C29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6FD756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36F4895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搅拌</w:t>
                  </w:r>
                </w:p>
              </w:tc>
            </w:tr>
            <w:tr w14:paraId="2298B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274515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5</w:t>
                  </w:r>
                </w:p>
              </w:tc>
              <w:tc>
                <w:tcPr>
                  <w:tcW w:w="243" w:type="pct"/>
                  <w:vMerge w:val="continue"/>
                  <w:vAlign w:val="center"/>
                </w:tcPr>
                <w:p w14:paraId="70039FA7">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2C009217">
                  <w:pPr>
                    <w:jc w:val="center"/>
                    <w:rPr>
                      <w:color w:val="000000" w:themeColor="text1"/>
                      <w:sz w:val="21"/>
                      <w:szCs w:val="21"/>
                      <w:highlight w:val="none"/>
                      <w14:textFill>
                        <w14:solidFill>
                          <w14:schemeClr w14:val="tx1"/>
                        </w14:solidFill>
                      </w14:textFill>
                    </w:rPr>
                  </w:pPr>
                </w:p>
              </w:tc>
              <w:tc>
                <w:tcPr>
                  <w:tcW w:w="777" w:type="pct"/>
                  <w:vAlign w:val="center"/>
                </w:tcPr>
                <w:p w14:paraId="24A8BD2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双轴搅拌挤出机</w:t>
                  </w:r>
                </w:p>
              </w:tc>
              <w:tc>
                <w:tcPr>
                  <w:tcW w:w="715" w:type="pct"/>
                  <w:vAlign w:val="center"/>
                </w:tcPr>
                <w:p w14:paraId="4CA605E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SJ300*42</w:t>
                  </w:r>
                </w:p>
              </w:tc>
              <w:tc>
                <w:tcPr>
                  <w:tcW w:w="750" w:type="pct"/>
                  <w:vAlign w:val="center"/>
                </w:tcPr>
                <w:p w14:paraId="2FA5C06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台时产量23t/h</w:t>
                  </w:r>
                </w:p>
              </w:tc>
              <w:tc>
                <w:tcPr>
                  <w:tcW w:w="319" w:type="pct"/>
                  <w:vAlign w:val="center"/>
                </w:tcPr>
                <w:p w14:paraId="6F5EBFB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8AEFB9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7371A5E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搅拌</w:t>
                  </w:r>
                </w:p>
              </w:tc>
            </w:tr>
            <w:tr w14:paraId="28E39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4B2791E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w:t>
                  </w:r>
                </w:p>
              </w:tc>
              <w:tc>
                <w:tcPr>
                  <w:tcW w:w="243" w:type="pct"/>
                  <w:vMerge w:val="continue"/>
                  <w:vAlign w:val="center"/>
                </w:tcPr>
                <w:p w14:paraId="48370C47">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702DFF1A">
                  <w:pPr>
                    <w:jc w:val="center"/>
                    <w:rPr>
                      <w:color w:val="000000" w:themeColor="text1"/>
                      <w:sz w:val="21"/>
                      <w:szCs w:val="21"/>
                      <w:highlight w:val="none"/>
                      <w14:textFill>
                        <w14:solidFill>
                          <w14:schemeClr w14:val="tx1"/>
                        </w14:solidFill>
                      </w14:textFill>
                    </w:rPr>
                  </w:pPr>
                </w:p>
              </w:tc>
              <w:tc>
                <w:tcPr>
                  <w:tcW w:w="777" w:type="pct"/>
                  <w:vAlign w:val="center"/>
                </w:tcPr>
                <w:p w14:paraId="18DAE0C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箱式</w:t>
                  </w:r>
                  <w:r>
                    <w:rPr>
                      <w:color w:val="000000" w:themeColor="text1"/>
                      <w:sz w:val="21"/>
                      <w:szCs w:val="21"/>
                      <w:highlight w:val="none"/>
                      <w14:textFill>
                        <w14:solidFill>
                          <w14:schemeClr w14:val="tx1"/>
                        </w14:solidFill>
                      </w14:textFill>
                    </w:rPr>
                    <w:t>给料机</w:t>
                  </w:r>
                </w:p>
              </w:tc>
              <w:tc>
                <w:tcPr>
                  <w:tcW w:w="715" w:type="pct"/>
                  <w:vAlign w:val="center"/>
                </w:tcPr>
                <w:p w14:paraId="7107EEE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CD800</w:t>
                  </w:r>
                </w:p>
              </w:tc>
              <w:tc>
                <w:tcPr>
                  <w:tcW w:w="750" w:type="pct"/>
                  <w:vAlign w:val="center"/>
                </w:tcPr>
                <w:p w14:paraId="54B564A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台时产量14t/h</w:t>
                  </w:r>
                </w:p>
              </w:tc>
              <w:tc>
                <w:tcPr>
                  <w:tcW w:w="319" w:type="pct"/>
                  <w:vAlign w:val="center"/>
                </w:tcPr>
                <w:p w14:paraId="728682E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3F0C112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w:t>
                  </w:r>
                </w:p>
              </w:tc>
              <w:tc>
                <w:tcPr>
                  <w:tcW w:w="1319" w:type="pct"/>
                  <w:vAlign w:val="center"/>
                </w:tcPr>
                <w:p w14:paraId="4AF2D2A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给料</w:t>
                  </w:r>
                </w:p>
              </w:tc>
            </w:tr>
            <w:tr w14:paraId="41D0D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3FD6E2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w:t>
                  </w:r>
                </w:p>
              </w:tc>
              <w:tc>
                <w:tcPr>
                  <w:tcW w:w="243" w:type="pct"/>
                  <w:vMerge w:val="continue"/>
                  <w:vAlign w:val="center"/>
                </w:tcPr>
                <w:p w14:paraId="69325F26">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541A1D14">
                  <w:pPr>
                    <w:jc w:val="center"/>
                    <w:rPr>
                      <w:color w:val="000000" w:themeColor="text1"/>
                      <w:sz w:val="21"/>
                      <w:szCs w:val="21"/>
                      <w:highlight w:val="none"/>
                      <w14:textFill>
                        <w14:solidFill>
                          <w14:schemeClr w14:val="tx1"/>
                        </w14:solidFill>
                      </w14:textFill>
                    </w:rPr>
                  </w:pPr>
                </w:p>
              </w:tc>
              <w:tc>
                <w:tcPr>
                  <w:tcW w:w="777" w:type="pct"/>
                  <w:vAlign w:val="center"/>
                </w:tcPr>
                <w:p w14:paraId="15391DE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板式给料机</w:t>
                  </w:r>
                </w:p>
              </w:tc>
              <w:tc>
                <w:tcPr>
                  <w:tcW w:w="715" w:type="pct"/>
                  <w:vAlign w:val="center"/>
                </w:tcPr>
                <w:p w14:paraId="5C88EF9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GL800</w:t>
                  </w:r>
                </w:p>
              </w:tc>
              <w:tc>
                <w:tcPr>
                  <w:tcW w:w="750" w:type="pct"/>
                  <w:vAlign w:val="center"/>
                </w:tcPr>
                <w:p w14:paraId="1B6A389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台时产量5t/h</w:t>
                  </w:r>
                </w:p>
              </w:tc>
              <w:tc>
                <w:tcPr>
                  <w:tcW w:w="319" w:type="pct"/>
                  <w:vAlign w:val="center"/>
                </w:tcPr>
                <w:p w14:paraId="37D34D7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280708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536255C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给料</w:t>
                  </w:r>
                </w:p>
              </w:tc>
            </w:tr>
            <w:tr w14:paraId="1ABDC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04161F1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p>
              </w:tc>
              <w:tc>
                <w:tcPr>
                  <w:tcW w:w="243" w:type="pct"/>
                  <w:vMerge w:val="continue"/>
                  <w:vAlign w:val="center"/>
                </w:tcPr>
                <w:p w14:paraId="5636E88C">
                  <w:pPr>
                    <w:jc w:val="center"/>
                    <w:rPr>
                      <w:color w:val="000000" w:themeColor="text1"/>
                      <w:sz w:val="21"/>
                      <w:szCs w:val="21"/>
                      <w:highlight w:val="none"/>
                      <w14:textFill>
                        <w14:solidFill>
                          <w14:schemeClr w14:val="tx1"/>
                        </w14:solidFill>
                      </w14:textFill>
                    </w:rPr>
                  </w:pPr>
                </w:p>
              </w:tc>
              <w:tc>
                <w:tcPr>
                  <w:tcW w:w="230" w:type="pct"/>
                  <w:vAlign w:val="center"/>
                </w:tcPr>
                <w:p w14:paraId="7882D9F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陈化</w:t>
                  </w:r>
                </w:p>
              </w:tc>
              <w:tc>
                <w:tcPr>
                  <w:tcW w:w="777" w:type="pct"/>
                  <w:vAlign w:val="center"/>
                </w:tcPr>
                <w:p w14:paraId="37468D9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陈化布料皮带</w:t>
                  </w:r>
                </w:p>
              </w:tc>
              <w:tc>
                <w:tcPr>
                  <w:tcW w:w="715" w:type="pct"/>
                  <w:vAlign w:val="center"/>
                </w:tcPr>
                <w:p w14:paraId="2F2BD49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KNP650*26M</w:t>
                  </w:r>
                </w:p>
              </w:tc>
              <w:tc>
                <w:tcPr>
                  <w:tcW w:w="750" w:type="pct"/>
                  <w:vAlign w:val="center"/>
                </w:tcPr>
                <w:p w14:paraId="088153C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传输能力120t/h</w:t>
                  </w:r>
                </w:p>
              </w:tc>
              <w:tc>
                <w:tcPr>
                  <w:tcW w:w="319" w:type="pct"/>
                  <w:vAlign w:val="center"/>
                </w:tcPr>
                <w:p w14:paraId="41F76D3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941DBC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01DB179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布料</w:t>
                  </w:r>
                </w:p>
              </w:tc>
            </w:tr>
            <w:tr w14:paraId="649AC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12DC27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9</w:t>
                  </w:r>
                </w:p>
              </w:tc>
              <w:tc>
                <w:tcPr>
                  <w:tcW w:w="243" w:type="pct"/>
                  <w:vMerge w:val="continue"/>
                  <w:vAlign w:val="center"/>
                </w:tcPr>
                <w:p w14:paraId="08E7E73F">
                  <w:pPr>
                    <w:jc w:val="center"/>
                    <w:rPr>
                      <w:color w:val="000000" w:themeColor="text1"/>
                      <w:sz w:val="21"/>
                      <w:szCs w:val="21"/>
                      <w:highlight w:val="none"/>
                      <w14:textFill>
                        <w14:solidFill>
                          <w14:schemeClr w14:val="tx1"/>
                        </w14:solidFill>
                      </w14:textFill>
                    </w:rPr>
                  </w:pPr>
                </w:p>
              </w:tc>
              <w:tc>
                <w:tcPr>
                  <w:tcW w:w="230" w:type="pct"/>
                  <w:vMerge w:val="restart"/>
                  <w:vAlign w:val="center"/>
                </w:tcPr>
                <w:p w14:paraId="1934960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成型与切坯</w:t>
                  </w:r>
                </w:p>
              </w:tc>
              <w:tc>
                <w:tcPr>
                  <w:tcW w:w="777" w:type="pct"/>
                  <w:vAlign w:val="center"/>
                </w:tcPr>
                <w:p w14:paraId="2FFFF13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多斗挖土机</w:t>
                  </w:r>
                </w:p>
              </w:tc>
              <w:tc>
                <w:tcPr>
                  <w:tcW w:w="715" w:type="pct"/>
                  <w:vAlign w:val="center"/>
                </w:tcPr>
                <w:p w14:paraId="62CD917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DWY40C</w:t>
                  </w:r>
                </w:p>
              </w:tc>
              <w:tc>
                <w:tcPr>
                  <w:tcW w:w="750" w:type="pct"/>
                  <w:vAlign w:val="center"/>
                </w:tcPr>
                <w:p w14:paraId="009A06B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生产能力40m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3C18D98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76A4D9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19EF1CF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给料</w:t>
                  </w:r>
                </w:p>
              </w:tc>
            </w:tr>
            <w:tr w14:paraId="1AF323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559942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p>
              </w:tc>
              <w:tc>
                <w:tcPr>
                  <w:tcW w:w="243" w:type="pct"/>
                  <w:vMerge w:val="continue"/>
                  <w:vAlign w:val="center"/>
                </w:tcPr>
                <w:p w14:paraId="44AF4445">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162D1662">
                  <w:pPr>
                    <w:jc w:val="center"/>
                    <w:rPr>
                      <w:color w:val="000000" w:themeColor="text1"/>
                      <w:sz w:val="21"/>
                      <w:szCs w:val="21"/>
                      <w:highlight w:val="none"/>
                      <w14:textFill>
                        <w14:solidFill>
                          <w14:schemeClr w14:val="tx1"/>
                        </w14:solidFill>
                      </w14:textFill>
                    </w:rPr>
                  </w:pPr>
                </w:p>
              </w:tc>
              <w:tc>
                <w:tcPr>
                  <w:tcW w:w="777" w:type="pct"/>
                  <w:vAlign w:val="center"/>
                </w:tcPr>
                <w:p w14:paraId="79BE2F5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真空挤出机</w:t>
                  </w:r>
                </w:p>
              </w:tc>
              <w:tc>
                <w:tcPr>
                  <w:tcW w:w="715" w:type="pct"/>
                  <w:vAlign w:val="center"/>
                </w:tcPr>
                <w:p w14:paraId="2FBF629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JKY50/50-35</w:t>
                  </w:r>
                </w:p>
              </w:tc>
              <w:tc>
                <w:tcPr>
                  <w:tcW w:w="750" w:type="pct"/>
                  <w:vAlign w:val="center"/>
                </w:tcPr>
                <w:p w14:paraId="2A4298C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台时产量50t/h</w:t>
                  </w:r>
                </w:p>
              </w:tc>
              <w:tc>
                <w:tcPr>
                  <w:tcW w:w="319" w:type="pct"/>
                  <w:vAlign w:val="center"/>
                </w:tcPr>
                <w:p w14:paraId="40E6C92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0897741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686C679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挤出成型</w:t>
                  </w:r>
                </w:p>
              </w:tc>
            </w:tr>
            <w:tr w14:paraId="5A813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61F063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11</w:t>
                  </w:r>
                </w:p>
              </w:tc>
              <w:tc>
                <w:tcPr>
                  <w:tcW w:w="243" w:type="pct"/>
                  <w:vMerge w:val="continue"/>
                  <w:vAlign w:val="center"/>
                </w:tcPr>
                <w:p w14:paraId="6582195A">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7C3F8877">
                  <w:pPr>
                    <w:jc w:val="center"/>
                    <w:rPr>
                      <w:color w:val="000000" w:themeColor="text1"/>
                      <w:sz w:val="21"/>
                      <w:szCs w:val="21"/>
                      <w:highlight w:val="none"/>
                      <w14:textFill>
                        <w14:solidFill>
                          <w14:schemeClr w14:val="tx1"/>
                        </w14:solidFill>
                      </w14:textFill>
                    </w:rPr>
                  </w:pPr>
                </w:p>
              </w:tc>
              <w:tc>
                <w:tcPr>
                  <w:tcW w:w="777" w:type="pct"/>
                  <w:vAlign w:val="center"/>
                </w:tcPr>
                <w:p w14:paraId="6C6DF1A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自动切条切坯机</w:t>
                  </w:r>
                </w:p>
              </w:tc>
              <w:tc>
                <w:tcPr>
                  <w:tcW w:w="715" w:type="pct"/>
                  <w:vAlign w:val="center"/>
                </w:tcPr>
                <w:p w14:paraId="5E0FC91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ZQPT</w:t>
                  </w:r>
                </w:p>
              </w:tc>
              <w:tc>
                <w:tcPr>
                  <w:tcW w:w="750" w:type="pct"/>
                  <w:vAlign w:val="center"/>
                </w:tcPr>
                <w:p w14:paraId="42868C2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台时产量50t/h</w:t>
                  </w:r>
                </w:p>
              </w:tc>
              <w:tc>
                <w:tcPr>
                  <w:tcW w:w="319" w:type="pct"/>
                  <w:vAlign w:val="center"/>
                </w:tcPr>
                <w:p w14:paraId="654B8F9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5D8EA8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7189136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切条、切坯</w:t>
                  </w:r>
                </w:p>
              </w:tc>
            </w:tr>
            <w:tr w14:paraId="031CC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2EFD2E6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12</w:t>
                  </w:r>
                </w:p>
              </w:tc>
              <w:tc>
                <w:tcPr>
                  <w:tcW w:w="243" w:type="pct"/>
                  <w:vMerge w:val="continue"/>
                  <w:vAlign w:val="center"/>
                </w:tcPr>
                <w:p w14:paraId="2A94DFCC">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6DA7DF44">
                  <w:pPr>
                    <w:jc w:val="center"/>
                    <w:rPr>
                      <w:color w:val="000000" w:themeColor="text1"/>
                      <w:sz w:val="21"/>
                      <w:szCs w:val="21"/>
                      <w:highlight w:val="none"/>
                      <w14:textFill>
                        <w14:solidFill>
                          <w14:schemeClr w14:val="tx1"/>
                        </w14:solidFill>
                      </w14:textFill>
                    </w:rPr>
                  </w:pPr>
                </w:p>
              </w:tc>
              <w:tc>
                <w:tcPr>
                  <w:tcW w:w="777" w:type="pct"/>
                  <w:vAlign w:val="center"/>
                </w:tcPr>
                <w:p w14:paraId="18154AE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自动码坯机</w:t>
                  </w:r>
                </w:p>
              </w:tc>
              <w:tc>
                <w:tcPr>
                  <w:tcW w:w="715" w:type="pct"/>
                  <w:vAlign w:val="center"/>
                </w:tcPr>
                <w:p w14:paraId="4B4B26B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17.5M*B300</w:t>
                  </w:r>
                </w:p>
              </w:tc>
              <w:tc>
                <w:tcPr>
                  <w:tcW w:w="750" w:type="pct"/>
                  <w:vAlign w:val="center"/>
                </w:tcPr>
                <w:p w14:paraId="45542C1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台时产量50t/h</w:t>
                  </w:r>
                </w:p>
              </w:tc>
              <w:tc>
                <w:tcPr>
                  <w:tcW w:w="319" w:type="pct"/>
                  <w:vAlign w:val="center"/>
                </w:tcPr>
                <w:p w14:paraId="09EF8B3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1903A5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3EFC804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码坯</w:t>
                  </w:r>
                </w:p>
              </w:tc>
            </w:tr>
            <w:tr w14:paraId="75427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62747B5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13</w:t>
                  </w:r>
                </w:p>
              </w:tc>
              <w:tc>
                <w:tcPr>
                  <w:tcW w:w="243" w:type="pct"/>
                  <w:vMerge w:val="continue"/>
                  <w:vAlign w:val="center"/>
                </w:tcPr>
                <w:p w14:paraId="65126F58">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3928ABDA">
                  <w:pPr>
                    <w:jc w:val="center"/>
                    <w:rPr>
                      <w:color w:val="000000" w:themeColor="text1"/>
                      <w:sz w:val="21"/>
                      <w:szCs w:val="21"/>
                      <w:highlight w:val="none"/>
                      <w14:textFill>
                        <w14:solidFill>
                          <w14:schemeClr w14:val="tx1"/>
                        </w14:solidFill>
                      </w14:textFill>
                    </w:rPr>
                  </w:pPr>
                </w:p>
              </w:tc>
              <w:tc>
                <w:tcPr>
                  <w:tcW w:w="777" w:type="pct"/>
                  <w:vAlign w:val="center"/>
                </w:tcPr>
                <w:p w14:paraId="1E6C83D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双杠顶车机</w:t>
                  </w:r>
                </w:p>
              </w:tc>
              <w:tc>
                <w:tcPr>
                  <w:tcW w:w="715" w:type="pct"/>
                  <w:vAlign w:val="center"/>
                </w:tcPr>
                <w:p w14:paraId="061201F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799B43A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6D37401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2CA5002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10</w:t>
                  </w:r>
                </w:p>
              </w:tc>
              <w:tc>
                <w:tcPr>
                  <w:tcW w:w="1319" w:type="pct"/>
                  <w:vAlign w:val="center"/>
                </w:tcPr>
                <w:p w14:paraId="4D96AB1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6C520B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BF6CD5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14</w:t>
                  </w:r>
                </w:p>
              </w:tc>
              <w:tc>
                <w:tcPr>
                  <w:tcW w:w="243" w:type="pct"/>
                  <w:vMerge w:val="continue"/>
                  <w:vAlign w:val="center"/>
                </w:tcPr>
                <w:p w14:paraId="1E13B2BC">
                  <w:pPr>
                    <w:jc w:val="center"/>
                    <w:rPr>
                      <w:color w:val="000000" w:themeColor="text1"/>
                      <w:sz w:val="21"/>
                      <w:szCs w:val="21"/>
                      <w:highlight w:val="none"/>
                      <w14:textFill>
                        <w14:solidFill>
                          <w14:schemeClr w14:val="tx1"/>
                        </w14:solidFill>
                      </w14:textFill>
                    </w:rPr>
                  </w:pPr>
                </w:p>
              </w:tc>
              <w:tc>
                <w:tcPr>
                  <w:tcW w:w="230" w:type="pct"/>
                  <w:vMerge w:val="restart"/>
                  <w:vAlign w:val="center"/>
                </w:tcPr>
                <w:p w14:paraId="42CD795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烘干与焙烧工段</w:t>
                  </w:r>
                </w:p>
              </w:tc>
              <w:tc>
                <w:tcPr>
                  <w:tcW w:w="777" w:type="pct"/>
                  <w:vAlign w:val="center"/>
                </w:tcPr>
                <w:p w14:paraId="32F98A7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干燥车</w:t>
                  </w:r>
                </w:p>
              </w:tc>
              <w:tc>
                <w:tcPr>
                  <w:tcW w:w="715" w:type="pct"/>
                  <w:vAlign w:val="center"/>
                </w:tcPr>
                <w:p w14:paraId="7B7F197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6764C5B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承载量3120块/车</w:t>
                  </w:r>
                </w:p>
              </w:tc>
              <w:tc>
                <w:tcPr>
                  <w:tcW w:w="319" w:type="pct"/>
                  <w:vAlign w:val="center"/>
                </w:tcPr>
                <w:p w14:paraId="528280B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5E338A6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380</w:t>
                  </w:r>
                </w:p>
              </w:tc>
              <w:tc>
                <w:tcPr>
                  <w:tcW w:w="1319" w:type="pct"/>
                  <w:vAlign w:val="center"/>
                </w:tcPr>
                <w:p w14:paraId="34E0783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运输</w:t>
                  </w:r>
                </w:p>
              </w:tc>
            </w:tr>
            <w:tr w14:paraId="7C07F4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42C09F1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15</w:t>
                  </w:r>
                </w:p>
              </w:tc>
              <w:tc>
                <w:tcPr>
                  <w:tcW w:w="243" w:type="pct"/>
                  <w:vMerge w:val="continue"/>
                  <w:vAlign w:val="center"/>
                </w:tcPr>
                <w:p w14:paraId="27E25D95">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1063EDAA">
                  <w:pPr>
                    <w:jc w:val="center"/>
                    <w:rPr>
                      <w:color w:val="000000" w:themeColor="text1"/>
                      <w:sz w:val="21"/>
                      <w:szCs w:val="21"/>
                      <w:highlight w:val="none"/>
                      <w14:textFill>
                        <w14:solidFill>
                          <w14:schemeClr w14:val="tx1"/>
                        </w14:solidFill>
                      </w14:textFill>
                    </w:rPr>
                  </w:pPr>
                </w:p>
              </w:tc>
              <w:tc>
                <w:tcPr>
                  <w:tcW w:w="777" w:type="pct"/>
                  <w:vAlign w:val="center"/>
                </w:tcPr>
                <w:p w14:paraId="262B138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隧道型干燥室</w:t>
                  </w:r>
                </w:p>
              </w:tc>
              <w:tc>
                <w:tcPr>
                  <w:tcW w:w="715" w:type="pct"/>
                  <w:vAlign w:val="center"/>
                </w:tcPr>
                <w:p w14:paraId="33953E5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113m*3.6m</w:t>
                  </w:r>
                </w:p>
              </w:tc>
              <w:tc>
                <w:tcPr>
                  <w:tcW w:w="750" w:type="pct"/>
                  <w:vAlign w:val="center"/>
                </w:tcPr>
                <w:p w14:paraId="73528B3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长113</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、宽3.6</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、高1.8</w:t>
                  </w:r>
                  <w:r>
                    <w:rPr>
                      <w:color w:val="000000" w:themeColor="text1"/>
                      <w:sz w:val="21"/>
                      <w:szCs w:val="21"/>
                      <w:highlight w:val="none"/>
                      <w14:textFill>
                        <w14:solidFill>
                          <w14:schemeClr w14:val="tx1"/>
                        </w14:solidFill>
                      </w14:textFill>
                    </w:rPr>
                    <w:t>m</w:t>
                  </w:r>
                </w:p>
              </w:tc>
              <w:tc>
                <w:tcPr>
                  <w:tcW w:w="319" w:type="pct"/>
                  <w:vAlign w:val="center"/>
                </w:tcPr>
                <w:p w14:paraId="5F71FA7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0597409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319" w:type="pct"/>
                  <w:vAlign w:val="center"/>
                </w:tcPr>
                <w:p w14:paraId="7184D82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干燥</w:t>
                  </w:r>
                </w:p>
              </w:tc>
            </w:tr>
            <w:tr w14:paraId="11022F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27CB30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p>
              </w:tc>
              <w:tc>
                <w:tcPr>
                  <w:tcW w:w="243" w:type="pct"/>
                  <w:vMerge w:val="continue"/>
                  <w:vAlign w:val="center"/>
                </w:tcPr>
                <w:p w14:paraId="1C76FE2F">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75BFFD88">
                  <w:pPr>
                    <w:jc w:val="center"/>
                    <w:rPr>
                      <w:color w:val="000000" w:themeColor="text1"/>
                      <w:sz w:val="21"/>
                      <w:szCs w:val="21"/>
                      <w:highlight w:val="none"/>
                      <w14:textFill>
                        <w14:solidFill>
                          <w14:schemeClr w14:val="tx1"/>
                        </w14:solidFill>
                      </w14:textFill>
                    </w:rPr>
                  </w:pPr>
                </w:p>
              </w:tc>
              <w:tc>
                <w:tcPr>
                  <w:tcW w:w="777" w:type="pct"/>
                  <w:vAlign w:val="center"/>
                </w:tcPr>
                <w:p w14:paraId="20075DA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隧道焙烧窑</w:t>
                  </w:r>
                </w:p>
              </w:tc>
              <w:tc>
                <w:tcPr>
                  <w:tcW w:w="715" w:type="pct"/>
                  <w:vAlign w:val="center"/>
                </w:tcPr>
                <w:p w14:paraId="036C7BF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113m*3.6m</w:t>
                  </w:r>
                </w:p>
              </w:tc>
              <w:tc>
                <w:tcPr>
                  <w:tcW w:w="750" w:type="pct"/>
                  <w:vAlign w:val="center"/>
                </w:tcPr>
                <w:p w14:paraId="097E241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长113</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、宽3.6</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、高1.8</w:t>
                  </w:r>
                  <w:r>
                    <w:rPr>
                      <w:color w:val="000000" w:themeColor="text1"/>
                      <w:sz w:val="21"/>
                      <w:szCs w:val="21"/>
                      <w:highlight w:val="none"/>
                      <w14:textFill>
                        <w14:solidFill>
                          <w14:schemeClr w14:val="tx1"/>
                        </w14:solidFill>
                      </w14:textFill>
                    </w:rPr>
                    <w:t>m</w:t>
                  </w:r>
                </w:p>
              </w:tc>
              <w:tc>
                <w:tcPr>
                  <w:tcW w:w="319" w:type="pct"/>
                  <w:vAlign w:val="center"/>
                </w:tcPr>
                <w:p w14:paraId="70833AA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6ADB8D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319" w:type="pct"/>
                  <w:vAlign w:val="center"/>
                </w:tcPr>
                <w:p w14:paraId="4CC0E57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焙烧</w:t>
                  </w:r>
                </w:p>
              </w:tc>
            </w:tr>
            <w:tr w14:paraId="35232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1711C9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17</w:t>
                  </w:r>
                </w:p>
              </w:tc>
              <w:tc>
                <w:tcPr>
                  <w:tcW w:w="243" w:type="pct"/>
                  <w:vMerge w:val="continue"/>
                  <w:vAlign w:val="center"/>
                </w:tcPr>
                <w:p w14:paraId="0FFEEB37">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6E30A205">
                  <w:pPr>
                    <w:jc w:val="center"/>
                    <w:rPr>
                      <w:color w:val="000000" w:themeColor="text1"/>
                      <w:sz w:val="21"/>
                      <w:szCs w:val="21"/>
                      <w:highlight w:val="none"/>
                      <w14:textFill>
                        <w14:solidFill>
                          <w14:schemeClr w14:val="tx1"/>
                        </w14:solidFill>
                      </w14:textFill>
                    </w:rPr>
                  </w:pPr>
                </w:p>
              </w:tc>
              <w:tc>
                <w:tcPr>
                  <w:tcW w:w="777" w:type="pct"/>
                  <w:vAlign w:val="center"/>
                </w:tcPr>
                <w:p w14:paraId="14D1AB4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风机</w:t>
                  </w:r>
                </w:p>
              </w:tc>
              <w:tc>
                <w:tcPr>
                  <w:tcW w:w="715" w:type="pct"/>
                  <w:vAlign w:val="center"/>
                </w:tcPr>
                <w:p w14:paraId="0701605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90</w:t>
                  </w:r>
                  <w:r>
                    <w:rPr>
                      <w:rFonts w:hint="eastAsia"/>
                      <w:color w:val="000000" w:themeColor="text1"/>
                      <w:sz w:val="21"/>
                      <w:szCs w:val="21"/>
                      <w:highlight w:val="none"/>
                      <w14:textFill>
                        <w14:solidFill>
                          <w14:schemeClr w14:val="tx1"/>
                        </w14:solidFill>
                      </w14:textFill>
                    </w:rPr>
                    <w:t>kW</w:t>
                  </w:r>
                </w:p>
              </w:tc>
              <w:tc>
                <w:tcPr>
                  <w:tcW w:w="750" w:type="pct"/>
                  <w:vAlign w:val="center"/>
                </w:tcPr>
                <w:p w14:paraId="691E35B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25E7767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73DD0D3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319" w:type="pct"/>
                  <w:vMerge w:val="restart"/>
                  <w:vAlign w:val="center"/>
                </w:tcPr>
                <w:p w14:paraId="2F4CA04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141863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DA831A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18</w:t>
                  </w:r>
                </w:p>
              </w:tc>
              <w:tc>
                <w:tcPr>
                  <w:tcW w:w="243" w:type="pct"/>
                  <w:vMerge w:val="continue"/>
                  <w:vAlign w:val="center"/>
                </w:tcPr>
                <w:p w14:paraId="7C92C58B">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33C185B8">
                  <w:pPr>
                    <w:jc w:val="center"/>
                    <w:rPr>
                      <w:color w:val="000000" w:themeColor="text1"/>
                      <w:sz w:val="21"/>
                      <w:szCs w:val="21"/>
                      <w:highlight w:val="none"/>
                      <w14:textFill>
                        <w14:solidFill>
                          <w14:schemeClr w14:val="tx1"/>
                        </w14:solidFill>
                      </w14:textFill>
                    </w:rPr>
                  </w:pPr>
                </w:p>
              </w:tc>
              <w:tc>
                <w:tcPr>
                  <w:tcW w:w="777" w:type="pct"/>
                  <w:vAlign w:val="center"/>
                </w:tcPr>
                <w:p w14:paraId="5F83786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风机</w:t>
                  </w:r>
                </w:p>
              </w:tc>
              <w:tc>
                <w:tcPr>
                  <w:tcW w:w="715" w:type="pct"/>
                  <w:vAlign w:val="center"/>
                </w:tcPr>
                <w:p w14:paraId="48550B4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165</w:t>
                  </w:r>
                  <w:r>
                    <w:rPr>
                      <w:rFonts w:hint="eastAsia"/>
                      <w:color w:val="000000" w:themeColor="text1"/>
                      <w:sz w:val="21"/>
                      <w:szCs w:val="21"/>
                      <w:highlight w:val="none"/>
                      <w14:textFill>
                        <w14:solidFill>
                          <w14:schemeClr w14:val="tx1"/>
                        </w14:solidFill>
                      </w14:textFill>
                    </w:rPr>
                    <w:t>kW</w:t>
                  </w:r>
                </w:p>
              </w:tc>
              <w:tc>
                <w:tcPr>
                  <w:tcW w:w="750" w:type="pct"/>
                  <w:vAlign w:val="center"/>
                </w:tcPr>
                <w:p w14:paraId="755CF78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7AE2F6F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20D486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319" w:type="pct"/>
                  <w:vMerge w:val="continue"/>
                  <w:vAlign w:val="center"/>
                </w:tcPr>
                <w:p w14:paraId="22A16150">
                  <w:pPr>
                    <w:jc w:val="center"/>
                    <w:rPr>
                      <w:color w:val="000000" w:themeColor="text1"/>
                      <w:sz w:val="21"/>
                      <w:szCs w:val="21"/>
                      <w:highlight w:val="none"/>
                      <w14:textFill>
                        <w14:solidFill>
                          <w14:schemeClr w14:val="tx1"/>
                        </w14:solidFill>
                      </w14:textFill>
                    </w:rPr>
                  </w:pPr>
                </w:p>
              </w:tc>
            </w:tr>
            <w:tr w14:paraId="573BB7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5F86339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19</w:t>
                  </w:r>
                </w:p>
              </w:tc>
              <w:tc>
                <w:tcPr>
                  <w:tcW w:w="243" w:type="pct"/>
                  <w:vMerge w:val="continue"/>
                  <w:vAlign w:val="center"/>
                </w:tcPr>
                <w:p w14:paraId="44C3D685">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5B9143E4">
                  <w:pPr>
                    <w:jc w:val="center"/>
                    <w:rPr>
                      <w:color w:val="000000" w:themeColor="text1"/>
                      <w:sz w:val="21"/>
                      <w:szCs w:val="21"/>
                      <w:highlight w:val="none"/>
                      <w14:textFill>
                        <w14:solidFill>
                          <w14:schemeClr w14:val="tx1"/>
                        </w14:solidFill>
                      </w14:textFill>
                    </w:rPr>
                  </w:pPr>
                </w:p>
              </w:tc>
              <w:tc>
                <w:tcPr>
                  <w:tcW w:w="777" w:type="pct"/>
                  <w:vAlign w:val="center"/>
                </w:tcPr>
                <w:p w14:paraId="0F28E86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电动摆渡车</w:t>
                  </w:r>
                </w:p>
              </w:tc>
              <w:tc>
                <w:tcPr>
                  <w:tcW w:w="715" w:type="pct"/>
                  <w:vAlign w:val="center"/>
                </w:tcPr>
                <w:p w14:paraId="0D5F4C5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ZXBD-400</w:t>
                  </w:r>
                </w:p>
              </w:tc>
              <w:tc>
                <w:tcPr>
                  <w:tcW w:w="750" w:type="pct"/>
                  <w:vAlign w:val="center"/>
                </w:tcPr>
                <w:p w14:paraId="04662E5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5129E79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D9EB7C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w:t>
                  </w:r>
                </w:p>
              </w:tc>
              <w:tc>
                <w:tcPr>
                  <w:tcW w:w="1319" w:type="pct"/>
                  <w:vAlign w:val="center"/>
                </w:tcPr>
                <w:p w14:paraId="0F23A41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6443D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5E9A8F6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w:t>
                  </w:r>
                </w:p>
              </w:tc>
              <w:tc>
                <w:tcPr>
                  <w:tcW w:w="243" w:type="pct"/>
                  <w:vMerge w:val="continue"/>
                  <w:vAlign w:val="center"/>
                </w:tcPr>
                <w:p w14:paraId="44161732">
                  <w:pPr>
                    <w:jc w:val="center"/>
                    <w:rPr>
                      <w:color w:val="000000" w:themeColor="text1"/>
                      <w:sz w:val="21"/>
                      <w:szCs w:val="21"/>
                      <w:highlight w:val="none"/>
                      <w14:textFill>
                        <w14:solidFill>
                          <w14:schemeClr w14:val="tx1"/>
                        </w14:solidFill>
                      </w14:textFill>
                    </w:rPr>
                  </w:pPr>
                </w:p>
              </w:tc>
              <w:tc>
                <w:tcPr>
                  <w:tcW w:w="230" w:type="pct"/>
                  <w:vMerge w:val="restart"/>
                  <w:vAlign w:val="center"/>
                </w:tcPr>
                <w:p w14:paraId="6A04DA3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其他</w:t>
                  </w:r>
                </w:p>
              </w:tc>
              <w:tc>
                <w:tcPr>
                  <w:tcW w:w="777" w:type="pct"/>
                  <w:vAlign w:val="center"/>
                </w:tcPr>
                <w:p w14:paraId="1F58012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皮带输送机</w:t>
                  </w:r>
                </w:p>
              </w:tc>
              <w:tc>
                <w:tcPr>
                  <w:tcW w:w="715" w:type="pct"/>
                  <w:vAlign w:val="center"/>
                </w:tcPr>
                <w:p w14:paraId="6C4DF69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B500</w:t>
                  </w:r>
                </w:p>
              </w:tc>
              <w:tc>
                <w:tcPr>
                  <w:tcW w:w="750" w:type="pct"/>
                  <w:vAlign w:val="center"/>
                </w:tcPr>
                <w:p w14:paraId="6A36723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3E40F59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7C3E59C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24</w:t>
                  </w:r>
                </w:p>
              </w:tc>
              <w:tc>
                <w:tcPr>
                  <w:tcW w:w="1319" w:type="pct"/>
                  <w:vAlign w:val="center"/>
                </w:tcPr>
                <w:p w14:paraId="2A2BB9E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2C4C7C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299C539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21</w:t>
                  </w:r>
                </w:p>
              </w:tc>
              <w:tc>
                <w:tcPr>
                  <w:tcW w:w="243" w:type="pct"/>
                  <w:vMerge w:val="continue"/>
                  <w:vAlign w:val="center"/>
                </w:tcPr>
                <w:p w14:paraId="4435E049">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07E6159D">
                  <w:pPr>
                    <w:jc w:val="center"/>
                    <w:rPr>
                      <w:color w:val="000000" w:themeColor="text1"/>
                      <w:sz w:val="21"/>
                      <w:szCs w:val="21"/>
                      <w:highlight w:val="none"/>
                      <w14:textFill>
                        <w14:solidFill>
                          <w14:schemeClr w14:val="tx1"/>
                        </w14:solidFill>
                      </w14:textFill>
                    </w:rPr>
                  </w:pPr>
                </w:p>
              </w:tc>
              <w:tc>
                <w:tcPr>
                  <w:tcW w:w="777" w:type="pct"/>
                  <w:vAlign w:val="center"/>
                </w:tcPr>
                <w:p w14:paraId="04BFD5F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电子皮带秤</w:t>
                  </w:r>
                </w:p>
              </w:tc>
              <w:tc>
                <w:tcPr>
                  <w:tcW w:w="715" w:type="pct"/>
                  <w:vAlign w:val="center"/>
                </w:tcPr>
                <w:p w14:paraId="2DFA2AD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4438826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48C331A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32B1660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3054224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558766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6535BF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23</w:t>
                  </w:r>
                </w:p>
              </w:tc>
              <w:tc>
                <w:tcPr>
                  <w:tcW w:w="243" w:type="pct"/>
                  <w:vMerge w:val="continue"/>
                  <w:vAlign w:val="center"/>
                </w:tcPr>
                <w:p w14:paraId="21FCB272">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6029A99B">
                  <w:pPr>
                    <w:jc w:val="center"/>
                    <w:rPr>
                      <w:color w:val="000000" w:themeColor="text1"/>
                      <w:sz w:val="21"/>
                      <w:szCs w:val="21"/>
                      <w:highlight w:val="none"/>
                      <w14:textFill>
                        <w14:solidFill>
                          <w14:schemeClr w14:val="tx1"/>
                        </w14:solidFill>
                      </w14:textFill>
                    </w:rPr>
                  </w:pPr>
                </w:p>
              </w:tc>
              <w:tc>
                <w:tcPr>
                  <w:tcW w:w="777" w:type="pct"/>
                  <w:vAlign w:val="center"/>
                </w:tcPr>
                <w:p w14:paraId="084367A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砂浆泵</w:t>
                  </w:r>
                </w:p>
              </w:tc>
              <w:tc>
                <w:tcPr>
                  <w:tcW w:w="715" w:type="pct"/>
                  <w:vAlign w:val="center"/>
                </w:tcPr>
                <w:p w14:paraId="2DF72BD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250UHB-ZK-DL-600</w:t>
                  </w:r>
                </w:p>
              </w:tc>
              <w:tc>
                <w:tcPr>
                  <w:tcW w:w="750" w:type="pct"/>
                  <w:vAlign w:val="center"/>
                </w:tcPr>
                <w:p w14:paraId="7B65DEA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0747A8B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105E88A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6283BE2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50594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2E45F2E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24</w:t>
                  </w:r>
                </w:p>
              </w:tc>
              <w:tc>
                <w:tcPr>
                  <w:tcW w:w="243" w:type="pct"/>
                  <w:vMerge w:val="continue"/>
                  <w:vAlign w:val="center"/>
                </w:tcPr>
                <w:p w14:paraId="57EF306F">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3C5B5CC2">
                  <w:pPr>
                    <w:jc w:val="center"/>
                    <w:rPr>
                      <w:color w:val="000000" w:themeColor="text1"/>
                      <w:sz w:val="21"/>
                      <w:szCs w:val="21"/>
                      <w:highlight w:val="none"/>
                      <w14:textFill>
                        <w14:solidFill>
                          <w14:schemeClr w14:val="tx1"/>
                        </w14:solidFill>
                      </w14:textFill>
                    </w:rPr>
                  </w:pPr>
                </w:p>
              </w:tc>
              <w:tc>
                <w:tcPr>
                  <w:tcW w:w="777" w:type="pct"/>
                  <w:vAlign w:val="center"/>
                </w:tcPr>
                <w:p w14:paraId="16ACE7A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装载机</w:t>
                  </w:r>
                </w:p>
              </w:tc>
              <w:tc>
                <w:tcPr>
                  <w:tcW w:w="715" w:type="pct"/>
                  <w:vAlign w:val="center"/>
                </w:tcPr>
                <w:p w14:paraId="1FD8ABB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SEM655D</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SEM632D</w:t>
                  </w:r>
                </w:p>
              </w:tc>
              <w:tc>
                <w:tcPr>
                  <w:tcW w:w="750" w:type="pct"/>
                  <w:vAlign w:val="center"/>
                </w:tcPr>
                <w:p w14:paraId="6F92A05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3T、3.5T</w:t>
                  </w:r>
                </w:p>
              </w:tc>
              <w:tc>
                <w:tcPr>
                  <w:tcW w:w="319" w:type="pct"/>
                  <w:vAlign w:val="center"/>
                </w:tcPr>
                <w:p w14:paraId="0D9B478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辆</w:t>
                  </w:r>
                </w:p>
              </w:tc>
              <w:tc>
                <w:tcPr>
                  <w:tcW w:w="398" w:type="pct"/>
                  <w:vAlign w:val="center"/>
                </w:tcPr>
                <w:p w14:paraId="184E25D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3F92368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国三，</w:t>
                  </w:r>
                  <w:r>
                    <w:rPr>
                      <w:rFonts w:hint="eastAsia"/>
                      <w:color w:val="000000" w:themeColor="text1"/>
                      <w:sz w:val="21"/>
                      <w:szCs w:val="21"/>
                      <w:highlight w:val="none"/>
                      <w14:textFill>
                        <w14:solidFill>
                          <w14:schemeClr w14:val="tx1"/>
                        </w14:solidFill>
                      </w14:textFill>
                    </w:rPr>
                    <w:t>已</w:t>
                  </w:r>
                  <w:r>
                    <w:rPr>
                      <w:color w:val="000000" w:themeColor="text1"/>
                      <w:sz w:val="21"/>
                      <w:szCs w:val="21"/>
                      <w:highlight w:val="none"/>
                      <w14:textFill>
                        <w14:solidFill>
                          <w14:schemeClr w14:val="tx1"/>
                        </w14:solidFill>
                      </w14:textFill>
                    </w:rPr>
                    <w:t>环保登记备案</w:t>
                  </w:r>
                </w:p>
              </w:tc>
            </w:tr>
            <w:tr w14:paraId="14AF08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8D59B7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25</w:t>
                  </w:r>
                </w:p>
              </w:tc>
              <w:tc>
                <w:tcPr>
                  <w:tcW w:w="243" w:type="pct"/>
                  <w:vMerge w:val="continue"/>
                  <w:vAlign w:val="center"/>
                </w:tcPr>
                <w:p w14:paraId="5998A75A">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606C1279">
                  <w:pPr>
                    <w:jc w:val="center"/>
                    <w:rPr>
                      <w:color w:val="000000" w:themeColor="text1"/>
                      <w:sz w:val="21"/>
                      <w:szCs w:val="21"/>
                      <w:highlight w:val="none"/>
                      <w14:textFill>
                        <w14:solidFill>
                          <w14:schemeClr w14:val="tx1"/>
                        </w14:solidFill>
                      </w14:textFill>
                    </w:rPr>
                  </w:pPr>
                </w:p>
              </w:tc>
              <w:tc>
                <w:tcPr>
                  <w:tcW w:w="777" w:type="pct"/>
                  <w:vAlign w:val="center"/>
                </w:tcPr>
                <w:p w14:paraId="5D64F54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洒水车</w:t>
                  </w:r>
                </w:p>
              </w:tc>
              <w:tc>
                <w:tcPr>
                  <w:tcW w:w="715" w:type="pct"/>
                  <w:vAlign w:val="center"/>
                </w:tcPr>
                <w:p w14:paraId="57847C4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750" w:type="pct"/>
                  <w:vAlign w:val="center"/>
                </w:tcPr>
                <w:p w14:paraId="1241868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2E1BDC0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5C351AB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3B3B279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国五标准</w:t>
                  </w:r>
                </w:p>
              </w:tc>
            </w:tr>
            <w:tr w14:paraId="57D0D0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470BF91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26</w:t>
                  </w:r>
                </w:p>
              </w:tc>
              <w:tc>
                <w:tcPr>
                  <w:tcW w:w="243" w:type="pct"/>
                  <w:vMerge w:val="restart"/>
                  <w:vAlign w:val="center"/>
                </w:tcPr>
                <w:p w14:paraId="6D6A765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环保设备</w:t>
                  </w:r>
                </w:p>
              </w:tc>
              <w:tc>
                <w:tcPr>
                  <w:tcW w:w="230" w:type="pct"/>
                  <w:vMerge w:val="restart"/>
                  <w:vAlign w:val="center"/>
                </w:tcPr>
                <w:p w14:paraId="0AE9171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除尘</w:t>
                  </w:r>
                </w:p>
              </w:tc>
              <w:tc>
                <w:tcPr>
                  <w:tcW w:w="777" w:type="pct"/>
                  <w:vAlign w:val="center"/>
                </w:tcPr>
                <w:p w14:paraId="3BF3EF1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脉冲布袋除尘器</w:t>
                  </w:r>
                </w:p>
              </w:tc>
              <w:tc>
                <w:tcPr>
                  <w:tcW w:w="715" w:type="pct"/>
                  <w:vAlign w:val="center"/>
                </w:tcPr>
                <w:p w14:paraId="3B3B5B3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PPC-96-6</w:t>
                  </w:r>
                </w:p>
              </w:tc>
              <w:tc>
                <w:tcPr>
                  <w:tcW w:w="750" w:type="pct"/>
                  <w:vAlign w:val="center"/>
                </w:tcPr>
                <w:p w14:paraId="7FD4C8A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50000m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/h、12000m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40BBBB2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套</w:t>
                  </w:r>
                </w:p>
              </w:tc>
              <w:tc>
                <w:tcPr>
                  <w:tcW w:w="398" w:type="pct"/>
                  <w:vAlign w:val="center"/>
                </w:tcPr>
                <w:p w14:paraId="75A1AED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1319" w:type="pct"/>
                  <w:vAlign w:val="center"/>
                </w:tcPr>
                <w:p w14:paraId="131641C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上料、破碎、筛分、搅拌、窑车吹扫工序</w:t>
                  </w:r>
                </w:p>
              </w:tc>
            </w:tr>
            <w:tr w14:paraId="28376B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3EB59E8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27</w:t>
                  </w:r>
                </w:p>
              </w:tc>
              <w:tc>
                <w:tcPr>
                  <w:tcW w:w="243" w:type="pct"/>
                  <w:vMerge w:val="continue"/>
                  <w:vAlign w:val="center"/>
                </w:tcPr>
                <w:p w14:paraId="6BB30744">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04910A22">
                  <w:pPr>
                    <w:jc w:val="center"/>
                    <w:rPr>
                      <w:color w:val="000000" w:themeColor="text1"/>
                      <w:sz w:val="21"/>
                      <w:szCs w:val="21"/>
                      <w:highlight w:val="none"/>
                      <w14:textFill>
                        <w14:solidFill>
                          <w14:schemeClr w14:val="tx1"/>
                        </w14:solidFill>
                      </w14:textFill>
                    </w:rPr>
                  </w:pPr>
                </w:p>
              </w:tc>
              <w:tc>
                <w:tcPr>
                  <w:tcW w:w="777" w:type="pct"/>
                  <w:vAlign w:val="center"/>
                </w:tcPr>
                <w:p w14:paraId="3D4B152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雾炮</w:t>
                  </w:r>
                </w:p>
              </w:tc>
              <w:tc>
                <w:tcPr>
                  <w:tcW w:w="715" w:type="pct"/>
                  <w:vAlign w:val="center"/>
                </w:tcPr>
                <w:p w14:paraId="4B7AA0B8">
                  <w:pPr>
                    <w:jc w:val="center"/>
                    <w:rPr>
                      <w:b/>
                      <w:color w:val="000000" w:themeColor="text1"/>
                      <w:spacing w:val="6"/>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032608D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522A71B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5FE8A12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2AB9577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抑尘</w:t>
                  </w:r>
                </w:p>
              </w:tc>
            </w:tr>
            <w:tr w14:paraId="61232E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1E453CC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28</w:t>
                  </w:r>
                </w:p>
              </w:tc>
              <w:tc>
                <w:tcPr>
                  <w:tcW w:w="243" w:type="pct"/>
                  <w:vMerge w:val="continue"/>
                  <w:vAlign w:val="center"/>
                </w:tcPr>
                <w:p w14:paraId="3D8E6A46">
                  <w:pPr>
                    <w:jc w:val="center"/>
                    <w:rPr>
                      <w:color w:val="000000" w:themeColor="text1"/>
                      <w:sz w:val="21"/>
                      <w:szCs w:val="21"/>
                      <w:highlight w:val="none"/>
                      <w14:textFill>
                        <w14:solidFill>
                          <w14:schemeClr w14:val="tx1"/>
                        </w14:solidFill>
                      </w14:textFill>
                    </w:rPr>
                  </w:pPr>
                </w:p>
              </w:tc>
              <w:tc>
                <w:tcPr>
                  <w:tcW w:w="230" w:type="pct"/>
                  <w:vMerge w:val="restart"/>
                  <w:vAlign w:val="center"/>
                </w:tcPr>
                <w:p w14:paraId="4A374FE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w:t>
                  </w:r>
                  <w:r>
                    <w:rPr>
                      <w:rFonts w:hint="eastAsia"/>
                      <w:color w:val="000000" w:themeColor="text1"/>
                      <w:sz w:val="21"/>
                      <w:szCs w:val="21"/>
                      <w:highlight w:val="none"/>
                      <w14:textFill>
                        <w14:solidFill>
                          <w14:schemeClr w14:val="tx1"/>
                        </w14:solidFill>
                      </w14:textFill>
                    </w:rPr>
                    <w:t>脱硝</w:t>
                  </w:r>
                  <w:r>
                    <w:rPr>
                      <w:color w:val="000000" w:themeColor="text1"/>
                      <w:sz w:val="21"/>
                      <w:szCs w:val="21"/>
                      <w:highlight w:val="none"/>
                      <w14:textFill>
                        <w14:solidFill>
                          <w14:schemeClr w14:val="tx1"/>
                        </w14:solidFill>
                      </w14:textFill>
                    </w:rPr>
                    <w:t>除尘设备</w:t>
                  </w:r>
                </w:p>
              </w:tc>
              <w:tc>
                <w:tcPr>
                  <w:tcW w:w="777" w:type="pct"/>
                  <w:vAlign w:val="center"/>
                </w:tcPr>
                <w:p w14:paraId="0A496B2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脱硫剂制备</w:t>
                  </w:r>
                </w:p>
                <w:p w14:paraId="688F228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系统</w:t>
                  </w:r>
                </w:p>
              </w:tc>
              <w:tc>
                <w:tcPr>
                  <w:tcW w:w="715" w:type="pct"/>
                  <w:vAlign w:val="center"/>
                </w:tcPr>
                <w:p w14:paraId="01A9515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1719FC2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1D17BBF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3E2332F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0F161FE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设置石灰粉仓、仓顶除尘器</w:t>
                  </w:r>
                </w:p>
              </w:tc>
            </w:tr>
            <w:tr w14:paraId="2FE88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10F6A2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29</w:t>
                  </w:r>
                </w:p>
              </w:tc>
              <w:tc>
                <w:tcPr>
                  <w:tcW w:w="243" w:type="pct"/>
                  <w:vMerge w:val="continue"/>
                  <w:vAlign w:val="center"/>
                </w:tcPr>
                <w:p w14:paraId="1E7A3D84">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23F23C90">
                  <w:pPr>
                    <w:jc w:val="center"/>
                    <w:rPr>
                      <w:color w:val="000000" w:themeColor="text1"/>
                      <w:sz w:val="21"/>
                      <w:szCs w:val="21"/>
                      <w:highlight w:val="none"/>
                      <w14:textFill>
                        <w14:solidFill>
                          <w14:schemeClr w14:val="tx1"/>
                        </w14:solidFill>
                      </w14:textFill>
                    </w:rPr>
                  </w:pPr>
                </w:p>
              </w:tc>
              <w:tc>
                <w:tcPr>
                  <w:tcW w:w="777" w:type="pct"/>
                  <w:vAlign w:val="center"/>
                </w:tcPr>
                <w:p w14:paraId="496444E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湿式电除尘器</w:t>
                  </w:r>
                </w:p>
              </w:tc>
              <w:tc>
                <w:tcPr>
                  <w:tcW w:w="715" w:type="pct"/>
                  <w:vAlign w:val="center"/>
                </w:tcPr>
                <w:p w14:paraId="054624F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Merge w:val="restart"/>
                  <w:vAlign w:val="center"/>
                </w:tcPr>
                <w:p w14:paraId="258A72D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170000m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57443D7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D410B8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63390A5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除尘</w:t>
                  </w:r>
                  <w:r>
                    <w:rPr>
                      <w:rFonts w:hint="eastAsia"/>
                      <w:color w:val="000000" w:themeColor="text1"/>
                      <w:sz w:val="21"/>
                      <w:szCs w:val="21"/>
                      <w:highlight w:val="none"/>
                      <w14:textFill>
                        <w14:solidFill>
                          <w14:schemeClr w14:val="tx1"/>
                        </w14:solidFill>
                      </w14:textFill>
                    </w:rPr>
                    <w:t>，1#、2#隧道窑共用，3#、4#隧道窑共用</w:t>
                  </w:r>
                </w:p>
              </w:tc>
            </w:tr>
            <w:tr w14:paraId="733D58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0119FE0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30</w:t>
                  </w:r>
                </w:p>
              </w:tc>
              <w:tc>
                <w:tcPr>
                  <w:tcW w:w="243" w:type="pct"/>
                  <w:vMerge w:val="continue"/>
                  <w:vAlign w:val="center"/>
                </w:tcPr>
                <w:p w14:paraId="1764EBAA">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66D35488">
                  <w:pPr>
                    <w:jc w:val="center"/>
                    <w:rPr>
                      <w:color w:val="000000" w:themeColor="text1"/>
                      <w:sz w:val="21"/>
                      <w:szCs w:val="21"/>
                      <w:highlight w:val="none"/>
                      <w14:textFill>
                        <w14:solidFill>
                          <w14:schemeClr w14:val="tx1"/>
                        </w14:solidFill>
                      </w14:textFill>
                    </w:rPr>
                  </w:pPr>
                </w:p>
              </w:tc>
              <w:tc>
                <w:tcPr>
                  <w:tcW w:w="777" w:type="pct"/>
                  <w:vAlign w:val="center"/>
                </w:tcPr>
                <w:p w14:paraId="5F41E2C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脱硫塔</w:t>
                  </w:r>
                </w:p>
              </w:tc>
              <w:tc>
                <w:tcPr>
                  <w:tcW w:w="715" w:type="pct"/>
                  <w:vAlign w:val="center"/>
                </w:tcPr>
                <w:p w14:paraId="65ACA61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Merge w:val="continue"/>
                  <w:vAlign w:val="center"/>
                </w:tcPr>
                <w:p w14:paraId="6BB55297">
                  <w:pPr>
                    <w:jc w:val="center"/>
                    <w:rPr>
                      <w:color w:val="000000" w:themeColor="text1"/>
                      <w:sz w:val="21"/>
                      <w:szCs w:val="21"/>
                      <w:highlight w:val="none"/>
                      <w14:textFill>
                        <w14:solidFill>
                          <w14:schemeClr w14:val="tx1"/>
                        </w14:solidFill>
                      </w14:textFill>
                    </w:rPr>
                  </w:pPr>
                </w:p>
              </w:tc>
              <w:tc>
                <w:tcPr>
                  <w:tcW w:w="319" w:type="pct"/>
                  <w:vAlign w:val="center"/>
                </w:tcPr>
                <w:p w14:paraId="4CB7963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座</w:t>
                  </w:r>
                </w:p>
              </w:tc>
              <w:tc>
                <w:tcPr>
                  <w:tcW w:w="398" w:type="pct"/>
                  <w:vAlign w:val="center"/>
                </w:tcPr>
                <w:p w14:paraId="25B7374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3513333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w:t>
                  </w:r>
                  <w:r>
                    <w:rPr>
                      <w:rFonts w:hint="eastAsia"/>
                      <w:color w:val="000000" w:themeColor="text1"/>
                      <w:sz w:val="21"/>
                      <w:szCs w:val="21"/>
                      <w:highlight w:val="none"/>
                      <w14:textFill>
                        <w14:solidFill>
                          <w14:schemeClr w14:val="tx1"/>
                        </w14:solidFill>
                      </w14:textFill>
                    </w:rPr>
                    <w:t>，1#、2#隧道窑共用，3#、4#隧道窑共用</w:t>
                  </w:r>
                </w:p>
              </w:tc>
            </w:tr>
            <w:tr w14:paraId="6616C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733887C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31</w:t>
                  </w:r>
                </w:p>
              </w:tc>
              <w:tc>
                <w:tcPr>
                  <w:tcW w:w="243" w:type="pct"/>
                  <w:vMerge w:val="continue"/>
                  <w:vAlign w:val="center"/>
                </w:tcPr>
                <w:p w14:paraId="13F1F817">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1242753B">
                  <w:pPr>
                    <w:jc w:val="center"/>
                    <w:rPr>
                      <w:color w:val="000000" w:themeColor="text1"/>
                      <w:sz w:val="21"/>
                      <w:szCs w:val="21"/>
                      <w:highlight w:val="none"/>
                      <w14:textFill>
                        <w14:solidFill>
                          <w14:schemeClr w14:val="tx1"/>
                        </w14:solidFill>
                      </w14:textFill>
                    </w:rPr>
                  </w:pPr>
                </w:p>
              </w:tc>
              <w:tc>
                <w:tcPr>
                  <w:tcW w:w="777" w:type="pct"/>
                  <w:tcBorders>
                    <w:bottom w:val="single" w:color="auto" w:sz="4" w:space="0"/>
                  </w:tcBorders>
                  <w:vAlign w:val="center"/>
                </w:tcPr>
                <w:p w14:paraId="284B347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低温氧化法脱硝系统</w:t>
                  </w:r>
                </w:p>
              </w:tc>
              <w:tc>
                <w:tcPr>
                  <w:tcW w:w="715" w:type="pct"/>
                  <w:vAlign w:val="center"/>
                </w:tcPr>
                <w:p w14:paraId="102D5C6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750" w:type="pct"/>
                  <w:vMerge w:val="continue"/>
                  <w:vAlign w:val="center"/>
                </w:tcPr>
                <w:p w14:paraId="2DB0DC63">
                  <w:pPr>
                    <w:jc w:val="center"/>
                    <w:rPr>
                      <w:color w:val="000000" w:themeColor="text1"/>
                      <w:sz w:val="21"/>
                      <w:szCs w:val="21"/>
                      <w:highlight w:val="none"/>
                      <w14:textFill>
                        <w14:solidFill>
                          <w14:schemeClr w14:val="tx1"/>
                        </w14:solidFill>
                      </w14:textFill>
                    </w:rPr>
                  </w:pPr>
                </w:p>
              </w:tc>
              <w:tc>
                <w:tcPr>
                  <w:tcW w:w="319" w:type="pct"/>
                  <w:vAlign w:val="center"/>
                </w:tcPr>
                <w:p w14:paraId="0306321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4B6EE28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19" w:type="pct"/>
                  <w:vAlign w:val="center"/>
                </w:tcPr>
                <w:p w14:paraId="7ED4B3D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脱硝，4条隧道窑共用1套</w:t>
                  </w:r>
                </w:p>
              </w:tc>
            </w:tr>
            <w:tr w14:paraId="561DB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5FF12CF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32</w:t>
                  </w:r>
                </w:p>
              </w:tc>
              <w:tc>
                <w:tcPr>
                  <w:tcW w:w="243" w:type="pct"/>
                  <w:vMerge w:val="continue"/>
                  <w:vAlign w:val="center"/>
                </w:tcPr>
                <w:p w14:paraId="6102A900">
                  <w:pPr>
                    <w:jc w:val="center"/>
                    <w:rPr>
                      <w:color w:val="000000" w:themeColor="text1"/>
                      <w:sz w:val="21"/>
                      <w:szCs w:val="21"/>
                      <w:highlight w:val="none"/>
                      <w14:textFill>
                        <w14:solidFill>
                          <w14:schemeClr w14:val="tx1"/>
                        </w14:solidFill>
                      </w14:textFill>
                    </w:rPr>
                  </w:pPr>
                </w:p>
              </w:tc>
              <w:tc>
                <w:tcPr>
                  <w:tcW w:w="230" w:type="pct"/>
                  <w:vMerge w:val="restart"/>
                  <w:vAlign w:val="center"/>
                </w:tcPr>
                <w:p w14:paraId="7926D7D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其他</w:t>
                  </w:r>
                </w:p>
              </w:tc>
              <w:tc>
                <w:tcPr>
                  <w:tcW w:w="777" w:type="pct"/>
                  <w:tcBorders>
                    <w:top w:val="single" w:color="auto" w:sz="4" w:space="0"/>
                  </w:tcBorders>
                  <w:vAlign w:val="center"/>
                </w:tcPr>
                <w:p w14:paraId="4EAF722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在线监测设备</w:t>
                  </w:r>
                </w:p>
              </w:tc>
              <w:tc>
                <w:tcPr>
                  <w:tcW w:w="715" w:type="pct"/>
                  <w:vAlign w:val="center"/>
                </w:tcPr>
                <w:p w14:paraId="70928A0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EM-5</w:t>
                  </w:r>
                </w:p>
              </w:tc>
              <w:tc>
                <w:tcPr>
                  <w:tcW w:w="750" w:type="pct"/>
                  <w:vAlign w:val="center"/>
                </w:tcPr>
                <w:p w14:paraId="3E4A9D5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6C94F6A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0C7165B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514D1BC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w:t>
                  </w:r>
                  <w:r>
                    <w:rPr>
                      <w:rFonts w:hint="eastAsia"/>
                      <w:color w:val="000000" w:themeColor="text1"/>
                      <w:sz w:val="21"/>
                      <w:szCs w:val="21"/>
                      <w:highlight w:val="none"/>
                      <w14:textFill>
                        <w14:solidFill>
                          <w14:schemeClr w14:val="tx1"/>
                        </w14:solidFill>
                      </w14:textFill>
                    </w:rPr>
                    <w:t>脱硝</w:t>
                  </w:r>
                  <w:r>
                    <w:rPr>
                      <w:color w:val="000000" w:themeColor="text1"/>
                      <w:sz w:val="21"/>
                      <w:szCs w:val="21"/>
                      <w:highlight w:val="none"/>
                      <w14:textFill>
                        <w14:solidFill>
                          <w14:schemeClr w14:val="tx1"/>
                        </w14:solidFill>
                      </w14:textFill>
                    </w:rPr>
                    <w:t>除尘排气筒，炉窑车间门口、厂界</w:t>
                  </w:r>
                </w:p>
              </w:tc>
            </w:tr>
            <w:tr w14:paraId="201D30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43" w:type="pct"/>
                  <w:vAlign w:val="center"/>
                </w:tcPr>
                <w:p w14:paraId="49FD788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33</w:t>
                  </w:r>
                </w:p>
              </w:tc>
              <w:tc>
                <w:tcPr>
                  <w:tcW w:w="243" w:type="pct"/>
                  <w:vMerge w:val="continue"/>
                  <w:vAlign w:val="center"/>
                </w:tcPr>
                <w:p w14:paraId="5E89E88E">
                  <w:pPr>
                    <w:jc w:val="center"/>
                    <w:rPr>
                      <w:color w:val="000000" w:themeColor="text1"/>
                      <w:sz w:val="21"/>
                      <w:szCs w:val="21"/>
                      <w:highlight w:val="none"/>
                      <w14:textFill>
                        <w14:solidFill>
                          <w14:schemeClr w14:val="tx1"/>
                        </w14:solidFill>
                      </w14:textFill>
                    </w:rPr>
                  </w:pPr>
                </w:p>
              </w:tc>
              <w:tc>
                <w:tcPr>
                  <w:tcW w:w="230" w:type="pct"/>
                  <w:vMerge w:val="continue"/>
                  <w:vAlign w:val="center"/>
                </w:tcPr>
                <w:p w14:paraId="7BCCE853">
                  <w:pPr>
                    <w:jc w:val="center"/>
                    <w:rPr>
                      <w:color w:val="000000" w:themeColor="text1"/>
                      <w:sz w:val="21"/>
                      <w:szCs w:val="21"/>
                      <w:highlight w:val="none"/>
                      <w14:textFill>
                        <w14:solidFill>
                          <w14:schemeClr w14:val="tx1"/>
                        </w14:solidFill>
                      </w14:textFill>
                    </w:rPr>
                  </w:pPr>
                </w:p>
              </w:tc>
              <w:tc>
                <w:tcPr>
                  <w:tcW w:w="777" w:type="pct"/>
                  <w:vAlign w:val="center"/>
                </w:tcPr>
                <w:p w14:paraId="4240FC3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活性炭吸附箱</w:t>
                  </w:r>
                </w:p>
              </w:tc>
              <w:tc>
                <w:tcPr>
                  <w:tcW w:w="715" w:type="pct"/>
                  <w:vAlign w:val="center"/>
                </w:tcPr>
                <w:p w14:paraId="26A941F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0E14E8A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78E7864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2319BD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19" w:type="pct"/>
                  <w:vAlign w:val="center"/>
                </w:tcPr>
                <w:p w14:paraId="5F8691D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污泥储存棚除臭装置</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隧道窑停产时</w:t>
                  </w:r>
                  <w:r>
                    <w:rPr>
                      <w:rFonts w:hint="eastAsia"/>
                      <w:color w:val="000000" w:themeColor="text1"/>
                      <w:sz w:val="21"/>
                      <w:szCs w:val="21"/>
                      <w:highlight w:val="none"/>
                      <w14:textFill>
                        <w14:solidFill>
                          <w14:schemeClr w14:val="tx1"/>
                        </w14:solidFill>
                      </w14:textFill>
                    </w:rPr>
                    <w:t>启用</w:t>
                  </w:r>
                </w:p>
              </w:tc>
            </w:tr>
          </w:tbl>
          <w:p w14:paraId="5C549D30">
            <w:pPr>
              <w:spacing w:line="480" w:lineRule="exact"/>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3、改扩建项目概况</w:t>
            </w:r>
          </w:p>
          <w:p w14:paraId="3FE88286">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（1）建设内容和规模：</w:t>
            </w:r>
            <w:r>
              <w:rPr>
                <w:rFonts w:hint="eastAsia"/>
                <w:color w:val="000000" w:themeColor="text1"/>
                <w:sz w:val="24"/>
                <w:highlight w:val="none"/>
                <w14:textFill>
                  <w14:solidFill>
                    <w14:schemeClr w14:val="tx1"/>
                  </w14:solidFill>
                </w14:textFill>
              </w:rPr>
              <w:t>本项目位于滦县翼翔新型建材有限公司现有厂区，不新增占地。利用现有生产车间，对现有生产线部分生产设备进行更换</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增加</w:t>
            </w:r>
            <w:r>
              <w:rPr>
                <w:rFonts w:hint="eastAsia"/>
                <w:color w:val="000000" w:themeColor="text1"/>
                <w:sz w:val="24"/>
                <w:highlight w:val="none"/>
                <w14:textFill>
                  <w14:solidFill>
                    <w14:schemeClr w14:val="tx1"/>
                  </w14:solidFill>
                </w14:textFill>
              </w:rPr>
              <w:t>隧道焙烧窑</w:t>
            </w:r>
            <w:r>
              <w:rPr>
                <w:rFonts w:hint="eastAsia"/>
                <w:color w:val="000000" w:themeColor="text1"/>
                <w:sz w:val="24"/>
                <w:highlight w:val="none"/>
                <w:lang w:val="en-US" w:eastAsia="zh-CN"/>
                <w14:textFill>
                  <w14:solidFill>
                    <w14:schemeClr w14:val="tx1"/>
                  </w14:solidFill>
                </w14:textFill>
              </w:rPr>
              <w:t>的处理能力，通过延长作业时间</w:t>
            </w:r>
            <w:r>
              <w:rPr>
                <w:rFonts w:hint="eastAsia"/>
                <w:color w:val="000000" w:themeColor="text1"/>
                <w:sz w:val="24"/>
                <w:highlight w:val="none"/>
                <w14:textFill>
                  <w14:solidFill>
                    <w14:schemeClr w14:val="tx1"/>
                  </w14:solidFill>
                </w14:textFill>
              </w:rPr>
              <w:t>以提高产能，同时利用部分现有设备设施。增加原料种类，主要为炉渣和干排淤泥。项目建成后</w:t>
            </w:r>
            <w:r>
              <w:rPr>
                <w:rFonts w:hint="eastAsia"/>
                <w:color w:val="000000" w:themeColor="text1"/>
                <w:sz w:val="24"/>
                <w:highlight w:val="none"/>
                <w:lang w:val="en-US" w:eastAsia="zh-CN"/>
                <w14:textFill>
                  <w14:solidFill>
                    <w14:schemeClr w14:val="tx1"/>
                  </w14:solidFill>
                </w14:textFill>
              </w:rPr>
              <w:t>2条生产线</w:t>
            </w:r>
            <w:r>
              <w:rPr>
                <w:rFonts w:hint="eastAsia"/>
                <w:color w:val="000000" w:themeColor="text1"/>
                <w:sz w:val="24"/>
                <w:highlight w:val="none"/>
                <w14:textFill>
                  <w14:solidFill>
                    <w14:schemeClr w14:val="tx1"/>
                  </w14:solidFill>
                </w14:textFill>
              </w:rPr>
              <w:t>年产</w:t>
            </w: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2000万块烧结页岩砖</w:t>
            </w:r>
            <w:r>
              <w:rPr>
                <w:rFonts w:hint="eastAsia"/>
                <w:color w:val="000000" w:themeColor="text1"/>
                <w:sz w:val="24"/>
                <w:highlight w:val="none"/>
                <w:lang w:eastAsia="zh-CN"/>
                <w14:textFill>
                  <w14:solidFill>
                    <w14:schemeClr w14:val="tx1"/>
                  </w14:solidFill>
                </w14:textFill>
              </w:rPr>
              <w:t>，折标砖</w:t>
            </w:r>
            <w:r>
              <w:rPr>
                <w:rFonts w:hint="eastAsia"/>
                <w:color w:val="000000" w:themeColor="text1"/>
                <w:sz w:val="24"/>
                <w:highlight w:val="none"/>
                <w:lang w:val="en-US" w:eastAsia="zh-CN"/>
                <w14:textFill>
                  <w14:solidFill>
                    <w14:schemeClr w14:val="tx1"/>
                  </w14:solidFill>
                </w14:textFill>
              </w:rPr>
              <w:t>40115</w:t>
            </w:r>
            <w:r>
              <w:rPr>
                <w:rFonts w:hint="eastAsia"/>
                <w:color w:val="000000" w:themeColor="text1"/>
                <w:sz w:val="24"/>
                <w:highlight w:val="none"/>
                <w14:textFill>
                  <w14:solidFill>
                    <w14:schemeClr w14:val="tx1"/>
                  </w14:solidFill>
                </w14:textFill>
              </w:rPr>
              <w:t>万块。</w:t>
            </w:r>
          </w:p>
          <w:p w14:paraId="24EBC29E">
            <w:pPr>
              <w:pStyle w:val="48"/>
              <w:spacing w:line="480" w:lineRule="exact"/>
              <w:ind w:firstLine="480" w:firstLineChars="200"/>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（2）</w:t>
            </w:r>
            <w:r>
              <w:rPr>
                <w:rFonts w:ascii="Times New Roman"/>
                <w:color w:val="000000" w:themeColor="text1"/>
                <w:kern w:val="0"/>
                <w:highlight w:val="none"/>
                <w14:textFill>
                  <w14:solidFill>
                    <w14:schemeClr w14:val="tx1"/>
                  </w14:solidFill>
                </w14:textFill>
              </w:rPr>
              <w:t>工作制度：</w:t>
            </w:r>
            <w:r>
              <w:rPr>
                <w:rFonts w:ascii="Times New Roman"/>
                <w:color w:val="000000" w:themeColor="text1"/>
                <w:highlight w:val="none"/>
                <w14:textFill>
                  <w14:solidFill>
                    <w14:schemeClr w14:val="tx1"/>
                  </w14:solidFill>
                </w14:textFill>
              </w:rPr>
              <w:t>年工作</w:t>
            </w:r>
            <w:r>
              <w:rPr>
                <w:rFonts w:hint="eastAsia" w:ascii="Times New Roman"/>
                <w:color w:val="000000" w:themeColor="text1"/>
                <w:highlight w:val="none"/>
                <w14:textFill>
                  <w14:solidFill>
                    <w14:schemeClr w14:val="tx1"/>
                  </w14:solidFill>
                </w14:textFill>
              </w:rPr>
              <w:t>330</w:t>
            </w:r>
            <w:r>
              <w:rPr>
                <w:rFonts w:ascii="Times New Roman"/>
                <w:color w:val="000000" w:themeColor="text1"/>
                <w:highlight w:val="none"/>
                <w14:textFill>
                  <w14:solidFill>
                    <w14:schemeClr w14:val="tx1"/>
                  </w14:solidFill>
                </w14:textFill>
              </w:rPr>
              <w:t>天</w:t>
            </w:r>
            <w:r>
              <w:rPr>
                <w:rFonts w:hint="eastAsia" w:ascii="Times New Roman"/>
                <w:color w:val="000000" w:themeColor="text1"/>
                <w:highlight w:val="none"/>
                <w14:textFill>
                  <w14:solidFill>
                    <w14:schemeClr w14:val="tx1"/>
                  </w14:solidFill>
                </w14:textFill>
              </w:rPr>
              <w:t>，</w:t>
            </w:r>
            <w:r>
              <w:rPr>
                <w:rFonts w:ascii="Times New Roman"/>
                <w:color w:val="000000" w:themeColor="text1"/>
                <w:kern w:val="0"/>
                <w:highlight w:val="none"/>
                <w14:textFill>
                  <w14:solidFill>
                    <w14:schemeClr w14:val="tx1"/>
                  </w14:solidFill>
                </w14:textFill>
              </w:rPr>
              <w:t>原料破碎、陈化、成型、码坯工段每天</w:t>
            </w:r>
            <w:r>
              <w:rPr>
                <w:rFonts w:hint="eastAsia" w:ascii="Times New Roman"/>
                <w:color w:val="000000" w:themeColor="text1"/>
                <w:kern w:val="0"/>
                <w:highlight w:val="none"/>
                <w:lang w:val="en-US" w:eastAsia="zh-CN"/>
                <w14:textFill>
                  <w14:solidFill>
                    <w14:schemeClr w14:val="tx1"/>
                  </w14:solidFill>
                </w14:textFill>
              </w:rPr>
              <w:t>2</w:t>
            </w:r>
            <w:r>
              <w:rPr>
                <w:rFonts w:ascii="Times New Roman"/>
                <w:color w:val="000000" w:themeColor="text1"/>
                <w:kern w:val="0"/>
                <w:highlight w:val="none"/>
                <w14:textFill>
                  <w14:solidFill>
                    <w14:schemeClr w14:val="tx1"/>
                  </w14:solidFill>
                </w14:textFill>
              </w:rPr>
              <w:t>班，每班8小时，干燥及焙烧工序每天3班</w:t>
            </w:r>
            <w:r>
              <w:rPr>
                <w:rFonts w:hint="eastAsia" w:ascii="Times New Roman"/>
                <w:color w:val="000000" w:themeColor="text1"/>
                <w:highlight w:val="none"/>
                <w14:textFill>
                  <w14:solidFill>
                    <w14:schemeClr w14:val="tx1"/>
                  </w14:solidFill>
                </w14:textFill>
              </w:rPr>
              <w:t>，每班8</w:t>
            </w:r>
            <w:r>
              <w:rPr>
                <w:rFonts w:ascii="Times New Roman"/>
                <w:color w:val="000000" w:themeColor="text1"/>
                <w:highlight w:val="none"/>
                <w14:textFill>
                  <w14:solidFill>
                    <w14:schemeClr w14:val="tx1"/>
                  </w14:solidFill>
                </w14:textFill>
              </w:rPr>
              <w:t>小时</w:t>
            </w:r>
            <w:r>
              <w:rPr>
                <w:rFonts w:hint="eastAsia" w:ascii="Times New Roman"/>
                <w:color w:val="000000" w:themeColor="text1"/>
                <w:highlight w:val="none"/>
                <w14:textFill>
                  <w14:solidFill>
                    <w14:schemeClr w14:val="tx1"/>
                  </w14:solidFill>
                </w14:textFill>
              </w:rPr>
              <w:t>。</w:t>
            </w:r>
          </w:p>
          <w:p w14:paraId="6AFD17FB">
            <w:pPr>
              <w:pStyle w:val="48"/>
              <w:spacing w:line="480" w:lineRule="exact"/>
              <w:ind w:firstLine="480" w:firstLineChars="200"/>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（3）劳动定员：</w:t>
            </w:r>
            <w:r>
              <w:rPr>
                <w:rFonts w:hint="eastAsia" w:ascii="Times New Roman"/>
                <w:color w:val="000000" w:themeColor="text1"/>
                <w:highlight w:val="none"/>
                <w14:textFill>
                  <w14:solidFill>
                    <w14:schemeClr w14:val="tx1"/>
                  </w14:solidFill>
                </w14:textFill>
              </w:rPr>
              <w:t>本项目不新增劳动定员，全厂现有劳动定员80人。</w:t>
            </w:r>
          </w:p>
          <w:p w14:paraId="0C70D59D">
            <w:pPr>
              <w:autoSpaceDE w:val="0"/>
              <w:autoSpaceDN w:val="0"/>
              <w:adjustRightInd w:val="0"/>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w:t>
            </w:r>
            <w:r>
              <w:rPr>
                <w:color w:val="000000" w:themeColor="text1"/>
                <w:sz w:val="24"/>
                <w:highlight w:val="none"/>
                <w14:textFill>
                  <w14:solidFill>
                    <w14:schemeClr w14:val="tx1"/>
                  </w14:solidFill>
                </w14:textFill>
              </w:rPr>
              <w:t>建设内容一览表见表2-</w:t>
            </w:r>
            <w:r>
              <w:rPr>
                <w:rFonts w:hint="eastAsia"/>
                <w:color w:val="000000" w:themeColor="text1"/>
                <w:sz w:val="24"/>
                <w:highlight w:val="none"/>
                <w:lang w:val="en-US" w:eastAsia="zh-CN"/>
                <w14:textFill>
                  <w14:solidFill>
                    <w14:schemeClr w14:val="tx1"/>
                  </w14:solidFill>
                </w14:textFill>
              </w:rPr>
              <w:t>7</w:t>
            </w:r>
            <w:r>
              <w:rPr>
                <w:color w:val="000000" w:themeColor="text1"/>
                <w:sz w:val="24"/>
                <w:highlight w:val="none"/>
                <w14:textFill>
                  <w14:solidFill>
                    <w14:schemeClr w14:val="tx1"/>
                  </w14:solidFill>
                </w14:textFill>
              </w:rPr>
              <w:t>。</w:t>
            </w:r>
          </w:p>
          <w:p w14:paraId="6517F1BE">
            <w:pPr>
              <w:spacing w:line="480" w:lineRule="exact"/>
              <w:ind w:firstLine="1528" w:firstLineChars="637"/>
              <w:rPr>
                <w:rFonts w:ascii="黑体" w:hAnsi="黑体" w:eastAsia="黑体"/>
                <w:color w:val="000000" w:themeColor="text1"/>
                <w:kern w:val="0"/>
                <w:sz w:val="24"/>
                <w:highlight w:val="none"/>
                <w14:textFill>
                  <w14:solidFill>
                    <w14:schemeClr w14:val="tx1"/>
                  </w14:solidFill>
                </w14:textFill>
              </w:rPr>
            </w:pPr>
            <w:r>
              <w:rPr>
                <w:rFonts w:ascii="黑体" w:hAnsi="黑体" w:eastAsia="黑体"/>
                <w:color w:val="000000" w:themeColor="text1"/>
                <w:kern w:val="0"/>
                <w:sz w:val="24"/>
                <w:highlight w:val="none"/>
                <w14:textFill>
                  <w14:solidFill>
                    <w14:schemeClr w14:val="tx1"/>
                  </w14:solidFill>
                </w14:textFill>
              </w:rPr>
              <w:t>表2-</w:t>
            </w:r>
            <w:r>
              <w:rPr>
                <w:rFonts w:hint="eastAsia" w:ascii="黑体" w:hAnsi="黑体" w:eastAsia="黑体"/>
                <w:color w:val="000000" w:themeColor="text1"/>
                <w:kern w:val="0"/>
                <w:sz w:val="24"/>
                <w:highlight w:val="none"/>
                <w:lang w:val="en-US" w:eastAsia="zh-CN"/>
                <w14:textFill>
                  <w14:solidFill>
                    <w14:schemeClr w14:val="tx1"/>
                  </w14:solidFill>
                </w14:textFill>
              </w:rPr>
              <w:t>7</w:t>
            </w:r>
            <w:r>
              <w:rPr>
                <w:rFonts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14:textFill>
                  <w14:solidFill>
                    <w14:schemeClr w14:val="tx1"/>
                  </w14:solidFill>
                </w14:textFill>
              </w:rPr>
              <w:t xml:space="preserve">       </w:t>
            </w:r>
            <w:r>
              <w:rPr>
                <w:rFonts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14:textFill>
                  <w14:solidFill>
                    <w14:schemeClr w14:val="tx1"/>
                  </w14:solidFill>
                </w14:textFill>
              </w:rPr>
              <w:t xml:space="preserve"> 本项目建设内容</w:t>
            </w:r>
            <w:r>
              <w:rPr>
                <w:rFonts w:ascii="黑体" w:hAnsi="黑体" w:eastAsia="黑体"/>
                <w:color w:val="000000" w:themeColor="text1"/>
                <w:kern w:val="0"/>
                <w:sz w:val="24"/>
                <w:highlight w:val="none"/>
                <w14:textFill>
                  <w14:solidFill>
                    <w14:schemeClr w14:val="tx1"/>
                  </w14:solidFill>
                </w14:textFill>
              </w:rPr>
              <w:t>一览表</w:t>
            </w:r>
          </w:p>
          <w:tbl>
            <w:tblPr>
              <w:tblStyle w:val="24"/>
              <w:tblW w:w="88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11"/>
              <w:gridCol w:w="384"/>
              <w:gridCol w:w="274"/>
              <w:gridCol w:w="692"/>
              <w:gridCol w:w="6260"/>
              <w:gridCol w:w="620"/>
            </w:tblGrid>
            <w:tr w14:paraId="1A816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Align w:val="center"/>
                </w:tcPr>
                <w:p w14:paraId="1B9EF5CC">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w:t>
                  </w:r>
                </w:p>
              </w:tc>
              <w:tc>
                <w:tcPr>
                  <w:tcW w:w="1350" w:type="dxa"/>
                  <w:gridSpan w:val="3"/>
                  <w:vAlign w:val="center"/>
                </w:tcPr>
                <w:p w14:paraId="01156C69">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工程名称</w:t>
                  </w:r>
                </w:p>
              </w:tc>
              <w:tc>
                <w:tcPr>
                  <w:tcW w:w="6260" w:type="dxa"/>
                  <w:vAlign w:val="center"/>
                </w:tcPr>
                <w:p w14:paraId="78445684">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工程内容</w:t>
                  </w:r>
                </w:p>
              </w:tc>
              <w:tc>
                <w:tcPr>
                  <w:tcW w:w="620" w:type="dxa"/>
                  <w:vAlign w:val="center"/>
                </w:tcPr>
                <w:p w14:paraId="7E94EFA9">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4382D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restart"/>
                  <w:vAlign w:val="center"/>
                </w:tcPr>
                <w:p w14:paraId="63AF70D4">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主体</w:t>
                  </w:r>
                </w:p>
                <w:p w14:paraId="5215EC3A">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350" w:type="dxa"/>
                  <w:gridSpan w:val="3"/>
                  <w:vAlign w:val="center"/>
                </w:tcPr>
                <w:p w14:paraId="2FD2C9B5">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破碎车间</w:t>
                  </w:r>
                </w:p>
              </w:tc>
              <w:tc>
                <w:tcPr>
                  <w:tcW w:w="6260" w:type="dxa"/>
                  <w:vAlign w:val="center"/>
                </w:tcPr>
                <w:p w14:paraId="22872D37">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主要为原料制备工段：破碎生产线，主要包括颚式破碎机、箱式给料机、板式给料机、锤式破碎机、圆滚筛、高速细碎对辊机、双轴搅拌机、双轴搅拌挤出机、皮带输送机</w:t>
                  </w:r>
                  <w:r>
                    <w:rPr>
                      <w:rFonts w:hint="eastAsia"/>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本次改扩建更换现有破碎车间生产设备，新增1台颚破，提高生产能力</w:t>
                  </w:r>
                </w:p>
              </w:tc>
              <w:tc>
                <w:tcPr>
                  <w:tcW w:w="620" w:type="dxa"/>
                  <w:vAlign w:val="center"/>
                </w:tcPr>
                <w:p w14:paraId="57E75921">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更换、新增设备</w:t>
                  </w:r>
                </w:p>
              </w:tc>
            </w:tr>
            <w:tr w14:paraId="3F77D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3BC4D51A">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31E1CF34">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陈化库</w:t>
                  </w:r>
                </w:p>
              </w:tc>
              <w:tc>
                <w:tcPr>
                  <w:tcW w:w="6260" w:type="dxa"/>
                  <w:vAlign w:val="center"/>
                </w:tcPr>
                <w:p w14:paraId="48CB5525">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主要为物料陈化工段：陈化布料皮带、多斗挖土机等</w:t>
                  </w:r>
                  <w:r>
                    <w:rPr>
                      <w:rFonts w:hint="eastAsia"/>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本次改扩建更换现有陈化库生产设备</w:t>
                  </w:r>
                </w:p>
              </w:tc>
              <w:tc>
                <w:tcPr>
                  <w:tcW w:w="620" w:type="dxa"/>
                  <w:vAlign w:val="center"/>
                </w:tcPr>
                <w:p w14:paraId="3DB609AC">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更换设备</w:t>
                  </w:r>
                </w:p>
              </w:tc>
            </w:tr>
            <w:tr w14:paraId="6C85A1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69648C16">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7ACE35FC">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制坯车间</w:t>
                  </w:r>
                </w:p>
              </w:tc>
              <w:tc>
                <w:tcPr>
                  <w:tcW w:w="6260" w:type="dxa"/>
                  <w:vAlign w:val="center"/>
                </w:tcPr>
                <w:p w14:paraId="0CA83D8D">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主要为成型与切坯工段：真空挤出机、自动切条切坯机、自动码坯机、皮带输送机等</w:t>
                  </w:r>
                  <w:r>
                    <w:rPr>
                      <w:rFonts w:hint="eastAsia"/>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本次改扩建更换现有</w:t>
                  </w:r>
                  <w:r>
                    <w:rPr>
                      <w:b/>
                      <w:color w:val="000000" w:themeColor="text1"/>
                      <w:szCs w:val="21"/>
                      <w:highlight w:val="none"/>
                      <w14:textFill>
                        <w14:solidFill>
                          <w14:schemeClr w14:val="tx1"/>
                        </w14:solidFill>
                      </w14:textFill>
                    </w:rPr>
                    <w:t>制坯车间</w:t>
                  </w:r>
                  <w:r>
                    <w:rPr>
                      <w:rFonts w:hint="eastAsia"/>
                      <w:b/>
                      <w:color w:val="000000" w:themeColor="text1"/>
                      <w:szCs w:val="21"/>
                      <w:highlight w:val="none"/>
                      <w14:textFill>
                        <w14:solidFill>
                          <w14:schemeClr w14:val="tx1"/>
                        </w14:solidFill>
                      </w14:textFill>
                    </w:rPr>
                    <w:t>生产设备</w:t>
                  </w:r>
                </w:p>
              </w:tc>
              <w:tc>
                <w:tcPr>
                  <w:tcW w:w="620" w:type="dxa"/>
                  <w:vAlign w:val="center"/>
                </w:tcPr>
                <w:p w14:paraId="20F83A98">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更换设备</w:t>
                  </w:r>
                </w:p>
              </w:tc>
            </w:tr>
            <w:tr w14:paraId="3F39D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38938886">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5B1F7BF1">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焙烧、</w:t>
                  </w:r>
                  <w:r>
                    <w:rPr>
                      <w:color w:val="000000" w:themeColor="text1"/>
                      <w:szCs w:val="21"/>
                      <w:highlight w:val="none"/>
                      <w14:textFill>
                        <w14:solidFill>
                          <w14:schemeClr w14:val="tx1"/>
                        </w14:solidFill>
                      </w14:textFill>
                    </w:rPr>
                    <w:t>烘干车间</w:t>
                  </w:r>
                </w:p>
              </w:tc>
              <w:tc>
                <w:tcPr>
                  <w:tcW w:w="6260" w:type="dxa"/>
                  <w:vAlign w:val="center"/>
                </w:tcPr>
                <w:p w14:paraId="09DEA70F">
                  <w:pPr>
                    <w:adjustRightInd w:val="0"/>
                    <w:snapToGrid w:val="0"/>
                    <w:spacing w:line="260" w:lineRule="exact"/>
                    <w:jc w:val="left"/>
                    <w:rPr>
                      <w:rFonts w:hint="default" w:eastAsia="宋体"/>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主要为烧结与烘干工段：4座隧道焙烧窑、4座隧道型干燥室，单座</w:t>
                  </w:r>
                  <w:r>
                    <w:rPr>
                      <w:rFonts w:hint="eastAsia"/>
                      <w:color w:val="000000" w:themeColor="text1"/>
                      <w:szCs w:val="21"/>
                      <w:highlight w:val="none"/>
                      <w:lang w:val="en-US" w:eastAsia="zh-CN"/>
                      <w14:textFill>
                        <w14:solidFill>
                          <w14:schemeClr w14:val="tx1"/>
                        </w14:solidFill>
                      </w14:textFill>
                    </w:rPr>
                    <w:t>尺寸</w:t>
                  </w:r>
                  <w:r>
                    <w:rPr>
                      <w:color w:val="000000" w:themeColor="text1"/>
                      <w:szCs w:val="21"/>
                      <w:highlight w:val="none"/>
                      <w14:textFill>
                        <w14:solidFill>
                          <w14:schemeClr w14:val="tx1"/>
                        </w14:solidFill>
                      </w14:textFill>
                    </w:rPr>
                    <w:t>均</w:t>
                  </w:r>
                  <w:r>
                    <w:rPr>
                      <w:rFonts w:hint="eastAsia"/>
                      <w:color w:val="000000" w:themeColor="text1"/>
                      <w:szCs w:val="21"/>
                      <w:highlight w:val="none"/>
                      <w:lang w:val="en-US" w:eastAsia="zh-CN"/>
                      <w14:textFill>
                        <w14:solidFill>
                          <w14:schemeClr w14:val="tx1"/>
                        </w14:solidFill>
                      </w14:textFill>
                    </w:rPr>
                    <w:t>提升至</w:t>
                  </w:r>
                  <w:r>
                    <w:rPr>
                      <w:color w:val="000000" w:themeColor="text1"/>
                      <w:szCs w:val="21"/>
                      <w:highlight w:val="none"/>
                      <w14:textFill>
                        <w14:solidFill>
                          <w14:schemeClr w14:val="tx1"/>
                        </w14:solidFill>
                      </w14:textFill>
                    </w:rPr>
                    <w:t>长113m×宽</w:t>
                  </w:r>
                  <w:r>
                    <w:rPr>
                      <w:rFonts w:hint="eastAsia"/>
                      <w:color w:val="000000" w:themeColor="text1"/>
                      <w:szCs w:val="21"/>
                      <w:highlight w:val="none"/>
                      <w:lang w:val="en-US" w:eastAsia="zh-CN"/>
                      <w14:textFill>
                        <w14:solidFill>
                          <w14:schemeClr w14:val="tx1"/>
                        </w14:solidFill>
                      </w14:textFill>
                    </w:rPr>
                    <w:t>3.8</w:t>
                  </w:r>
                  <w:r>
                    <w:rPr>
                      <w:color w:val="000000" w:themeColor="text1"/>
                      <w:szCs w:val="21"/>
                      <w:highlight w:val="none"/>
                      <w14:textFill>
                        <w14:solidFill>
                          <w14:schemeClr w14:val="tx1"/>
                        </w14:solidFill>
                      </w14:textFill>
                    </w:rPr>
                    <w:t>m×</w:t>
                  </w:r>
                  <w:r>
                    <w:rPr>
                      <w:rFonts w:hint="eastAsia"/>
                      <w:color w:val="000000" w:themeColor="text1"/>
                      <w:szCs w:val="21"/>
                      <w:highlight w:val="none"/>
                      <w:lang w:val="en-US" w:eastAsia="zh-CN"/>
                      <w14:textFill>
                        <w14:solidFill>
                          <w14:schemeClr w14:val="tx1"/>
                        </w14:solidFill>
                      </w14:textFill>
                    </w:rPr>
                    <w:t>高3</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380个窑车、8台电动摆渡车，</w:t>
                  </w:r>
                  <w:r>
                    <w:rPr>
                      <w:color w:val="000000" w:themeColor="text1"/>
                      <w:szCs w:val="21"/>
                      <w:highlight w:val="none"/>
                      <w14:textFill>
                        <w14:solidFill>
                          <w14:schemeClr w14:val="tx1"/>
                        </w14:solidFill>
                      </w14:textFill>
                    </w:rPr>
                    <w:t>供热风机、排潮风机、循环风机等</w:t>
                  </w:r>
                  <w:r>
                    <w:rPr>
                      <w:rFonts w:hint="eastAsia"/>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本次改扩建</w:t>
                  </w:r>
                  <w:r>
                    <w:rPr>
                      <w:rFonts w:hint="eastAsia"/>
                      <w:b/>
                      <w:color w:val="000000" w:themeColor="text1"/>
                      <w:szCs w:val="21"/>
                      <w:highlight w:val="none"/>
                      <w:lang w:val="en-US" w:eastAsia="zh-CN"/>
                      <w14:textFill>
                        <w14:solidFill>
                          <w14:schemeClr w14:val="tx1"/>
                        </w14:solidFill>
                      </w14:textFill>
                    </w:rPr>
                    <w:t>加大</w:t>
                  </w:r>
                  <w:r>
                    <w:rPr>
                      <w:rFonts w:hint="eastAsia"/>
                      <w:b/>
                      <w:color w:val="000000" w:themeColor="text1"/>
                      <w:szCs w:val="21"/>
                      <w:highlight w:val="none"/>
                      <w14:textFill>
                        <w14:solidFill>
                          <w14:schemeClr w14:val="tx1"/>
                        </w14:solidFill>
                      </w14:textFill>
                    </w:rPr>
                    <w:t>焙烧、烘干车间生产设备设施</w:t>
                  </w:r>
                  <w:r>
                    <w:rPr>
                      <w:rFonts w:hint="eastAsia"/>
                      <w:b/>
                      <w:color w:val="000000" w:themeColor="text1"/>
                      <w:szCs w:val="21"/>
                      <w:highlight w:val="none"/>
                      <w:lang w:val="en-US" w:eastAsia="zh-CN"/>
                      <w14:textFill>
                        <w14:solidFill>
                          <w14:schemeClr w14:val="tx1"/>
                        </w14:solidFill>
                      </w14:textFill>
                    </w:rPr>
                    <w:t>的处理能力</w:t>
                  </w:r>
                </w:p>
              </w:tc>
              <w:tc>
                <w:tcPr>
                  <w:tcW w:w="620" w:type="dxa"/>
                  <w:vAlign w:val="center"/>
                </w:tcPr>
                <w:p w14:paraId="51511E33">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改造</w:t>
                  </w:r>
                  <w:r>
                    <w:rPr>
                      <w:rFonts w:hint="eastAsia"/>
                      <w:color w:val="000000" w:themeColor="text1"/>
                      <w:szCs w:val="21"/>
                      <w:highlight w:val="none"/>
                      <w14:textFill>
                        <w14:solidFill>
                          <w14:schemeClr w14:val="tx1"/>
                        </w14:solidFill>
                      </w14:textFill>
                    </w:rPr>
                    <w:t>现有设备设施</w:t>
                  </w:r>
                </w:p>
              </w:tc>
            </w:tr>
            <w:tr w14:paraId="5A40D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restart"/>
                  <w:vAlign w:val="center"/>
                </w:tcPr>
                <w:p w14:paraId="0DADAE02">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辅助</w:t>
                  </w:r>
                </w:p>
                <w:p w14:paraId="7D8D9BC7">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350" w:type="dxa"/>
                  <w:gridSpan w:val="3"/>
                  <w:vAlign w:val="center"/>
                </w:tcPr>
                <w:p w14:paraId="1F7B1A1C">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办公室、门卫、磅房</w:t>
                  </w:r>
                </w:p>
              </w:tc>
              <w:tc>
                <w:tcPr>
                  <w:tcW w:w="6260" w:type="dxa"/>
                  <w:vAlign w:val="center"/>
                </w:tcPr>
                <w:p w14:paraId="15D22C52">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砖混结构、2层、建筑面积1132m</w:t>
                  </w:r>
                  <w:r>
                    <w:rPr>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，供员工办公等</w:t>
                  </w:r>
                </w:p>
              </w:tc>
              <w:tc>
                <w:tcPr>
                  <w:tcW w:w="620" w:type="dxa"/>
                  <w:vAlign w:val="center"/>
                </w:tcPr>
                <w:p w14:paraId="728DB029">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756536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6A081EE6">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2AFB5C2D">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洗车平台</w:t>
                  </w:r>
                </w:p>
              </w:tc>
              <w:tc>
                <w:tcPr>
                  <w:tcW w:w="6260" w:type="dxa"/>
                  <w:vAlign w:val="center"/>
                </w:tcPr>
                <w:p w14:paraId="1935FF94">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厂区出入口、</w:t>
                  </w:r>
                  <w:r>
                    <w:rPr>
                      <w:rFonts w:hint="eastAsia"/>
                      <w:color w:val="000000" w:themeColor="text1"/>
                      <w:szCs w:val="21"/>
                      <w:highlight w:val="none"/>
                      <w14:textFill>
                        <w14:solidFill>
                          <w14:schemeClr w14:val="tx1"/>
                        </w14:solidFill>
                      </w14:textFill>
                    </w:rPr>
                    <w:t>原料库出入</w:t>
                  </w:r>
                  <w:r>
                    <w:rPr>
                      <w:color w:val="000000" w:themeColor="text1"/>
                      <w:szCs w:val="21"/>
                      <w:highlight w:val="none"/>
                      <w14:textFill>
                        <w14:solidFill>
                          <w14:schemeClr w14:val="tx1"/>
                        </w14:solidFill>
                      </w14:textFill>
                    </w:rPr>
                    <w:t>口分别设置1座洗车平台（地下建筑、抗渗混凝土浇筑6m×2.5m）</w:t>
                  </w:r>
                  <w:r>
                    <w:rPr>
                      <w:rFonts w:hint="eastAsia"/>
                      <w:color w:val="000000" w:themeColor="text1"/>
                      <w:szCs w:val="21"/>
                      <w:highlight w:val="none"/>
                      <w14:textFill>
                        <w14:solidFill>
                          <w14:schemeClr w14:val="tx1"/>
                        </w14:solidFill>
                      </w14:textFill>
                    </w:rPr>
                    <w:t>，分别设置1排花式喷射喷头，两侧均设围挡，冬季使用温水有效防冻措施</w:t>
                  </w:r>
                </w:p>
              </w:tc>
              <w:tc>
                <w:tcPr>
                  <w:tcW w:w="620" w:type="dxa"/>
                  <w:vAlign w:val="center"/>
                </w:tcPr>
                <w:p w14:paraId="7E9E8648">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3666C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restart"/>
                  <w:vAlign w:val="center"/>
                </w:tcPr>
                <w:p w14:paraId="495C56BF">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储运</w:t>
                  </w:r>
                </w:p>
                <w:p w14:paraId="2EFB45A1">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384" w:type="dxa"/>
                  <w:vMerge w:val="restart"/>
                  <w:vAlign w:val="center"/>
                </w:tcPr>
                <w:p w14:paraId="34219832">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w:t>
                  </w:r>
                  <w:r>
                    <w:rPr>
                      <w:rFonts w:hint="eastAsia"/>
                      <w:color w:val="000000" w:themeColor="text1"/>
                      <w:szCs w:val="21"/>
                      <w:highlight w:val="none"/>
                      <w14:textFill>
                        <w14:solidFill>
                          <w14:schemeClr w14:val="tx1"/>
                        </w14:solidFill>
                      </w14:textFill>
                    </w:rPr>
                    <w:t>库</w:t>
                  </w:r>
                </w:p>
              </w:tc>
              <w:tc>
                <w:tcPr>
                  <w:tcW w:w="966" w:type="dxa"/>
                  <w:gridSpan w:val="2"/>
                  <w:vAlign w:val="center"/>
                </w:tcPr>
                <w:p w14:paraId="4D15EA4E">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煤矸石原料库</w:t>
                  </w:r>
                </w:p>
              </w:tc>
              <w:tc>
                <w:tcPr>
                  <w:tcW w:w="6260" w:type="dxa"/>
                  <w:vAlign w:val="center"/>
                </w:tcPr>
                <w:p w14:paraId="79F8F021">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主要用于储存原料煤矸石</w:t>
                  </w:r>
                  <w:r>
                    <w:rPr>
                      <w:rFonts w:hint="eastAsia"/>
                      <w:color w:val="000000" w:themeColor="text1"/>
                      <w:szCs w:val="21"/>
                      <w:highlight w:val="none"/>
                      <w14:textFill>
                        <w14:solidFill>
                          <w14:schemeClr w14:val="tx1"/>
                        </w14:solidFill>
                      </w14:textFill>
                    </w:rPr>
                    <w:t>及炉渣</w:t>
                  </w:r>
                  <w:r>
                    <w:rPr>
                      <w:color w:val="000000" w:themeColor="text1"/>
                      <w:szCs w:val="21"/>
                      <w:highlight w:val="none"/>
                      <w14:textFill>
                        <w14:solidFill>
                          <w14:schemeClr w14:val="tx1"/>
                        </w14:solidFill>
                      </w14:textFill>
                    </w:rPr>
                    <w:t>，最大存储量为</w:t>
                  </w:r>
                  <w:r>
                    <w:rPr>
                      <w:rFonts w:hint="eastAsia"/>
                      <w:color w:val="000000" w:themeColor="text1"/>
                      <w:szCs w:val="21"/>
                      <w:highlight w:val="none"/>
                      <w14:textFill>
                        <w14:solidFill>
                          <w14:schemeClr w14:val="tx1"/>
                        </w14:solidFill>
                      </w14:textFill>
                    </w:rPr>
                    <w:t>4267.5</w:t>
                  </w:r>
                  <w:r>
                    <w:rPr>
                      <w:color w:val="000000" w:themeColor="text1"/>
                      <w:szCs w:val="21"/>
                      <w:highlight w:val="none"/>
                      <w14:textFill>
                        <w14:solidFill>
                          <w14:schemeClr w14:val="tx1"/>
                        </w14:solidFill>
                      </w14:textFill>
                    </w:rPr>
                    <w:t>t</w:t>
                  </w:r>
                </w:p>
              </w:tc>
              <w:tc>
                <w:tcPr>
                  <w:tcW w:w="620" w:type="dxa"/>
                  <w:vAlign w:val="center"/>
                </w:tcPr>
                <w:p w14:paraId="4A37B8A2">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1A7550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43E0F537">
                  <w:pPr>
                    <w:adjustRightInd w:val="0"/>
                    <w:snapToGrid w:val="0"/>
                    <w:spacing w:line="260" w:lineRule="exact"/>
                    <w:jc w:val="center"/>
                    <w:rPr>
                      <w:color w:val="000000" w:themeColor="text1"/>
                      <w:szCs w:val="21"/>
                      <w:highlight w:val="none"/>
                      <w14:textFill>
                        <w14:solidFill>
                          <w14:schemeClr w14:val="tx1"/>
                        </w14:solidFill>
                      </w14:textFill>
                    </w:rPr>
                  </w:pPr>
                </w:p>
              </w:tc>
              <w:tc>
                <w:tcPr>
                  <w:tcW w:w="384" w:type="dxa"/>
                  <w:vMerge w:val="continue"/>
                  <w:vAlign w:val="center"/>
                </w:tcPr>
                <w:p w14:paraId="2E41B314">
                  <w:pPr>
                    <w:adjustRightInd w:val="0"/>
                    <w:snapToGrid w:val="0"/>
                    <w:spacing w:line="260" w:lineRule="exact"/>
                    <w:jc w:val="center"/>
                    <w:rPr>
                      <w:color w:val="000000" w:themeColor="text1"/>
                      <w:szCs w:val="21"/>
                      <w:highlight w:val="none"/>
                      <w14:textFill>
                        <w14:solidFill>
                          <w14:schemeClr w14:val="tx1"/>
                        </w14:solidFill>
                      </w14:textFill>
                    </w:rPr>
                  </w:pPr>
                </w:p>
              </w:tc>
              <w:tc>
                <w:tcPr>
                  <w:tcW w:w="966" w:type="dxa"/>
                  <w:gridSpan w:val="2"/>
                  <w:vAlign w:val="center"/>
                </w:tcPr>
                <w:p w14:paraId="7B0061B4">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页岩原料库</w:t>
                  </w:r>
                </w:p>
              </w:tc>
              <w:tc>
                <w:tcPr>
                  <w:tcW w:w="6260" w:type="dxa"/>
                  <w:vAlign w:val="center"/>
                </w:tcPr>
                <w:p w14:paraId="0522B9C6">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主要用于储存原料页岩</w:t>
                  </w:r>
                  <w:r>
                    <w:rPr>
                      <w:rFonts w:hint="eastAsia"/>
                      <w:color w:val="000000" w:themeColor="text1"/>
                      <w:szCs w:val="21"/>
                      <w:highlight w:val="none"/>
                      <w14:textFill>
                        <w14:solidFill>
                          <w14:schemeClr w14:val="tx1"/>
                        </w14:solidFill>
                      </w14:textFill>
                    </w:rPr>
                    <w:t>、剥岩废料及铁选厂干排淤泥</w:t>
                  </w:r>
                  <w:r>
                    <w:rPr>
                      <w:color w:val="000000" w:themeColor="text1"/>
                      <w:szCs w:val="21"/>
                      <w:highlight w:val="none"/>
                      <w14:textFill>
                        <w14:solidFill>
                          <w14:schemeClr w14:val="tx1"/>
                        </w14:solidFill>
                      </w14:textFill>
                    </w:rPr>
                    <w:t>，最大存储量为7</w:t>
                  </w:r>
                  <w:r>
                    <w:rPr>
                      <w:rFonts w:hint="eastAsia"/>
                      <w:color w:val="000000" w:themeColor="text1"/>
                      <w:szCs w:val="21"/>
                      <w:highlight w:val="none"/>
                      <w14:textFill>
                        <w14:solidFill>
                          <w14:schemeClr w14:val="tx1"/>
                        </w14:solidFill>
                      </w14:textFill>
                    </w:rPr>
                    <w:t>6</w:t>
                  </w:r>
                  <w:r>
                    <w:rPr>
                      <w:color w:val="000000" w:themeColor="text1"/>
                      <w:szCs w:val="21"/>
                      <w:highlight w:val="none"/>
                      <w14:textFill>
                        <w14:solidFill>
                          <w14:schemeClr w14:val="tx1"/>
                        </w14:solidFill>
                      </w14:textFill>
                    </w:rPr>
                    <w:t>00t</w:t>
                  </w:r>
                </w:p>
              </w:tc>
              <w:tc>
                <w:tcPr>
                  <w:tcW w:w="620" w:type="dxa"/>
                  <w:vAlign w:val="center"/>
                </w:tcPr>
                <w:p w14:paraId="20DB4239">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09FF2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15F452B4">
                  <w:pPr>
                    <w:adjustRightInd w:val="0"/>
                    <w:snapToGrid w:val="0"/>
                    <w:spacing w:line="260" w:lineRule="exact"/>
                    <w:jc w:val="center"/>
                    <w:rPr>
                      <w:color w:val="000000" w:themeColor="text1"/>
                      <w:szCs w:val="21"/>
                      <w:highlight w:val="none"/>
                      <w14:textFill>
                        <w14:solidFill>
                          <w14:schemeClr w14:val="tx1"/>
                        </w14:solidFill>
                      </w14:textFill>
                    </w:rPr>
                  </w:pPr>
                </w:p>
              </w:tc>
              <w:tc>
                <w:tcPr>
                  <w:tcW w:w="384" w:type="dxa"/>
                  <w:vMerge w:val="continue"/>
                  <w:vAlign w:val="center"/>
                </w:tcPr>
                <w:p w14:paraId="0C508D3E">
                  <w:pPr>
                    <w:adjustRightInd w:val="0"/>
                    <w:snapToGrid w:val="0"/>
                    <w:spacing w:line="260" w:lineRule="exact"/>
                    <w:jc w:val="center"/>
                    <w:rPr>
                      <w:color w:val="000000" w:themeColor="text1"/>
                      <w:szCs w:val="21"/>
                      <w:highlight w:val="none"/>
                      <w14:textFill>
                        <w14:solidFill>
                          <w14:schemeClr w14:val="tx1"/>
                        </w14:solidFill>
                      </w14:textFill>
                    </w:rPr>
                  </w:pPr>
                </w:p>
              </w:tc>
              <w:tc>
                <w:tcPr>
                  <w:tcW w:w="966" w:type="dxa"/>
                  <w:gridSpan w:val="2"/>
                  <w:shd w:val="clear" w:color="auto" w:fill="auto"/>
                  <w:vAlign w:val="center"/>
                </w:tcPr>
                <w:p w14:paraId="279872DB">
                  <w:pPr>
                    <w:adjustRightInd w:val="0"/>
                    <w:snapToGrid w:val="0"/>
                    <w:spacing w:line="260" w:lineRule="exact"/>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工业</w:t>
                  </w:r>
                </w:p>
                <w:p w14:paraId="17B3F065">
                  <w:pPr>
                    <w:adjustRightInd w:val="0"/>
                    <w:snapToGrid w:val="0"/>
                    <w:spacing w:line="26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p>
              </w:tc>
              <w:tc>
                <w:tcPr>
                  <w:tcW w:w="6260" w:type="dxa"/>
                  <w:shd w:val="clear" w:color="auto" w:fill="auto"/>
                  <w:vAlign w:val="center"/>
                </w:tcPr>
                <w:p w14:paraId="178881FA">
                  <w:pPr>
                    <w:adjustRightInd w:val="0"/>
                    <w:snapToGrid w:val="0"/>
                    <w:spacing w:line="260" w:lineRule="exact"/>
                    <w:jc w:val="left"/>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依托</w:t>
                  </w:r>
                  <w:r>
                    <w:rPr>
                      <w:rFonts w:hint="eastAsia"/>
                      <w:bCs/>
                      <w:color w:val="000000" w:themeColor="text1"/>
                      <w:szCs w:val="21"/>
                      <w:highlight w:val="none"/>
                      <w14:textFill>
                        <w14:solidFill>
                          <w14:schemeClr w14:val="tx1"/>
                        </w14:solidFill>
                      </w14:textFill>
                    </w:rPr>
                    <w:t>现有污泥库用于</w:t>
                  </w:r>
                  <w:r>
                    <w:rPr>
                      <w:bCs/>
                      <w:color w:val="000000" w:themeColor="text1"/>
                      <w:szCs w:val="21"/>
                      <w:highlight w:val="none"/>
                      <w14:textFill>
                        <w14:solidFill>
                          <w14:schemeClr w14:val="tx1"/>
                        </w14:solidFill>
                      </w14:textFill>
                    </w:rPr>
                    <w:t>储存</w:t>
                  </w:r>
                  <w:r>
                    <w:rPr>
                      <w:color w:val="000000" w:themeColor="text1"/>
                      <w:szCs w:val="21"/>
                      <w:highlight w:val="none"/>
                      <w14:textFill>
                        <w14:solidFill>
                          <w14:schemeClr w14:val="tx1"/>
                        </w14:solidFill>
                      </w14:textFill>
                    </w:rPr>
                    <w:t>工业污泥</w:t>
                  </w:r>
                  <w:r>
                    <w:rPr>
                      <w:rFonts w:hint="eastAsia"/>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存储周期</w:t>
                  </w:r>
                  <w:r>
                    <w:rPr>
                      <w:rFonts w:hint="eastAsia"/>
                      <w:bCs/>
                      <w:color w:val="000000" w:themeColor="text1"/>
                      <w:szCs w:val="21"/>
                      <w:highlight w:val="none"/>
                      <w:lang w:val="en-US" w:eastAsia="zh-CN"/>
                      <w14:textFill>
                        <w14:solidFill>
                          <w14:schemeClr w14:val="tx1"/>
                        </w14:solidFill>
                      </w14:textFill>
                    </w:rPr>
                    <w:t>小于24h</w:t>
                  </w:r>
                  <w:r>
                    <w:rPr>
                      <w:bCs/>
                      <w:color w:val="000000" w:themeColor="text1"/>
                      <w:szCs w:val="21"/>
                      <w:highlight w:val="none"/>
                      <w14:textFill>
                        <w14:solidFill>
                          <w14:schemeClr w14:val="tx1"/>
                        </w14:solidFill>
                      </w14:textFill>
                    </w:rPr>
                    <w:t>。</w:t>
                  </w:r>
                </w:p>
              </w:tc>
              <w:tc>
                <w:tcPr>
                  <w:tcW w:w="620" w:type="dxa"/>
                  <w:shd w:val="clear" w:color="auto" w:fill="auto"/>
                  <w:vAlign w:val="center"/>
                </w:tcPr>
                <w:p w14:paraId="6F156D8C">
                  <w:pPr>
                    <w:adjustRightInd w:val="0"/>
                    <w:snapToGrid w:val="0"/>
                    <w:spacing w:line="26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3357D5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067A70C4">
                  <w:pPr>
                    <w:adjustRightInd w:val="0"/>
                    <w:snapToGrid w:val="0"/>
                    <w:spacing w:line="260" w:lineRule="exact"/>
                    <w:jc w:val="center"/>
                    <w:rPr>
                      <w:color w:val="000000" w:themeColor="text1"/>
                      <w:szCs w:val="21"/>
                      <w:highlight w:val="none"/>
                      <w14:textFill>
                        <w14:solidFill>
                          <w14:schemeClr w14:val="tx1"/>
                        </w14:solidFill>
                      </w14:textFill>
                    </w:rPr>
                  </w:pPr>
                </w:p>
              </w:tc>
              <w:tc>
                <w:tcPr>
                  <w:tcW w:w="384" w:type="dxa"/>
                  <w:vMerge w:val="continue"/>
                  <w:vAlign w:val="center"/>
                </w:tcPr>
                <w:p w14:paraId="794E5E58">
                  <w:pPr>
                    <w:adjustRightInd w:val="0"/>
                    <w:snapToGrid w:val="0"/>
                    <w:spacing w:line="260" w:lineRule="exact"/>
                    <w:jc w:val="center"/>
                    <w:rPr>
                      <w:color w:val="000000" w:themeColor="text1"/>
                      <w:szCs w:val="21"/>
                      <w:highlight w:val="none"/>
                      <w14:textFill>
                        <w14:solidFill>
                          <w14:schemeClr w14:val="tx1"/>
                        </w14:solidFill>
                      </w14:textFill>
                    </w:rPr>
                  </w:pPr>
                </w:p>
              </w:tc>
              <w:tc>
                <w:tcPr>
                  <w:tcW w:w="966" w:type="dxa"/>
                  <w:gridSpan w:val="2"/>
                  <w:vAlign w:val="center"/>
                </w:tcPr>
                <w:p w14:paraId="65915D4D">
                  <w:pPr>
                    <w:adjustRightInd w:val="0"/>
                    <w:snapToGrid w:val="0"/>
                    <w:spacing w:line="260" w:lineRule="exact"/>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生活</w:t>
                  </w:r>
                </w:p>
                <w:p w14:paraId="5EABA26F">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p>
              </w:tc>
              <w:tc>
                <w:tcPr>
                  <w:tcW w:w="6260" w:type="dxa"/>
                  <w:vAlign w:val="center"/>
                </w:tcPr>
                <w:p w14:paraId="5F6C0A4E">
                  <w:pPr>
                    <w:adjustRightInd w:val="0"/>
                    <w:snapToGrid w:val="0"/>
                    <w:spacing w:line="260" w:lineRule="exact"/>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新建生活污泥库1座（176m</w:t>
                  </w:r>
                  <w:r>
                    <w:rPr>
                      <w:rFonts w:hint="eastAsia"/>
                      <w:color w:val="000000" w:themeColor="text1"/>
                      <w:szCs w:val="21"/>
                      <w:highlight w:val="none"/>
                      <w:vertAlign w:val="superscript"/>
                      <w14:textFill>
                        <w14:solidFill>
                          <w14:schemeClr w14:val="tx1"/>
                        </w14:solidFill>
                      </w14:textFill>
                    </w:rPr>
                    <w:t>2</w:t>
                  </w:r>
                  <w:r>
                    <w:rPr>
                      <w:rFonts w:hint="eastAsia"/>
                      <w:color w:val="000000" w:themeColor="text1"/>
                      <w:szCs w:val="21"/>
                      <w:highlight w:val="none"/>
                      <w14:textFill>
                        <w14:solidFill>
                          <w14:schemeClr w14:val="tx1"/>
                        </w14:solidFill>
                      </w14:textFill>
                    </w:rPr>
                    <w:t>），储存生活污泥</w:t>
                  </w:r>
                  <w:r>
                    <w:rPr>
                      <w:bCs/>
                      <w:color w:val="000000" w:themeColor="text1"/>
                      <w:szCs w:val="21"/>
                      <w:highlight w:val="none"/>
                      <w14:textFill>
                        <w14:solidFill>
                          <w14:schemeClr w14:val="tx1"/>
                        </w14:solidFill>
                      </w14:textFill>
                    </w:rPr>
                    <w:t>，存储周期</w:t>
                  </w:r>
                  <w:r>
                    <w:rPr>
                      <w:rFonts w:hint="eastAsia"/>
                      <w:bCs/>
                      <w:color w:val="000000" w:themeColor="text1"/>
                      <w:szCs w:val="21"/>
                      <w:highlight w:val="none"/>
                      <w:lang w:val="en-US" w:eastAsia="zh-CN"/>
                      <w14:textFill>
                        <w14:solidFill>
                          <w14:schemeClr w14:val="tx1"/>
                        </w14:solidFill>
                      </w14:textFill>
                    </w:rPr>
                    <w:t>小于24h</w:t>
                  </w:r>
                  <w:r>
                    <w:rPr>
                      <w:bCs/>
                      <w:color w:val="000000" w:themeColor="text1"/>
                      <w:szCs w:val="21"/>
                      <w:highlight w:val="none"/>
                      <w14:textFill>
                        <w14:solidFill>
                          <w14:schemeClr w14:val="tx1"/>
                        </w14:solidFill>
                      </w14:textFill>
                    </w:rPr>
                    <w:t>。</w:t>
                  </w:r>
                </w:p>
              </w:tc>
              <w:tc>
                <w:tcPr>
                  <w:tcW w:w="620" w:type="dxa"/>
                  <w:vAlign w:val="center"/>
                </w:tcPr>
                <w:p w14:paraId="12FB90CA">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新建</w:t>
                  </w:r>
                </w:p>
              </w:tc>
            </w:tr>
            <w:tr w14:paraId="347D8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10CD23B3">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24E941F8">
                  <w:pPr>
                    <w:adjustRightInd w:val="0"/>
                    <w:snapToGrid w:val="0"/>
                    <w:spacing w:line="260" w:lineRule="exact"/>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一般固废</w:t>
                  </w:r>
                </w:p>
                <w:p w14:paraId="50305A8F">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暂存区</w:t>
                  </w:r>
                </w:p>
              </w:tc>
              <w:tc>
                <w:tcPr>
                  <w:tcW w:w="6260" w:type="dxa"/>
                  <w:vAlign w:val="center"/>
                </w:tcPr>
                <w:p w14:paraId="1B5593A4">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位于成品车间内，</w:t>
                  </w:r>
                  <w:r>
                    <w:rPr>
                      <w:rFonts w:hint="eastAsia"/>
                      <w:color w:val="000000" w:themeColor="text1"/>
                      <w:szCs w:val="21"/>
                      <w:highlight w:val="none"/>
                      <w14:textFill>
                        <w14:solidFill>
                          <w14:schemeClr w14:val="tx1"/>
                        </w14:solidFill>
                      </w14:textFill>
                    </w:rPr>
                    <w:t>50</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，防渗处理</w:t>
                  </w:r>
                  <w:r>
                    <w:rPr>
                      <w:rFonts w:hint="eastAsia"/>
                      <w:color w:val="000000" w:themeColor="text1"/>
                      <w:szCs w:val="21"/>
                      <w:highlight w:val="none"/>
                      <w14:textFill>
                        <w14:solidFill>
                          <w14:schemeClr w14:val="tx1"/>
                        </w14:solidFill>
                      </w14:textFill>
                    </w:rPr>
                    <w:t>，储存烧成产生的废砖、除尘器产生的废滤袋、脱硫脱硝工序产生的废包装袋</w:t>
                  </w:r>
                </w:p>
              </w:tc>
              <w:tc>
                <w:tcPr>
                  <w:tcW w:w="620" w:type="dxa"/>
                  <w:vAlign w:val="center"/>
                </w:tcPr>
                <w:p w14:paraId="5AC03587">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5CAA5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6209B7EB">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0B9E375D">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危险废物暂存间</w:t>
                  </w:r>
                </w:p>
              </w:tc>
              <w:tc>
                <w:tcPr>
                  <w:tcW w:w="6260" w:type="dxa"/>
                  <w:vAlign w:val="center"/>
                </w:tcPr>
                <w:p w14:paraId="2B1532AB">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位于制坯车间内，1座，建筑面积9m</w:t>
                  </w:r>
                  <w:r>
                    <w:rPr>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，用于存放危险废物</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防渗处理。危废间</w:t>
                  </w:r>
                  <w:r>
                    <w:rPr>
                      <w:rFonts w:hint="eastAsia"/>
                      <w:color w:val="000000" w:themeColor="text1"/>
                      <w:szCs w:val="21"/>
                      <w:highlight w:val="none"/>
                      <w14:textFill>
                        <w14:solidFill>
                          <w14:schemeClr w14:val="tx1"/>
                        </w14:solidFill>
                      </w14:textFill>
                    </w:rPr>
                    <w:t>已</w:t>
                  </w:r>
                  <w:r>
                    <w:rPr>
                      <w:color w:val="000000" w:themeColor="text1"/>
                      <w:szCs w:val="21"/>
                      <w:highlight w:val="none"/>
                      <w14:textFill>
                        <w14:solidFill>
                          <w14:schemeClr w14:val="tx1"/>
                        </w14:solidFill>
                      </w14:textFill>
                    </w:rPr>
                    <w:t>做</w:t>
                  </w:r>
                  <w:r>
                    <w:rPr>
                      <w:rFonts w:hint="eastAsia"/>
                      <w:color w:val="000000" w:themeColor="text1"/>
                      <w:szCs w:val="21"/>
                      <w:highlight w:val="none"/>
                      <w14:textFill>
                        <w14:solidFill>
                          <w14:schemeClr w14:val="tx1"/>
                        </w14:solidFill>
                      </w14:textFill>
                    </w:rPr>
                    <w:t>防腐</w:t>
                  </w:r>
                  <w:r>
                    <w:rPr>
                      <w:color w:val="000000" w:themeColor="text1"/>
                      <w:szCs w:val="21"/>
                      <w:highlight w:val="none"/>
                      <w14:textFill>
                        <w14:solidFill>
                          <w14:schemeClr w14:val="tx1"/>
                        </w14:solidFill>
                      </w14:textFill>
                    </w:rPr>
                    <w:t>防渗处理，渗透系数≤1.0×10</w:t>
                  </w:r>
                  <w:r>
                    <w:rPr>
                      <w:color w:val="000000" w:themeColor="text1"/>
                      <w:szCs w:val="21"/>
                      <w:highlight w:val="none"/>
                      <w:vertAlign w:val="superscript"/>
                      <w14:textFill>
                        <w14:solidFill>
                          <w14:schemeClr w14:val="tx1"/>
                        </w14:solidFill>
                      </w14:textFill>
                    </w:rPr>
                    <w:t>-10</w:t>
                  </w:r>
                  <w:r>
                    <w:rPr>
                      <w:color w:val="000000" w:themeColor="text1"/>
                      <w:szCs w:val="21"/>
                      <w:highlight w:val="none"/>
                      <w14:textFill>
                        <w14:solidFill>
                          <w14:schemeClr w14:val="tx1"/>
                        </w14:solidFill>
                      </w14:textFill>
                    </w:rPr>
                    <w:t>cm/s</w:t>
                  </w:r>
                </w:p>
              </w:tc>
              <w:tc>
                <w:tcPr>
                  <w:tcW w:w="620" w:type="dxa"/>
                  <w:vAlign w:val="center"/>
                </w:tcPr>
                <w:p w14:paraId="581850FC">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6027F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03AD4150">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55A17F0F">
                  <w:pPr>
                    <w:adjustRightInd w:val="0"/>
                    <w:snapToGrid w:val="0"/>
                    <w:spacing w:line="260" w:lineRule="exact"/>
                    <w:jc w:val="center"/>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污泥运输</w:t>
                  </w:r>
                </w:p>
                <w:p w14:paraId="5D12FA59">
                  <w:pPr>
                    <w:adjustRightInd w:val="0"/>
                    <w:snapToGrid w:val="0"/>
                    <w:spacing w:line="26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进厂检验</w:t>
                  </w:r>
                </w:p>
              </w:tc>
              <w:tc>
                <w:tcPr>
                  <w:tcW w:w="6260" w:type="dxa"/>
                  <w:vAlign w:val="center"/>
                </w:tcPr>
                <w:p w14:paraId="7A86A4AE">
                  <w:pPr>
                    <w:adjustRightInd w:val="0"/>
                    <w:snapToGrid w:val="0"/>
                    <w:spacing w:line="260" w:lineRule="exact"/>
                    <w:jc w:val="left"/>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使用国五及以上排放标准车辆或新能源汽车运输，要求车辆采取苫盖措施；严格落实污泥准入标准，</w:t>
                  </w:r>
                  <w:r>
                    <w:rPr>
                      <w:bCs/>
                      <w:color w:val="000000" w:themeColor="text1"/>
                      <w:szCs w:val="21"/>
                      <w:highlight w:val="none"/>
                      <w14:textFill>
                        <w14:solidFill>
                          <w14:schemeClr w14:val="tx1"/>
                        </w14:solidFill>
                      </w14:textFill>
                    </w:rPr>
                    <w:t>重点</w:t>
                  </w:r>
                  <w:r>
                    <w:rPr>
                      <w:rFonts w:hint="eastAsia"/>
                      <w:bCs/>
                      <w:color w:val="000000" w:themeColor="text1"/>
                      <w:szCs w:val="21"/>
                      <w:highlight w:val="none"/>
                      <w14:textFill>
                        <w14:solidFill>
                          <w14:schemeClr w14:val="tx1"/>
                        </w14:solidFill>
                      </w14:textFill>
                    </w:rPr>
                    <w:t>分析</w:t>
                  </w:r>
                  <w:r>
                    <w:rPr>
                      <w:bCs/>
                      <w:color w:val="000000" w:themeColor="text1"/>
                      <w:szCs w:val="21"/>
                      <w:highlight w:val="none"/>
                      <w14:textFill>
                        <w14:solidFill>
                          <w14:schemeClr w14:val="tx1"/>
                        </w14:solidFill>
                      </w14:textFill>
                    </w:rPr>
                    <w:t>污泥是否属于危险废物，判断固体废物是否可以进厂协同处置</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如来源及生产工艺发生变化导致污泥成分发生变化时，针对所使用污泥</w:t>
                  </w:r>
                  <w:r>
                    <w:rPr>
                      <w:rFonts w:hint="eastAsia"/>
                      <w:bCs/>
                      <w:color w:val="000000" w:themeColor="text1"/>
                      <w:szCs w:val="21"/>
                      <w:highlight w:val="none"/>
                      <w14:textFill>
                        <w14:solidFill>
                          <w14:schemeClr w14:val="tx1"/>
                        </w14:solidFill>
                      </w14:textFill>
                    </w:rPr>
                    <w:t>进行检测，</w:t>
                  </w:r>
                  <w:r>
                    <w:rPr>
                      <w:bCs/>
                      <w:color w:val="000000" w:themeColor="text1"/>
                      <w:szCs w:val="21"/>
                      <w:highlight w:val="none"/>
                      <w14:textFill>
                        <w14:solidFill>
                          <w14:schemeClr w14:val="tx1"/>
                        </w14:solidFill>
                      </w14:textFill>
                    </w:rPr>
                    <w:t>判断固体废物是否可以进厂协同处置</w:t>
                  </w:r>
                  <w:r>
                    <w:rPr>
                      <w:rFonts w:hint="eastAsia"/>
                      <w:bCs/>
                      <w:color w:val="000000" w:themeColor="text1"/>
                      <w:szCs w:val="21"/>
                      <w:highlight w:val="none"/>
                      <w14:textFill>
                        <w14:solidFill>
                          <w14:schemeClr w14:val="tx1"/>
                        </w14:solidFill>
                      </w14:textFill>
                    </w:rPr>
                    <w:t>。污泥</w:t>
                  </w:r>
                  <w:r>
                    <w:rPr>
                      <w:bCs/>
                      <w:color w:val="000000" w:themeColor="text1"/>
                      <w:szCs w:val="21"/>
                      <w:highlight w:val="none"/>
                      <w14:textFill>
                        <w14:solidFill>
                          <w14:schemeClr w14:val="tx1"/>
                        </w14:solidFill>
                      </w14:textFill>
                    </w:rPr>
                    <w:t>卸车前检查相关证件的完整性，</w:t>
                  </w:r>
                  <w:r>
                    <w:rPr>
                      <w:color w:val="000000" w:themeColor="text1"/>
                      <w:szCs w:val="21"/>
                      <w:highlight w:val="none"/>
                      <w14:textFill>
                        <w14:solidFill>
                          <w14:schemeClr w14:val="tx1"/>
                        </w14:solidFill>
                      </w14:textFill>
                    </w:rPr>
                    <w:t>污泥产生单位、污泥运输单位和本企业建立污泥转运联单制度。</w:t>
                  </w:r>
                  <w:r>
                    <w:rPr>
                      <w:rFonts w:hint="eastAsia"/>
                      <w:bCs/>
                      <w:color w:val="000000" w:themeColor="text1"/>
                      <w:szCs w:val="21"/>
                      <w:highlight w:val="none"/>
                      <w14:textFill>
                        <w14:solidFill>
                          <w14:schemeClr w14:val="tx1"/>
                        </w14:solidFill>
                      </w14:textFill>
                    </w:rPr>
                    <w:t>入厂前核对</w:t>
                  </w:r>
                  <w:r>
                    <w:rPr>
                      <w:bCs/>
                      <w:color w:val="000000" w:themeColor="text1"/>
                      <w:szCs w:val="21"/>
                      <w:highlight w:val="none"/>
                      <w14:textFill>
                        <w14:solidFill>
                          <w14:schemeClr w14:val="tx1"/>
                        </w14:solidFill>
                      </w14:textFill>
                    </w:rPr>
                    <w:t>污泥转移联单上的品名、数量、描述等内容是否对应，是否属于建设单位协同处置的污泥，是否属于建设单位协议处置污泥来源，对于不满足要求的污泥，退还给产污泥单位</w:t>
                  </w:r>
                </w:p>
              </w:tc>
              <w:tc>
                <w:tcPr>
                  <w:tcW w:w="620" w:type="dxa"/>
                  <w:vAlign w:val="center"/>
                </w:tcPr>
                <w:p w14:paraId="2EB027D2">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56071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5E599C12">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7DE9E4A0">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原料产品</w:t>
                  </w:r>
                  <w:r>
                    <w:rPr>
                      <w:color w:val="000000" w:themeColor="text1"/>
                      <w:szCs w:val="21"/>
                      <w:highlight w:val="none"/>
                      <w14:textFill>
                        <w14:solidFill>
                          <w14:schemeClr w14:val="tx1"/>
                        </w14:solidFill>
                      </w14:textFill>
                    </w:rPr>
                    <w:t>运输</w:t>
                  </w:r>
                </w:p>
              </w:tc>
              <w:tc>
                <w:tcPr>
                  <w:tcW w:w="6260" w:type="dxa"/>
                  <w:vAlign w:val="center"/>
                </w:tcPr>
                <w:p w14:paraId="1809B474">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原料及产品</w:t>
                  </w:r>
                  <w:r>
                    <w:rPr>
                      <w:rFonts w:hint="eastAsia"/>
                      <w:bCs/>
                      <w:color w:val="000000" w:themeColor="text1"/>
                      <w:szCs w:val="21"/>
                      <w:highlight w:val="none"/>
                      <w14:textFill>
                        <w14:solidFill>
                          <w14:schemeClr w14:val="tx1"/>
                        </w14:solidFill>
                      </w14:textFill>
                    </w:rPr>
                    <w:t>均采用汽车运输，使用国五及以上排放标准车辆或新能源汽车运输，要求车辆采取苫盖措施，运输车辆车斗采用苫布苫盖，苫布边缘至少要遮住槽帮上沿以下</w:t>
                  </w:r>
                  <w:r>
                    <w:rPr>
                      <w:bCs/>
                      <w:color w:val="000000" w:themeColor="text1"/>
                      <w:szCs w:val="21"/>
                      <w:highlight w:val="none"/>
                      <w14:textFill>
                        <w14:solidFill>
                          <w14:schemeClr w14:val="tx1"/>
                        </w14:solidFill>
                      </w14:textFill>
                    </w:rPr>
                    <w:t>15cm</w:t>
                  </w:r>
                  <w:r>
                    <w:rPr>
                      <w:rFonts w:hint="eastAsia"/>
                      <w:bCs/>
                      <w:color w:val="000000" w:themeColor="text1"/>
                      <w:szCs w:val="21"/>
                      <w:highlight w:val="none"/>
                      <w14:textFill>
                        <w14:solidFill>
                          <w14:schemeClr w14:val="tx1"/>
                        </w14:solidFill>
                      </w14:textFill>
                    </w:rPr>
                    <w:t>。车辆配备高效的举升和卸载系统，以便于原料的装载和卸载。</w:t>
                  </w:r>
                  <w:r>
                    <w:rPr>
                      <w:color w:val="000000" w:themeColor="text1"/>
                      <w:szCs w:val="21"/>
                      <w:highlight w:val="none"/>
                      <w14:textFill>
                        <w14:solidFill>
                          <w14:schemeClr w14:val="tx1"/>
                        </w14:solidFill>
                      </w14:textFill>
                    </w:rPr>
                    <w:t>厂内原料及产品主要采用装载机运输</w:t>
                  </w:r>
                  <w:r>
                    <w:rPr>
                      <w:rFonts w:hint="eastAsia"/>
                      <w:color w:val="000000" w:themeColor="text1"/>
                      <w:szCs w:val="21"/>
                      <w:highlight w:val="none"/>
                      <w14:textFill>
                        <w14:solidFill>
                          <w14:schemeClr w14:val="tx1"/>
                        </w14:solidFill>
                      </w14:textFill>
                    </w:rPr>
                    <w:t>，装载机满足国四标准，物料转运均设置封闭的皮带</w:t>
                  </w:r>
                </w:p>
              </w:tc>
              <w:tc>
                <w:tcPr>
                  <w:tcW w:w="620" w:type="dxa"/>
                  <w:vAlign w:val="center"/>
                </w:tcPr>
                <w:p w14:paraId="1A976312">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1130E2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3" w:hRule="atLeast"/>
                <w:jc w:val="center"/>
              </w:trPr>
              <w:tc>
                <w:tcPr>
                  <w:tcW w:w="611" w:type="dxa"/>
                  <w:vMerge w:val="restart"/>
                  <w:vAlign w:val="center"/>
                </w:tcPr>
                <w:p w14:paraId="538FA384">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公用</w:t>
                  </w:r>
                </w:p>
                <w:p w14:paraId="4256BD97">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350" w:type="dxa"/>
                  <w:gridSpan w:val="3"/>
                  <w:vAlign w:val="center"/>
                </w:tcPr>
                <w:p w14:paraId="0C33EED7">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给水</w:t>
                  </w:r>
                </w:p>
              </w:tc>
              <w:tc>
                <w:tcPr>
                  <w:tcW w:w="6260" w:type="dxa"/>
                  <w:vAlign w:val="center"/>
                </w:tcPr>
                <w:p w14:paraId="56480263">
                  <w:pPr>
                    <w:adjustRightInd w:val="0"/>
                    <w:snapToGrid w:val="0"/>
                    <w:spacing w:line="260" w:lineRule="exact"/>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w:t>
                  </w:r>
                  <w:r>
                    <w:rPr>
                      <w:color w:val="000000" w:themeColor="text1"/>
                      <w:szCs w:val="21"/>
                      <w:highlight w:val="none"/>
                      <w14:textFill>
                        <w14:solidFill>
                          <w14:schemeClr w14:val="tx1"/>
                        </w14:solidFill>
                      </w14:textFill>
                    </w:rPr>
                    <w:t>厂区</w:t>
                  </w:r>
                  <w:r>
                    <w:rPr>
                      <w:rFonts w:hint="eastAsia"/>
                      <w:color w:val="000000" w:themeColor="text1"/>
                      <w:szCs w:val="21"/>
                      <w:highlight w:val="none"/>
                      <w14:textFill>
                        <w14:solidFill>
                          <w14:schemeClr w14:val="tx1"/>
                        </w14:solidFill>
                      </w14:textFill>
                    </w:rPr>
                    <w:t>现有</w:t>
                  </w:r>
                  <w:r>
                    <w:rPr>
                      <w:color w:val="000000" w:themeColor="text1"/>
                      <w:szCs w:val="21"/>
                      <w:highlight w:val="none"/>
                      <w14:textFill>
                        <w14:solidFill>
                          <w14:schemeClr w14:val="tx1"/>
                        </w14:solidFill>
                      </w14:textFill>
                    </w:rPr>
                    <w:t>自备井，水源为地下水，企业已取得取水许可证，编号为B130284G2021-67204，有效期至202</w:t>
                  </w:r>
                  <w:r>
                    <w:rPr>
                      <w:rFonts w:hint="eastAsia"/>
                      <w:color w:val="000000" w:themeColor="text1"/>
                      <w:szCs w:val="21"/>
                      <w:highlight w:val="none"/>
                      <w14:textFill>
                        <w14:solidFill>
                          <w14:schemeClr w14:val="tx1"/>
                        </w14:solidFill>
                      </w14:textFill>
                    </w:rPr>
                    <w:t>7</w:t>
                  </w:r>
                  <w:r>
                    <w:rPr>
                      <w:color w:val="000000" w:themeColor="text1"/>
                      <w:szCs w:val="21"/>
                      <w:highlight w:val="none"/>
                      <w14:textFill>
                        <w14:solidFill>
                          <w14:schemeClr w14:val="tx1"/>
                        </w14:solidFill>
                      </w14:textFill>
                    </w:rPr>
                    <w:t>年12月6日</w:t>
                  </w:r>
                </w:p>
              </w:tc>
              <w:tc>
                <w:tcPr>
                  <w:tcW w:w="620" w:type="dxa"/>
                  <w:vAlign w:val="center"/>
                </w:tcPr>
                <w:p w14:paraId="053A61A9">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依托现有</w:t>
                  </w:r>
                </w:p>
              </w:tc>
            </w:tr>
            <w:tr w14:paraId="268F50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25F789D6">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214FE0B3">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排水</w:t>
                  </w:r>
                </w:p>
              </w:tc>
              <w:tc>
                <w:tcPr>
                  <w:tcW w:w="6260" w:type="dxa"/>
                  <w:vAlign w:val="center"/>
                </w:tcPr>
                <w:p w14:paraId="1FF9C121">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生产废水全部回用，不外排；生活污水主要为职工盥洗废水，产生量小且水质简单，用于厂区泼洒地面抑尘</w:t>
                  </w:r>
                </w:p>
              </w:tc>
              <w:tc>
                <w:tcPr>
                  <w:tcW w:w="620" w:type="dxa"/>
                  <w:vAlign w:val="center"/>
                </w:tcPr>
                <w:p w14:paraId="51AE1433">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02D617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6CFC21BD">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6CC3B448">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供电</w:t>
                  </w:r>
                </w:p>
              </w:tc>
              <w:tc>
                <w:tcPr>
                  <w:tcW w:w="6260" w:type="dxa"/>
                  <w:vAlign w:val="center"/>
                </w:tcPr>
                <w:p w14:paraId="03C5D343">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响嘡街道供电网供给</w:t>
                  </w:r>
                </w:p>
              </w:tc>
              <w:tc>
                <w:tcPr>
                  <w:tcW w:w="620" w:type="dxa"/>
                  <w:vAlign w:val="center"/>
                </w:tcPr>
                <w:p w14:paraId="4D45E69F">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6D90D4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6A44277D">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40F4E2A9">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供暖</w:t>
                  </w:r>
                </w:p>
              </w:tc>
              <w:tc>
                <w:tcPr>
                  <w:tcW w:w="6260" w:type="dxa"/>
                  <w:vAlign w:val="center"/>
                </w:tcPr>
                <w:p w14:paraId="296F7F20">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办公室采暖使用隧道窑余热供暖</w:t>
                  </w:r>
                </w:p>
              </w:tc>
              <w:tc>
                <w:tcPr>
                  <w:tcW w:w="620" w:type="dxa"/>
                  <w:vAlign w:val="center"/>
                </w:tcPr>
                <w:p w14:paraId="473B13D4">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0126D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55DD97AE">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76382C88">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供气</w:t>
                  </w:r>
                </w:p>
              </w:tc>
              <w:tc>
                <w:tcPr>
                  <w:tcW w:w="6260" w:type="dxa"/>
                  <w:vAlign w:val="center"/>
                </w:tcPr>
                <w:p w14:paraId="5EBC2D24">
                  <w:pPr>
                    <w:adjustRightInd w:val="0"/>
                    <w:snapToGrid w:val="0"/>
                    <w:spacing w:line="260" w:lineRule="exact"/>
                    <w:jc w:val="left"/>
                    <w:rPr>
                      <w:rFonts w:hint="eastAsia" w:eastAsia="宋体"/>
                      <w:color w:val="000000" w:themeColor="text1"/>
                      <w:szCs w:val="21"/>
                      <w:highlight w:val="none"/>
                      <w:lang w:eastAsia="zh-CN"/>
                      <w14:textFill>
                        <w14:solidFill>
                          <w14:schemeClr w14:val="tx1"/>
                        </w14:solidFill>
                      </w14:textFill>
                    </w:rPr>
                  </w:pPr>
                  <w:r>
                    <w:rPr>
                      <w:color w:val="000000" w:themeColor="text1"/>
                      <w:szCs w:val="21"/>
                      <w:highlight w:val="none"/>
                      <w14:textFill>
                        <w14:solidFill>
                          <w14:schemeClr w14:val="tx1"/>
                        </w14:solidFill>
                      </w14:textFill>
                    </w:rPr>
                    <w:t>天然气</w:t>
                  </w:r>
                  <w:r>
                    <w:rPr>
                      <w:rFonts w:hint="eastAsia"/>
                      <w:color w:val="000000" w:themeColor="text1"/>
                      <w:szCs w:val="21"/>
                      <w:highlight w:val="none"/>
                      <w:lang w:eastAsia="zh-CN"/>
                      <w14:textFill>
                        <w14:solidFill>
                          <w14:schemeClr w14:val="tx1"/>
                        </w14:solidFill>
                      </w14:textFill>
                    </w:rPr>
                    <w:t>管道</w:t>
                  </w:r>
                </w:p>
              </w:tc>
              <w:tc>
                <w:tcPr>
                  <w:tcW w:w="620" w:type="dxa"/>
                  <w:vAlign w:val="center"/>
                </w:tcPr>
                <w:p w14:paraId="5F3046A9">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51AC3C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restart"/>
                  <w:vAlign w:val="center"/>
                </w:tcPr>
                <w:p w14:paraId="208B777B">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环保</w:t>
                  </w:r>
                </w:p>
                <w:p w14:paraId="228F0AA0">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工程</w:t>
                  </w:r>
                </w:p>
              </w:tc>
              <w:tc>
                <w:tcPr>
                  <w:tcW w:w="1350" w:type="dxa"/>
                  <w:gridSpan w:val="3"/>
                  <w:vAlign w:val="center"/>
                </w:tcPr>
                <w:p w14:paraId="016C08F8">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w:t>
                  </w:r>
                </w:p>
              </w:tc>
              <w:tc>
                <w:tcPr>
                  <w:tcW w:w="6260" w:type="dxa"/>
                  <w:vAlign w:val="center"/>
                </w:tcPr>
                <w:p w14:paraId="32B71731">
                  <w:pPr>
                    <w:adjustRightInd w:val="0"/>
                    <w:snapToGrid w:val="0"/>
                    <w:spacing w:line="260" w:lineRule="exact"/>
                    <w:jc w:val="left"/>
                    <w:rPr>
                      <w:b/>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①</w:t>
                  </w:r>
                  <w:r>
                    <w:rPr>
                      <w:color w:val="000000" w:themeColor="text1"/>
                      <w:szCs w:val="21"/>
                      <w:highlight w:val="none"/>
                      <w14:textFill>
                        <w14:solidFill>
                          <w14:schemeClr w14:val="tx1"/>
                        </w14:solidFill>
                      </w14:textFill>
                    </w:rPr>
                    <w:t>页岩</w:t>
                  </w:r>
                  <w:r>
                    <w:rPr>
                      <w:rFonts w:hint="eastAsia"/>
                      <w:color w:val="000000" w:themeColor="text1"/>
                      <w:szCs w:val="21"/>
                      <w:highlight w:val="none"/>
                      <w14:textFill>
                        <w14:solidFill>
                          <w14:schemeClr w14:val="tx1"/>
                        </w14:solidFill>
                      </w14:textFill>
                    </w:rPr>
                    <w:t>、干排淤泥</w:t>
                  </w:r>
                  <w:r>
                    <w:rPr>
                      <w:color w:val="000000" w:themeColor="text1"/>
                      <w:szCs w:val="21"/>
                      <w:highlight w:val="none"/>
                      <w14:textFill>
                        <w14:solidFill>
                          <w14:schemeClr w14:val="tx1"/>
                        </w14:solidFill>
                      </w14:textFill>
                    </w:rPr>
                    <w:t>上料口采取三面封闭+喷淋，下料口设置全封闭集气罩+引风管；颚式破碎机、锤式破碎机、圆滚筛、搅拌机均封闭处理+集尘管；皮带通廊全封闭；皮带转运点均设置集气罩，</w:t>
                  </w:r>
                  <w:r>
                    <w:rPr>
                      <w:rFonts w:hint="eastAsia"/>
                      <w:color w:val="000000" w:themeColor="text1"/>
                      <w:szCs w:val="21"/>
                      <w:highlight w:val="none"/>
                      <w14:textFill>
                        <w14:solidFill>
                          <w14:schemeClr w14:val="tx1"/>
                        </w14:solidFill>
                      </w14:textFill>
                    </w:rPr>
                    <w:t>以上</w:t>
                  </w:r>
                  <w:r>
                    <w:rPr>
                      <w:color w:val="000000" w:themeColor="text1"/>
                      <w:szCs w:val="21"/>
                      <w:highlight w:val="none"/>
                      <w14:textFill>
                        <w14:solidFill>
                          <w14:schemeClr w14:val="tx1"/>
                        </w14:solidFill>
                      </w14:textFill>
                    </w:rPr>
                    <w:t>废气收集引至布袋除尘器进行处理后经15m高排气筒（DA00</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）排放</w:t>
                  </w:r>
                  <w:r>
                    <w:rPr>
                      <w:rFonts w:hint="eastAsia"/>
                      <w:color w:val="000000" w:themeColor="text1"/>
                      <w:szCs w:val="21"/>
                      <w:highlight w:val="none"/>
                      <w14:textFill>
                        <w14:solidFill>
                          <w14:schemeClr w14:val="tx1"/>
                        </w14:solidFill>
                      </w14:textFill>
                    </w:rPr>
                    <w:t>；</w:t>
                  </w:r>
                </w:p>
                <w:p w14:paraId="0FC370B4">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②</w:t>
                  </w:r>
                  <w:r>
                    <w:rPr>
                      <w:rFonts w:hint="eastAsia"/>
                      <w:color w:val="000000" w:themeColor="text1"/>
                      <w:szCs w:val="21"/>
                      <w:highlight w:val="none"/>
                      <w14:textFill>
                        <w14:solidFill>
                          <w14:schemeClr w14:val="tx1"/>
                        </w14:solidFill>
                      </w14:textFill>
                    </w:rPr>
                    <w:t>煤矸石、炉渣</w:t>
                  </w:r>
                  <w:r>
                    <w:rPr>
                      <w:color w:val="000000" w:themeColor="text1"/>
                      <w:szCs w:val="21"/>
                      <w:highlight w:val="none"/>
                      <w14:textFill>
                        <w14:solidFill>
                          <w14:schemeClr w14:val="tx1"/>
                        </w14:solidFill>
                      </w14:textFill>
                    </w:rPr>
                    <w:t>上料仓三面封闭+喷淋+下料口设置全封闭集气罩；</w:t>
                  </w:r>
                  <w:r>
                    <w:rPr>
                      <w:rFonts w:hint="eastAsia"/>
                      <w:b/>
                      <w:color w:val="000000" w:themeColor="text1"/>
                      <w:szCs w:val="21"/>
                      <w:highlight w:val="none"/>
                      <w14:textFill>
                        <w14:solidFill>
                          <w14:schemeClr w14:val="tx1"/>
                        </w14:solidFill>
                      </w14:textFill>
                    </w:rPr>
                    <w:t>颚式破碎机、</w:t>
                  </w:r>
                  <w:r>
                    <w:rPr>
                      <w:color w:val="000000" w:themeColor="text1"/>
                      <w:szCs w:val="21"/>
                      <w:highlight w:val="none"/>
                      <w14:textFill>
                        <w14:solidFill>
                          <w14:schemeClr w14:val="tx1"/>
                        </w14:solidFill>
                      </w14:textFill>
                    </w:rPr>
                    <w:t>圆滚筛全封闭+集尘管；</w:t>
                  </w:r>
                  <w:r>
                    <w:rPr>
                      <w:rFonts w:hint="eastAsia"/>
                      <w:color w:val="000000" w:themeColor="text1"/>
                      <w:szCs w:val="21"/>
                      <w:highlight w:val="none"/>
                      <w14:textFill>
                        <w14:solidFill>
                          <w14:schemeClr w14:val="tx1"/>
                        </w14:solidFill>
                      </w14:textFill>
                    </w:rPr>
                    <w:t>煤矸石储料仓封闭设集尘管；</w:t>
                  </w:r>
                  <w:r>
                    <w:rPr>
                      <w:color w:val="000000" w:themeColor="text1"/>
                      <w:szCs w:val="21"/>
                      <w:highlight w:val="none"/>
                      <w14:textFill>
                        <w14:solidFill>
                          <w14:schemeClr w14:val="tx1"/>
                        </w14:solidFill>
                      </w14:textFill>
                    </w:rPr>
                    <w:t>皮带通廊全封闭；皮带转运点设置集气罩，</w:t>
                  </w:r>
                  <w:r>
                    <w:rPr>
                      <w:rFonts w:hint="eastAsia"/>
                      <w:color w:val="000000" w:themeColor="text1"/>
                      <w:szCs w:val="21"/>
                      <w:highlight w:val="none"/>
                      <w14:textFill>
                        <w14:solidFill>
                          <w14:schemeClr w14:val="tx1"/>
                        </w14:solidFill>
                      </w14:textFill>
                    </w:rPr>
                    <w:t>以上</w:t>
                  </w:r>
                  <w:r>
                    <w:rPr>
                      <w:color w:val="000000" w:themeColor="text1"/>
                      <w:szCs w:val="21"/>
                      <w:highlight w:val="none"/>
                      <w14:textFill>
                        <w14:solidFill>
                          <w14:schemeClr w14:val="tx1"/>
                        </w14:solidFill>
                      </w14:textFill>
                    </w:rPr>
                    <w:t>废气收集引至布袋除尘器进行处理后经15m高排气筒（DA00</w:t>
                  </w: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）排放</w:t>
                  </w:r>
                  <w:r>
                    <w:rPr>
                      <w:rFonts w:hint="eastAsia"/>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本次新增颚破废气引入治理设施</w:t>
                  </w:r>
                  <w:r>
                    <w:rPr>
                      <w:color w:val="000000" w:themeColor="text1"/>
                      <w:szCs w:val="21"/>
                      <w:highlight w:val="none"/>
                      <w14:textFill>
                        <w14:solidFill>
                          <w14:schemeClr w14:val="tx1"/>
                        </w14:solidFill>
                      </w14:textFill>
                    </w:rPr>
                    <w:t>；</w:t>
                  </w:r>
                </w:p>
                <w:p w14:paraId="15899CD5">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③</w:t>
                  </w:r>
                  <w:r>
                    <w:rPr>
                      <w:color w:val="000000" w:themeColor="text1"/>
                      <w:szCs w:val="21"/>
                      <w:highlight w:val="none"/>
                      <w14:textFill>
                        <w14:solidFill>
                          <w14:schemeClr w14:val="tx1"/>
                        </w14:solidFill>
                      </w14:textFill>
                    </w:rPr>
                    <w:t>1#、2#隧道窑废气，主要为颗粒物、二氧化硫、氮氧化物、氟化物、</w:t>
                  </w:r>
                  <w:r>
                    <w:rPr>
                      <w:bCs/>
                      <w:color w:val="000000" w:themeColor="text1"/>
                      <w:szCs w:val="21"/>
                      <w:highlight w:val="none"/>
                      <w14:textFill>
                        <w14:solidFill>
                          <w14:schemeClr w14:val="tx1"/>
                        </w14:solidFill>
                      </w14:textFill>
                    </w:rPr>
                    <w:t>氯化氢、二噁英类、重金属</w:t>
                  </w:r>
                  <w:r>
                    <w:rPr>
                      <w:color w:val="000000" w:themeColor="text1"/>
                      <w:szCs w:val="21"/>
                      <w:highlight w:val="none"/>
                      <w14:textFill>
                        <w14:solidFill>
                          <w14:schemeClr w14:val="tx1"/>
                        </w14:solidFill>
                      </w14:textFill>
                    </w:rPr>
                    <w:t>等，窑体全封闭，废气经</w:t>
                  </w:r>
                  <w:r>
                    <w:rPr>
                      <w:rFonts w:hint="eastAsia"/>
                      <w:color w:val="000000" w:themeColor="text1"/>
                      <w:szCs w:val="21"/>
                      <w:highlight w:val="none"/>
                      <w:lang w:val="en-US" w:eastAsia="zh-CN"/>
                      <w14:textFill>
                        <w14:solidFill>
                          <w14:schemeClr w14:val="tx1"/>
                        </w14:solidFill>
                      </w14:textFill>
                    </w:rPr>
                    <w:t>SNCR脱硝+</w:t>
                  </w:r>
                  <w:r>
                    <w:rPr>
                      <w:color w:val="000000" w:themeColor="text1"/>
                      <w:szCs w:val="21"/>
                      <w:highlight w:val="none"/>
                      <w14:textFill>
                        <w14:solidFill>
                          <w14:schemeClr w14:val="tx1"/>
                        </w14:solidFill>
                      </w14:textFill>
                    </w:rPr>
                    <w:t>石灰-石膏法脱硫+湿式电除尘器处理后+38m高排气筒（DA00</w:t>
                  </w: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）排放；</w:t>
                  </w:r>
                </w:p>
                <w:p w14:paraId="6484A74F">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④</w:t>
                  </w:r>
                  <w:r>
                    <w:rPr>
                      <w:color w:val="000000" w:themeColor="text1"/>
                      <w:szCs w:val="21"/>
                      <w:highlight w:val="none"/>
                      <w14:textFill>
                        <w14:solidFill>
                          <w14:schemeClr w14:val="tx1"/>
                        </w14:solidFill>
                      </w14:textFill>
                    </w:rPr>
                    <w:t>3#、4#隧道窑废气，主要为颗粒物、二氧化硫、氮氧化物、氟化物、</w:t>
                  </w:r>
                  <w:r>
                    <w:rPr>
                      <w:bCs/>
                      <w:color w:val="000000" w:themeColor="text1"/>
                      <w:szCs w:val="21"/>
                      <w:highlight w:val="none"/>
                      <w14:textFill>
                        <w14:solidFill>
                          <w14:schemeClr w14:val="tx1"/>
                        </w14:solidFill>
                      </w14:textFill>
                    </w:rPr>
                    <w:t>氯化氢、二噁英类、重金属</w:t>
                  </w:r>
                  <w:r>
                    <w:rPr>
                      <w:color w:val="000000" w:themeColor="text1"/>
                      <w:szCs w:val="21"/>
                      <w:highlight w:val="none"/>
                      <w14:textFill>
                        <w14:solidFill>
                          <w14:schemeClr w14:val="tx1"/>
                        </w14:solidFill>
                      </w14:textFill>
                    </w:rPr>
                    <w:t>等，窑体全封闭，废气经</w:t>
                  </w:r>
                  <w:r>
                    <w:rPr>
                      <w:rFonts w:hint="eastAsia"/>
                      <w:color w:val="000000" w:themeColor="text1"/>
                      <w:szCs w:val="21"/>
                      <w:highlight w:val="none"/>
                      <w:lang w:val="en-US" w:eastAsia="zh-CN"/>
                      <w14:textFill>
                        <w14:solidFill>
                          <w14:schemeClr w14:val="tx1"/>
                        </w14:solidFill>
                      </w14:textFill>
                    </w:rPr>
                    <w:t>SNCR脱硝+</w:t>
                  </w:r>
                  <w:r>
                    <w:rPr>
                      <w:color w:val="000000" w:themeColor="text1"/>
                      <w:szCs w:val="21"/>
                      <w:highlight w:val="none"/>
                      <w14:textFill>
                        <w14:solidFill>
                          <w14:schemeClr w14:val="tx1"/>
                        </w14:solidFill>
                      </w14:textFill>
                    </w:rPr>
                    <w:t>石灰-石膏法脱硫+湿式电除尘器处理后+38m高排气筒（DA00</w:t>
                  </w: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）排放；</w:t>
                  </w:r>
                </w:p>
                <w:p w14:paraId="2914258C">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⑤</w:t>
                  </w:r>
                  <w:r>
                    <w:rPr>
                      <w:color w:val="000000" w:themeColor="text1"/>
                      <w:szCs w:val="21"/>
                      <w:highlight w:val="none"/>
                      <w14:textFill>
                        <w14:solidFill>
                          <w14:schemeClr w14:val="tx1"/>
                        </w14:solidFill>
                      </w14:textFill>
                    </w:rPr>
                    <w:t>1#、2#隧道窑窑车吹扫固定封闭工位，吹扫废气经全封闭集气罩收集+布袋除尘器处理后经15m高排气筒（DA005）排放；</w:t>
                  </w:r>
                </w:p>
                <w:p w14:paraId="325622D0">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⑥</w:t>
                  </w:r>
                  <w:r>
                    <w:rPr>
                      <w:color w:val="000000" w:themeColor="text1"/>
                      <w:szCs w:val="21"/>
                      <w:highlight w:val="none"/>
                      <w14:textFill>
                        <w14:solidFill>
                          <w14:schemeClr w14:val="tx1"/>
                        </w14:solidFill>
                      </w14:textFill>
                    </w:rPr>
                    <w:t>3#、4#隧道窑窑车吹扫固定封闭工位，吹扫废气经全封闭集气罩收集+布袋除尘器处理后经15m高排气筒（DA006）排放；</w:t>
                  </w:r>
                </w:p>
                <w:p w14:paraId="7E98303A">
                  <w:pPr>
                    <w:adjustRightInd w:val="0"/>
                    <w:snapToGrid w:val="0"/>
                    <w:spacing w:line="260" w:lineRule="exact"/>
                    <w:jc w:val="left"/>
                    <w:rPr>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⑦</w:t>
                  </w:r>
                  <w:r>
                    <w:rPr>
                      <w:bCs/>
                      <w:color w:val="000000" w:themeColor="text1"/>
                      <w:szCs w:val="21"/>
                      <w:highlight w:val="none"/>
                      <w14:textFill>
                        <w14:solidFill>
                          <w14:schemeClr w14:val="tx1"/>
                        </w14:solidFill>
                      </w14:textFill>
                    </w:rPr>
                    <w:t>污泥储存恶臭气体，</w:t>
                  </w:r>
                  <w:r>
                    <w:rPr>
                      <w:rFonts w:hint="eastAsia"/>
                      <w:bCs/>
                      <w:color w:val="000000" w:themeColor="text1"/>
                      <w:szCs w:val="21"/>
                      <w:highlight w:val="none"/>
                      <w14:textFill>
                        <w14:solidFill>
                          <w14:schemeClr w14:val="tx1"/>
                        </w14:solidFill>
                      </w14:textFill>
                    </w:rPr>
                    <w:t>现有及本项目新建的</w:t>
                  </w:r>
                  <w:r>
                    <w:rPr>
                      <w:bCs/>
                      <w:color w:val="000000" w:themeColor="text1"/>
                      <w:szCs w:val="21"/>
                      <w:highlight w:val="none"/>
                      <w14:textFill>
                        <w14:solidFill>
                          <w14:schemeClr w14:val="tx1"/>
                        </w14:solidFill>
                      </w14:textFill>
                    </w:rPr>
                    <w:t>污泥</w:t>
                  </w:r>
                  <w:r>
                    <w:rPr>
                      <w:rFonts w:hint="eastAsia"/>
                      <w:bCs/>
                      <w:color w:val="000000" w:themeColor="text1"/>
                      <w:szCs w:val="21"/>
                      <w:highlight w:val="none"/>
                      <w14:textFill>
                        <w14:solidFill>
                          <w14:schemeClr w14:val="tx1"/>
                        </w14:solidFill>
                      </w14:textFill>
                    </w:rPr>
                    <w:t>库</w:t>
                  </w:r>
                  <w:r>
                    <w:rPr>
                      <w:bCs/>
                      <w:color w:val="000000" w:themeColor="text1"/>
                      <w:szCs w:val="21"/>
                      <w:highlight w:val="none"/>
                      <w14:textFill>
                        <w14:solidFill>
                          <w14:schemeClr w14:val="tx1"/>
                        </w14:solidFill>
                      </w14:textFill>
                    </w:rPr>
                    <w:t>全封闭，</w:t>
                  </w:r>
                  <w:r>
                    <w:rPr>
                      <w:rFonts w:hint="eastAsia"/>
                      <w:bCs/>
                      <w:color w:val="000000" w:themeColor="text1"/>
                      <w:szCs w:val="21"/>
                      <w:highlight w:val="none"/>
                      <w14:textFill>
                        <w14:solidFill>
                          <w14:schemeClr w14:val="tx1"/>
                        </w14:solidFill>
                      </w14:textFill>
                    </w:rPr>
                    <w:t>微</w:t>
                  </w:r>
                  <w:r>
                    <w:rPr>
                      <w:bCs/>
                      <w:color w:val="000000" w:themeColor="text1"/>
                      <w:szCs w:val="21"/>
                      <w:highlight w:val="none"/>
                      <w14:textFill>
                        <w14:solidFill>
                          <w14:schemeClr w14:val="tx1"/>
                        </w14:solidFill>
                      </w14:textFill>
                    </w:rPr>
                    <w:t>负压收集，正常生产时，将恶臭气体引至1#隧道窑进行高温焙烧，随隧道窑废气经过</w:t>
                  </w:r>
                  <w:r>
                    <w:rPr>
                      <w:rFonts w:hint="eastAsia"/>
                      <w:bCs/>
                      <w:color w:val="000000" w:themeColor="text1"/>
                      <w:szCs w:val="21"/>
                      <w:highlight w:val="none"/>
                      <w14:textFill>
                        <w14:solidFill>
                          <w14:schemeClr w14:val="tx1"/>
                        </w14:solidFill>
                      </w14:textFill>
                    </w:rPr>
                    <w:t>烟气治理设施处理</w:t>
                  </w:r>
                  <w:r>
                    <w:rPr>
                      <w:bCs/>
                      <w:color w:val="000000" w:themeColor="text1"/>
                      <w:szCs w:val="21"/>
                      <w:highlight w:val="none"/>
                      <w14:textFill>
                        <w14:solidFill>
                          <w14:schemeClr w14:val="tx1"/>
                        </w14:solidFill>
                      </w14:textFill>
                    </w:rPr>
                    <w:t>后经38m高排气筒排放；隧道窑停产时，将恶臭气体引至两级活性炭吸附装置处理后经1根15m高排气筒（DA007）排放；</w:t>
                  </w:r>
                </w:p>
                <w:p w14:paraId="53A6F818">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⑧</w:t>
                  </w:r>
                  <w:r>
                    <w:rPr>
                      <w:color w:val="000000" w:themeColor="text1"/>
                      <w:szCs w:val="21"/>
                      <w:highlight w:val="none"/>
                      <w14:textFill>
                        <w14:solidFill>
                          <w14:schemeClr w14:val="tx1"/>
                        </w14:solidFill>
                      </w14:textFill>
                    </w:rPr>
                    <w:t>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为封闭库房，顶部设置可覆盖整个</w:t>
                  </w:r>
                  <w:r>
                    <w:rPr>
                      <w:rFonts w:hint="eastAsia"/>
                      <w:color w:val="000000" w:themeColor="text1"/>
                      <w:szCs w:val="21"/>
                      <w:highlight w:val="none"/>
                      <w14:textFill>
                        <w14:solidFill>
                          <w14:schemeClr w14:val="tx1"/>
                        </w14:solidFill>
                      </w14:textFill>
                    </w:rPr>
                    <w:t>原料库</w:t>
                  </w:r>
                  <w:r>
                    <w:rPr>
                      <w:color w:val="000000" w:themeColor="text1"/>
                      <w:szCs w:val="21"/>
                      <w:highlight w:val="none"/>
                      <w14:textFill>
                        <w14:solidFill>
                          <w14:schemeClr w14:val="tx1"/>
                        </w14:solidFill>
                      </w14:textFill>
                    </w:rPr>
                    <w:t>的喷淋装置；</w:t>
                  </w:r>
                  <w:r>
                    <w:rPr>
                      <w:rFonts w:hint="eastAsia"/>
                      <w:bCs/>
                      <w:color w:val="000000" w:themeColor="text1"/>
                      <w:szCs w:val="21"/>
                      <w:highlight w:val="none"/>
                      <w14:textFill>
                        <w14:solidFill>
                          <w14:schemeClr w14:val="tx1"/>
                        </w14:solidFill>
                      </w14:textFill>
                    </w:rPr>
                    <w:t>2座</w:t>
                  </w:r>
                  <w:r>
                    <w:rPr>
                      <w:bCs/>
                      <w:color w:val="000000" w:themeColor="text1"/>
                      <w:szCs w:val="21"/>
                      <w:highlight w:val="none"/>
                      <w14:textFill>
                        <w14:solidFill>
                          <w14:schemeClr w14:val="tx1"/>
                        </w14:solidFill>
                      </w14:textFill>
                    </w:rPr>
                    <w:t>污泥</w:t>
                  </w:r>
                  <w:r>
                    <w:rPr>
                      <w:rFonts w:hint="eastAsia"/>
                      <w:bCs/>
                      <w:color w:val="000000" w:themeColor="text1"/>
                      <w:szCs w:val="21"/>
                      <w:highlight w:val="none"/>
                      <w14:textFill>
                        <w14:solidFill>
                          <w14:schemeClr w14:val="tx1"/>
                        </w14:solidFill>
                      </w14:textFill>
                    </w:rPr>
                    <w:t>库</w:t>
                  </w:r>
                  <w:r>
                    <w:rPr>
                      <w:bCs/>
                      <w:color w:val="000000" w:themeColor="text1"/>
                      <w:szCs w:val="21"/>
                      <w:highlight w:val="none"/>
                      <w14:textFill>
                        <w14:solidFill>
                          <w14:schemeClr w14:val="tx1"/>
                        </w14:solidFill>
                      </w14:textFill>
                    </w:rPr>
                    <w:t>整体密闭，</w:t>
                  </w:r>
                  <w:r>
                    <w:rPr>
                      <w:rFonts w:hint="eastAsia"/>
                      <w:bCs/>
                      <w:color w:val="000000" w:themeColor="text1"/>
                      <w:szCs w:val="21"/>
                      <w:highlight w:val="none"/>
                      <w14:textFill>
                        <w14:solidFill>
                          <w14:schemeClr w14:val="tx1"/>
                        </w14:solidFill>
                      </w14:textFill>
                    </w:rPr>
                    <w:t>设自动感应门，仅车辆进出时开启；</w:t>
                  </w:r>
                </w:p>
                <w:p w14:paraId="718C66EE">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⑨</w:t>
                  </w:r>
                  <w:r>
                    <w:rPr>
                      <w:color w:val="000000" w:themeColor="text1"/>
                      <w:szCs w:val="21"/>
                      <w:highlight w:val="none"/>
                      <w14:textFill>
                        <w14:solidFill>
                          <w14:schemeClr w14:val="tx1"/>
                        </w14:solidFill>
                      </w14:textFill>
                    </w:rPr>
                    <w:t>生产车间为封闭车间，物料转运采用全封闭皮带通廊</w:t>
                  </w:r>
                  <w:r>
                    <w:rPr>
                      <w:rFonts w:hint="eastAsia"/>
                      <w:color w:val="000000" w:themeColor="text1"/>
                      <w:szCs w:val="21"/>
                      <w:highlight w:val="none"/>
                      <w14:textFill>
                        <w14:solidFill>
                          <w14:schemeClr w14:val="tx1"/>
                        </w14:solidFill>
                      </w14:textFill>
                    </w:rPr>
                    <w:t>；</w:t>
                  </w:r>
                </w:p>
                <w:p w14:paraId="314B84AE">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⑩</w:t>
                  </w:r>
                  <w:r>
                    <w:rPr>
                      <w:color w:val="000000" w:themeColor="text1"/>
                      <w:szCs w:val="21"/>
                      <w:highlight w:val="none"/>
                      <w14:textFill>
                        <w14:solidFill>
                          <w14:schemeClr w14:val="tx1"/>
                        </w14:solidFill>
                      </w14:textFill>
                    </w:rPr>
                    <w:t>厂区内汽车运输采取苫盖措施，装载机卸料及倒运均在封闭的原料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内进行。</w:t>
                  </w:r>
                </w:p>
              </w:tc>
              <w:tc>
                <w:tcPr>
                  <w:tcW w:w="620" w:type="dxa"/>
                  <w:vAlign w:val="center"/>
                </w:tcPr>
                <w:p w14:paraId="79AE5BCC">
                  <w:pPr>
                    <w:adjustRightInd w:val="0"/>
                    <w:snapToGrid w:val="0"/>
                    <w:spacing w:line="260" w:lineRule="exact"/>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利用现有废气治理设施，新增颚破封闭，设集尘管，废气引入现有脉冲布袋</w:t>
                  </w:r>
                  <w:r>
                    <w:rPr>
                      <w:b/>
                      <w:color w:val="000000" w:themeColor="text1"/>
                      <w:szCs w:val="21"/>
                      <w:highlight w:val="none"/>
                      <w14:textFill>
                        <w14:solidFill>
                          <w14:schemeClr w14:val="tx1"/>
                        </w14:solidFill>
                      </w14:textFill>
                    </w:rPr>
                    <w:t>除尘器处理后经15m高排气筒（DA00</w:t>
                  </w:r>
                  <w:r>
                    <w:rPr>
                      <w:rFonts w:hint="eastAsia"/>
                      <w:b/>
                      <w:color w:val="000000" w:themeColor="text1"/>
                      <w:szCs w:val="21"/>
                      <w:highlight w:val="none"/>
                      <w14:textFill>
                        <w14:solidFill>
                          <w14:schemeClr w14:val="tx1"/>
                        </w14:solidFill>
                      </w14:textFill>
                    </w:rPr>
                    <w:t>2</w:t>
                  </w:r>
                  <w:r>
                    <w:rPr>
                      <w:b/>
                      <w:color w:val="000000" w:themeColor="text1"/>
                      <w:szCs w:val="21"/>
                      <w:highlight w:val="none"/>
                      <w14:textFill>
                        <w14:solidFill>
                          <w14:schemeClr w14:val="tx1"/>
                        </w14:solidFill>
                      </w14:textFill>
                    </w:rPr>
                    <w:t>）排放</w:t>
                  </w:r>
                  <w:r>
                    <w:rPr>
                      <w:rFonts w:hint="eastAsia"/>
                      <w:b/>
                      <w:color w:val="000000" w:themeColor="text1"/>
                      <w:szCs w:val="21"/>
                      <w:highlight w:val="none"/>
                      <w14:textFill>
                        <w14:solidFill>
                          <w14:schemeClr w14:val="tx1"/>
                        </w14:solidFill>
                      </w14:textFill>
                    </w:rPr>
                    <w:t>，更换除臭装置</w:t>
                  </w:r>
                </w:p>
              </w:tc>
            </w:tr>
            <w:tr w14:paraId="6C0FA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40A73F62">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6AE72750">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废水</w:t>
                  </w:r>
                </w:p>
              </w:tc>
              <w:tc>
                <w:tcPr>
                  <w:tcW w:w="6260" w:type="dxa"/>
                  <w:vAlign w:val="center"/>
                </w:tcPr>
                <w:p w14:paraId="02DAFBDF">
                  <w:pPr>
                    <w:adjustRightInd w:val="0"/>
                    <w:snapToGrid w:val="0"/>
                    <w:spacing w:line="260" w:lineRule="exact"/>
                    <w:jc w:val="left"/>
                    <w:rPr>
                      <w:rFonts w:ascii="宋体" w:hAnsi="宋体" w:cs="宋体"/>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①</w:t>
                  </w:r>
                  <w:r>
                    <w:rPr>
                      <w:rFonts w:ascii="宋体" w:hAnsi="宋体" w:cs="宋体"/>
                      <w:bCs/>
                      <w:color w:val="000000" w:themeColor="text1"/>
                      <w:szCs w:val="21"/>
                      <w:highlight w:val="none"/>
                      <w14:textFill>
                        <w14:solidFill>
                          <w14:schemeClr w14:val="tx1"/>
                        </w14:solidFill>
                      </w14:textFill>
                    </w:rPr>
                    <w:t>设备清洗废水经沉淀池沉淀后，回用于设备清洗</w:t>
                  </w:r>
                  <w:r>
                    <w:rPr>
                      <w:rFonts w:hint="eastAsia" w:ascii="宋体" w:hAnsi="宋体" w:cs="宋体"/>
                      <w:bCs/>
                      <w:color w:val="000000" w:themeColor="text1"/>
                      <w:szCs w:val="21"/>
                      <w:highlight w:val="none"/>
                      <w14:textFill>
                        <w14:solidFill>
                          <w14:schemeClr w14:val="tx1"/>
                        </w14:solidFill>
                      </w14:textFill>
                    </w:rPr>
                    <w:t>；</w:t>
                  </w:r>
                </w:p>
                <w:p w14:paraId="5AAD6DA1">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②</w:t>
                  </w:r>
                  <w:r>
                    <w:rPr>
                      <w:color w:val="000000" w:themeColor="text1"/>
                      <w:szCs w:val="21"/>
                      <w:highlight w:val="none"/>
                      <w14:textFill>
                        <w14:solidFill>
                          <w14:schemeClr w14:val="tx1"/>
                        </w14:solidFill>
                      </w14:textFill>
                    </w:rPr>
                    <w:t>脱硫废水经脱硫池沉淀后回用于脱硫，不外排；</w:t>
                  </w:r>
                </w:p>
                <w:p w14:paraId="4E41386C">
                  <w:pPr>
                    <w:adjustRightInd w:val="0"/>
                    <w:snapToGrid w:val="0"/>
                    <w:spacing w:line="260" w:lineRule="exact"/>
                    <w:jc w:val="left"/>
                    <w:rPr>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③</w:t>
                  </w:r>
                  <w:r>
                    <w:rPr>
                      <w:color w:val="000000" w:themeColor="text1"/>
                      <w:szCs w:val="21"/>
                      <w:highlight w:val="none"/>
                      <w14:textFill>
                        <w14:solidFill>
                          <w14:schemeClr w14:val="tx1"/>
                        </w14:solidFill>
                      </w14:textFill>
                    </w:rPr>
                    <w:t>厂区出入口、封闭原料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出口分别设置1座洗车平台（地下建筑、抗渗混凝土浇筑6m×2.5m），洗车废水经沉淀后循环使用，不外排；</w:t>
                  </w:r>
                </w:p>
                <w:p w14:paraId="66D32DFF">
                  <w:pPr>
                    <w:adjustRightInd w:val="0"/>
                    <w:snapToGrid w:val="0"/>
                    <w:spacing w:line="260" w:lineRule="exact"/>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④</w:t>
                  </w:r>
                  <w:r>
                    <w:rPr>
                      <w:color w:val="000000" w:themeColor="text1"/>
                      <w:szCs w:val="21"/>
                      <w:highlight w:val="none"/>
                      <w14:textFill>
                        <w14:solidFill>
                          <w14:schemeClr w14:val="tx1"/>
                        </w14:solidFill>
                      </w14:textFill>
                    </w:rPr>
                    <w:t>职工生活污水为职工盥洗废水，水质简单，产生量小，全部用于厂区内泼洒地面抑尘，不外排。</w:t>
                  </w:r>
                </w:p>
              </w:tc>
              <w:tc>
                <w:tcPr>
                  <w:tcW w:w="620" w:type="dxa"/>
                  <w:vAlign w:val="center"/>
                </w:tcPr>
                <w:p w14:paraId="1B9D9B5D">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47E12B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10112C73">
                  <w:pPr>
                    <w:adjustRightInd w:val="0"/>
                    <w:snapToGrid w:val="0"/>
                    <w:spacing w:line="260" w:lineRule="exact"/>
                    <w:jc w:val="center"/>
                    <w:rPr>
                      <w:color w:val="000000" w:themeColor="text1"/>
                      <w:szCs w:val="21"/>
                      <w:highlight w:val="none"/>
                      <w14:textFill>
                        <w14:solidFill>
                          <w14:schemeClr w14:val="tx1"/>
                        </w14:solidFill>
                      </w14:textFill>
                    </w:rPr>
                  </w:pPr>
                </w:p>
              </w:tc>
              <w:tc>
                <w:tcPr>
                  <w:tcW w:w="1350" w:type="dxa"/>
                  <w:gridSpan w:val="3"/>
                  <w:vAlign w:val="center"/>
                </w:tcPr>
                <w:p w14:paraId="28061FC5">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噪声</w:t>
                  </w:r>
                </w:p>
              </w:tc>
              <w:tc>
                <w:tcPr>
                  <w:tcW w:w="6260" w:type="dxa"/>
                  <w:vAlign w:val="center"/>
                </w:tcPr>
                <w:p w14:paraId="12B87FF9">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合理布局，选用低噪音设备，采取基础减振、厂房隔声，风机</w:t>
                  </w:r>
                  <w:r>
                    <w:rPr>
                      <w:rFonts w:hint="eastAsia"/>
                      <w:color w:val="000000" w:themeColor="text1"/>
                      <w:szCs w:val="21"/>
                      <w:highlight w:val="none"/>
                      <w14:textFill>
                        <w14:solidFill>
                          <w14:schemeClr w14:val="tx1"/>
                        </w14:solidFill>
                      </w14:textFill>
                    </w:rPr>
                    <w:t>软连接</w:t>
                  </w:r>
                  <w:r>
                    <w:rPr>
                      <w:color w:val="000000" w:themeColor="text1"/>
                      <w:szCs w:val="21"/>
                      <w:highlight w:val="none"/>
                      <w14:textFill>
                        <w14:solidFill>
                          <w14:schemeClr w14:val="tx1"/>
                        </w14:solidFill>
                      </w14:textFill>
                    </w:rPr>
                    <w:t>等措施</w:t>
                  </w:r>
                </w:p>
              </w:tc>
              <w:tc>
                <w:tcPr>
                  <w:tcW w:w="620" w:type="dxa"/>
                  <w:vAlign w:val="center"/>
                </w:tcPr>
                <w:p w14:paraId="1CFA6217">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2CD23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2AD6C2AF">
                  <w:pPr>
                    <w:adjustRightInd w:val="0"/>
                    <w:snapToGrid w:val="0"/>
                    <w:spacing w:line="260" w:lineRule="exact"/>
                    <w:jc w:val="center"/>
                    <w:rPr>
                      <w:color w:val="000000" w:themeColor="text1"/>
                      <w:szCs w:val="21"/>
                      <w:highlight w:val="none"/>
                      <w14:textFill>
                        <w14:solidFill>
                          <w14:schemeClr w14:val="tx1"/>
                        </w14:solidFill>
                      </w14:textFill>
                    </w:rPr>
                  </w:pPr>
                </w:p>
              </w:tc>
              <w:tc>
                <w:tcPr>
                  <w:tcW w:w="658" w:type="dxa"/>
                  <w:gridSpan w:val="2"/>
                  <w:vMerge w:val="restart"/>
                  <w:vAlign w:val="center"/>
                </w:tcPr>
                <w:p w14:paraId="123A8C99">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固废</w:t>
                  </w:r>
                </w:p>
              </w:tc>
              <w:tc>
                <w:tcPr>
                  <w:tcW w:w="692" w:type="dxa"/>
                  <w:vAlign w:val="center"/>
                </w:tcPr>
                <w:p w14:paraId="3AD49758">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w:t>
                  </w:r>
                </w:p>
                <w:p w14:paraId="567BD6DA">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固废</w:t>
                  </w:r>
                </w:p>
              </w:tc>
              <w:tc>
                <w:tcPr>
                  <w:tcW w:w="6260" w:type="dxa"/>
                  <w:vAlign w:val="center"/>
                </w:tcPr>
                <w:p w14:paraId="3A9E8994">
                  <w:pPr>
                    <w:adjustRightInd w:val="0"/>
                    <w:snapToGrid w:val="0"/>
                    <w:spacing w:line="260" w:lineRule="exact"/>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检验工序产生的废砖</w:t>
                  </w:r>
                  <w:r>
                    <w:rPr>
                      <w:rFonts w:hint="eastAsia"/>
                      <w:color w:val="000000" w:themeColor="text1"/>
                      <w:szCs w:val="21"/>
                      <w:highlight w:val="none"/>
                      <w14:textFill>
                        <w14:solidFill>
                          <w14:schemeClr w14:val="tx1"/>
                        </w14:solidFill>
                      </w14:textFill>
                    </w:rPr>
                    <w:t>、袋式除尘器产生的</w:t>
                  </w:r>
                  <w:r>
                    <w:rPr>
                      <w:color w:val="000000" w:themeColor="text1"/>
                      <w:szCs w:val="21"/>
                      <w:highlight w:val="none"/>
                      <w14:textFill>
                        <w14:solidFill>
                          <w14:schemeClr w14:val="tx1"/>
                        </w14:solidFill>
                      </w14:textFill>
                    </w:rPr>
                    <w:t>废滤袋</w:t>
                  </w:r>
                  <w:r>
                    <w:rPr>
                      <w:rFonts w:hint="eastAsia"/>
                      <w:color w:val="000000" w:themeColor="text1"/>
                      <w:szCs w:val="21"/>
                      <w:highlight w:val="none"/>
                      <w14:textFill>
                        <w14:solidFill>
                          <w14:schemeClr w14:val="tx1"/>
                        </w14:solidFill>
                      </w14:textFill>
                    </w:rPr>
                    <w:t>、脱硫脱硝工序产生的废包装袋集中收集暂存车间一般固废区，定期外售</w:t>
                  </w:r>
                  <w:r>
                    <w:rPr>
                      <w:color w:val="000000" w:themeColor="text1"/>
                      <w:szCs w:val="21"/>
                      <w:highlight w:val="none"/>
                      <w14:textFill>
                        <w14:solidFill>
                          <w14:schemeClr w14:val="tx1"/>
                        </w14:solidFill>
                      </w14:textFill>
                    </w:rPr>
                    <w:t>；切坯工序产生的废</w:t>
                  </w:r>
                  <w:r>
                    <w:rPr>
                      <w:rFonts w:hint="eastAsia"/>
                      <w:color w:val="000000" w:themeColor="text1"/>
                      <w:szCs w:val="21"/>
                      <w:highlight w:val="none"/>
                      <w14:textFill>
                        <w14:solidFill>
                          <w14:schemeClr w14:val="tx1"/>
                        </w14:solidFill>
                      </w14:textFill>
                    </w:rPr>
                    <w:t>砖坯、</w:t>
                  </w:r>
                  <w:r>
                    <w:rPr>
                      <w:color w:val="000000" w:themeColor="text1"/>
                      <w:szCs w:val="21"/>
                      <w:highlight w:val="none"/>
                      <w14:textFill>
                        <w14:solidFill>
                          <w14:schemeClr w14:val="tx1"/>
                        </w14:solidFill>
                      </w14:textFill>
                    </w:rPr>
                    <w:t>布袋除尘器</w:t>
                  </w:r>
                  <w:r>
                    <w:rPr>
                      <w:rFonts w:hint="eastAsia"/>
                      <w:color w:val="000000" w:themeColor="text1"/>
                      <w:szCs w:val="21"/>
                      <w:highlight w:val="none"/>
                      <w14:textFill>
                        <w14:solidFill>
                          <w14:schemeClr w14:val="tx1"/>
                        </w14:solidFill>
                      </w14:textFill>
                    </w:rPr>
                    <w:t>收集</w:t>
                  </w:r>
                  <w:r>
                    <w:rPr>
                      <w:color w:val="000000" w:themeColor="text1"/>
                      <w:szCs w:val="21"/>
                      <w:highlight w:val="none"/>
                      <w14:textFill>
                        <w14:solidFill>
                          <w14:schemeClr w14:val="tx1"/>
                        </w14:solidFill>
                      </w14:textFill>
                    </w:rPr>
                    <w:t>的除尘灰、烟气脱硫产生的脱硫石膏、湿式电除尘产生的除尘灰浆</w:t>
                  </w:r>
                  <w:r>
                    <w:rPr>
                      <w:rFonts w:hint="eastAsia"/>
                      <w:color w:val="000000" w:themeColor="text1"/>
                      <w:szCs w:val="21"/>
                      <w:highlight w:val="none"/>
                      <w14:textFill>
                        <w14:solidFill>
                          <w14:schemeClr w14:val="tx1"/>
                        </w14:solidFill>
                      </w14:textFill>
                    </w:rPr>
                    <w:t>收集后送入</w:t>
                  </w:r>
                  <w:r>
                    <w:rPr>
                      <w:color w:val="000000" w:themeColor="text1"/>
                      <w:szCs w:val="21"/>
                      <w:highlight w:val="none"/>
                      <w14:textFill>
                        <w14:solidFill>
                          <w14:schemeClr w14:val="tx1"/>
                        </w14:solidFill>
                      </w14:textFill>
                    </w:rPr>
                    <w:t>搅拌工序，回用于生产；</w:t>
                  </w:r>
                  <w:r>
                    <w:rPr>
                      <w:rFonts w:hint="eastAsia"/>
                      <w:color w:val="000000" w:themeColor="text1"/>
                      <w:szCs w:val="21"/>
                      <w:highlight w:val="none"/>
                      <w14:textFill>
                        <w14:solidFill>
                          <w14:schemeClr w14:val="tx1"/>
                        </w14:solidFill>
                      </w14:textFill>
                    </w:rPr>
                    <w:t>洗车平台产生的污泥定期清理，回用于生产。</w:t>
                  </w:r>
                  <w:r>
                    <w:rPr>
                      <w:color w:val="000000" w:themeColor="text1"/>
                      <w:szCs w:val="21"/>
                      <w:highlight w:val="none"/>
                      <w14:textFill>
                        <w14:solidFill>
                          <w14:schemeClr w14:val="tx1"/>
                        </w14:solidFill>
                      </w14:textFill>
                    </w:rPr>
                    <w:t>职工生活垃圾由环卫部门定期清运处理。</w:t>
                  </w:r>
                </w:p>
              </w:tc>
              <w:tc>
                <w:tcPr>
                  <w:tcW w:w="620" w:type="dxa"/>
                  <w:vAlign w:val="center"/>
                </w:tcPr>
                <w:p w14:paraId="6AA88E2D">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4C893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Merge w:val="continue"/>
                  <w:vAlign w:val="center"/>
                </w:tcPr>
                <w:p w14:paraId="5D845A1B">
                  <w:pPr>
                    <w:adjustRightInd w:val="0"/>
                    <w:snapToGrid w:val="0"/>
                    <w:spacing w:line="260" w:lineRule="exact"/>
                    <w:jc w:val="center"/>
                    <w:rPr>
                      <w:color w:val="000000" w:themeColor="text1"/>
                      <w:szCs w:val="21"/>
                      <w:highlight w:val="none"/>
                      <w14:textFill>
                        <w14:solidFill>
                          <w14:schemeClr w14:val="tx1"/>
                        </w14:solidFill>
                      </w14:textFill>
                    </w:rPr>
                  </w:pPr>
                </w:p>
              </w:tc>
              <w:tc>
                <w:tcPr>
                  <w:tcW w:w="658" w:type="dxa"/>
                  <w:gridSpan w:val="2"/>
                  <w:vMerge w:val="continue"/>
                  <w:tcBorders>
                    <w:bottom w:val="single" w:color="auto" w:sz="4" w:space="0"/>
                  </w:tcBorders>
                  <w:vAlign w:val="center"/>
                </w:tcPr>
                <w:p w14:paraId="3BB38CD2">
                  <w:pPr>
                    <w:adjustRightInd w:val="0"/>
                    <w:snapToGrid w:val="0"/>
                    <w:spacing w:line="260" w:lineRule="exact"/>
                    <w:jc w:val="center"/>
                    <w:rPr>
                      <w:color w:val="000000" w:themeColor="text1"/>
                      <w:szCs w:val="21"/>
                      <w:highlight w:val="none"/>
                      <w14:textFill>
                        <w14:solidFill>
                          <w14:schemeClr w14:val="tx1"/>
                        </w14:solidFill>
                      </w14:textFill>
                    </w:rPr>
                  </w:pPr>
                </w:p>
              </w:tc>
              <w:tc>
                <w:tcPr>
                  <w:tcW w:w="692" w:type="dxa"/>
                  <w:tcBorders>
                    <w:bottom w:val="single" w:color="auto" w:sz="4" w:space="0"/>
                  </w:tcBorders>
                  <w:vAlign w:val="center"/>
                </w:tcPr>
                <w:p w14:paraId="40D2CB19">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w:t>
                  </w:r>
                </w:p>
                <w:p w14:paraId="6C5A746D">
                  <w:pPr>
                    <w:adjustRightInd w:val="0"/>
                    <w:snapToGrid w:val="0"/>
                    <w:spacing w:line="26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废物</w:t>
                  </w:r>
                </w:p>
              </w:tc>
              <w:tc>
                <w:tcPr>
                  <w:tcW w:w="6260" w:type="dxa"/>
                  <w:vAlign w:val="center"/>
                </w:tcPr>
                <w:p w14:paraId="348129B2">
                  <w:pPr>
                    <w:adjustRightInd w:val="0"/>
                    <w:snapToGrid w:val="0"/>
                    <w:spacing w:line="260" w:lineRule="exact"/>
                    <w:jc w:val="left"/>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废润滑油</w:t>
                  </w:r>
                  <w:r>
                    <w:rPr>
                      <w:rFonts w:hint="eastAsia"/>
                      <w:bCs/>
                      <w:color w:val="000000" w:themeColor="text1"/>
                      <w:szCs w:val="21"/>
                      <w:highlight w:val="none"/>
                      <w14:textFill>
                        <w14:solidFill>
                          <w14:schemeClr w14:val="tx1"/>
                        </w14:solidFill>
                      </w14:textFill>
                    </w:rPr>
                    <w:t>采用专用容器贮存</w:t>
                  </w:r>
                  <w:r>
                    <w:rPr>
                      <w:rFonts w:hint="eastAsia"/>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废活性炭</w:t>
                  </w:r>
                  <w:r>
                    <w:rPr>
                      <w:rFonts w:hint="eastAsia"/>
                      <w:color w:val="000000" w:themeColor="text1"/>
                      <w:szCs w:val="21"/>
                      <w:highlight w:val="none"/>
                      <w14:textFill>
                        <w14:solidFill>
                          <w14:schemeClr w14:val="tx1"/>
                        </w14:solidFill>
                      </w14:textFill>
                    </w:rPr>
                    <w:t>采用内塑外编的包装袋收集封口，废油桶密封，以上危废暂存</w:t>
                  </w:r>
                  <w:r>
                    <w:rPr>
                      <w:rFonts w:hint="eastAsia"/>
                      <w:color w:val="000000" w:themeColor="text1"/>
                      <w:szCs w:val="21"/>
                      <w:highlight w:val="none"/>
                      <w:lang w:val="en-US" w:eastAsia="zh-CN"/>
                      <w14:textFill>
                        <w14:solidFill>
                          <w14:schemeClr w14:val="tx1"/>
                        </w14:solidFill>
                      </w14:textFill>
                    </w:rPr>
                    <w:t>于</w:t>
                  </w:r>
                  <w:r>
                    <w:rPr>
                      <w:rFonts w:hint="eastAsia"/>
                      <w:color w:val="000000" w:themeColor="text1"/>
                      <w:szCs w:val="21"/>
                      <w:highlight w:val="none"/>
                      <w14:textFill>
                        <w14:solidFill>
                          <w14:schemeClr w14:val="tx1"/>
                        </w14:solidFill>
                      </w14:textFill>
                    </w:rPr>
                    <w:t>危废间，交有资质单位处理</w:t>
                  </w:r>
                </w:p>
              </w:tc>
              <w:tc>
                <w:tcPr>
                  <w:tcW w:w="620" w:type="dxa"/>
                  <w:vAlign w:val="center"/>
                </w:tcPr>
                <w:p w14:paraId="57232AE3">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05BE0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11" w:type="dxa"/>
                  <w:vAlign w:val="center"/>
                </w:tcPr>
                <w:p w14:paraId="23367537">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防渗工程</w:t>
                  </w:r>
                </w:p>
              </w:tc>
              <w:tc>
                <w:tcPr>
                  <w:tcW w:w="1350" w:type="dxa"/>
                  <w:gridSpan w:val="3"/>
                  <w:tcBorders>
                    <w:top w:val="single" w:color="auto" w:sz="4" w:space="0"/>
                  </w:tcBorders>
                  <w:vAlign w:val="center"/>
                </w:tcPr>
                <w:p w14:paraId="30F30748">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分区防渗</w:t>
                  </w:r>
                </w:p>
              </w:tc>
              <w:tc>
                <w:tcPr>
                  <w:tcW w:w="6260" w:type="dxa"/>
                  <w:vAlign w:val="center"/>
                </w:tcPr>
                <w:p w14:paraId="554647EA">
                  <w:pPr>
                    <w:adjustRightInd w:val="0"/>
                    <w:snapToGrid w:val="0"/>
                    <w:spacing w:line="260" w:lineRule="exact"/>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重点防渗区：危废间</w:t>
                  </w:r>
                  <w:r>
                    <w:rPr>
                      <w:bCs/>
                      <w:color w:val="000000" w:themeColor="text1"/>
                      <w:szCs w:val="21"/>
                      <w:highlight w:val="none"/>
                      <w14:textFill>
                        <w14:solidFill>
                          <w14:schemeClr w14:val="tx1"/>
                        </w14:solidFill>
                      </w14:textFill>
                    </w:rPr>
                    <w:t>底部铺设30</w:t>
                  </w:r>
                  <w:r>
                    <w:rPr>
                      <w:rFonts w:hint="eastAsia"/>
                      <w:bCs/>
                      <w:color w:val="000000" w:themeColor="text1"/>
                      <w:szCs w:val="21"/>
                      <w:highlight w:val="none"/>
                      <w14:textFill>
                        <w14:solidFill>
                          <w14:schemeClr w14:val="tx1"/>
                        </w14:solidFill>
                      </w14:textFill>
                    </w:rPr>
                    <w:t>0</w:t>
                  </w:r>
                  <w:r>
                    <w:rPr>
                      <w:bCs/>
                      <w:color w:val="000000" w:themeColor="text1"/>
                      <w:szCs w:val="21"/>
                      <w:highlight w:val="none"/>
                      <w14:textFill>
                        <w14:solidFill>
                          <w14:schemeClr w14:val="tx1"/>
                        </w14:solidFill>
                      </w14:textFill>
                    </w:rPr>
                    <w:t>mm粘土层（保护层，同时作为辅助防渗层）压实平整，粘土层上铺设HDPE-GCL复合防渗系统（2mm</w:t>
                  </w:r>
                  <w:r>
                    <w:rPr>
                      <w:rFonts w:hint="eastAsia"/>
                      <w:bCs/>
                      <w:color w:val="000000" w:themeColor="text1"/>
                      <w:szCs w:val="21"/>
                      <w:highlight w:val="none"/>
                      <w14:textFill>
                        <w14:solidFill>
                          <w14:schemeClr w14:val="tx1"/>
                        </w14:solidFill>
                      </w14:textFill>
                    </w:rPr>
                    <w:t>厚</w:t>
                  </w:r>
                  <w:r>
                    <w:rPr>
                      <w:bCs/>
                      <w:color w:val="000000" w:themeColor="text1"/>
                      <w:szCs w:val="21"/>
                      <w:highlight w:val="none"/>
                      <w14:textFill>
                        <w14:solidFill>
                          <w14:schemeClr w14:val="tx1"/>
                        </w14:solidFill>
                      </w14:textFill>
                    </w:rPr>
                    <w:t>高密度聚乙烯膜、300g/m</w:t>
                  </w:r>
                  <w:r>
                    <w:rPr>
                      <w:bCs/>
                      <w:color w:val="000000" w:themeColor="text1"/>
                      <w:szCs w:val="21"/>
                      <w:highlight w:val="none"/>
                      <w:vertAlign w:val="superscript"/>
                      <w14:textFill>
                        <w14:solidFill>
                          <w14:schemeClr w14:val="tx1"/>
                        </w14:solidFill>
                      </w14:textFill>
                    </w:rPr>
                    <w:t>2</w:t>
                  </w:r>
                  <w:r>
                    <w:rPr>
                      <w:bCs/>
                      <w:color w:val="000000" w:themeColor="text1"/>
                      <w:szCs w:val="21"/>
                      <w:highlight w:val="none"/>
                      <w14:textFill>
                        <w14:solidFill>
                          <w14:schemeClr w14:val="tx1"/>
                        </w14:solidFill>
                      </w14:textFill>
                    </w:rPr>
                    <w:t>土工织物膨润土垫）、上部外加耐腐蚀混凝土15cm（保护层）防渗</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渗透系数≤10</w:t>
                  </w:r>
                  <w:r>
                    <w:rPr>
                      <w:bCs/>
                      <w:color w:val="000000" w:themeColor="text1"/>
                      <w:szCs w:val="21"/>
                      <w:highlight w:val="none"/>
                      <w:vertAlign w:val="superscript"/>
                      <w14:textFill>
                        <w14:solidFill>
                          <w14:schemeClr w14:val="tx1"/>
                        </w14:solidFill>
                      </w14:textFill>
                    </w:rPr>
                    <w:t>-10</w:t>
                  </w:r>
                  <w:r>
                    <w:rPr>
                      <w:bCs/>
                      <w:color w:val="000000" w:themeColor="text1"/>
                      <w:szCs w:val="21"/>
                      <w:highlight w:val="none"/>
                      <w14:textFill>
                        <w14:solidFill>
                          <w14:schemeClr w14:val="tx1"/>
                        </w14:solidFill>
                      </w14:textFill>
                    </w:rPr>
                    <w:t>cm/s</w:t>
                  </w:r>
                  <w:r>
                    <w:rPr>
                      <w:rFonts w:hint="eastAsia"/>
                      <w:bCs/>
                      <w:color w:val="000000" w:themeColor="text1"/>
                      <w:szCs w:val="21"/>
                      <w:highlight w:val="none"/>
                      <w14:textFill>
                        <w14:solidFill>
                          <w14:schemeClr w14:val="tx1"/>
                        </w14:solidFill>
                      </w14:textFill>
                    </w:rPr>
                    <w:t>；现有</w:t>
                  </w:r>
                  <w:r>
                    <w:rPr>
                      <w:rFonts w:hint="eastAsia"/>
                      <w:bCs/>
                      <w:color w:val="000000" w:themeColor="text1"/>
                      <w:szCs w:val="21"/>
                      <w:highlight w:val="none"/>
                      <w:lang w:val="en-US" w:eastAsia="zh-CN"/>
                      <w14:textFill>
                        <w14:solidFill>
                          <w14:schemeClr w14:val="tx1"/>
                        </w14:solidFill>
                      </w14:textFill>
                    </w:rPr>
                    <w:t>脱硫水池、</w:t>
                  </w:r>
                  <w:r>
                    <w:rPr>
                      <w:rFonts w:hint="eastAsia"/>
                      <w:bCs/>
                      <w:color w:val="000000" w:themeColor="text1"/>
                      <w:szCs w:val="21"/>
                      <w:highlight w:val="none"/>
                      <w14:textFill>
                        <w14:solidFill>
                          <w14:schemeClr w14:val="tx1"/>
                        </w14:solidFill>
                      </w14:textFill>
                    </w:rPr>
                    <w:t>污泥库和本次改扩建新建污泥库</w:t>
                  </w:r>
                  <w:r>
                    <w:rPr>
                      <w:bCs/>
                      <w:color w:val="000000" w:themeColor="text1"/>
                      <w:szCs w:val="21"/>
                      <w:highlight w:val="none"/>
                      <w14:textFill>
                        <w14:solidFill>
                          <w14:schemeClr w14:val="tx1"/>
                        </w14:solidFill>
                      </w14:textFill>
                    </w:rPr>
                    <w:t>底部铺设300mm粘土层（保护层，同时作为辅助防渗层）压实平整，粘土层上铺设2mm厚的高密度聚乙烯膜，上部外加耐腐蚀混凝土15cm（保护层）防渗，表面涂2-4mm厚防腐、抗渗环氧树脂，渗透系数≤10</w:t>
                  </w:r>
                  <w:r>
                    <w:rPr>
                      <w:bCs/>
                      <w:color w:val="000000" w:themeColor="text1"/>
                      <w:szCs w:val="21"/>
                      <w:highlight w:val="none"/>
                      <w:vertAlign w:val="superscript"/>
                      <w14:textFill>
                        <w14:solidFill>
                          <w14:schemeClr w14:val="tx1"/>
                        </w14:solidFill>
                      </w14:textFill>
                    </w:rPr>
                    <w:t>-</w:t>
                  </w:r>
                  <w:r>
                    <w:rPr>
                      <w:rFonts w:hint="eastAsia"/>
                      <w:bCs/>
                      <w:color w:val="000000" w:themeColor="text1"/>
                      <w:szCs w:val="21"/>
                      <w:highlight w:val="none"/>
                      <w:vertAlign w:val="superscript"/>
                      <w14:textFill>
                        <w14:solidFill>
                          <w14:schemeClr w14:val="tx1"/>
                        </w14:solidFill>
                      </w14:textFill>
                    </w:rPr>
                    <w:t>7</w:t>
                  </w:r>
                  <w:r>
                    <w:rPr>
                      <w:bCs/>
                      <w:color w:val="000000" w:themeColor="text1"/>
                      <w:szCs w:val="21"/>
                      <w:highlight w:val="none"/>
                      <w14:textFill>
                        <w14:solidFill>
                          <w14:schemeClr w14:val="tx1"/>
                        </w14:solidFill>
                      </w14:textFill>
                    </w:rPr>
                    <w:t>cm/s，同时设置防雨、防渗漏、防流失等措施</w:t>
                  </w:r>
                  <w:r>
                    <w:rPr>
                      <w:rFonts w:hint="eastAsia"/>
                      <w:bCs/>
                      <w:color w:val="000000" w:themeColor="text1"/>
                      <w:szCs w:val="21"/>
                      <w:highlight w:val="none"/>
                      <w14:textFill>
                        <w14:solidFill>
                          <w14:schemeClr w14:val="tx1"/>
                        </w14:solidFill>
                      </w14:textFill>
                    </w:rPr>
                    <w:t>。</w:t>
                  </w:r>
                </w:p>
                <w:p w14:paraId="5561CADA">
                  <w:pPr>
                    <w:adjustRightInd w:val="0"/>
                    <w:snapToGrid w:val="0"/>
                    <w:spacing w:line="260" w:lineRule="exact"/>
                    <w:jc w:val="lef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一般防渗区：生产车间、原料库、一般固废区地面</w:t>
                  </w:r>
                  <w:r>
                    <w:rPr>
                      <w:bCs/>
                      <w:color w:val="000000" w:themeColor="text1"/>
                      <w:szCs w:val="21"/>
                      <w:highlight w:val="none"/>
                      <w14:textFill>
                        <w14:solidFill>
                          <w14:schemeClr w14:val="tx1"/>
                        </w14:solidFill>
                      </w14:textFill>
                    </w:rPr>
                    <w:t>采用防渗钢筋混凝土结构，结构厚度不小于250mm，混凝土的抗渗等级不低于P8</w:t>
                  </w:r>
                  <w:r>
                    <w:rPr>
                      <w:rFonts w:hint="eastAsia"/>
                      <w:bCs/>
                      <w:color w:val="000000" w:themeColor="text1"/>
                      <w:szCs w:val="21"/>
                      <w:highlight w:val="none"/>
                      <w14:textFill>
                        <w14:solidFill>
                          <w14:schemeClr w14:val="tx1"/>
                        </w14:solidFill>
                      </w14:textFill>
                    </w:rPr>
                    <w:t>。洗车平台池体采用抗渗混凝土结构。</w:t>
                  </w:r>
                </w:p>
                <w:p w14:paraId="30E8834E">
                  <w:pPr>
                    <w:adjustRightInd w:val="0"/>
                    <w:snapToGrid w:val="0"/>
                    <w:spacing w:line="260" w:lineRule="exact"/>
                    <w:jc w:val="left"/>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简单防渗区：厂区内道路全部硬化。</w:t>
                  </w:r>
                </w:p>
              </w:tc>
              <w:tc>
                <w:tcPr>
                  <w:tcW w:w="620" w:type="dxa"/>
                  <w:vAlign w:val="center"/>
                </w:tcPr>
                <w:p w14:paraId="666903EA">
                  <w:pPr>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bl>
          <w:p w14:paraId="0D755297">
            <w:pPr>
              <w:spacing w:line="480" w:lineRule="exact"/>
              <w:ind w:firstLine="480" w:firstLineChars="200"/>
              <w:rPr>
                <w:rFonts w:hAnsi="宋体"/>
                <w:color w:val="000000" w:themeColor="text1"/>
                <w:kern w:val="0"/>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改扩建后，产品种类不变，仍为普通页岩砖</w:t>
            </w:r>
            <w:r>
              <w:rPr>
                <w:bCs/>
                <w:color w:val="000000" w:themeColor="text1"/>
                <w:sz w:val="24"/>
                <w:highlight w:val="none"/>
                <w14:textFill>
                  <w14:solidFill>
                    <w14:schemeClr w14:val="tx1"/>
                  </w14:solidFill>
                </w14:textFill>
              </w:rPr>
              <w:t>及</w:t>
            </w:r>
            <w:r>
              <w:rPr>
                <w:rFonts w:hint="eastAsia"/>
                <w:bCs/>
                <w:color w:val="000000" w:themeColor="text1"/>
                <w:sz w:val="24"/>
                <w:highlight w:val="none"/>
                <w14:textFill>
                  <w14:solidFill>
                    <w14:schemeClr w14:val="tx1"/>
                  </w14:solidFill>
                </w14:textFill>
              </w:rPr>
              <w:t>多孔</w:t>
            </w:r>
            <w:r>
              <w:rPr>
                <w:bCs/>
                <w:color w:val="000000" w:themeColor="text1"/>
                <w:sz w:val="24"/>
                <w:highlight w:val="none"/>
                <w14:textFill>
                  <w14:solidFill>
                    <w14:schemeClr w14:val="tx1"/>
                  </w14:solidFill>
                </w14:textFill>
              </w:rPr>
              <w:t>页岩砖</w:t>
            </w:r>
            <w:r>
              <w:rPr>
                <w:rFonts w:hint="eastAsia"/>
                <w:bCs/>
                <w:color w:val="000000" w:themeColor="text1"/>
                <w:sz w:val="24"/>
                <w:highlight w:val="none"/>
                <w14:textFill>
                  <w14:solidFill>
                    <w14:schemeClr w14:val="tx1"/>
                  </w14:solidFill>
                </w14:textFill>
              </w:rPr>
              <w:t>，规格及产品标准不变，全厂产能增加至</w:t>
            </w:r>
            <w:r>
              <w:rPr>
                <w:rFonts w:hint="eastAsia"/>
                <w:bCs/>
                <w:color w:val="000000" w:themeColor="text1"/>
                <w:sz w:val="24"/>
                <w:highlight w:val="none"/>
                <w:lang w:val="en-US" w:eastAsia="zh-CN"/>
                <w14:textFill>
                  <w14:solidFill>
                    <w14:schemeClr w14:val="tx1"/>
                  </w14:solidFill>
                </w14:textFill>
              </w:rPr>
              <w:t>3</w:t>
            </w:r>
            <w:r>
              <w:rPr>
                <w:rFonts w:hint="eastAsia"/>
                <w:bCs/>
                <w:color w:val="000000" w:themeColor="text1"/>
                <w:sz w:val="24"/>
                <w:highlight w:val="none"/>
                <w14:textFill>
                  <w14:solidFill>
                    <w14:schemeClr w14:val="tx1"/>
                  </w14:solidFill>
                </w14:textFill>
              </w:rPr>
              <w:t>2000万块。改</w:t>
            </w:r>
            <w:r>
              <w:rPr>
                <w:rFonts w:hint="eastAsia"/>
                <w:color w:val="000000" w:themeColor="text1"/>
                <w:sz w:val="24"/>
                <w:highlight w:val="none"/>
                <w14:textFill>
                  <w14:solidFill>
                    <w14:schemeClr w14:val="tx1"/>
                  </w14:solidFill>
                </w14:textFill>
              </w:rPr>
              <w:t>扩建前后</w:t>
            </w:r>
            <w:r>
              <w:rPr>
                <w:rFonts w:hint="eastAsia" w:hAnsi="宋体"/>
                <w:color w:val="000000" w:themeColor="text1"/>
                <w:kern w:val="0"/>
                <w:sz w:val="24"/>
                <w:highlight w:val="none"/>
                <w14:textFill>
                  <w14:solidFill>
                    <w14:schemeClr w14:val="tx1"/>
                  </w14:solidFill>
                </w14:textFill>
              </w:rPr>
              <w:t>产品方案一览表见表2-</w:t>
            </w:r>
            <w:r>
              <w:rPr>
                <w:rFonts w:hint="eastAsia" w:hAnsi="宋体"/>
                <w:color w:val="000000" w:themeColor="text1"/>
                <w:kern w:val="0"/>
                <w:sz w:val="24"/>
                <w:highlight w:val="none"/>
                <w:lang w:val="en-US" w:eastAsia="zh-CN"/>
                <w14:textFill>
                  <w14:solidFill>
                    <w14:schemeClr w14:val="tx1"/>
                  </w14:solidFill>
                </w14:textFill>
              </w:rPr>
              <w:t>8</w:t>
            </w:r>
            <w:r>
              <w:rPr>
                <w:rFonts w:hint="eastAsia" w:hAnsi="宋体"/>
                <w:color w:val="000000" w:themeColor="text1"/>
                <w:kern w:val="0"/>
                <w:sz w:val="24"/>
                <w:highlight w:val="none"/>
                <w14:textFill>
                  <w14:solidFill>
                    <w14:schemeClr w14:val="tx1"/>
                  </w14:solidFill>
                </w14:textFill>
              </w:rPr>
              <w:t>。</w:t>
            </w:r>
          </w:p>
          <w:p w14:paraId="5BAA8CF1">
            <w:pPr>
              <w:spacing w:line="480" w:lineRule="exact"/>
              <w:ind w:firstLine="1320" w:firstLineChars="550"/>
              <w:rPr>
                <w:rFonts w:ascii="黑体" w:hAnsi="黑体" w:eastAsia="黑体"/>
                <w:color w:val="000000" w:themeColor="text1"/>
                <w:kern w:val="0"/>
                <w:sz w:val="24"/>
                <w:highlight w:val="none"/>
                <w14:textFill>
                  <w14:solidFill>
                    <w14:schemeClr w14:val="tx1"/>
                  </w14:solidFill>
                </w14:textFill>
              </w:rPr>
            </w:pPr>
            <w:r>
              <w:rPr>
                <w:rFonts w:ascii="黑体" w:hAnsi="黑体" w:eastAsia="黑体"/>
                <w:color w:val="000000" w:themeColor="text1"/>
                <w:kern w:val="0"/>
                <w:sz w:val="24"/>
                <w:highlight w:val="none"/>
                <w14:textFill>
                  <w14:solidFill>
                    <w14:schemeClr w14:val="tx1"/>
                  </w14:solidFill>
                </w14:textFill>
              </w:rPr>
              <w:t>表2-</w:t>
            </w:r>
            <w:r>
              <w:rPr>
                <w:rFonts w:hint="eastAsia" w:ascii="黑体" w:hAnsi="黑体" w:eastAsia="黑体"/>
                <w:color w:val="000000" w:themeColor="text1"/>
                <w:kern w:val="0"/>
                <w:sz w:val="24"/>
                <w:highlight w:val="none"/>
                <w:lang w:val="en-US" w:eastAsia="zh-CN"/>
                <w14:textFill>
                  <w14:solidFill>
                    <w14:schemeClr w14:val="tx1"/>
                  </w14:solidFill>
                </w14:textFill>
              </w:rPr>
              <w:t>8</w:t>
            </w:r>
            <w:r>
              <w:rPr>
                <w:rFonts w:hint="eastAsia" w:ascii="黑体" w:hAnsi="黑体" w:eastAsia="黑体"/>
                <w:color w:val="000000" w:themeColor="text1"/>
                <w:kern w:val="0"/>
                <w:sz w:val="24"/>
                <w:highlight w:val="none"/>
                <w14:textFill>
                  <w14:solidFill>
                    <w14:schemeClr w14:val="tx1"/>
                  </w14:solidFill>
                </w14:textFill>
              </w:rPr>
              <w:t xml:space="preserve">        改扩建前后产品方案一览表</w:t>
            </w:r>
          </w:p>
          <w:tbl>
            <w:tblPr>
              <w:tblStyle w:val="24"/>
              <w:tblW w:w="89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62"/>
              <w:gridCol w:w="1133"/>
              <w:gridCol w:w="854"/>
              <w:gridCol w:w="704"/>
              <w:gridCol w:w="709"/>
              <w:gridCol w:w="848"/>
              <w:gridCol w:w="1133"/>
              <w:gridCol w:w="937"/>
              <w:gridCol w:w="641"/>
              <w:gridCol w:w="1488"/>
            </w:tblGrid>
            <w:tr w14:paraId="2F85AE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59" w:type="pct"/>
                  <w:tcBorders>
                    <w:tl2br w:val="nil"/>
                    <w:tr2bl w:val="nil"/>
                  </w:tcBorders>
                  <w:vAlign w:val="center"/>
                </w:tcPr>
                <w:p w14:paraId="0F89A2F7">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635" w:type="pct"/>
                  <w:tcBorders>
                    <w:tl2br w:val="nil"/>
                    <w:tr2bl w:val="nil"/>
                  </w:tcBorders>
                  <w:vAlign w:val="center"/>
                </w:tcPr>
                <w:p w14:paraId="648721B2">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产品名称</w:t>
                  </w:r>
                </w:p>
              </w:tc>
              <w:tc>
                <w:tcPr>
                  <w:tcW w:w="479" w:type="pct"/>
                  <w:tcBorders>
                    <w:tl2br w:val="nil"/>
                    <w:tr2bl w:val="nil"/>
                  </w:tcBorders>
                  <w:vAlign w:val="center"/>
                </w:tcPr>
                <w:p w14:paraId="5970A3C0">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单位</w:t>
                  </w:r>
                </w:p>
              </w:tc>
              <w:tc>
                <w:tcPr>
                  <w:tcW w:w="395" w:type="pct"/>
                  <w:tcBorders>
                    <w:tl2br w:val="nil"/>
                    <w:tr2bl w:val="nil"/>
                  </w:tcBorders>
                  <w:vAlign w:val="center"/>
                </w:tcPr>
                <w:p w14:paraId="586E547E">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现有工程</w:t>
                  </w:r>
                  <w:r>
                    <w:rPr>
                      <w:color w:val="000000" w:themeColor="text1"/>
                      <w:szCs w:val="21"/>
                      <w:highlight w:val="none"/>
                      <w14:textFill>
                        <w14:solidFill>
                          <w14:schemeClr w14:val="tx1"/>
                        </w14:solidFill>
                      </w14:textFill>
                    </w:rPr>
                    <w:t>产量</w:t>
                  </w:r>
                </w:p>
              </w:tc>
              <w:tc>
                <w:tcPr>
                  <w:tcW w:w="397" w:type="pct"/>
                  <w:tcBorders>
                    <w:tl2br w:val="nil"/>
                    <w:tr2bl w:val="nil"/>
                  </w:tcBorders>
                  <w:vAlign w:val="center"/>
                </w:tcPr>
                <w:p w14:paraId="18238DEA">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改扩建后产量</w:t>
                  </w:r>
                </w:p>
              </w:tc>
              <w:tc>
                <w:tcPr>
                  <w:tcW w:w="475" w:type="pct"/>
                  <w:tcBorders>
                    <w:tl2br w:val="nil"/>
                    <w:tr2bl w:val="nil"/>
                  </w:tcBorders>
                  <w:vAlign w:val="center"/>
                </w:tcPr>
                <w:p w14:paraId="66BCD945">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变化量</w:t>
                  </w:r>
                </w:p>
              </w:tc>
              <w:tc>
                <w:tcPr>
                  <w:tcW w:w="635" w:type="pct"/>
                  <w:tcBorders>
                    <w:tl2br w:val="nil"/>
                    <w:tr2bl w:val="nil"/>
                  </w:tcBorders>
                  <w:vAlign w:val="center"/>
                </w:tcPr>
                <w:p w14:paraId="56B8362A">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规格mm</w:t>
                  </w:r>
                </w:p>
              </w:tc>
              <w:tc>
                <w:tcPr>
                  <w:tcW w:w="525" w:type="pct"/>
                  <w:tcBorders>
                    <w:tl2br w:val="nil"/>
                    <w:tr2bl w:val="nil"/>
                  </w:tcBorders>
                  <w:vAlign w:val="center"/>
                </w:tcPr>
                <w:p w14:paraId="3FBADCA1">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改扩建后折标砖产量</w:t>
                  </w:r>
                </w:p>
              </w:tc>
              <w:tc>
                <w:tcPr>
                  <w:tcW w:w="359" w:type="pct"/>
                  <w:tcBorders>
                    <w:tl2br w:val="nil"/>
                    <w:tr2bl w:val="nil"/>
                  </w:tcBorders>
                  <w:vAlign w:val="center"/>
                </w:tcPr>
                <w:p w14:paraId="6F6F67C7">
                  <w:pPr>
                    <w:spacing w:line="30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单块重量</w:t>
                  </w:r>
                </w:p>
              </w:tc>
              <w:tc>
                <w:tcPr>
                  <w:tcW w:w="835" w:type="pct"/>
                  <w:tcBorders>
                    <w:tl2br w:val="nil"/>
                    <w:tr2bl w:val="nil"/>
                  </w:tcBorders>
                  <w:vAlign w:val="center"/>
                </w:tcPr>
                <w:p w14:paraId="0214F3F4">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产品标准</w:t>
                  </w:r>
                </w:p>
              </w:tc>
            </w:tr>
            <w:tr w14:paraId="38460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59" w:type="pct"/>
                  <w:tcBorders>
                    <w:tl2br w:val="nil"/>
                    <w:tr2bl w:val="nil"/>
                  </w:tcBorders>
                  <w:vAlign w:val="center"/>
                </w:tcPr>
                <w:p w14:paraId="18E7410C">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635" w:type="pct"/>
                  <w:tcBorders>
                    <w:tl2br w:val="nil"/>
                    <w:tr2bl w:val="nil"/>
                  </w:tcBorders>
                  <w:vAlign w:val="center"/>
                </w:tcPr>
                <w:p w14:paraId="139644C1">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普通页岩砖</w:t>
                  </w:r>
                </w:p>
              </w:tc>
              <w:tc>
                <w:tcPr>
                  <w:tcW w:w="479" w:type="pct"/>
                  <w:tcBorders>
                    <w:tl2br w:val="nil"/>
                    <w:tr2bl w:val="nil"/>
                  </w:tcBorders>
                  <w:vAlign w:val="center"/>
                </w:tcPr>
                <w:p w14:paraId="7FA760FF">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万块/a</w:t>
                  </w:r>
                </w:p>
              </w:tc>
              <w:tc>
                <w:tcPr>
                  <w:tcW w:w="395" w:type="pct"/>
                  <w:tcBorders>
                    <w:tl2br w:val="nil"/>
                    <w:tr2bl w:val="nil"/>
                  </w:tcBorders>
                  <w:vAlign w:val="center"/>
                </w:tcPr>
                <w:p w14:paraId="417C2212">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2000</w:t>
                  </w:r>
                </w:p>
              </w:tc>
              <w:tc>
                <w:tcPr>
                  <w:tcW w:w="397" w:type="pct"/>
                  <w:tcBorders>
                    <w:tl2br w:val="nil"/>
                    <w:tr2bl w:val="nil"/>
                  </w:tcBorders>
                  <w:vAlign w:val="center"/>
                </w:tcPr>
                <w:p w14:paraId="2BA592A7">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120</w:t>
                  </w:r>
                  <w:r>
                    <w:rPr>
                      <w:rFonts w:hint="eastAsia"/>
                      <w:color w:val="000000" w:themeColor="text1"/>
                      <w:szCs w:val="21"/>
                      <w:highlight w:val="none"/>
                      <w14:textFill>
                        <w14:solidFill>
                          <w14:schemeClr w14:val="tx1"/>
                        </w14:solidFill>
                      </w14:textFill>
                    </w:rPr>
                    <w:t>00</w:t>
                  </w:r>
                </w:p>
              </w:tc>
              <w:tc>
                <w:tcPr>
                  <w:tcW w:w="475" w:type="pct"/>
                  <w:tcBorders>
                    <w:tl2br w:val="nil"/>
                    <w:tr2bl w:val="nil"/>
                  </w:tcBorders>
                  <w:vAlign w:val="center"/>
                </w:tcPr>
                <w:p w14:paraId="2610DB89">
                  <w:pPr>
                    <w:spacing w:line="30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+10000</w:t>
                  </w:r>
                </w:p>
              </w:tc>
              <w:tc>
                <w:tcPr>
                  <w:tcW w:w="635" w:type="pct"/>
                  <w:tcBorders>
                    <w:tl2br w:val="nil"/>
                    <w:tr2bl w:val="nil"/>
                  </w:tcBorders>
                  <w:vAlign w:val="center"/>
                </w:tcPr>
                <w:p w14:paraId="53C00B8B">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240×115×53</w:t>
                  </w:r>
                </w:p>
              </w:tc>
              <w:tc>
                <w:tcPr>
                  <w:tcW w:w="525" w:type="pct"/>
                  <w:tcBorders>
                    <w:tl2br w:val="nil"/>
                    <w:tr2bl w:val="nil"/>
                  </w:tcBorders>
                  <w:vAlign w:val="center"/>
                </w:tcPr>
                <w:p w14:paraId="6A6062AC">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120</w:t>
                  </w:r>
                  <w:r>
                    <w:rPr>
                      <w:rFonts w:hint="eastAsia"/>
                      <w:color w:val="000000" w:themeColor="text1"/>
                      <w:szCs w:val="21"/>
                      <w:highlight w:val="none"/>
                      <w14:textFill>
                        <w14:solidFill>
                          <w14:schemeClr w14:val="tx1"/>
                        </w14:solidFill>
                      </w14:textFill>
                    </w:rPr>
                    <w:t>00</w:t>
                  </w:r>
                </w:p>
              </w:tc>
              <w:tc>
                <w:tcPr>
                  <w:tcW w:w="359" w:type="pct"/>
                  <w:tcBorders>
                    <w:tl2br w:val="nil"/>
                    <w:tr2bl w:val="nil"/>
                  </w:tcBorders>
                  <w:vAlign w:val="center"/>
                </w:tcPr>
                <w:p w14:paraId="571CF157">
                  <w:pPr>
                    <w:spacing w:line="300" w:lineRule="exact"/>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2.5kg</w:t>
                  </w:r>
                </w:p>
              </w:tc>
              <w:tc>
                <w:tcPr>
                  <w:tcW w:w="835" w:type="pct"/>
                  <w:tcBorders>
                    <w:tl2br w:val="nil"/>
                    <w:tr2bl w:val="nil"/>
                  </w:tcBorders>
                  <w:vAlign w:val="center"/>
                </w:tcPr>
                <w:p w14:paraId="14D95775">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《烧结普通砖》（GB/T5101-2017）</w:t>
                  </w:r>
                </w:p>
              </w:tc>
            </w:tr>
            <w:tr w14:paraId="22DBD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59" w:type="pct"/>
                  <w:tcBorders>
                    <w:tl2br w:val="nil"/>
                    <w:tr2bl w:val="nil"/>
                  </w:tcBorders>
                  <w:vAlign w:val="center"/>
                </w:tcPr>
                <w:p w14:paraId="465ACB4E">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635" w:type="pct"/>
                  <w:tcBorders>
                    <w:tl2br w:val="nil"/>
                    <w:tr2bl w:val="nil"/>
                  </w:tcBorders>
                  <w:vAlign w:val="center"/>
                </w:tcPr>
                <w:p w14:paraId="01CAA8FD">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多孔页岩砖</w:t>
                  </w:r>
                </w:p>
              </w:tc>
              <w:tc>
                <w:tcPr>
                  <w:tcW w:w="479" w:type="pct"/>
                  <w:tcBorders>
                    <w:tl2br w:val="nil"/>
                    <w:tr2bl w:val="nil"/>
                  </w:tcBorders>
                  <w:vAlign w:val="center"/>
                </w:tcPr>
                <w:p w14:paraId="752B3201">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万块/a</w:t>
                  </w:r>
                </w:p>
              </w:tc>
              <w:tc>
                <w:tcPr>
                  <w:tcW w:w="395" w:type="pct"/>
                  <w:tcBorders>
                    <w:tl2br w:val="nil"/>
                    <w:tr2bl w:val="nil"/>
                  </w:tcBorders>
                  <w:vAlign w:val="center"/>
                </w:tcPr>
                <w:p w14:paraId="7255BE3E">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3000</w:t>
                  </w:r>
                </w:p>
              </w:tc>
              <w:tc>
                <w:tcPr>
                  <w:tcW w:w="397" w:type="pct"/>
                  <w:tcBorders>
                    <w:tl2br w:val="nil"/>
                    <w:tr2bl w:val="nil"/>
                  </w:tcBorders>
                  <w:vAlign w:val="center"/>
                </w:tcPr>
                <w:p w14:paraId="22E40BA8">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200</w:t>
                  </w:r>
                  <w:r>
                    <w:rPr>
                      <w:rFonts w:hint="eastAsia"/>
                      <w:color w:val="000000" w:themeColor="text1"/>
                      <w:szCs w:val="21"/>
                      <w:highlight w:val="none"/>
                      <w14:textFill>
                        <w14:solidFill>
                          <w14:schemeClr w14:val="tx1"/>
                        </w14:solidFill>
                      </w14:textFill>
                    </w:rPr>
                    <w:t>00</w:t>
                  </w:r>
                </w:p>
              </w:tc>
              <w:tc>
                <w:tcPr>
                  <w:tcW w:w="475" w:type="pct"/>
                  <w:tcBorders>
                    <w:tl2br w:val="nil"/>
                    <w:tr2bl w:val="nil"/>
                  </w:tcBorders>
                  <w:vAlign w:val="center"/>
                </w:tcPr>
                <w:p w14:paraId="742D914C">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170</w:t>
                  </w:r>
                  <w:r>
                    <w:rPr>
                      <w:rFonts w:hint="eastAsia"/>
                      <w:color w:val="000000" w:themeColor="text1"/>
                      <w:szCs w:val="21"/>
                      <w:highlight w:val="none"/>
                      <w14:textFill>
                        <w14:solidFill>
                          <w14:schemeClr w14:val="tx1"/>
                        </w14:solidFill>
                      </w14:textFill>
                    </w:rPr>
                    <w:t>00</w:t>
                  </w:r>
                </w:p>
              </w:tc>
              <w:tc>
                <w:tcPr>
                  <w:tcW w:w="635" w:type="pct"/>
                  <w:tcBorders>
                    <w:tl2br w:val="nil"/>
                    <w:tr2bl w:val="nil"/>
                  </w:tcBorders>
                  <w:vAlign w:val="center"/>
                </w:tcPr>
                <w:p w14:paraId="6428A6C4">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lang w:val="en-US" w:eastAsia="zh-CN"/>
                      <w14:textFill>
                        <w14:solidFill>
                          <w14:schemeClr w14:val="tx1"/>
                        </w14:solidFill>
                      </w14:textFill>
                    </w:rPr>
                    <w:t>4</w:t>
                  </w:r>
                  <w:r>
                    <w:rPr>
                      <w:color w:val="000000" w:themeColor="text1"/>
                      <w:szCs w:val="21"/>
                      <w:highlight w:val="none"/>
                      <w14:textFill>
                        <w14:solidFill>
                          <w14:schemeClr w14:val="tx1"/>
                        </w14:solidFill>
                      </w14:textFill>
                    </w:rPr>
                    <w:t>0×1</w:t>
                  </w:r>
                  <w:r>
                    <w:rPr>
                      <w:rFonts w:hint="eastAsia"/>
                      <w:color w:val="000000" w:themeColor="text1"/>
                      <w:szCs w:val="21"/>
                      <w:highlight w:val="none"/>
                      <w:lang w:val="en-US" w:eastAsia="zh-CN"/>
                      <w14:textFill>
                        <w14:solidFill>
                          <w14:schemeClr w14:val="tx1"/>
                        </w14:solidFill>
                      </w14:textFill>
                    </w:rPr>
                    <w:t>40</w:t>
                  </w:r>
                  <w:r>
                    <w:rPr>
                      <w:color w:val="000000" w:themeColor="text1"/>
                      <w:szCs w:val="21"/>
                      <w:highlight w:val="none"/>
                      <w14:textFill>
                        <w14:solidFill>
                          <w14:schemeClr w14:val="tx1"/>
                        </w14:solidFill>
                      </w14:textFill>
                    </w:rPr>
                    <w:t>×90</w:t>
                  </w:r>
                </w:p>
                <w:p w14:paraId="310B6000">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孔洞率</w:t>
                  </w:r>
                  <w:r>
                    <w:rPr>
                      <w:rFonts w:hint="eastAsia"/>
                      <w:color w:val="000000" w:themeColor="text1"/>
                      <w:szCs w:val="21"/>
                      <w:highlight w:val="none"/>
                      <w:lang w:val="en-US" w:eastAsia="zh-CN"/>
                      <w14:textFill>
                        <w14:solidFill>
                          <w14:schemeClr w14:val="tx1"/>
                        </w14:solidFill>
                      </w14:textFill>
                    </w:rPr>
                    <w:t>32</w:t>
                  </w:r>
                  <w:r>
                    <w:rPr>
                      <w:rFonts w:hint="eastAsia"/>
                      <w:color w:val="000000" w:themeColor="text1"/>
                      <w:szCs w:val="21"/>
                      <w:highlight w:val="none"/>
                      <w14:textFill>
                        <w14:solidFill>
                          <w14:schemeClr w14:val="tx1"/>
                        </w14:solidFill>
                      </w14:textFill>
                    </w:rPr>
                    <w:t>%</w:t>
                  </w:r>
                </w:p>
              </w:tc>
              <w:tc>
                <w:tcPr>
                  <w:tcW w:w="525" w:type="pct"/>
                  <w:tcBorders>
                    <w:tl2br w:val="nil"/>
                    <w:tr2bl w:val="nil"/>
                  </w:tcBorders>
                  <w:vAlign w:val="center"/>
                </w:tcPr>
                <w:p w14:paraId="2A798503">
                  <w:pPr>
                    <w:spacing w:line="30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28115</w:t>
                  </w:r>
                </w:p>
              </w:tc>
              <w:tc>
                <w:tcPr>
                  <w:tcW w:w="359" w:type="pct"/>
                  <w:tcBorders>
                    <w:tl2br w:val="nil"/>
                    <w:tr2bl w:val="nil"/>
                  </w:tcBorders>
                  <w:vAlign w:val="center"/>
                </w:tcPr>
                <w:p w14:paraId="3456C1A1">
                  <w:pPr>
                    <w:spacing w:line="300" w:lineRule="exact"/>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3.5kg</w:t>
                  </w:r>
                </w:p>
              </w:tc>
              <w:tc>
                <w:tcPr>
                  <w:tcW w:w="835" w:type="pct"/>
                  <w:tcBorders>
                    <w:tl2br w:val="nil"/>
                    <w:tr2bl w:val="nil"/>
                  </w:tcBorders>
                  <w:vAlign w:val="center"/>
                </w:tcPr>
                <w:p w14:paraId="28BACB0C">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《烧结多孔砖和多孔砌块》（GB/T13544-2011）</w:t>
                  </w:r>
                </w:p>
              </w:tc>
            </w:tr>
          </w:tbl>
          <w:p w14:paraId="3341C4D6">
            <w:pPr>
              <w:spacing w:line="360" w:lineRule="exact"/>
              <w:rPr>
                <w:rFonts w:ascii="仿宋" w:hAnsi="仿宋" w:eastAsia="仿宋"/>
                <w:color w:val="000000" w:themeColor="text1"/>
                <w:kern w:val="0"/>
                <w:szCs w:val="21"/>
                <w:highlight w:val="none"/>
                <w14:textFill>
                  <w14:solidFill>
                    <w14:schemeClr w14:val="tx1"/>
                  </w14:solidFill>
                </w14:textFill>
              </w:rPr>
            </w:pPr>
            <w:r>
              <w:rPr>
                <w:rFonts w:hint="eastAsia" w:ascii="仿宋" w:hAnsi="仿宋" w:eastAsia="仿宋"/>
                <w:bCs/>
                <w:color w:val="000000" w:themeColor="text1"/>
                <w:szCs w:val="21"/>
                <w:highlight w:val="none"/>
                <w14:textFill>
                  <w14:solidFill>
                    <w14:schemeClr w14:val="tx1"/>
                  </w14:solidFill>
                </w14:textFill>
              </w:rPr>
              <w:t>注：标砖折算根据《排污许可证申请与核发技术规范 陶瓷砖瓦工业》（HJ954-2018）附录E折算方法，本项目多孔砖折1.</w:t>
            </w:r>
            <w:r>
              <w:rPr>
                <w:rFonts w:hint="eastAsia" w:ascii="仿宋" w:hAnsi="仿宋" w:eastAsia="仿宋"/>
                <w:bCs/>
                <w:color w:val="000000" w:themeColor="text1"/>
                <w:szCs w:val="21"/>
                <w:highlight w:val="none"/>
                <w:lang w:val="en-US" w:eastAsia="zh-CN"/>
                <w14:textFill>
                  <w14:solidFill>
                    <w14:schemeClr w14:val="tx1"/>
                  </w14:solidFill>
                </w14:textFill>
              </w:rPr>
              <w:t>40574</w:t>
            </w:r>
            <w:r>
              <w:rPr>
                <w:rFonts w:hint="eastAsia" w:ascii="仿宋" w:hAnsi="仿宋" w:eastAsia="仿宋"/>
                <w:bCs/>
                <w:color w:val="000000" w:themeColor="text1"/>
                <w:szCs w:val="21"/>
                <w:highlight w:val="none"/>
                <w14:textFill>
                  <w14:solidFill>
                    <w14:schemeClr w14:val="tx1"/>
                  </w14:solidFill>
                </w14:textFill>
              </w:rPr>
              <w:t>标砖。</w:t>
            </w:r>
          </w:p>
          <w:p w14:paraId="1AE96E31">
            <w:pPr>
              <w:spacing w:line="480" w:lineRule="exact"/>
              <w:ind w:firstLine="480" w:firstLineChars="200"/>
              <w:rPr>
                <w:rFonts w:hAnsi="宋体"/>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本项目在现有厂区建设，利用现有主体生产车间和设施，现有污泥库用于储存工业污泥，新建生活污泥库1座，改扩建后主要建构筑物一览表见表2-</w:t>
            </w:r>
            <w:r>
              <w:rPr>
                <w:rFonts w:hint="eastAsia" w:hAnsi="宋体"/>
                <w:color w:val="000000" w:themeColor="text1"/>
                <w:kern w:val="0"/>
                <w:sz w:val="24"/>
                <w:highlight w:val="none"/>
                <w:lang w:val="en-US" w:eastAsia="zh-CN"/>
                <w14:textFill>
                  <w14:solidFill>
                    <w14:schemeClr w14:val="tx1"/>
                  </w14:solidFill>
                </w14:textFill>
              </w:rPr>
              <w:t>9</w:t>
            </w:r>
            <w:r>
              <w:rPr>
                <w:rFonts w:hint="eastAsia" w:hAnsi="宋体"/>
                <w:color w:val="000000" w:themeColor="text1"/>
                <w:kern w:val="0"/>
                <w:sz w:val="24"/>
                <w:highlight w:val="none"/>
                <w14:textFill>
                  <w14:solidFill>
                    <w14:schemeClr w14:val="tx1"/>
                  </w14:solidFill>
                </w14:textFill>
              </w:rPr>
              <w:t>。</w:t>
            </w:r>
          </w:p>
          <w:p w14:paraId="160675A1">
            <w:pPr>
              <w:spacing w:line="480" w:lineRule="exact"/>
              <w:ind w:firstLine="1320" w:firstLineChars="550"/>
              <w:rPr>
                <w:rFonts w:ascii="黑体" w:hAnsi="黑体" w:eastAsia="黑体"/>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2-</w:t>
            </w:r>
            <w:r>
              <w:rPr>
                <w:rFonts w:hint="eastAsia" w:ascii="黑体" w:hAnsi="黑体" w:eastAsia="黑体"/>
                <w:bCs/>
                <w:color w:val="000000" w:themeColor="text1"/>
                <w:sz w:val="24"/>
                <w:highlight w:val="none"/>
                <w:lang w:val="en-US" w:eastAsia="zh-CN"/>
                <w14:textFill>
                  <w14:solidFill>
                    <w14:schemeClr w14:val="tx1"/>
                  </w14:solidFill>
                </w14:textFill>
              </w:rPr>
              <w:t>9</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改扩建后</w:t>
            </w:r>
            <w:r>
              <w:rPr>
                <w:rFonts w:ascii="黑体" w:hAnsi="黑体" w:eastAsia="黑体"/>
                <w:bCs/>
                <w:color w:val="000000" w:themeColor="text1"/>
                <w:sz w:val="24"/>
                <w:highlight w:val="none"/>
                <w14:textFill>
                  <w14:solidFill>
                    <w14:schemeClr w14:val="tx1"/>
                  </w14:solidFill>
                </w14:textFill>
              </w:rPr>
              <w:t>主要建构筑物一览表</w:t>
            </w:r>
          </w:p>
          <w:tbl>
            <w:tblPr>
              <w:tblStyle w:val="24"/>
              <w:tblW w:w="88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89"/>
              <w:gridCol w:w="1198"/>
              <w:gridCol w:w="677"/>
              <w:gridCol w:w="798"/>
              <w:gridCol w:w="1644"/>
              <w:gridCol w:w="567"/>
              <w:gridCol w:w="2977"/>
              <w:gridCol w:w="649"/>
            </w:tblGrid>
            <w:tr w14:paraId="1A6AD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5D6504E2">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1198" w:type="dxa"/>
                  <w:tcBorders>
                    <w:tl2br w:val="nil"/>
                    <w:tr2bl w:val="nil"/>
                  </w:tcBorders>
                  <w:vAlign w:val="center"/>
                </w:tcPr>
                <w:p w14:paraId="19726B5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677" w:type="dxa"/>
                  <w:tcBorders>
                    <w:tl2br w:val="nil"/>
                    <w:tr2bl w:val="nil"/>
                  </w:tcBorders>
                  <w:vAlign w:val="center"/>
                </w:tcPr>
                <w:p w14:paraId="2EF3F22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占地面积m</w:t>
                  </w:r>
                  <w:r>
                    <w:rPr>
                      <w:color w:val="000000" w:themeColor="text1"/>
                      <w:szCs w:val="21"/>
                      <w:highlight w:val="none"/>
                      <w:vertAlign w:val="superscript"/>
                      <w14:textFill>
                        <w14:solidFill>
                          <w14:schemeClr w14:val="tx1"/>
                        </w14:solidFill>
                      </w14:textFill>
                    </w:rPr>
                    <w:t>2</w:t>
                  </w:r>
                </w:p>
              </w:tc>
              <w:tc>
                <w:tcPr>
                  <w:tcW w:w="798" w:type="dxa"/>
                  <w:tcBorders>
                    <w:tl2br w:val="nil"/>
                    <w:tr2bl w:val="nil"/>
                  </w:tcBorders>
                  <w:vAlign w:val="center"/>
                </w:tcPr>
                <w:p w14:paraId="353BCC3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建筑面积m</w:t>
                  </w:r>
                  <w:r>
                    <w:rPr>
                      <w:color w:val="000000" w:themeColor="text1"/>
                      <w:szCs w:val="21"/>
                      <w:highlight w:val="none"/>
                      <w:vertAlign w:val="superscript"/>
                      <w14:textFill>
                        <w14:solidFill>
                          <w14:schemeClr w14:val="tx1"/>
                        </w14:solidFill>
                      </w14:textFill>
                    </w:rPr>
                    <w:t>2</w:t>
                  </w:r>
                </w:p>
              </w:tc>
              <w:tc>
                <w:tcPr>
                  <w:tcW w:w="1644" w:type="dxa"/>
                  <w:tcBorders>
                    <w:tl2br w:val="nil"/>
                    <w:tr2bl w:val="nil"/>
                  </w:tcBorders>
                  <w:vAlign w:val="center"/>
                </w:tcPr>
                <w:p w14:paraId="00ECEE08">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规格、尺寸</w:t>
                  </w:r>
                </w:p>
              </w:tc>
              <w:tc>
                <w:tcPr>
                  <w:tcW w:w="567" w:type="dxa"/>
                  <w:tcBorders>
                    <w:tl2br w:val="nil"/>
                    <w:tr2bl w:val="nil"/>
                  </w:tcBorders>
                  <w:vAlign w:val="center"/>
                </w:tcPr>
                <w:p w14:paraId="2FCB3301">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数量</w:t>
                  </w:r>
                </w:p>
              </w:tc>
              <w:tc>
                <w:tcPr>
                  <w:tcW w:w="2977" w:type="dxa"/>
                  <w:tcBorders>
                    <w:tl2br w:val="nil"/>
                    <w:tr2bl w:val="nil"/>
                  </w:tcBorders>
                  <w:vAlign w:val="center"/>
                </w:tcPr>
                <w:p w14:paraId="6C908E9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结构形式</w:t>
                  </w:r>
                </w:p>
              </w:tc>
              <w:tc>
                <w:tcPr>
                  <w:tcW w:w="649" w:type="dxa"/>
                  <w:tcBorders>
                    <w:tl2br w:val="nil"/>
                    <w:tr2bl w:val="nil"/>
                  </w:tcBorders>
                  <w:vAlign w:val="center"/>
                </w:tcPr>
                <w:p w14:paraId="1F08E98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37587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618DD8F0">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198" w:type="dxa"/>
                  <w:tcBorders>
                    <w:tl2br w:val="nil"/>
                    <w:tr2bl w:val="nil"/>
                  </w:tcBorders>
                  <w:vAlign w:val="center"/>
                </w:tcPr>
                <w:p w14:paraId="52460C72">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破碎车间</w:t>
                  </w:r>
                </w:p>
              </w:tc>
              <w:tc>
                <w:tcPr>
                  <w:tcW w:w="677" w:type="dxa"/>
                  <w:tcBorders>
                    <w:tl2br w:val="nil"/>
                    <w:tr2bl w:val="nil"/>
                  </w:tcBorders>
                  <w:vAlign w:val="center"/>
                </w:tcPr>
                <w:p w14:paraId="0DC4533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2628</w:t>
                  </w:r>
                </w:p>
              </w:tc>
              <w:tc>
                <w:tcPr>
                  <w:tcW w:w="798" w:type="dxa"/>
                  <w:tcBorders>
                    <w:tl2br w:val="nil"/>
                    <w:tr2bl w:val="nil"/>
                  </w:tcBorders>
                  <w:vAlign w:val="center"/>
                </w:tcPr>
                <w:p w14:paraId="307A5AF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2628</w:t>
                  </w:r>
                </w:p>
              </w:tc>
              <w:tc>
                <w:tcPr>
                  <w:tcW w:w="1644" w:type="dxa"/>
                  <w:tcBorders>
                    <w:tl2br w:val="nil"/>
                    <w:tr2bl w:val="nil"/>
                  </w:tcBorders>
                  <w:vAlign w:val="center"/>
                </w:tcPr>
                <w:p w14:paraId="5DBFBC1C">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50m×52.56m×4m</w:t>
                  </w:r>
                </w:p>
              </w:tc>
              <w:tc>
                <w:tcPr>
                  <w:tcW w:w="567" w:type="dxa"/>
                  <w:tcBorders>
                    <w:tl2br w:val="nil"/>
                    <w:tr2bl w:val="nil"/>
                  </w:tcBorders>
                  <w:vAlign w:val="center"/>
                </w:tcPr>
                <w:p w14:paraId="5CE6CF8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restart"/>
                  <w:tcBorders>
                    <w:tl2br w:val="nil"/>
                    <w:tr2bl w:val="nil"/>
                  </w:tcBorders>
                  <w:vAlign w:val="center"/>
                </w:tcPr>
                <w:p w14:paraId="24D82414">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1层，设2.0m的钢筋混凝土基础墙，封闭双层彩钢结构</w:t>
                  </w:r>
                </w:p>
              </w:tc>
              <w:tc>
                <w:tcPr>
                  <w:tcW w:w="649" w:type="dxa"/>
                  <w:tcBorders>
                    <w:tl2br w:val="nil"/>
                    <w:tr2bl w:val="nil"/>
                  </w:tcBorders>
                  <w:vAlign w:val="center"/>
                </w:tcPr>
                <w:p w14:paraId="51F08B18">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1B843C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6EF572BB">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198" w:type="dxa"/>
                  <w:tcBorders>
                    <w:tl2br w:val="nil"/>
                    <w:tr2bl w:val="nil"/>
                  </w:tcBorders>
                  <w:vAlign w:val="center"/>
                </w:tcPr>
                <w:p w14:paraId="4403E0BB">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陈化库</w:t>
                  </w:r>
                </w:p>
              </w:tc>
              <w:tc>
                <w:tcPr>
                  <w:tcW w:w="677" w:type="dxa"/>
                  <w:tcBorders>
                    <w:tl2br w:val="nil"/>
                    <w:tr2bl w:val="nil"/>
                  </w:tcBorders>
                  <w:vAlign w:val="center"/>
                </w:tcPr>
                <w:p w14:paraId="7D4CEDC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3306</w:t>
                  </w:r>
                </w:p>
              </w:tc>
              <w:tc>
                <w:tcPr>
                  <w:tcW w:w="798" w:type="dxa"/>
                  <w:tcBorders>
                    <w:tl2br w:val="nil"/>
                    <w:tr2bl w:val="nil"/>
                  </w:tcBorders>
                  <w:vAlign w:val="center"/>
                </w:tcPr>
                <w:p w14:paraId="6D96525C">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3306</w:t>
                  </w:r>
                </w:p>
              </w:tc>
              <w:tc>
                <w:tcPr>
                  <w:tcW w:w="1644" w:type="dxa"/>
                  <w:tcBorders>
                    <w:tl2br w:val="nil"/>
                    <w:tr2bl w:val="nil"/>
                  </w:tcBorders>
                  <w:vAlign w:val="center"/>
                </w:tcPr>
                <w:p w14:paraId="56B9035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165.3m×20m×9m</w:t>
                  </w:r>
                </w:p>
              </w:tc>
              <w:tc>
                <w:tcPr>
                  <w:tcW w:w="567" w:type="dxa"/>
                  <w:tcBorders>
                    <w:tl2br w:val="nil"/>
                    <w:tr2bl w:val="nil"/>
                  </w:tcBorders>
                  <w:vAlign w:val="center"/>
                </w:tcPr>
                <w:p w14:paraId="615C20B5">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continue"/>
                  <w:tcBorders>
                    <w:tl2br w:val="nil"/>
                    <w:tr2bl w:val="nil"/>
                  </w:tcBorders>
                  <w:vAlign w:val="center"/>
                </w:tcPr>
                <w:p w14:paraId="14C7E752">
                  <w:pPr>
                    <w:widowControl/>
                    <w:spacing w:line="300" w:lineRule="exact"/>
                    <w:jc w:val="center"/>
                    <w:rPr>
                      <w:color w:val="000000" w:themeColor="text1"/>
                      <w:szCs w:val="21"/>
                      <w:highlight w:val="none"/>
                      <w14:textFill>
                        <w14:solidFill>
                          <w14:schemeClr w14:val="tx1"/>
                        </w14:solidFill>
                      </w14:textFill>
                    </w:rPr>
                  </w:pPr>
                </w:p>
              </w:tc>
              <w:tc>
                <w:tcPr>
                  <w:tcW w:w="649" w:type="dxa"/>
                  <w:tcBorders>
                    <w:tl2br w:val="nil"/>
                    <w:tr2bl w:val="nil"/>
                  </w:tcBorders>
                  <w:vAlign w:val="center"/>
                </w:tcPr>
                <w:p w14:paraId="0E01B550">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5E58F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0EDBEE05">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198" w:type="dxa"/>
                  <w:tcBorders>
                    <w:tl2br w:val="nil"/>
                    <w:tr2bl w:val="nil"/>
                  </w:tcBorders>
                  <w:vAlign w:val="center"/>
                </w:tcPr>
                <w:p w14:paraId="79477E5A">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制坯车间</w:t>
                  </w:r>
                </w:p>
              </w:tc>
              <w:tc>
                <w:tcPr>
                  <w:tcW w:w="677" w:type="dxa"/>
                  <w:tcBorders>
                    <w:tl2br w:val="nil"/>
                    <w:tr2bl w:val="nil"/>
                  </w:tcBorders>
                  <w:vAlign w:val="center"/>
                </w:tcPr>
                <w:p w14:paraId="072FB6B8">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6840</w:t>
                  </w:r>
                </w:p>
              </w:tc>
              <w:tc>
                <w:tcPr>
                  <w:tcW w:w="798" w:type="dxa"/>
                  <w:tcBorders>
                    <w:tl2br w:val="nil"/>
                    <w:tr2bl w:val="nil"/>
                  </w:tcBorders>
                  <w:vAlign w:val="center"/>
                </w:tcPr>
                <w:p w14:paraId="3B6B2AFE">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6840</w:t>
                  </w:r>
                </w:p>
              </w:tc>
              <w:tc>
                <w:tcPr>
                  <w:tcW w:w="1644" w:type="dxa"/>
                  <w:tcBorders>
                    <w:tl2br w:val="nil"/>
                    <w:tr2bl w:val="nil"/>
                  </w:tcBorders>
                  <w:vAlign w:val="center"/>
                </w:tcPr>
                <w:p w14:paraId="5A624E1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165m×41.45m×9m</w:t>
                  </w:r>
                </w:p>
              </w:tc>
              <w:tc>
                <w:tcPr>
                  <w:tcW w:w="567" w:type="dxa"/>
                  <w:tcBorders>
                    <w:tl2br w:val="nil"/>
                    <w:tr2bl w:val="nil"/>
                  </w:tcBorders>
                  <w:vAlign w:val="center"/>
                </w:tcPr>
                <w:p w14:paraId="3E41BF6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restart"/>
                  <w:tcBorders>
                    <w:tl2br w:val="nil"/>
                    <w:tr2bl w:val="nil"/>
                  </w:tcBorders>
                  <w:vAlign w:val="center"/>
                </w:tcPr>
                <w:p w14:paraId="1FBFE2F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1层，全部为双层彩钢结构，内设4座隧道焙烧窑（113m×3.6m）、4座隧道型干燥室（113m×3.6m）</w:t>
                  </w:r>
                </w:p>
              </w:tc>
              <w:tc>
                <w:tcPr>
                  <w:tcW w:w="649" w:type="dxa"/>
                  <w:tcBorders>
                    <w:tl2br w:val="nil"/>
                    <w:tr2bl w:val="nil"/>
                  </w:tcBorders>
                  <w:vAlign w:val="center"/>
                </w:tcPr>
                <w:p w14:paraId="6C130725">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0062B0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2836C9C8">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198" w:type="dxa"/>
                  <w:tcBorders>
                    <w:tl2br w:val="nil"/>
                    <w:tr2bl w:val="nil"/>
                  </w:tcBorders>
                  <w:vAlign w:val="center"/>
                </w:tcPr>
                <w:p w14:paraId="71FCA278">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焙烧、</w:t>
                  </w:r>
                  <w:r>
                    <w:rPr>
                      <w:color w:val="000000" w:themeColor="text1"/>
                      <w:szCs w:val="21"/>
                      <w:highlight w:val="none"/>
                      <w14:textFill>
                        <w14:solidFill>
                          <w14:schemeClr w14:val="tx1"/>
                        </w14:solidFill>
                      </w14:textFill>
                    </w:rPr>
                    <w:t>烘干车间</w:t>
                  </w:r>
                </w:p>
              </w:tc>
              <w:tc>
                <w:tcPr>
                  <w:tcW w:w="677" w:type="dxa"/>
                  <w:tcBorders>
                    <w:tl2br w:val="nil"/>
                    <w:tr2bl w:val="nil"/>
                  </w:tcBorders>
                  <w:vAlign w:val="center"/>
                </w:tcPr>
                <w:p w14:paraId="707DD2C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15561</w:t>
                  </w:r>
                </w:p>
              </w:tc>
              <w:tc>
                <w:tcPr>
                  <w:tcW w:w="798" w:type="dxa"/>
                  <w:tcBorders>
                    <w:tl2br w:val="nil"/>
                    <w:tr2bl w:val="nil"/>
                  </w:tcBorders>
                  <w:vAlign w:val="center"/>
                </w:tcPr>
                <w:p w14:paraId="19BAFA91">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15561</w:t>
                  </w:r>
                </w:p>
              </w:tc>
              <w:tc>
                <w:tcPr>
                  <w:tcW w:w="1644" w:type="dxa"/>
                  <w:tcBorders>
                    <w:tl2br w:val="nil"/>
                    <w:tr2bl w:val="nil"/>
                  </w:tcBorders>
                  <w:vAlign w:val="center"/>
                </w:tcPr>
                <w:p w14:paraId="56900E58">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121m×128.6m×9m</w:t>
                  </w:r>
                </w:p>
              </w:tc>
              <w:tc>
                <w:tcPr>
                  <w:tcW w:w="567" w:type="dxa"/>
                  <w:tcBorders>
                    <w:tl2br w:val="nil"/>
                    <w:tr2bl w:val="nil"/>
                  </w:tcBorders>
                  <w:vAlign w:val="center"/>
                </w:tcPr>
                <w:p w14:paraId="18989291">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vMerge w:val="continue"/>
                  <w:tcBorders>
                    <w:tl2br w:val="nil"/>
                    <w:tr2bl w:val="nil"/>
                  </w:tcBorders>
                  <w:vAlign w:val="center"/>
                </w:tcPr>
                <w:p w14:paraId="370D94B6">
                  <w:pPr>
                    <w:widowControl/>
                    <w:spacing w:line="300" w:lineRule="exact"/>
                    <w:jc w:val="center"/>
                    <w:rPr>
                      <w:color w:val="000000" w:themeColor="text1"/>
                      <w:szCs w:val="21"/>
                      <w:highlight w:val="none"/>
                      <w14:textFill>
                        <w14:solidFill>
                          <w14:schemeClr w14:val="tx1"/>
                        </w14:solidFill>
                      </w14:textFill>
                    </w:rPr>
                  </w:pPr>
                </w:p>
              </w:tc>
              <w:tc>
                <w:tcPr>
                  <w:tcW w:w="649" w:type="dxa"/>
                  <w:tcBorders>
                    <w:tl2br w:val="nil"/>
                    <w:tr2bl w:val="nil"/>
                  </w:tcBorders>
                  <w:vAlign w:val="center"/>
                </w:tcPr>
                <w:p w14:paraId="018531C3">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66834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63BF091B">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198" w:type="dxa"/>
                  <w:tcBorders>
                    <w:tl2br w:val="nil"/>
                    <w:tr2bl w:val="nil"/>
                  </w:tcBorders>
                  <w:vAlign w:val="center"/>
                </w:tcPr>
                <w:p w14:paraId="1A3B551E">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煤矸石</w:t>
                  </w:r>
                  <w:r>
                    <w:rPr>
                      <w:color w:val="000000" w:themeColor="text1"/>
                      <w:szCs w:val="21"/>
                      <w:highlight w:val="none"/>
                      <w14:textFill>
                        <w14:solidFill>
                          <w14:schemeClr w14:val="tx1"/>
                        </w14:solidFill>
                      </w14:textFill>
                    </w:rPr>
                    <w:t>原料库</w:t>
                  </w:r>
                </w:p>
              </w:tc>
              <w:tc>
                <w:tcPr>
                  <w:tcW w:w="677" w:type="dxa"/>
                  <w:tcBorders>
                    <w:tl2br w:val="nil"/>
                    <w:tr2bl w:val="nil"/>
                  </w:tcBorders>
                  <w:vAlign w:val="center"/>
                </w:tcPr>
                <w:p w14:paraId="6C0A84FD">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798" w:type="dxa"/>
                  <w:tcBorders>
                    <w:tl2br w:val="nil"/>
                    <w:tr2bl w:val="nil"/>
                  </w:tcBorders>
                  <w:vAlign w:val="center"/>
                </w:tcPr>
                <w:p w14:paraId="45D6D6B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1644" w:type="dxa"/>
                  <w:tcBorders>
                    <w:tl2br w:val="nil"/>
                    <w:tr2bl w:val="nil"/>
                  </w:tcBorders>
                  <w:vAlign w:val="center"/>
                </w:tcPr>
                <w:p w14:paraId="3403768B">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75m×29.2m×6m</w:t>
                  </w:r>
                </w:p>
              </w:tc>
              <w:tc>
                <w:tcPr>
                  <w:tcW w:w="567" w:type="dxa"/>
                  <w:tcBorders>
                    <w:tl2br w:val="nil"/>
                    <w:tr2bl w:val="nil"/>
                  </w:tcBorders>
                  <w:vAlign w:val="center"/>
                </w:tcPr>
                <w:p w14:paraId="52FB0D80">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4819D69F">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w:t>
                  </w:r>
                </w:p>
              </w:tc>
              <w:tc>
                <w:tcPr>
                  <w:tcW w:w="649" w:type="dxa"/>
                  <w:tcBorders>
                    <w:tl2br w:val="nil"/>
                    <w:tr2bl w:val="nil"/>
                  </w:tcBorders>
                  <w:vAlign w:val="center"/>
                </w:tcPr>
                <w:p w14:paraId="05F8998A">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7E232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33571803">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1198" w:type="dxa"/>
                  <w:tcBorders>
                    <w:tl2br w:val="nil"/>
                    <w:tr2bl w:val="nil"/>
                  </w:tcBorders>
                  <w:vAlign w:val="center"/>
                </w:tcPr>
                <w:p w14:paraId="3225E2D1">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页岩原料库</w:t>
                  </w:r>
                </w:p>
              </w:tc>
              <w:tc>
                <w:tcPr>
                  <w:tcW w:w="677" w:type="dxa"/>
                  <w:tcBorders>
                    <w:tl2br w:val="nil"/>
                    <w:tr2bl w:val="nil"/>
                  </w:tcBorders>
                  <w:vAlign w:val="center"/>
                </w:tcPr>
                <w:p w14:paraId="1A1E5600">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798" w:type="dxa"/>
                  <w:tcBorders>
                    <w:tl2br w:val="nil"/>
                    <w:tr2bl w:val="nil"/>
                  </w:tcBorders>
                  <w:vAlign w:val="center"/>
                </w:tcPr>
                <w:p w14:paraId="45911DC1">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2190</w:t>
                  </w:r>
                </w:p>
              </w:tc>
              <w:tc>
                <w:tcPr>
                  <w:tcW w:w="1644" w:type="dxa"/>
                  <w:tcBorders>
                    <w:tl2br w:val="nil"/>
                    <w:tr2bl w:val="nil"/>
                  </w:tcBorders>
                  <w:vAlign w:val="center"/>
                </w:tcPr>
                <w:p w14:paraId="03DAE6DD">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75m×29.2m×6m</w:t>
                  </w:r>
                </w:p>
              </w:tc>
              <w:tc>
                <w:tcPr>
                  <w:tcW w:w="567" w:type="dxa"/>
                  <w:tcBorders>
                    <w:tl2br w:val="nil"/>
                    <w:tr2bl w:val="nil"/>
                  </w:tcBorders>
                  <w:vAlign w:val="center"/>
                </w:tcPr>
                <w:p w14:paraId="7C1E1C0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2FFFABF4">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w:t>
                  </w:r>
                </w:p>
              </w:tc>
              <w:tc>
                <w:tcPr>
                  <w:tcW w:w="649" w:type="dxa"/>
                  <w:tcBorders>
                    <w:tl2br w:val="nil"/>
                    <w:tr2bl w:val="nil"/>
                  </w:tcBorders>
                  <w:vAlign w:val="center"/>
                </w:tcPr>
                <w:p w14:paraId="19FF2CB5">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0A4C50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704E6D7C">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1198" w:type="dxa"/>
                  <w:tcBorders>
                    <w:tl2br w:val="nil"/>
                    <w:tr2bl w:val="nil"/>
                  </w:tcBorders>
                  <w:vAlign w:val="center"/>
                </w:tcPr>
                <w:p w14:paraId="6EDE4140">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工业污泥库</w:t>
                  </w:r>
                </w:p>
              </w:tc>
              <w:tc>
                <w:tcPr>
                  <w:tcW w:w="677" w:type="dxa"/>
                  <w:tcBorders>
                    <w:tl2br w:val="nil"/>
                    <w:tr2bl w:val="nil"/>
                  </w:tcBorders>
                  <w:vAlign w:val="center"/>
                </w:tcPr>
                <w:p w14:paraId="00F05CD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176</w:t>
                  </w:r>
                </w:p>
              </w:tc>
              <w:tc>
                <w:tcPr>
                  <w:tcW w:w="798" w:type="dxa"/>
                  <w:tcBorders>
                    <w:tl2br w:val="nil"/>
                    <w:tr2bl w:val="nil"/>
                  </w:tcBorders>
                  <w:vAlign w:val="center"/>
                </w:tcPr>
                <w:p w14:paraId="393092A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176</w:t>
                  </w:r>
                </w:p>
              </w:tc>
              <w:tc>
                <w:tcPr>
                  <w:tcW w:w="1644" w:type="dxa"/>
                  <w:tcBorders>
                    <w:tl2br w:val="nil"/>
                    <w:tr2bl w:val="nil"/>
                  </w:tcBorders>
                  <w:vAlign w:val="center"/>
                </w:tcPr>
                <w:p w14:paraId="631C7733">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22m×8m×6m</w:t>
                  </w:r>
                </w:p>
              </w:tc>
              <w:tc>
                <w:tcPr>
                  <w:tcW w:w="567" w:type="dxa"/>
                  <w:tcBorders>
                    <w:tl2br w:val="nil"/>
                    <w:tr2bl w:val="nil"/>
                  </w:tcBorders>
                  <w:vAlign w:val="center"/>
                </w:tcPr>
                <w:p w14:paraId="1FA1BCD2">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3F968C5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w:t>
                  </w:r>
                  <w:r>
                    <w:rPr>
                      <w:rFonts w:hint="eastAsia"/>
                      <w:color w:val="000000" w:themeColor="text1"/>
                      <w:szCs w:val="21"/>
                      <w:highlight w:val="none"/>
                      <w14:textFill>
                        <w14:solidFill>
                          <w14:schemeClr w14:val="tx1"/>
                        </w14:solidFill>
                      </w14:textFill>
                    </w:rPr>
                    <w:t>位于页岩原料库内，双层</w:t>
                  </w:r>
                  <w:r>
                    <w:rPr>
                      <w:color w:val="000000" w:themeColor="text1"/>
                      <w:szCs w:val="21"/>
                      <w:highlight w:val="none"/>
                      <w14:textFill>
                        <w14:solidFill>
                          <w14:schemeClr w14:val="tx1"/>
                        </w14:solidFill>
                      </w14:textFill>
                    </w:rPr>
                    <w:t>彩钢结构，污泥</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地面防腐防渗</w:t>
                  </w:r>
                  <w:r>
                    <w:rPr>
                      <w:rFonts w:hint="eastAsia"/>
                      <w:color w:val="000000" w:themeColor="text1"/>
                      <w:szCs w:val="21"/>
                      <w:highlight w:val="none"/>
                      <w14:textFill>
                        <w14:solidFill>
                          <w14:schemeClr w14:val="tx1"/>
                        </w14:solidFill>
                      </w14:textFill>
                    </w:rPr>
                    <w:t>处理</w:t>
                  </w:r>
                </w:p>
              </w:tc>
              <w:tc>
                <w:tcPr>
                  <w:tcW w:w="649" w:type="dxa"/>
                  <w:tcBorders>
                    <w:tl2br w:val="nil"/>
                    <w:tr2bl w:val="nil"/>
                  </w:tcBorders>
                  <w:vAlign w:val="center"/>
                </w:tcPr>
                <w:p w14:paraId="0E3A793A">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761D4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00D888B9">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1198" w:type="dxa"/>
                  <w:tcBorders>
                    <w:tl2br w:val="nil"/>
                    <w:tr2bl w:val="nil"/>
                  </w:tcBorders>
                  <w:vAlign w:val="center"/>
                </w:tcPr>
                <w:p w14:paraId="32BC6CB2">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生活污泥库</w:t>
                  </w:r>
                </w:p>
              </w:tc>
              <w:tc>
                <w:tcPr>
                  <w:tcW w:w="677" w:type="dxa"/>
                  <w:tcBorders>
                    <w:tl2br w:val="nil"/>
                    <w:tr2bl w:val="nil"/>
                  </w:tcBorders>
                  <w:vAlign w:val="center"/>
                </w:tcPr>
                <w:p w14:paraId="261AAE7D">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176</w:t>
                  </w:r>
                </w:p>
              </w:tc>
              <w:tc>
                <w:tcPr>
                  <w:tcW w:w="798" w:type="dxa"/>
                  <w:tcBorders>
                    <w:tl2br w:val="nil"/>
                    <w:tr2bl w:val="nil"/>
                  </w:tcBorders>
                  <w:vAlign w:val="center"/>
                </w:tcPr>
                <w:p w14:paraId="41DA7531">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176</w:t>
                  </w:r>
                </w:p>
              </w:tc>
              <w:tc>
                <w:tcPr>
                  <w:tcW w:w="1644" w:type="dxa"/>
                  <w:tcBorders>
                    <w:tl2br w:val="nil"/>
                    <w:tr2bl w:val="nil"/>
                  </w:tcBorders>
                  <w:vAlign w:val="center"/>
                </w:tcPr>
                <w:p w14:paraId="7F823138">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22</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8</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6</w:t>
                  </w:r>
                  <w:r>
                    <w:rPr>
                      <w:color w:val="000000" w:themeColor="text1"/>
                      <w:szCs w:val="21"/>
                      <w:highlight w:val="none"/>
                      <w14:textFill>
                        <w14:solidFill>
                          <w14:schemeClr w14:val="tx1"/>
                        </w14:solidFill>
                      </w14:textFill>
                    </w:rPr>
                    <w:t>m</w:t>
                  </w:r>
                </w:p>
              </w:tc>
              <w:tc>
                <w:tcPr>
                  <w:tcW w:w="567" w:type="dxa"/>
                  <w:tcBorders>
                    <w:tl2br w:val="nil"/>
                    <w:tr2bl w:val="nil"/>
                  </w:tcBorders>
                  <w:vAlign w:val="center"/>
                </w:tcPr>
                <w:p w14:paraId="703434CA">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1F3DABB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w:t>
                  </w:r>
                  <w:r>
                    <w:rPr>
                      <w:rFonts w:hint="eastAsia"/>
                      <w:color w:val="000000" w:themeColor="text1"/>
                      <w:szCs w:val="21"/>
                      <w:highlight w:val="none"/>
                      <w14:textFill>
                        <w14:solidFill>
                          <w14:schemeClr w14:val="tx1"/>
                        </w14:solidFill>
                      </w14:textFill>
                    </w:rPr>
                    <w:t>位于煤矸石原料库西侧，双层</w:t>
                  </w:r>
                  <w:r>
                    <w:rPr>
                      <w:color w:val="000000" w:themeColor="text1"/>
                      <w:szCs w:val="21"/>
                      <w:highlight w:val="none"/>
                      <w14:textFill>
                        <w14:solidFill>
                          <w14:schemeClr w14:val="tx1"/>
                        </w14:solidFill>
                      </w14:textFill>
                    </w:rPr>
                    <w:t>彩钢结构，污泥</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地面防腐防渗</w:t>
                  </w:r>
                  <w:r>
                    <w:rPr>
                      <w:rFonts w:hint="eastAsia"/>
                      <w:color w:val="000000" w:themeColor="text1"/>
                      <w:szCs w:val="21"/>
                      <w:highlight w:val="none"/>
                      <w14:textFill>
                        <w14:solidFill>
                          <w14:schemeClr w14:val="tx1"/>
                        </w14:solidFill>
                      </w14:textFill>
                    </w:rPr>
                    <w:t>处理</w:t>
                  </w:r>
                </w:p>
              </w:tc>
              <w:tc>
                <w:tcPr>
                  <w:tcW w:w="649" w:type="dxa"/>
                  <w:tcBorders>
                    <w:tl2br w:val="nil"/>
                    <w:tr2bl w:val="nil"/>
                  </w:tcBorders>
                  <w:vAlign w:val="center"/>
                </w:tcPr>
                <w:p w14:paraId="3FD4BE71">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新建</w:t>
                  </w:r>
                </w:p>
              </w:tc>
            </w:tr>
            <w:tr w14:paraId="61589D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1479F2A4">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w:t>
                  </w:r>
                </w:p>
              </w:tc>
              <w:tc>
                <w:tcPr>
                  <w:tcW w:w="1198" w:type="dxa"/>
                  <w:tcBorders>
                    <w:tl2br w:val="nil"/>
                    <w:tr2bl w:val="nil"/>
                  </w:tcBorders>
                  <w:vAlign w:val="center"/>
                </w:tcPr>
                <w:p w14:paraId="7E592E93">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脱硫车间</w:t>
                  </w:r>
                </w:p>
              </w:tc>
              <w:tc>
                <w:tcPr>
                  <w:tcW w:w="677" w:type="dxa"/>
                  <w:tcBorders>
                    <w:tl2br w:val="nil"/>
                    <w:tr2bl w:val="nil"/>
                  </w:tcBorders>
                  <w:vAlign w:val="center"/>
                </w:tcPr>
                <w:p w14:paraId="2205FF02">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1280</w:t>
                  </w:r>
                </w:p>
              </w:tc>
              <w:tc>
                <w:tcPr>
                  <w:tcW w:w="798" w:type="dxa"/>
                  <w:tcBorders>
                    <w:tl2br w:val="nil"/>
                    <w:tr2bl w:val="nil"/>
                  </w:tcBorders>
                  <w:vAlign w:val="center"/>
                </w:tcPr>
                <w:p w14:paraId="49325395">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1280</w:t>
                  </w:r>
                </w:p>
              </w:tc>
              <w:tc>
                <w:tcPr>
                  <w:tcW w:w="1644" w:type="dxa"/>
                  <w:tcBorders>
                    <w:tl2br w:val="nil"/>
                    <w:tr2bl w:val="nil"/>
                  </w:tcBorders>
                  <w:vAlign w:val="center"/>
                </w:tcPr>
                <w:p w14:paraId="3B06ABE7">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18.82m×68m×4m</w:t>
                  </w:r>
                </w:p>
              </w:tc>
              <w:tc>
                <w:tcPr>
                  <w:tcW w:w="567" w:type="dxa"/>
                  <w:tcBorders>
                    <w:tl2br w:val="nil"/>
                    <w:tr2bl w:val="nil"/>
                  </w:tcBorders>
                  <w:vAlign w:val="center"/>
                </w:tcPr>
                <w:p w14:paraId="4359D3FF">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106C3F89">
                  <w:pPr>
                    <w:widowControl/>
                    <w:tabs>
                      <w:tab w:val="left" w:pos="327"/>
                    </w:tabs>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1层，全部为双层彩钢结构</w:t>
                  </w:r>
                </w:p>
              </w:tc>
              <w:tc>
                <w:tcPr>
                  <w:tcW w:w="649" w:type="dxa"/>
                  <w:tcBorders>
                    <w:tl2br w:val="nil"/>
                    <w:tr2bl w:val="nil"/>
                  </w:tcBorders>
                  <w:vAlign w:val="center"/>
                </w:tcPr>
                <w:p w14:paraId="4BE70EA1">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6546AF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16E14980">
                  <w:pPr>
                    <w:spacing w:line="30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10</w:t>
                  </w:r>
                </w:p>
              </w:tc>
              <w:tc>
                <w:tcPr>
                  <w:tcW w:w="1198" w:type="dxa"/>
                  <w:tcBorders>
                    <w:tl2br w:val="nil"/>
                    <w:tr2bl w:val="nil"/>
                  </w:tcBorders>
                  <w:shd w:val="clear" w:color="auto" w:fill="auto"/>
                  <w:vAlign w:val="center"/>
                </w:tcPr>
                <w:p w14:paraId="1CED1A57">
                  <w:pPr>
                    <w:spacing w:line="28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脱硫水池</w:t>
                  </w:r>
                </w:p>
              </w:tc>
              <w:tc>
                <w:tcPr>
                  <w:tcW w:w="677" w:type="dxa"/>
                  <w:tcBorders>
                    <w:tl2br w:val="nil"/>
                    <w:tr2bl w:val="nil"/>
                  </w:tcBorders>
                  <w:shd w:val="clear" w:color="auto" w:fill="auto"/>
                  <w:vAlign w:val="center"/>
                </w:tcPr>
                <w:p w14:paraId="70E3DD00">
                  <w:pPr>
                    <w:widowControl/>
                    <w:spacing w:line="28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798" w:type="dxa"/>
                  <w:tcBorders>
                    <w:tl2br w:val="nil"/>
                    <w:tr2bl w:val="nil"/>
                  </w:tcBorders>
                  <w:shd w:val="clear" w:color="auto" w:fill="auto"/>
                  <w:vAlign w:val="center"/>
                </w:tcPr>
                <w:p w14:paraId="6C8A0345">
                  <w:pPr>
                    <w:widowControl/>
                    <w:spacing w:line="28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1644" w:type="dxa"/>
                  <w:tcBorders>
                    <w:tl2br w:val="nil"/>
                    <w:tr2bl w:val="nil"/>
                  </w:tcBorders>
                  <w:shd w:val="clear" w:color="auto" w:fill="auto"/>
                  <w:vAlign w:val="center"/>
                </w:tcPr>
                <w:p w14:paraId="2907E12C">
                  <w:pPr>
                    <w:widowControl/>
                    <w:spacing w:line="28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w:t>
                  </w:r>
                  <w:r>
                    <w:rPr>
                      <w:color w:val="000000" w:themeColor="text1"/>
                      <w:szCs w:val="21"/>
                      <w:highlight w:val="none"/>
                      <w14:textFill>
                        <w14:solidFill>
                          <w14:schemeClr w14:val="tx1"/>
                        </w14:solidFill>
                      </w14:textFill>
                    </w:rPr>
                    <w:t>m×</w:t>
                  </w:r>
                  <w:r>
                    <w:rPr>
                      <w:rFonts w:hint="eastAsia"/>
                      <w:color w:val="000000" w:themeColor="text1"/>
                      <w:szCs w:val="21"/>
                      <w:highlight w:val="none"/>
                      <w:lang w:val="en-US" w:eastAsia="zh-CN"/>
                      <w14:textFill>
                        <w14:solidFill>
                          <w14:schemeClr w14:val="tx1"/>
                        </w14:solidFill>
                      </w14:textFill>
                    </w:rPr>
                    <w:t>3</w:t>
                  </w:r>
                  <w:r>
                    <w:rPr>
                      <w:color w:val="000000" w:themeColor="text1"/>
                      <w:szCs w:val="21"/>
                      <w:highlight w:val="none"/>
                      <w14:textFill>
                        <w14:solidFill>
                          <w14:schemeClr w14:val="tx1"/>
                        </w14:solidFill>
                      </w14:textFill>
                    </w:rPr>
                    <w:t>m×</w:t>
                  </w:r>
                  <w:r>
                    <w:rPr>
                      <w:rFonts w:hint="eastAsia"/>
                      <w:color w:val="000000" w:themeColor="text1"/>
                      <w:szCs w:val="21"/>
                      <w:highlight w:val="none"/>
                      <w:lang w:val="en-US" w:eastAsia="zh-CN"/>
                      <w14:textFill>
                        <w14:solidFill>
                          <w14:schemeClr w14:val="tx1"/>
                        </w14:solidFill>
                      </w14:textFill>
                    </w:rPr>
                    <w:t>4</w:t>
                  </w:r>
                  <w:r>
                    <w:rPr>
                      <w:color w:val="000000" w:themeColor="text1"/>
                      <w:szCs w:val="21"/>
                      <w:highlight w:val="none"/>
                      <w14:textFill>
                        <w14:solidFill>
                          <w14:schemeClr w14:val="tx1"/>
                        </w14:solidFill>
                      </w14:textFill>
                    </w:rPr>
                    <w:t>m</w:t>
                  </w:r>
                </w:p>
              </w:tc>
              <w:tc>
                <w:tcPr>
                  <w:tcW w:w="567" w:type="dxa"/>
                  <w:tcBorders>
                    <w:tl2br w:val="nil"/>
                    <w:tr2bl w:val="nil"/>
                  </w:tcBorders>
                  <w:shd w:val="clear" w:color="auto" w:fill="auto"/>
                  <w:vAlign w:val="center"/>
                </w:tcPr>
                <w:p w14:paraId="4BEB4FCE">
                  <w:pPr>
                    <w:widowControl/>
                    <w:spacing w:line="28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2977" w:type="dxa"/>
                  <w:tcBorders>
                    <w:tl2br w:val="nil"/>
                    <w:tr2bl w:val="nil"/>
                  </w:tcBorders>
                  <w:shd w:val="clear" w:color="auto" w:fill="auto"/>
                  <w:vAlign w:val="center"/>
                </w:tcPr>
                <w:p w14:paraId="0686BB14">
                  <w:pPr>
                    <w:widowControl/>
                    <w:tabs>
                      <w:tab w:val="left" w:pos="327"/>
                    </w:tabs>
                    <w:spacing w:line="28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防渗处理，渗透系数≤1.0×10</w:t>
                  </w:r>
                  <w:r>
                    <w:rPr>
                      <w:color w:val="000000" w:themeColor="text1"/>
                      <w:szCs w:val="21"/>
                      <w:highlight w:val="none"/>
                      <w:vertAlign w:val="superscript"/>
                      <w14:textFill>
                        <w14:solidFill>
                          <w14:schemeClr w14:val="tx1"/>
                        </w14:solidFill>
                      </w14:textFill>
                    </w:rPr>
                    <w:t>-7</w:t>
                  </w:r>
                  <w:r>
                    <w:rPr>
                      <w:color w:val="000000" w:themeColor="text1"/>
                      <w:szCs w:val="21"/>
                      <w:highlight w:val="none"/>
                      <w14:textFill>
                        <w14:solidFill>
                          <w14:schemeClr w14:val="tx1"/>
                        </w14:solidFill>
                      </w14:textFill>
                    </w:rPr>
                    <w:t>cm/s</w:t>
                  </w:r>
                </w:p>
              </w:tc>
              <w:tc>
                <w:tcPr>
                  <w:tcW w:w="649" w:type="dxa"/>
                  <w:tcBorders>
                    <w:tl2br w:val="nil"/>
                    <w:tr2bl w:val="nil"/>
                  </w:tcBorders>
                  <w:vAlign w:val="center"/>
                </w:tcPr>
                <w:p w14:paraId="03DF463C">
                  <w:pPr>
                    <w:widowControl/>
                    <w:spacing w:line="300" w:lineRule="exact"/>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1E96A6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4252B384">
                  <w:pPr>
                    <w:spacing w:line="30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11</w:t>
                  </w:r>
                </w:p>
              </w:tc>
              <w:tc>
                <w:tcPr>
                  <w:tcW w:w="1198" w:type="dxa"/>
                  <w:tcBorders>
                    <w:tl2br w:val="nil"/>
                    <w:tr2bl w:val="nil"/>
                  </w:tcBorders>
                  <w:vAlign w:val="center"/>
                </w:tcPr>
                <w:p w14:paraId="63E2B74E">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办公室、门卫、磅房</w:t>
                  </w:r>
                </w:p>
              </w:tc>
              <w:tc>
                <w:tcPr>
                  <w:tcW w:w="677" w:type="dxa"/>
                  <w:tcBorders>
                    <w:tl2br w:val="nil"/>
                    <w:tr2bl w:val="nil"/>
                  </w:tcBorders>
                  <w:vAlign w:val="center"/>
                </w:tcPr>
                <w:p w14:paraId="41A17DF0">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556</w:t>
                  </w:r>
                </w:p>
              </w:tc>
              <w:tc>
                <w:tcPr>
                  <w:tcW w:w="798" w:type="dxa"/>
                  <w:tcBorders>
                    <w:tl2br w:val="nil"/>
                    <w:tr2bl w:val="nil"/>
                  </w:tcBorders>
                  <w:vAlign w:val="center"/>
                </w:tcPr>
                <w:p w14:paraId="323230AF">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1112</w:t>
                  </w:r>
                </w:p>
              </w:tc>
              <w:tc>
                <w:tcPr>
                  <w:tcW w:w="1644" w:type="dxa"/>
                  <w:tcBorders>
                    <w:tl2br w:val="nil"/>
                    <w:tr2bl w:val="nil"/>
                  </w:tcBorders>
                  <w:vAlign w:val="center"/>
                </w:tcPr>
                <w:p w14:paraId="4D576280">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8.17m×68m×8m</w:t>
                  </w:r>
                </w:p>
              </w:tc>
              <w:tc>
                <w:tcPr>
                  <w:tcW w:w="567" w:type="dxa"/>
                  <w:tcBorders>
                    <w:tl2br w:val="nil"/>
                    <w:tr2bl w:val="nil"/>
                  </w:tcBorders>
                  <w:vAlign w:val="center"/>
                </w:tcPr>
                <w:p w14:paraId="1C96A83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3E14471B">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2层，砖混结构</w:t>
                  </w:r>
                </w:p>
              </w:tc>
              <w:tc>
                <w:tcPr>
                  <w:tcW w:w="649" w:type="dxa"/>
                  <w:tcBorders>
                    <w:tl2br w:val="nil"/>
                    <w:tr2bl w:val="nil"/>
                  </w:tcBorders>
                  <w:vAlign w:val="center"/>
                </w:tcPr>
                <w:p w14:paraId="0B29F5E8">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1AA2EE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shd w:val="clear" w:color="auto" w:fill="auto"/>
                  <w:vAlign w:val="center"/>
                </w:tcPr>
                <w:p w14:paraId="5F1BA0E4">
                  <w:pPr>
                    <w:spacing w:line="300" w:lineRule="exact"/>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12</w:t>
                  </w:r>
                </w:p>
              </w:tc>
              <w:tc>
                <w:tcPr>
                  <w:tcW w:w="1198" w:type="dxa"/>
                  <w:tcBorders>
                    <w:tl2br w:val="nil"/>
                    <w:tr2bl w:val="nil"/>
                  </w:tcBorders>
                  <w:vAlign w:val="center"/>
                </w:tcPr>
                <w:p w14:paraId="01EDC078">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一般固废暂存区</w:t>
                  </w:r>
                </w:p>
              </w:tc>
              <w:tc>
                <w:tcPr>
                  <w:tcW w:w="677" w:type="dxa"/>
                  <w:tcBorders>
                    <w:tl2br w:val="nil"/>
                    <w:tr2bl w:val="nil"/>
                  </w:tcBorders>
                  <w:vAlign w:val="center"/>
                </w:tcPr>
                <w:p w14:paraId="0AF9B026">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798" w:type="dxa"/>
                  <w:tcBorders>
                    <w:tl2br w:val="nil"/>
                    <w:tr2bl w:val="nil"/>
                  </w:tcBorders>
                  <w:vAlign w:val="center"/>
                </w:tcPr>
                <w:p w14:paraId="23B3635E">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644" w:type="dxa"/>
                  <w:tcBorders>
                    <w:tl2br w:val="nil"/>
                    <w:tr2bl w:val="nil"/>
                  </w:tcBorders>
                  <w:vAlign w:val="center"/>
                </w:tcPr>
                <w:p w14:paraId="13C8215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5m×10m</w:t>
                  </w:r>
                </w:p>
              </w:tc>
              <w:tc>
                <w:tcPr>
                  <w:tcW w:w="567" w:type="dxa"/>
                  <w:tcBorders>
                    <w:tl2br w:val="nil"/>
                    <w:tr2bl w:val="nil"/>
                  </w:tcBorders>
                  <w:vAlign w:val="center"/>
                </w:tcPr>
                <w:p w14:paraId="30F04547">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41754321">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位于成品车间内，防渗处理，渗透系数≤1.0×10</w:t>
                  </w:r>
                  <w:r>
                    <w:rPr>
                      <w:color w:val="000000" w:themeColor="text1"/>
                      <w:szCs w:val="21"/>
                      <w:highlight w:val="none"/>
                      <w:vertAlign w:val="superscript"/>
                      <w14:textFill>
                        <w14:solidFill>
                          <w14:schemeClr w14:val="tx1"/>
                        </w14:solidFill>
                      </w14:textFill>
                    </w:rPr>
                    <w:t>-7</w:t>
                  </w:r>
                  <w:r>
                    <w:rPr>
                      <w:color w:val="000000" w:themeColor="text1"/>
                      <w:szCs w:val="21"/>
                      <w:highlight w:val="none"/>
                      <w14:textFill>
                        <w14:solidFill>
                          <w14:schemeClr w14:val="tx1"/>
                        </w14:solidFill>
                      </w14:textFill>
                    </w:rPr>
                    <w:t>cm/s</w:t>
                  </w:r>
                </w:p>
              </w:tc>
              <w:tc>
                <w:tcPr>
                  <w:tcW w:w="649" w:type="dxa"/>
                  <w:tcBorders>
                    <w:tl2br w:val="nil"/>
                    <w:tr2bl w:val="nil"/>
                  </w:tcBorders>
                  <w:vAlign w:val="center"/>
                </w:tcPr>
                <w:p w14:paraId="48494369">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52346F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71088B96">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13</w:t>
                  </w:r>
                </w:p>
              </w:tc>
              <w:tc>
                <w:tcPr>
                  <w:tcW w:w="1198" w:type="dxa"/>
                  <w:tcBorders>
                    <w:tl2br w:val="nil"/>
                    <w:tr2bl w:val="nil"/>
                  </w:tcBorders>
                  <w:vAlign w:val="center"/>
                </w:tcPr>
                <w:p w14:paraId="1DB054AF">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危险废物暂存间</w:t>
                  </w:r>
                </w:p>
              </w:tc>
              <w:tc>
                <w:tcPr>
                  <w:tcW w:w="677" w:type="dxa"/>
                  <w:tcBorders>
                    <w:tl2br w:val="nil"/>
                    <w:tr2bl w:val="nil"/>
                  </w:tcBorders>
                  <w:vAlign w:val="center"/>
                </w:tcPr>
                <w:p w14:paraId="3B6B1062">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p>
              </w:tc>
              <w:tc>
                <w:tcPr>
                  <w:tcW w:w="798" w:type="dxa"/>
                  <w:tcBorders>
                    <w:tl2br w:val="nil"/>
                    <w:tr2bl w:val="nil"/>
                  </w:tcBorders>
                  <w:vAlign w:val="center"/>
                </w:tcPr>
                <w:p w14:paraId="10F4B78C">
                  <w:pPr>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p>
              </w:tc>
              <w:tc>
                <w:tcPr>
                  <w:tcW w:w="1644" w:type="dxa"/>
                  <w:tcBorders>
                    <w:tl2br w:val="nil"/>
                    <w:tr2bl w:val="nil"/>
                  </w:tcBorders>
                  <w:vAlign w:val="center"/>
                </w:tcPr>
                <w:p w14:paraId="5C0ED550">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3m×3m×3m</w:t>
                  </w:r>
                </w:p>
              </w:tc>
              <w:tc>
                <w:tcPr>
                  <w:tcW w:w="567" w:type="dxa"/>
                  <w:tcBorders>
                    <w:tl2br w:val="nil"/>
                    <w:tr2bl w:val="nil"/>
                  </w:tcBorders>
                  <w:vAlign w:val="center"/>
                </w:tcPr>
                <w:p w14:paraId="01409A99">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2977" w:type="dxa"/>
                  <w:tcBorders>
                    <w:tl2br w:val="nil"/>
                    <w:tr2bl w:val="nil"/>
                  </w:tcBorders>
                  <w:vAlign w:val="center"/>
                </w:tcPr>
                <w:p w14:paraId="56C31DA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位于制坯车间内，防渗处理，渗透系数≤1.0×10</w:t>
                  </w:r>
                  <w:r>
                    <w:rPr>
                      <w:color w:val="000000" w:themeColor="text1"/>
                      <w:szCs w:val="21"/>
                      <w:highlight w:val="none"/>
                      <w:vertAlign w:val="superscript"/>
                      <w14:textFill>
                        <w14:solidFill>
                          <w14:schemeClr w14:val="tx1"/>
                        </w14:solidFill>
                      </w14:textFill>
                    </w:rPr>
                    <w:t>-10</w:t>
                  </w:r>
                  <w:r>
                    <w:rPr>
                      <w:color w:val="000000" w:themeColor="text1"/>
                      <w:szCs w:val="21"/>
                      <w:highlight w:val="none"/>
                      <w14:textFill>
                        <w14:solidFill>
                          <w14:schemeClr w14:val="tx1"/>
                        </w14:solidFill>
                      </w14:textFill>
                    </w:rPr>
                    <w:t>cm/s</w:t>
                  </w:r>
                </w:p>
              </w:tc>
              <w:tc>
                <w:tcPr>
                  <w:tcW w:w="649" w:type="dxa"/>
                  <w:tcBorders>
                    <w:tl2br w:val="nil"/>
                    <w:tr2bl w:val="nil"/>
                  </w:tcBorders>
                  <w:vAlign w:val="center"/>
                </w:tcPr>
                <w:p w14:paraId="7F8600E4">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r w14:paraId="2D86D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9" w:type="dxa"/>
                  <w:tcBorders>
                    <w:tl2br w:val="nil"/>
                    <w:tr2bl w:val="nil"/>
                  </w:tcBorders>
                  <w:vAlign w:val="center"/>
                </w:tcPr>
                <w:p w14:paraId="3B655F51">
                  <w:pPr>
                    <w:spacing w:line="30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w:t>
                  </w:r>
                </w:p>
              </w:tc>
              <w:tc>
                <w:tcPr>
                  <w:tcW w:w="1198" w:type="dxa"/>
                  <w:tcBorders>
                    <w:tl2br w:val="nil"/>
                    <w:tr2bl w:val="nil"/>
                  </w:tcBorders>
                  <w:vAlign w:val="center"/>
                </w:tcPr>
                <w:p w14:paraId="4AD25AC8">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洗车平台</w:t>
                  </w:r>
                </w:p>
              </w:tc>
              <w:tc>
                <w:tcPr>
                  <w:tcW w:w="677" w:type="dxa"/>
                  <w:tcBorders>
                    <w:tl2br w:val="nil"/>
                    <w:tr2bl w:val="nil"/>
                  </w:tcBorders>
                  <w:vAlign w:val="center"/>
                </w:tcPr>
                <w:p w14:paraId="40B8B361">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798" w:type="dxa"/>
                  <w:tcBorders>
                    <w:tl2br w:val="nil"/>
                    <w:tr2bl w:val="nil"/>
                  </w:tcBorders>
                  <w:vAlign w:val="center"/>
                </w:tcPr>
                <w:p w14:paraId="3138A597">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644" w:type="dxa"/>
                  <w:tcBorders>
                    <w:tl2br w:val="nil"/>
                    <w:tr2bl w:val="nil"/>
                  </w:tcBorders>
                  <w:vAlign w:val="center"/>
                </w:tcPr>
                <w:p w14:paraId="17901068">
                  <w:pPr>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6m×2.5m</w:t>
                  </w:r>
                </w:p>
              </w:tc>
              <w:tc>
                <w:tcPr>
                  <w:tcW w:w="567" w:type="dxa"/>
                  <w:tcBorders>
                    <w:tl2br w:val="nil"/>
                    <w:tr2bl w:val="nil"/>
                  </w:tcBorders>
                  <w:vAlign w:val="center"/>
                </w:tcPr>
                <w:p w14:paraId="6F1080CA">
                  <w:pPr>
                    <w:widowControl/>
                    <w:spacing w:line="30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2977" w:type="dxa"/>
                  <w:tcBorders>
                    <w:tl2br w:val="nil"/>
                    <w:tr2bl w:val="nil"/>
                  </w:tcBorders>
                  <w:vAlign w:val="center"/>
                </w:tcPr>
                <w:p w14:paraId="4A445401">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分别位于</w:t>
                  </w:r>
                  <w:r>
                    <w:rPr>
                      <w:color w:val="000000" w:themeColor="text1"/>
                      <w:szCs w:val="21"/>
                      <w:highlight w:val="none"/>
                      <w14:textFill>
                        <w14:solidFill>
                          <w14:schemeClr w14:val="tx1"/>
                        </w14:solidFill>
                      </w14:textFill>
                    </w:rPr>
                    <w:t>厂区出入口、封闭原料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出口</w:t>
                  </w:r>
                  <w:r>
                    <w:rPr>
                      <w:rFonts w:hint="eastAsia"/>
                      <w:color w:val="000000" w:themeColor="text1"/>
                      <w:szCs w:val="21"/>
                      <w:highlight w:val="none"/>
                      <w14:textFill>
                        <w14:solidFill>
                          <w14:schemeClr w14:val="tx1"/>
                        </w14:solidFill>
                      </w14:textFill>
                    </w:rPr>
                    <w:t>处</w:t>
                  </w:r>
                </w:p>
              </w:tc>
              <w:tc>
                <w:tcPr>
                  <w:tcW w:w="649" w:type="dxa"/>
                  <w:tcBorders>
                    <w:tl2br w:val="nil"/>
                    <w:tr2bl w:val="nil"/>
                  </w:tcBorders>
                  <w:vAlign w:val="center"/>
                </w:tcPr>
                <w:p w14:paraId="71F01A84">
                  <w:pPr>
                    <w:widowControl/>
                    <w:spacing w:line="30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w:t>
                  </w:r>
                </w:p>
              </w:tc>
            </w:tr>
          </w:tbl>
          <w:p w14:paraId="6357CCC5">
            <w:pPr>
              <w:spacing w:line="480" w:lineRule="exact"/>
              <w:ind w:firstLine="480" w:firstLineChars="200"/>
              <w:rPr>
                <w:rFonts w:hint="eastAsia" w:hAnsi="宋体"/>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本项目</w:t>
            </w:r>
            <w:r>
              <w:rPr>
                <w:rFonts w:hAnsi="宋体"/>
                <w:color w:val="000000" w:themeColor="text1"/>
                <w:kern w:val="0"/>
                <w:sz w:val="24"/>
                <w:highlight w:val="none"/>
                <w14:textFill>
                  <w14:solidFill>
                    <w14:schemeClr w14:val="tx1"/>
                  </w14:solidFill>
                </w14:textFill>
              </w:rPr>
              <w:t>原辅材料及能源消耗</w:t>
            </w:r>
            <w:r>
              <w:rPr>
                <w:rFonts w:hint="eastAsia" w:hAnsi="宋体"/>
                <w:color w:val="000000" w:themeColor="text1"/>
                <w:kern w:val="0"/>
                <w:sz w:val="24"/>
                <w:highlight w:val="none"/>
                <w14:textFill>
                  <w14:solidFill>
                    <w14:schemeClr w14:val="tx1"/>
                  </w14:solidFill>
                </w14:textFill>
              </w:rPr>
              <w:t>一览表见表2-</w:t>
            </w:r>
            <w:r>
              <w:rPr>
                <w:rFonts w:hint="eastAsia" w:hAnsi="宋体"/>
                <w:color w:val="000000" w:themeColor="text1"/>
                <w:kern w:val="0"/>
                <w:sz w:val="24"/>
                <w:highlight w:val="none"/>
                <w:lang w:val="en-US" w:eastAsia="zh-CN"/>
                <w14:textFill>
                  <w14:solidFill>
                    <w14:schemeClr w14:val="tx1"/>
                  </w14:solidFill>
                </w14:textFill>
              </w:rPr>
              <w:t>10</w:t>
            </w:r>
            <w:r>
              <w:rPr>
                <w:rFonts w:hint="eastAsia" w:hAnsi="宋体"/>
                <w:color w:val="000000" w:themeColor="text1"/>
                <w:kern w:val="0"/>
                <w:sz w:val="24"/>
                <w:highlight w:val="none"/>
                <w14:textFill>
                  <w14:solidFill>
                    <w14:schemeClr w14:val="tx1"/>
                  </w14:solidFill>
                </w14:textFill>
              </w:rPr>
              <w:t>。</w:t>
            </w:r>
          </w:p>
          <w:p w14:paraId="76E04D66">
            <w:pPr>
              <w:pStyle w:val="6"/>
              <w:rPr>
                <w:highlight w:val="none"/>
              </w:rPr>
            </w:pPr>
          </w:p>
          <w:p w14:paraId="7CD45245">
            <w:pPr>
              <w:spacing w:line="480" w:lineRule="exact"/>
              <w:ind w:firstLine="960" w:firstLineChars="400"/>
              <w:rPr>
                <w:rFonts w:ascii="黑体" w:hAnsi="黑体" w:eastAsia="黑体"/>
                <w:color w:val="000000" w:themeColor="text1"/>
                <w:kern w:val="0"/>
                <w:sz w:val="24"/>
                <w:highlight w:val="none"/>
                <w14:textFill>
                  <w14:solidFill>
                    <w14:schemeClr w14:val="tx1"/>
                  </w14:solidFill>
                </w14:textFill>
              </w:rPr>
            </w:pPr>
            <w:r>
              <w:rPr>
                <w:rFonts w:ascii="黑体" w:hAnsi="黑体" w:eastAsia="黑体"/>
                <w:color w:val="000000" w:themeColor="text1"/>
                <w:kern w:val="0"/>
                <w:sz w:val="24"/>
                <w:highlight w:val="none"/>
                <w14:textFill>
                  <w14:solidFill>
                    <w14:schemeClr w14:val="tx1"/>
                  </w14:solidFill>
                </w14:textFill>
              </w:rPr>
              <w:t>表2-</w:t>
            </w:r>
            <w:r>
              <w:rPr>
                <w:rFonts w:hint="eastAsia" w:ascii="黑体" w:hAnsi="黑体" w:eastAsia="黑体"/>
                <w:color w:val="000000" w:themeColor="text1"/>
                <w:kern w:val="0"/>
                <w:sz w:val="24"/>
                <w:highlight w:val="none"/>
                <w:lang w:val="en-US" w:eastAsia="zh-CN"/>
                <w14:textFill>
                  <w14:solidFill>
                    <w14:schemeClr w14:val="tx1"/>
                  </w14:solidFill>
                </w14:textFill>
              </w:rPr>
              <w:t>10</w:t>
            </w:r>
            <w:r>
              <w:rPr>
                <w:rFonts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14:textFill>
                  <w14:solidFill>
                    <w14:schemeClr w14:val="tx1"/>
                  </w14:solidFill>
                </w14:textFill>
              </w:rPr>
              <w:t xml:space="preserve">  本项目</w:t>
            </w:r>
            <w:r>
              <w:rPr>
                <w:rFonts w:ascii="黑体" w:hAnsi="黑体" w:eastAsia="黑体"/>
                <w:color w:val="000000" w:themeColor="text1"/>
                <w:kern w:val="0"/>
                <w:sz w:val="24"/>
                <w:highlight w:val="none"/>
                <w14:textFill>
                  <w14:solidFill>
                    <w14:schemeClr w14:val="tx1"/>
                  </w14:solidFill>
                </w14:textFill>
              </w:rPr>
              <w:t>原辅材料及能源消耗一览表</w:t>
            </w:r>
          </w:p>
          <w:tbl>
            <w:tblPr>
              <w:tblStyle w:val="24"/>
              <w:tblW w:w="504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1"/>
              <w:gridCol w:w="726"/>
              <w:gridCol w:w="489"/>
              <w:gridCol w:w="780"/>
              <w:gridCol w:w="1335"/>
              <w:gridCol w:w="5131"/>
            </w:tblGrid>
            <w:tr w14:paraId="200BA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noWrap/>
                  <w:tcMar>
                    <w:top w:w="51" w:type="dxa"/>
                    <w:left w:w="51" w:type="dxa"/>
                    <w:bottom w:w="51" w:type="dxa"/>
                    <w:right w:w="51" w:type="dxa"/>
                  </w:tcMar>
                  <w:vAlign w:val="center"/>
                </w:tcPr>
                <w:p w14:paraId="781C341B">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序号</w:t>
                  </w:r>
                </w:p>
              </w:tc>
              <w:tc>
                <w:tcPr>
                  <w:tcW w:w="410" w:type="pct"/>
                  <w:noWrap/>
                  <w:vAlign w:val="center"/>
                </w:tcPr>
                <w:p w14:paraId="0DA9455D">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名称</w:t>
                  </w:r>
                </w:p>
              </w:tc>
              <w:tc>
                <w:tcPr>
                  <w:tcW w:w="276" w:type="pct"/>
                  <w:noWrap/>
                  <w:vAlign w:val="center"/>
                </w:tcPr>
                <w:p w14:paraId="1962850A">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单位</w:t>
                  </w:r>
                </w:p>
              </w:tc>
              <w:tc>
                <w:tcPr>
                  <w:tcW w:w="441" w:type="pct"/>
                  <w:vAlign w:val="center"/>
                </w:tcPr>
                <w:p w14:paraId="4113AD20">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消耗量</w:t>
                  </w:r>
                </w:p>
              </w:tc>
              <w:tc>
                <w:tcPr>
                  <w:tcW w:w="754" w:type="pct"/>
                  <w:noWrap/>
                  <w:vAlign w:val="center"/>
                </w:tcPr>
                <w:p w14:paraId="2558746B">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最大贮存量（</w:t>
                  </w:r>
                  <w:r>
                    <w:rPr>
                      <w:color w:val="000000" w:themeColor="text1"/>
                      <w:szCs w:val="21"/>
                      <w:highlight w:val="none"/>
                      <w14:textFill>
                        <w14:solidFill>
                          <w14:schemeClr w14:val="tx1"/>
                        </w14:solidFill>
                      </w14:textFill>
                    </w:rPr>
                    <w:t>t</w:t>
                  </w:r>
                  <w:r>
                    <w:rPr>
                      <w:rFonts w:hAnsi="宋体"/>
                      <w:color w:val="000000" w:themeColor="text1"/>
                      <w:szCs w:val="21"/>
                      <w:highlight w:val="none"/>
                      <w14:textFill>
                        <w14:solidFill>
                          <w14:schemeClr w14:val="tx1"/>
                        </w14:solidFill>
                      </w14:textFill>
                    </w:rPr>
                    <w:t>）</w:t>
                  </w:r>
                </w:p>
              </w:tc>
              <w:tc>
                <w:tcPr>
                  <w:tcW w:w="2901" w:type="pct"/>
                  <w:noWrap/>
                  <w:vAlign w:val="center"/>
                </w:tcPr>
                <w:p w14:paraId="639F1AE0">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包装形式</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规格</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存储位置</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性状</w:t>
                  </w:r>
                </w:p>
              </w:tc>
            </w:tr>
            <w:tr w14:paraId="3AE18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noWrap/>
                  <w:tcMar>
                    <w:top w:w="51" w:type="dxa"/>
                    <w:left w:w="51" w:type="dxa"/>
                    <w:bottom w:w="51" w:type="dxa"/>
                    <w:right w:w="51" w:type="dxa"/>
                  </w:tcMar>
                  <w:vAlign w:val="center"/>
                </w:tcPr>
                <w:p w14:paraId="13D09A0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410" w:type="pct"/>
                  <w:noWrap/>
                  <w:vAlign w:val="center"/>
                </w:tcPr>
                <w:p w14:paraId="0DE710B8">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页岩</w:t>
                  </w:r>
                </w:p>
              </w:tc>
              <w:tc>
                <w:tcPr>
                  <w:tcW w:w="276" w:type="pct"/>
                  <w:noWrap/>
                  <w:vAlign w:val="center"/>
                </w:tcPr>
                <w:p w14:paraId="33CBB0E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4211E617">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96</w:t>
                  </w:r>
                  <w:r>
                    <w:rPr>
                      <w:color w:val="000000" w:themeColor="text1"/>
                      <w:szCs w:val="21"/>
                      <w:highlight w:val="none"/>
                      <w14:textFill>
                        <w14:solidFill>
                          <w14:schemeClr w14:val="tx1"/>
                        </w14:solidFill>
                      </w14:textFill>
                    </w:rPr>
                    <w:t>000</w:t>
                  </w:r>
                </w:p>
              </w:tc>
              <w:tc>
                <w:tcPr>
                  <w:tcW w:w="754" w:type="pct"/>
                  <w:noWrap/>
                  <w:vAlign w:val="center"/>
                </w:tcPr>
                <w:p w14:paraId="27678F34">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967.5</w:t>
                  </w:r>
                </w:p>
              </w:tc>
              <w:tc>
                <w:tcPr>
                  <w:tcW w:w="2901" w:type="pct"/>
                  <w:noWrap/>
                  <w:vAlign w:val="center"/>
                </w:tcPr>
                <w:p w14:paraId="5DF287A5">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外购、汽车运输采取苫盖措施，固体、块状，散装。页岩原料库储存</w:t>
                  </w:r>
                  <w:r>
                    <w:rPr>
                      <w:rFonts w:hint="eastAsia" w:hAnsi="宋体"/>
                      <w:color w:val="000000" w:themeColor="text1"/>
                      <w:szCs w:val="21"/>
                      <w:highlight w:val="none"/>
                      <w14:textFill>
                        <w14:solidFill>
                          <w14:schemeClr w14:val="tx1"/>
                        </w14:solidFill>
                      </w14:textFill>
                    </w:rPr>
                    <w:t>，存储区</w:t>
                  </w:r>
                  <w:r>
                    <w:rPr>
                      <w:rFonts w:hint="eastAsia"/>
                      <w:color w:val="000000" w:themeColor="text1"/>
                      <w:szCs w:val="21"/>
                      <w:highlight w:val="none"/>
                      <w14:textFill>
                        <w14:solidFill>
                          <w14:schemeClr w14:val="tx1"/>
                        </w14:solidFill>
                      </w14:textFill>
                    </w:rPr>
                    <w:t>已采用抗渗混凝土硬化</w:t>
                  </w:r>
                  <w:r>
                    <w:rPr>
                      <w:rFonts w:hAnsi="宋体"/>
                      <w:color w:val="000000" w:themeColor="text1"/>
                      <w:szCs w:val="21"/>
                      <w:highlight w:val="none"/>
                      <w14:textFill>
                        <w14:solidFill>
                          <w14:schemeClr w14:val="tx1"/>
                        </w14:solidFill>
                      </w14:textFill>
                    </w:rPr>
                    <w:t>。制砖原料</w:t>
                  </w:r>
                </w:p>
              </w:tc>
            </w:tr>
            <w:tr w14:paraId="1FD4C6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noWrap/>
                  <w:tcMar>
                    <w:top w:w="51" w:type="dxa"/>
                    <w:left w:w="51" w:type="dxa"/>
                    <w:bottom w:w="51" w:type="dxa"/>
                    <w:right w:w="51" w:type="dxa"/>
                  </w:tcMar>
                  <w:vAlign w:val="center"/>
                </w:tcPr>
                <w:p w14:paraId="3E1A48F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410" w:type="pct"/>
                  <w:noWrap/>
                  <w:vAlign w:val="center"/>
                </w:tcPr>
                <w:p w14:paraId="69F3ECB3">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煤矸石</w:t>
                  </w:r>
                </w:p>
              </w:tc>
              <w:tc>
                <w:tcPr>
                  <w:tcW w:w="276" w:type="pct"/>
                  <w:noWrap/>
                  <w:vAlign w:val="center"/>
                </w:tcPr>
                <w:p w14:paraId="35C4090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3B49D7E7">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288</w:t>
                  </w:r>
                  <w:r>
                    <w:rPr>
                      <w:color w:val="000000" w:themeColor="text1"/>
                      <w:szCs w:val="21"/>
                      <w:highlight w:val="none"/>
                      <w14:textFill>
                        <w14:solidFill>
                          <w14:schemeClr w14:val="tx1"/>
                        </w14:solidFill>
                      </w14:textFill>
                    </w:rPr>
                    <w:t>000</w:t>
                  </w:r>
                </w:p>
              </w:tc>
              <w:tc>
                <w:tcPr>
                  <w:tcW w:w="754" w:type="pct"/>
                  <w:noWrap/>
                  <w:vAlign w:val="center"/>
                </w:tcPr>
                <w:p w14:paraId="5A3297A9">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2667.5</w:t>
                  </w:r>
                </w:p>
              </w:tc>
              <w:tc>
                <w:tcPr>
                  <w:tcW w:w="2901" w:type="pct"/>
                  <w:noWrap/>
                  <w:vAlign w:val="center"/>
                </w:tcPr>
                <w:p w14:paraId="4DD08FFF">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外购、汽车运输采取苫盖措施，固体、块状，散装，煤矸石原料库储存</w:t>
                  </w:r>
                  <w:r>
                    <w:rPr>
                      <w:rFonts w:hint="eastAsia" w:hAnsi="宋体"/>
                      <w:color w:val="000000" w:themeColor="text1"/>
                      <w:szCs w:val="21"/>
                      <w:highlight w:val="none"/>
                      <w14:textFill>
                        <w14:solidFill>
                          <w14:schemeClr w14:val="tx1"/>
                        </w14:solidFill>
                      </w14:textFill>
                    </w:rPr>
                    <w:t>，存储区</w:t>
                  </w:r>
                  <w:r>
                    <w:rPr>
                      <w:rFonts w:hint="eastAsia"/>
                      <w:color w:val="000000" w:themeColor="text1"/>
                      <w:szCs w:val="21"/>
                      <w:highlight w:val="none"/>
                      <w14:textFill>
                        <w14:solidFill>
                          <w14:schemeClr w14:val="tx1"/>
                        </w14:solidFill>
                      </w14:textFill>
                    </w:rPr>
                    <w:t>已采用抗渗混凝土硬化</w:t>
                  </w:r>
                  <w:r>
                    <w:rPr>
                      <w:rFonts w:hAnsi="宋体"/>
                      <w:color w:val="000000" w:themeColor="text1"/>
                      <w:szCs w:val="21"/>
                      <w:highlight w:val="none"/>
                      <w14:textFill>
                        <w14:solidFill>
                          <w14:schemeClr w14:val="tx1"/>
                        </w14:solidFill>
                      </w14:textFill>
                    </w:rPr>
                    <w:t>。制砖原料</w:t>
                  </w:r>
                </w:p>
              </w:tc>
            </w:tr>
            <w:tr w14:paraId="03C812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noWrap/>
                  <w:tcMar>
                    <w:top w:w="51" w:type="dxa"/>
                    <w:left w:w="51" w:type="dxa"/>
                    <w:bottom w:w="51" w:type="dxa"/>
                    <w:right w:w="51" w:type="dxa"/>
                  </w:tcMar>
                  <w:vAlign w:val="center"/>
                </w:tcPr>
                <w:p w14:paraId="06FC5F8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410" w:type="pct"/>
                  <w:noWrap/>
                  <w:vAlign w:val="center"/>
                </w:tcPr>
                <w:p w14:paraId="44108C90">
                  <w:pPr>
                    <w:ind w:left="-105" w:leftChars="-50" w:right="-105" w:rightChars="-50"/>
                    <w:jc w:val="center"/>
                    <w:rPr>
                      <w:rFonts w:hAnsi="宋体"/>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剥岩</w:t>
                  </w:r>
                </w:p>
                <w:p w14:paraId="70CC6168">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废料</w:t>
                  </w:r>
                </w:p>
              </w:tc>
              <w:tc>
                <w:tcPr>
                  <w:tcW w:w="276" w:type="pct"/>
                  <w:noWrap/>
                  <w:vAlign w:val="center"/>
                </w:tcPr>
                <w:p w14:paraId="4E7A667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38DACEC5">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36</w:t>
                  </w:r>
                  <w:r>
                    <w:rPr>
                      <w:color w:val="000000" w:themeColor="text1"/>
                      <w:szCs w:val="21"/>
                      <w:highlight w:val="none"/>
                      <w14:textFill>
                        <w14:solidFill>
                          <w14:schemeClr w14:val="tx1"/>
                        </w14:solidFill>
                      </w14:textFill>
                    </w:rPr>
                    <w:t>000</w:t>
                  </w:r>
                </w:p>
              </w:tc>
              <w:tc>
                <w:tcPr>
                  <w:tcW w:w="754" w:type="pct"/>
                  <w:noWrap/>
                  <w:vAlign w:val="center"/>
                </w:tcPr>
                <w:p w14:paraId="21BE9485">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632.5</w:t>
                  </w:r>
                </w:p>
              </w:tc>
              <w:tc>
                <w:tcPr>
                  <w:tcW w:w="2901" w:type="pct"/>
                  <w:noWrap/>
                  <w:vAlign w:val="center"/>
                </w:tcPr>
                <w:p w14:paraId="0D78A44F">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外购、汽车运输采取苫盖措施，固体、块状，散装，页岩原料库储存</w:t>
                  </w:r>
                  <w:r>
                    <w:rPr>
                      <w:rFonts w:hint="eastAsia" w:hAnsi="宋体"/>
                      <w:color w:val="000000" w:themeColor="text1"/>
                      <w:szCs w:val="21"/>
                      <w:highlight w:val="none"/>
                      <w14:textFill>
                        <w14:solidFill>
                          <w14:schemeClr w14:val="tx1"/>
                        </w14:solidFill>
                      </w14:textFill>
                    </w:rPr>
                    <w:t>，存储区</w:t>
                  </w:r>
                  <w:r>
                    <w:rPr>
                      <w:rFonts w:hint="eastAsia"/>
                      <w:color w:val="000000" w:themeColor="text1"/>
                      <w:szCs w:val="21"/>
                      <w:highlight w:val="none"/>
                      <w14:textFill>
                        <w14:solidFill>
                          <w14:schemeClr w14:val="tx1"/>
                        </w14:solidFill>
                      </w14:textFill>
                    </w:rPr>
                    <w:t>已采用抗渗混凝土硬化</w:t>
                  </w:r>
                  <w:r>
                    <w:rPr>
                      <w:rFonts w:hAnsi="宋体"/>
                      <w:color w:val="000000" w:themeColor="text1"/>
                      <w:szCs w:val="21"/>
                      <w:highlight w:val="none"/>
                      <w14:textFill>
                        <w14:solidFill>
                          <w14:schemeClr w14:val="tx1"/>
                        </w14:solidFill>
                      </w14:textFill>
                    </w:rPr>
                    <w:t>。制砖原料</w:t>
                  </w:r>
                </w:p>
              </w:tc>
            </w:tr>
            <w:tr w14:paraId="35D2A9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noWrap/>
                  <w:tcMar>
                    <w:top w:w="51" w:type="dxa"/>
                    <w:left w:w="51" w:type="dxa"/>
                    <w:bottom w:w="51" w:type="dxa"/>
                    <w:right w:w="51" w:type="dxa"/>
                  </w:tcMar>
                  <w:vAlign w:val="center"/>
                </w:tcPr>
                <w:p w14:paraId="70EF279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410" w:type="pct"/>
                  <w:noWrap/>
                  <w:vAlign w:val="center"/>
                </w:tcPr>
                <w:p w14:paraId="2B1CA2FE">
                  <w:pPr>
                    <w:ind w:left="-105" w:leftChars="-50" w:right="-105" w:rightChars="-50"/>
                    <w:jc w:val="center"/>
                    <w:rPr>
                      <w:rFonts w:hAnsi="宋体"/>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工业</w:t>
                  </w:r>
                </w:p>
                <w:p w14:paraId="7D4CB02E">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污泥</w:t>
                  </w:r>
                </w:p>
              </w:tc>
              <w:tc>
                <w:tcPr>
                  <w:tcW w:w="276" w:type="pct"/>
                  <w:noWrap/>
                  <w:vAlign w:val="center"/>
                </w:tcPr>
                <w:p w14:paraId="6488324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487ADDCC">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1155</w:t>
                  </w:r>
                  <w:r>
                    <w:rPr>
                      <w:color w:val="000000" w:themeColor="text1"/>
                      <w:szCs w:val="21"/>
                      <w:highlight w:val="none"/>
                      <w14:textFill>
                        <w14:solidFill>
                          <w14:schemeClr w14:val="tx1"/>
                        </w14:solidFill>
                      </w14:textFill>
                    </w:rPr>
                    <w:t>00</w:t>
                  </w:r>
                </w:p>
              </w:tc>
              <w:tc>
                <w:tcPr>
                  <w:tcW w:w="754" w:type="pct"/>
                  <w:noWrap/>
                  <w:vAlign w:val="center"/>
                </w:tcPr>
                <w:p w14:paraId="00DC5724">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500</w:t>
                  </w:r>
                </w:p>
              </w:tc>
              <w:tc>
                <w:tcPr>
                  <w:tcW w:w="2901" w:type="pct"/>
                  <w:vMerge w:val="restart"/>
                  <w:noWrap/>
                  <w:vAlign w:val="center"/>
                </w:tcPr>
                <w:p w14:paraId="2EB018A5">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外购经鉴定属于一般工业固体废物的工业污泥、生活污泥、汽车运输采取苫盖措施</w:t>
                  </w:r>
                  <w:r>
                    <w:rPr>
                      <w:rFonts w:hint="eastAsia" w:hAnsi="宋体"/>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固体、压滤后的泥饼，</w:t>
                  </w:r>
                  <w:r>
                    <w:rPr>
                      <w:rFonts w:hint="eastAsia" w:hAnsi="宋体"/>
                      <w:bCs/>
                      <w:color w:val="000000" w:themeColor="text1"/>
                      <w:szCs w:val="21"/>
                      <w:highlight w:val="none"/>
                      <w14:textFill>
                        <w14:solidFill>
                          <w14:schemeClr w14:val="tx1"/>
                        </w14:solidFill>
                      </w14:textFill>
                    </w:rPr>
                    <w:t>严格落实污泥准入标准，携带成分检测报告，并随同人员进行驻场监督。</w:t>
                  </w:r>
                  <w:r>
                    <w:rPr>
                      <w:rFonts w:hAnsi="宋体"/>
                      <w:bCs/>
                      <w:color w:val="000000" w:themeColor="text1"/>
                      <w:szCs w:val="21"/>
                      <w:highlight w:val="none"/>
                      <w14:textFill>
                        <w14:solidFill>
                          <w14:schemeClr w14:val="tx1"/>
                        </w14:solidFill>
                      </w14:textFill>
                    </w:rPr>
                    <w:t>重点</w:t>
                  </w:r>
                  <w:r>
                    <w:rPr>
                      <w:rFonts w:hint="eastAsia" w:hAnsi="宋体"/>
                      <w:bCs/>
                      <w:color w:val="000000" w:themeColor="text1"/>
                      <w:szCs w:val="21"/>
                      <w:highlight w:val="none"/>
                      <w14:textFill>
                        <w14:solidFill>
                          <w14:schemeClr w14:val="tx1"/>
                        </w14:solidFill>
                      </w14:textFill>
                    </w:rPr>
                    <w:t>分析工业</w:t>
                  </w:r>
                  <w:r>
                    <w:rPr>
                      <w:rFonts w:hAnsi="宋体"/>
                      <w:bCs/>
                      <w:color w:val="000000" w:themeColor="text1"/>
                      <w:szCs w:val="21"/>
                      <w:highlight w:val="none"/>
                      <w14:textFill>
                        <w14:solidFill>
                          <w14:schemeClr w14:val="tx1"/>
                        </w14:solidFill>
                      </w14:textFill>
                    </w:rPr>
                    <w:t>污泥是否属于危险废物，判断是否可以进厂协同处置</w:t>
                  </w:r>
                  <w:r>
                    <w:rPr>
                      <w:rFonts w:hint="eastAsia" w:hAnsi="宋体"/>
                      <w:bCs/>
                      <w:color w:val="000000" w:themeColor="text1"/>
                      <w:szCs w:val="21"/>
                      <w:highlight w:val="none"/>
                      <w14:textFill>
                        <w14:solidFill>
                          <w14:schemeClr w14:val="tx1"/>
                        </w14:solidFill>
                      </w14:textFill>
                    </w:rPr>
                    <w:t>。</w:t>
                  </w:r>
                  <w:r>
                    <w:rPr>
                      <w:rFonts w:hAnsi="宋体"/>
                      <w:bCs/>
                      <w:color w:val="000000" w:themeColor="text1"/>
                      <w:szCs w:val="21"/>
                      <w:highlight w:val="none"/>
                      <w14:textFill>
                        <w14:solidFill>
                          <w14:schemeClr w14:val="tx1"/>
                        </w14:solidFill>
                      </w14:textFill>
                    </w:rPr>
                    <w:t>如来源及生产工艺发生变化导致污泥成分发生变化时，针对所使用污泥</w:t>
                  </w:r>
                  <w:r>
                    <w:rPr>
                      <w:rFonts w:hint="eastAsia" w:hAnsi="宋体"/>
                      <w:bCs/>
                      <w:color w:val="000000" w:themeColor="text1"/>
                      <w:szCs w:val="21"/>
                      <w:highlight w:val="none"/>
                      <w14:textFill>
                        <w14:solidFill>
                          <w14:schemeClr w14:val="tx1"/>
                        </w14:solidFill>
                      </w14:textFill>
                    </w:rPr>
                    <w:t>进行检测，</w:t>
                  </w:r>
                  <w:r>
                    <w:rPr>
                      <w:rFonts w:hAnsi="宋体"/>
                      <w:bCs/>
                      <w:color w:val="000000" w:themeColor="text1"/>
                      <w:szCs w:val="21"/>
                      <w:highlight w:val="none"/>
                      <w14:textFill>
                        <w14:solidFill>
                          <w14:schemeClr w14:val="tx1"/>
                        </w14:solidFill>
                      </w14:textFill>
                    </w:rPr>
                    <w:t>判断固体废物是否可以进厂协同处置</w:t>
                  </w:r>
                  <w:r>
                    <w:rPr>
                      <w:rFonts w:hint="eastAsia" w:hAnsi="宋体"/>
                      <w:bCs/>
                      <w:color w:val="000000" w:themeColor="text1"/>
                      <w:szCs w:val="21"/>
                      <w:highlight w:val="none"/>
                      <w14:textFill>
                        <w14:solidFill>
                          <w14:schemeClr w14:val="tx1"/>
                        </w14:solidFill>
                      </w14:textFill>
                    </w:rPr>
                    <w:t>，符合要求的</w:t>
                  </w:r>
                  <w:r>
                    <w:rPr>
                      <w:rFonts w:hint="eastAsia" w:hAnsi="宋体"/>
                      <w:color w:val="000000" w:themeColor="text1"/>
                      <w:szCs w:val="21"/>
                      <w:highlight w:val="none"/>
                      <w14:textFill>
                        <w14:solidFill>
                          <w14:schemeClr w14:val="tx1"/>
                        </w14:solidFill>
                      </w14:textFill>
                    </w:rPr>
                    <w:t>污泥入厂后分别</w:t>
                  </w:r>
                  <w:r>
                    <w:rPr>
                      <w:rFonts w:hAnsi="宋体"/>
                      <w:color w:val="000000" w:themeColor="text1"/>
                      <w:szCs w:val="21"/>
                      <w:highlight w:val="none"/>
                      <w14:textFill>
                        <w14:solidFill>
                          <w14:schemeClr w14:val="tx1"/>
                        </w14:solidFill>
                      </w14:textFill>
                    </w:rPr>
                    <w:t>储存于</w:t>
                  </w:r>
                  <w:r>
                    <w:rPr>
                      <w:rFonts w:hint="eastAsia" w:hAnsi="宋体"/>
                      <w:color w:val="000000" w:themeColor="text1"/>
                      <w:szCs w:val="21"/>
                      <w:highlight w:val="none"/>
                      <w14:textFill>
                        <w14:solidFill>
                          <w14:schemeClr w14:val="tx1"/>
                        </w14:solidFill>
                      </w14:textFill>
                    </w:rPr>
                    <w:t>现有</w:t>
                  </w:r>
                  <w:r>
                    <w:rPr>
                      <w:rFonts w:hAnsi="宋体"/>
                      <w:color w:val="000000" w:themeColor="text1"/>
                      <w:szCs w:val="21"/>
                      <w:highlight w:val="none"/>
                      <w14:textFill>
                        <w14:solidFill>
                          <w14:schemeClr w14:val="tx1"/>
                        </w14:solidFill>
                      </w14:textFill>
                    </w:rPr>
                    <w:t>污泥</w:t>
                  </w:r>
                  <w:r>
                    <w:rPr>
                      <w:rFonts w:hint="eastAsia" w:hAnsi="宋体"/>
                      <w:color w:val="000000" w:themeColor="text1"/>
                      <w:szCs w:val="21"/>
                      <w:highlight w:val="none"/>
                      <w14:textFill>
                        <w14:solidFill>
                          <w14:schemeClr w14:val="tx1"/>
                        </w14:solidFill>
                      </w14:textFill>
                    </w:rPr>
                    <w:t>库和本项目新建的污泥库</w:t>
                  </w:r>
                  <w:r>
                    <w:rPr>
                      <w:rFonts w:hAnsi="宋体"/>
                      <w:color w:val="000000" w:themeColor="text1"/>
                      <w:szCs w:val="21"/>
                      <w:highlight w:val="none"/>
                      <w14:textFill>
                        <w14:solidFill>
                          <w14:schemeClr w14:val="tx1"/>
                        </w14:solidFill>
                      </w14:textFill>
                    </w:rPr>
                    <w:t>内，污泥</w:t>
                  </w:r>
                  <w:r>
                    <w:rPr>
                      <w:rFonts w:hint="eastAsia" w:hAnsi="宋体"/>
                      <w:color w:val="000000" w:themeColor="text1"/>
                      <w:szCs w:val="21"/>
                      <w:highlight w:val="none"/>
                      <w14:textFill>
                        <w14:solidFill>
                          <w14:schemeClr w14:val="tx1"/>
                        </w14:solidFill>
                      </w14:textFill>
                    </w:rPr>
                    <w:t>库均</w:t>
                  </w:r>
                  <w:r>
                    <w:rPr>
                      <w:rFonts w:hAnsi="宋体"/>
                      <w:color w:val="000000" w:themeColor="text1"/>
                      <w:szCs w:val="21"/>
                      <w:highlight w:val="none"/>
                      <w14:textFill>
                        <w14:solidFill>
                          <w14:schemeClr w14:val="tx1"/>
                        </w14:solidFill>
                      </w14:textFill>
                    </w:rPr>
                    <w:t>处于封闭、微负压状态</w:t>
                  </w:r>
                  <w:r>
                    <w:rPr>
                      <w:rFonts w:hint="eastAsia" w:hAnsi="宋体"/>
                      <w:color w:val="000000" w:themeColor="text1"/>
                      <w:szCs w:val="21"/>
                      <w:highlight w:val="none"/>
                      <w14:textFill>
                        <w14:solidFill>
                          <w14:schemeClr w14:val="tx1"/>
                        </w14:solidFill>
                      </w14:textFill>
                    </w:rPr>
                    <w:t>，地面重点防渗处理</w:t>
                  </w:r>
                  <w:r>
                    <w:rPr>
                      <w:rFonts w:hAnsi="宋体"/>
                      <w:color w:val="000000" w:themeColor="text1"/>
                      <w:szCs w:val="21"/>
                      <w:highlight w:val="none"/>
                      <w14:textFill>
                        <w14:solidFill>
                          <w14:schemeClr w14:val="tx1"/>
                        </w14:solidFill>
                      </w14:textFill>
                    </w:rPr>
                    <w:t>。制砖原料，替代部分页岩，一般固废代码</w:t>
                  </w:r>
                  <w:r>
                    <w:rPr>
                      <w:color w:val="000000" w:themeColor="text1"/>
                      <w:szCs w:val="21"/>
                      <w:highlight w:val="none"/>
                      <w14:textFill>
                        <w14:solidFill>
                          <w14:schemeClr w14:val="tx1"/>
                        </w14:solidFill>
                      </w14:textFill>
                    </w:rPr>
                    <w:t>900-099-S07</w:t>
                  </w:r>
                </w:p>
              </w:tc>
            </w:tr>
            <w:tr w14:paraId="59F93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04F1295B">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5</w:t>
                  </w:r>
                </w:p>
              </w:tc>
              <w:tc>
                <w:tcPr>
                  <w:tcW w:w="410" w:type="pct"/>
                  <w:noWrap/>
                  <w:vAlign w:val="center"/>
                </w:tcPr>
                <w:p w14:paraId="298BE2D0">
                  <w:pPr>
                    <w:ind w:left="-105" w:leftChars="-50" w:right="-105" w:rightChars="-50"/>
                    <w:jc w:val="center"/>
                    <w:rPr>
                      <w:rFonts w:hAnsi="宋体"/>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生活</w:t>
                  </w:r>
                </w:p>
                <w:p w14:paraId="3313BADC">
                  <w:pPr>
                    <w:ind w:left="-105" w:leftChars="-50" w:right="-105" w:rightChars="-50"/>
                    <w:jc w:val="center"/>
                    <w:rPr>
                      <w:rFonts w:hAnsi="宋体"/>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污泥</w:t>
                  </w:r>
                </w:p>
              </w:tc>
              <w:tc>
                <w:tcPr>
                  <w:tcW w:w="276" w:type="pct"/>
                  <w:noWrap/>
                  <w:vAlign w:val="center"/>
                </w:tcPr>
                <w:p w14:paraId="49B8DBF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3ED4C34F">
                  <w:pPr>
                    <w:ind w:left="-105" w:leftChars="-50" w:right="-105" w:rightChars="-5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66000</w:t>
                  </w:r>
                </w:p>
              </w:tc>
              <w:tc>
                <w:tcPr>
                  <w:tcW w:w="754" w:type="pct"/>
                  <w:noWrap/>
                  <w:vAlign w:val="center"/>
                </w:tcPr>
                <w:p w14:paraId="6F16C2F4">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300</w:t>
                  </w:r>
                </w:p>
              </w:tc>
              <w:tc>
                <w:tcPr>
                  <w:tcW w:w="2901" w:type="pct"/>
                  <w:vMerge w:val="continue"/>
                  <w:noWrap/>
                  <w:vAlign w:val="center"/>
                </w:tcPr>
                <w:p w14:paraId="0080E4FC">
                  <w:pPr>
                    <w:ind w:left="-105" w:leftChars="-50" w:right="-105" w:rightChars="-50"/>
                    <w:jc w:val="center"/>
                    <w:rPr>
                      <w:rFonts w:hAnsi="宋体"/>
                      <w:color w:val="000000" w:themeColor="text1"/>
                      <w:szCs w:val="21"/>
                      <w:highlight w:val="none"/>
                      <w14:textFill>
                        <w14:solidFill>
                          <w14:schemeClr w14:val="tx1"/>
                        </w14:solidFill>
                      </w14:textFill>
                    </w:rPr>
                  </w:pPr>
                </w:p>
              </w:tc>
            </w:tr>
            <w:tr w14:paraId="6839F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15" w:type="pct"/>
                  <w:shd w:val="clear" w:color="auto" w:fill="auto"/>
                  <w:noWrap/>
                  <w:tcMar>
                    <w:top w:w="51" w:type="dxa"/>
                    <w:left w:w="51" w:type="dxa"/>
                    <w:bottom w:w="51" w:type="dxa"/>
                    <w:right w:w="51" w:type="dxa"/>
                  </w:tcMar>
                  <w:vAlign w:val="center"/>
                </w:tcPr>
                <w:p w14:paraId="70C4AA9A">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6</w:t>
                  </w:r>
                </w:p>
              </w:tc>
              <w:tc>
                <w:tcPr>
                  <w:tcW w:w="410" w:type="pct"/>
                  <w:noWrap/>
                  <w:vAlign w:val="center"/>
                </w:tcPr>
                <w:p w14:paraId="13B0573F">
                  <w:pPr>
                    <w:ind w:left="-105" w:leftChars="-50" w:right="-105" w:rightChars="-50"/>
                    <w:jc w:val="center"/>
                    <w:rPr>
                      <w:rFonts w:hAnsi="宋体"/>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干排</w:t>
                  </w:r>
                </w:p>
                <w:p w14:paraId="7760659C">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淤泥</w:t>
                  </w:r>
                </w:p>
              </w:tc>
              <w:tc>
                <w:tcPr>
                  <w:tcW w:w="276" w:type="pct"/>
                  <w:noWrap/>
                  <w:vAlign w:val="center"/>
                </w:tcPr>
                <w:p w14:paraId="178D9E6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1F9B474D">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000</w:t>
                  </w:r>
                </w:p>
              </w:tc>
              <w:tc>
                <w:tcPr>
                  <w:tcW w:w="754" w:type="pct"/>
                  <w:noWrap/>
                  <w:vAlign w:val="center"/>
                </w:tcPr>
                <w:p w14:paraId="12F36EFB">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6000</w:t>
                  </w:r>
                </w:p>
              </w:tc>
              <w:tc>
                <w:tcPr>
                  <w:tcW w:w="2901" w:type="pct"/>
                  <w:noWrap/>
                  <w:vAlign w:val="center"/>
                </w:tcPr>
                <w:p w14:paraId="53D8DA64">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外购铁选厂干排淤泥、汽车运输采取苫盖措施，固体、散装，含水率</w:t>
                  </w:r>
                  <w:r>
                    <w:rPr>
                      <w:rFonts w:hint="eastAsia"/>
                      <w:color w:val="000000" w:themeColor="text1"/>
                      <w:szCs w:val="21"/>
                      <w:highlight w:val="none"/>
                      <w14:textFill>
                        <w14:solidFill>
                          <w14:schemeClr w14:val="tx1"/>
                        </w14:solidFill>
                      </w14:textFill>
                    </w:rPr>
                    <w:t>15</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，页岩原料库储存，</w:t>
                  </w:r>
                  <w:r>
                    <w:rPr>
                      <w:rFonts w:hint="eastAsia" w:hAnsi="宋体"/>
                      <w:color w:val="000000" w:themeColor="text1"/>
                      <w:szCs w:val="21"/>
                      <w:highlight w:val="none"/>
                      <w14:textFill>
                        <w14:solidFill>
                          <w14:schemeClr w14:val="tx1"/>
                        </w14:solidFill>
                      </w14:textFill>
                    </w:rPr>
                    <w:t>存储区</w:t>
                  </w:r>
                  <w:r>
                    <w:rPr>
                      <w:rFonts w:hint="eastAsia"/>
                      <w:color w:val="000000" w:themeColor="text1"/>
                      <w:szCs w:val="21"/>
                      <w:highlight w:val="none"/>
                      <w14:textFill>
                        <w14:solidFill>
                          <w14:schemeClr w14:val="tx1"/>
                        </w14:solidFill>
                      </w14:textFill>
                    </w:rPr>
                    <w:t>已采用抗渗混凝土硬化，</w:t>
                  </w:r>
                  <w:r>
                    <w:rPr>
                      <w:rFonts w:hAnsi="宋体"/>
                      <w:color w:val="000000" w:themeColor="text1"/>
                      <w:szCs w:val="21"/>
                      <w:highlight w:val="none"/>
                      <w14:textFill>
                        <w14:solidFill>
                          <w14:schemeClr w14:val="tx1"/>
                        </w14:solidFill>
                      </w14:textFill>
                    </w:rPr>
                    <w:t>替代部分页岩，一般固废代码</w:t>
                  </w:r>
                  <w:r>
                    <w:rPr>
                      <w:color w:val="000000" w:themeColor="text1"/>
                      <w:szCs w:val="21"/>
                      <w:highlight w:val="none"/>
                      <w14:textFill>
                        <w14:solidFill>
                          <w14:schemeClr w14:val="tx1"/>
                        </w14:solidFill>
                      </w14:textFill>
                    </w:rPr>
                    <w:t>081-001-S05</w:t>
                  </w:r>
                </w:p>
              </w:tc>
            </w:tr>
            <w:tr w14:paraId="6CE989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58B8FCD1">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7</w:t>
                  </w:r>
                </w:p>
              </w:tc>
              <w:tc>
                <w:tcPr>
                  <w:tcW w:w="410" w:type="pct"/>
                  <w:noWrap/>
                  <w:vAlign w:val="center"/>
                </w:tcPr>
                <w:p w14:paraId="64F3A6BC">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炉渣</w:t>
                  </w:r>
                </w:p>
              </w:tc>
              <w:tc>
                <w:tcPr>
                  <w:tcW w:w="276" w:type="pct"/>
                  <w:noWrap/>
                  <w:vAlign w:val="center"/>
                </w:tcPr>
                <w:p w14:paraId="76AA789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6BE2B91E">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225</w:t>
                  </w:r>
                  <w:r>
                    <w:rPr>
                      <w:color w:val="000000" w:themeColor="text1"/>
                      <w:szCs w:val="21"/>
                      <w:highlight w:val="none"/>
                      <w14:textFill>
                        <w14:solidFill>
                          <w14:schemeClr w14:val="tx1"/>
                        </w14:solidFill>
                      </w14:textFill>
                    </w:rPr>
                    <w:t>000</w:t>
                  </w:r>
                </w:p>
              </w:tc>
              <w:tc>
                <w:tcPr>
                  <w:tcW w:w="754" w:type="pct"/>
                  <w:noWrap/>
                  <w:vAlign w:val="center"/>
                </w:tcPr>
                <w:p w14:paraId="44EC48A8">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1600</w:t>
                  </w:r>
                </w:p>
              </w:tc>
              <w:tc>
                <w:tcPr>
                  <w:tcW w:w="2901" w:type="pct"/>
                  <w:noWrap/>
                  <w:vAlign w:val="center"/>
                </w:tcPr>
                <w:p w14:paraId="4DBB56DB">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外购炉渣、汽车运输采取苫盖措施，固体颗粒、散装，全水分</w:t>
                  </w:r>
                  <w:r>
                    <w:rPr>
                      <w:color w:val="000000" w:themeColor="text1"/>
                      <w:szCs w:val="21"/>
                      <w:highlight w:val="none"/>
                      <w14:textFill>
                        <w14:solidFill>
                          <w14:schemeClr w14:val="tx1"/>
                        </w14:solidFill>
                      </w14:textFill>
                    </w:rPr>
                    <w:t>25.4%</w:t>
                  </w:r>
                  <w:r>
                    <w:rPr>
                      <w:rFonts w:hAnsi="宋体"/>
                      <w:color w:val="000000" w:themeColor="text1"/>
                      <w:szCs w:val="21"/>
                      <w:highlight w:val="none"/>
                      <w14:textFill>
                        <w14:solidFill>
                          <w14:schemeClr w14:val="tx1"/>
                        </w14:solidFill>
                      </w14:textFill>
                    </w:rPr>
                    <w:t>，煤矸石原料库储存</w:t>
                  </w:r>
                  <w:r>
                    <w:rPr>
                      <w:rFonts w:hint="eastAsia" w:hAnsi="宋体"/>
                      <w:color w:val="000000" w:themeColor="text1"/>
                      <w:szCs w:val="21"/>
                      <w:highlight w:val="none"/>
                      <w14:textFill>
                        <w14:solidFill>
                          <w14:schemeClr w14:val="tx1"/>
                        </w14:solidFill>
                      </w14:textFill>
                    </w:rPr>
                    <w:t>，存储区</w:t>
                  </w:r>
                  <w:r>
                    <w:rPr>
                      <w:rFonts w:hint="eastAsia"/>
                      <w:color w:val="000000" w:themeColor="text1"/>
                      <w:szCs w:val="21"/>
                      <w:highlight w:val="none"/>
                      <w14:textFill>
                        <w14:solidFill>
                          <w14:schemeClr w14:val="tx1"/>
                        </w14:solidFill>
                      </w14:textFill>
                    </w:rPr>
                    <w:t>已采用抗渗混凝土硬化</w:t>
                  </w:r>
                  <w:r>
                    <w:rPr>
                      <w:rFonts w:hAnsi="宋体"/>
                      <w:color w:val="000000" w:themeColor="text1"/>
                      <w:szCs w:val="21"/>
                      <w:highlight w:val="none"/>
                      <w14:textFill>
                        <w14:solidFill>
                          <w14:schemeClr w14:val="tx1"/>
                        </w14:solidFill>
                      </w14:textFill>
                    </w:rPr>
                    <w:t>。替代部分煤矸石，一般固废代码</w:t>
                  </w:r>
                  <w:r>
                    <w:rPr>
                      <w:color w:val="000000" w:themeColor="text1"/>
                      <w:szCs w:val="21"/>
                      <w:highlight w:val="none"/>
                      <w14:textFill>
                        <w14:solidFill>
                          <w14:schemeClr w14:val="tx1"/>
                        </w14:solidFill>
                      </w14:textFill>
                    </w:rPr>
                    <w:t>900-001-S03</w:t>
                  </w:r>
                  <w:r>
                    <w:rPr>
                      <w:rFonts w:hAnsi="宋体"/>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900-099-S03</w:t>
                  </w:r>
                </w:p>
              </w:tc>
            </w:tr>
            <w:tr w14:paraId="58341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0733A178">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8</w:t>
                  </w:r>
                </w:p>
              </w:tc>
              <w:tc>
                <w:tcPr>
                  <w:tcW w:w="410" w:type="pct"/>
                  <w:noWrap/>
                  <w:vAlign w:val="center"/>
                </w:tcPr>
                <w:p w14:paraId="1C21F985">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石灰粉（</w:t>
                  </w:r>
                  <w:r>
                    <w:rPr>
                      <w:color w:val="000000" w:themeColor="text1"/>
                      <w:szCs w:val="21"/>
                      <w:highlight w:val="none"/>
                      <w14:textFill>
                        <w14:solidFill>
                          <w14:schemeClr w14:val="tx1"/>
                        </w14:solidFill>
                      </w14:textFill>
                    </w:rPr>
                    <w:t>CaO</w:t>
                  </w:r>
                  <w:r>
                    <w:rPr>
                      <w:rFonts w:hAnsi="宋体"/>
                      <w:color w:val="000000" w:themeColor="text1"/>
                      <w:szCs w:val="21"/>
                      <w:highlight w:val="none"/>
                      <w14:textFill>
                        <w14:solidFill>
                          <w14:schemeClr w14:val="tx1"/>
                        </w14:solidFill>
                      </w14:textFill>
                    </w:rPr>
                    <w:t>）</w:t>
                  </w:r>
                </w:p>
              </w:tc>
              <w:tc>
                <w:tcPr>
                  <w:tcW w:w="276" w:type="pct"/>
                  <w:noWrap/>
                  <w:vAlign w:val="center"/>
                </w:tcPr>
                <w:p w14:paraId="4EB3C52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78DB063C">
                  <w:pPr>
                    <w:ind w:left="-105" w:leftChars="-50" w:right="-105" w:rightChars="-5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530</w:t>
                  </w:r>
                </w:p>
              </w:tc>
              <w:tc>
                <w:tcPr>
                  <w:tcW w:w="754" w:type="pct"/>
                  <w:noWrap/>
                  <w:vAlign w:val="center"/>
                </w:tcPr>
                <w:p w14:paraId="6256BAC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012E7A8E">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外购，固体、粉状、袋装，石灰粉仓储存，用于石灰</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石膏法脱硫</w:t>
                  </w:r>
                </w:p>
              </w:tc>
            </w:tr>
            <w:tr w14:paraId="603A2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3A56F98C">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9</w:t>
                  </w:r>
                </w:p>
              </w:tc>
              <w:tc>
                <w:tcPr>
                  <w:tcW w:w="410" w:type="pct"/>
                  <w:noWrap/>
                  <w:vAlign w:val="center"/>
                </w:tcPr>
                <w:p w14:paraId="72B49EED">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脱硝剂</w:t>
                  </w:r>
                </w:p>
              </w:tc>
              <w:tc>
                <w:tcPr>
                  <w:tcW w:w="276" w:type="pct"/>
                  <w:noWrap/>
                  <w:vAlign w:val="center"/>
                </w:tcPr>
                <w:p w14:paraId="3E22E5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3B7E5C03">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60</w:t>
                  </w:r>
                </w:p>
              </w:tc>
              <w:tc>
                <w:tcPr>
                  <w:tcW w:w="754" w:type="pct"/>
                  <w:noWrap/>
                  <w:vAlign w:val="center"/>
                </w:tcPr>
                <w:p w14:paraId="7EBFAC4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693C3CF1">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Ansi="宋体"/>
                      <w:color w:val="000000" w:themeColor="text1"/>
                      <w:szCs w:val="21"/>
                      <w:highlight w:val="none"/>
                      <w14:textFill>
                        <w14:solidFill>
                          <w14:schemeClr w14:val="tx1"/>
                        </w14:solidFill>
                      </w14:textFill>
                    </w:rPr>
                    <w:t>外购，尿素</w:t>
                  </w:r>
                  <w:r>
                    <w:rPr>
                      <w:rFonts w:hint="eastAsia" w:hAnsi="宋体"/>
                      <w:color w:val="000000" w:themeColor="text1"/>
                      <w:szCs w:val="21"/>
                      <w:highlight w:val="none"/>
                      <w:lang w:val="en-US" w:eastAsia="zh-CN"/>
                      <w14:textFill>
                        <w14:solidFill>
                          <w14:schemeClr w14:val="tx1"/>
                        </w14:solidFill>
                      </w14:textFill>
                    </w:rPr>
                    <w:t>溶液</w:t>
                  </w:r>
                </w:p>
              </w:tc>
            </w:tr>
            <w:tr w14:paraId="4850E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5C36C89D">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10</w:t>
                  </w:r>
                </w:p>
              </w:tc>
              <w:tc>
                <w:tcPr>
                  <w:tcW w:w="410" w:type="pct"/>
                  <w:noWrap/>
                  <w:vAlign w:val="center"/>
                </w:tcPr>
                <w:p w14:paraId="49A0E10A">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润滑油</w:t>
                  </w:r>
                </w:p>
              </w:tc>
              <w:tc>
                <w:tcPr>
                  <w:tcW w:w="276" w:type="pct"/>
                  <w:noWrap/>
                  <w:vAlign w:val="center"/>
                </w:tcPr>
                <w:p w14:paraId="4FB96F3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1E2EF5E2">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w:t>
                  </w:r>
                </w:p>
              </w:tc>
              <w:tc>
                <w:tcPr>
                  <w:tcW w:w="754" w:type="pct"/>
                  <w:noWrap/>
                  <w:vAlign w:val="center"/>
                </w:tcPr>
                <w:p w14:paraId="2E9CC0B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0.6</w:t>
                  </w:r>
                </w:p>
              </w:tc>
              <w:tc>
                <w:tcPr>
                  <w:tcW w:w="2901" w:type="pct"/>
                  <w:noWrap/>
                  <w:vAlign w:val="center"/>
                </w:tcPr>
                <w:p w14:paraId="3E2E1B9D">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Ansi="宋体"/>
                      <w:color w:val="000000" w:themeColor="text1"/>
                      <w:szCs w:val="21"/>
                      <w:highlight w:val="none"/>
                      <w14:textFill>
                        <w14:solidFill>
                          <w14:schemeClr w14:val="tx1"/>
                        </w14:solidFill>
                      </w14:textFill>
                    </w:rPr>
                    <w:t>外购，液态、桶装，</w:t>
                  </w:r>
                  <w:r>
                    <w:rPr>
                      <w:color w:val="000000" w:themeColor="text1"/>
                      <w:szCs w:val="21"/>
                      <w:highlight w:val="none"/>
                      <w14:textFill>
                        <w14:solidFill>
                          <w14:schemeClr w14:val="tx1"/>
                        </w14:solidFill>
                      </w14:textFill>
                    </w:rPr>
                    <w:t>50kg/</w:t>
                  </w:r>
                  <w:r>
                    <w:rPr>
                      <w:rFonts w:hAnsi="宋体"/>
                      <w:color w:val="000000" w:themeColor="text1"/>
                      <w:szCs w:val="21"/>
                      <w:highlight w:val="none"/>
                      <w14:textFill>
                        <w14:solidFill>
                          <w14:schemeClr w14:val="tx1"/>
                        </w14:solidFill>
                      </w14:textFill>
                    </w:rPr>
                    <w:t>桶，</w:t>
                  </w:r>
                  <w:r>
                    <w:rPr>
                      <w:rFonts w:hint="eastAsia" w:hAnsi="宋体"/>
                      <w:color w:val="000000" w:themeColor="text1"/>
                      <w:szCs w:val="21"/>
                      <w:highlight w:val="none"/>
                      <w:lang w:val="en-US" w:eastAsia="zh-CN"/>
                      <w14:textFill>
                        <w14:solidFill>
                          <w14:schemeClr w14:val="tx1"/>
                        </w14:solidFill>
                      </w14:textFill>
                    </w:rPr>
                    <w:t>不在厂区存储</w:t>
                  </w:r>
                </w:p>
              </w:tc>
            </w:tr>
            <w:tr w14:paraId="2FF8B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44E9049C">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11</w:t>
                  </w:r>
                </w:p>
              </w:tc>
              <w:tc>
                <w:tcPr>
                  <w:tcW w:w="410" w:type="pct"/>
                  <w:noWrap/>
                  <w:vAlign w:val="center"/>
                </w:tcPr>
                <w:p w14:paraId="683FEDB7">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活性炭</w:t>
                  </w:r>
                </w:p>
              </w:tc>
              <w:tc>
                <w:tcPr>
                  <w:tcW w:w="276" w:type="pct"/>
                  <w:noWrap/>
                  <w:vAlign w:val="center"/>
                </w:tcPr>
                <w:p w14:paraId="0461416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45BBD773">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p>
              </w:tc>
              <w:tc>
                <w:tcPr>
                  <w:tcW w:w="754" w:type="pct"/>
                  <w:noWrap/>
                  <w:vAlign w:val="center"/>
                </w:tcPr>
                <w:p w14:paraId="62693C2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5D0F41E8">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外购，袋装，蜂窝状，碘值为</w:t>
                  </w:r>
                  <w:r>
                    <w:rPr>
                      <w:color w:val="000000" w:themeColor="text1"/>
                      <w:szCs w:val="21"/>
                      <w:highlight w:val="none"/>
                      <w14:textFill>
                        <w14:solidFill>
                          <w14:schemeClr w14:val="tx1"/>
                        </w14:solidFill>
                      </w14:textFill>
                    </w:rPr>
                    <w:t>800mg/g</w:t>
                  </w:r>
                  <w:r>
                    <w:rPr>
                      <w:rFonts w:hAnsi="宋体"/>
                      <w:color w:val="000000" w:themeColor="text1"/>
                      <w:szCs w:val="21"/>
                      <w:highlight w:val="none"/>
                      <w14:textFill>
                        <w14:solidFill>
                          <w14:schemeClr w14:val="tx1"/>
                        </w14:solidFill>
                      </w14:textFill>
                    </w:rPr>
                    <w:t>，用于恶臭气体吸附</w:t>
                  </w:r>
                </w:p>
              </w:tc>
            </w:tr>
            <w:tr w14:paraId="06E557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26E08F86">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12</w:t>
                  </w:r>
                </w:p>
              </w:tc>
              <w:tc>
                <w:tcPr>
                  <w:tcW w:w="410" w:type="pct"/>
                  <w:noWrap/>
                  <w:vAlign w:val="center"/>
                </w:tcPr>
                <w:p w14:paraId="4BBD30D0">
                  <w:pPr>
                    <w:ind w:left="-105" w:leftChars="-50" w:right="-105" w:rightChars="-50"/>
                    <w:jc w:val="center"/>
                    <w:rPr>
                      <w:rFonts w:hint="eastAsia" w:hAnsi="宋体" w:eastAsia="宋体"/>
                      <w:color w:val="000000" w:themeColor="text1"/>
                      <w:szCs w:val="21"/>
                      <w:highlight w:val="none"/>
                      <w:lang w:val="en-US" w:eastAsia="zh-CN"/>
                      <w14:textFill>
                        <w14:solidFill>
                          <w14:schemeClr w14:val="tx1"/>
                        </w14:solidFill>
                      </w14:textFill>
                    </w:rPr>
                  </w:pPr>
                  <w:r>
                    <w:rPr>
                      <w:rFonts w:hint="eastAsia" w:hAnsi="宋体"/>
                      <w:color w:val="000000" w:themeColor="text1"/>
                      <w:szCs w:val="21"/>
                      <w:highlight w:val="none"/>
                      <w:lang w:val="en-US" w:eastAsia="zh-CN"/>
                      <w14:textFill>
                        <w14:solidFill>
                          <w14:schemeClr w14:val="tx1"/>
                        </w14:solidFill>
                      </w14:textFill>
                    </w:rPr>
                    <w:t>滤袋</w:t>
                  </w:r>
                </w:p>
              </w:tc>
              <w:tc>
                <w:tcPr>
                  <w:tcW w:w="276" w:type="pct"/>
                  <w:noWrap/>
                  <w:vAlign w:val="center"/>
                </w:tcPr>
                <w:p w14:paraId="704CC91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441" w:type="pct"/>
                  <w:noWrap/>
                  <w:vAlign w:val="center"/>
                </w:tcPr>
                <w:p w14:paraId="7590523D">
                  <w:pPr>
                    <w:ind w:left="-105" w:leftChars="-50" w:right="-105" w:rightChars="-5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w:t>
                  </w:r>
                </w:p>
              </w:tc>
              <w:tc>
                <w:tcPr>
                  <w:tcW w:w="754" w:type="pct"/>
                  <w:noWrap/>
                  <w:vAlign w:val="center"/>
                </w:tcPr>
                <w:p w14:paraId="52C1DAD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7EF06315">
                  <w:pPr>
                    <w:ind w:left="-105" w:leftChars="-50" w:right="-105" w:rightChars="-50"/>
                    <w:jc w:val="center"/>
                    <w:rPr>
                      <w:rFonts w:hint="default" w:hAnsi="宋体" w:eastAsia="宋体"/>
                      <w:color w:val="000000" w:themeColor="text1"/>
                      <w:szCs w:val="21"/>
                      <w:highlight w:val="none"/>
                      <w:lang w:val="en-US" w:eastAsia="zh-CN"/>
                      <w14:textFill>
                        <w14:solidFill>
                          <w14:schemeClr w14:val="tx1"/>
                        </w14:solidFill>
                      </w14:textFill>
                    </w:rPr>
                  </w:pPr>
                  <w:r>
                    <w:rPr>
                      <w:rFonts w:hint="eastAsia" w:hAnsi="宋体"/>
                      <w:color w:val="000000" w:themeColor="text1"/>
                      <w:szCs w:val="21"/>
                      <w:highlight w:val="none"/>
                      <w:lang w:val="en-US" w:eastAsia="zh-CN"/>
                      <w14:textFill>
                        <w14:solidFill>
                          <w14:schemeClr w14:val="tx1"/>
                        </w14:solidFill>
                      </w14:textFill>
                    </w:rPr>
                    <w:t>由除尘器厂家供应</w:t>
                  </w:r>
                </w:p>
              </w:tc>
            </w:tr>
            <w:tr w14:paraId="1D7C2C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5C4385D1">
                  <w:pPr>
                    <w:ind w:left="-105" w:leftChars="-50" w:right="-105" w:rightChars="-5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13</w:t>
                  </w:r>
                </w:p>
              </w:tc>
              <w:tc>
                <w:tcPr>
                  <w:tcW w:w="410" w:type="pct"/>
                  <w:noWrap/>
                  <w:vAlign w:val="center"/>
                </w:tcPr>
                <w:p w14:paraId="79DB35B4">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天然气</w:t>
                  </w:r>
                </w:p>
              </w:tc>
              <w:tc>
                <w:tcPr>
                  <w:tcW w:w="276" w:type="pct"/>
                  <w:noWrap/>
                  <w:vAlign w:val="center"/>
                </w:tcPr>
                <w:p w14:paraId="3A17779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/a</w:t>
                  </w:r>
                </w:p>
              </w:tc>
              <w:tc>
                <w:tcPr>
                  <w:tcW w:w="441" w:type="pct"/>
                  <w:noWrap/>
                  <w:vAlign w:val="center"/>
                </w:tcPr>
                <w:p w14:paraId="1F252330">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754" w:type="pct"/>
                  <w:noWrap/>
                  <w:vAlign w:val="center"/>
                </w:tcPr>
                <w:p w14:paraId="09D36BC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388862B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由</w:t>
                  </w:r>
                  <w:r>
                    <w:rPr>
                      <w:rFonts w:hint="eastAsia"/>
                      <w:color w:val="000000" w:themeColor="text1"/>
                      <w:szCs w:val="21"/>
                      <w:highlight w:val="none"/>
                      <w:lang w:eastAsia="zh-CN"/>
                      <w14:textFill>
                        <w14:solidFill>
                          <w14:schemeClr w14:val="tx1"/>
                        </w14:solidFill>
                      </w14:textFill>
                    </w:rPr>
                    <w:t>滦州新奥清洁能源</w:t>
                  </w:r>
                  <w:r>
                    <w:rPr>
                      <w:color w:val="000000" w:themeColor="text1"/>
                      <w:szCs w:val="21"/>
                      <w:highlight w:val="none"/>
                      <w14:textFill>
                        <w14:solidFill>
                          <w14:schemeClr w14:val="tx1"/>
                        </w14:solidFill>
                      </w14:textFill>
                    </w:rPr>
                    <w:t>有限公司</w:t>
                  </w:r>
                  <w:r>
                    <w:rPr>
                      <w:rFonts w:hint="eastAsia"/>
                      <w:color w:val="000000" w:themeColor="text1"/>
                      <w:szCs w:val="21"/>
                      <w:highlight w:val="none"/>
                      <w:lang w:eastAsia="zh-CN"/>
                      <w14:textFill>
                        <w14:solidFill>
                          <w14:schemeClr w14:val="tx1"/>
                        </w14:solidFill>
                      </w14:textFill>
                    </w:rPr>
                    <w:t>通过管道</w:t>
                  </w:r>
                  <w:r>
                    <w:rPr>
                      <w:color w:val="000000" w:themeColor="text1"/>
                      <w:szCs w:val="21"/>
                      <w:highlight w:val="none"/>
                      <w14:textFill>
                        <w14:solidFill>
                          <w14:schemeClr w14:val="tx1"/>
                        </w14:solidFill>
                      </w14:textFill>
                    </w:rPr>
                    <w:t>供给，隧道窑点火升温引燃燃料</w:t>
                  </w:r>
                </w:p>
              </w:tc>
            </w:tr>
            <w:tr w14:paraId="6FB717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shd w:val="clear" w:color="auto" w:fill="auto"/>
                  <w:noWrap/>
                  <w:tcMar>
                    <w:top w:w="51" w:type="dxa"/>
                    <w:left w:w="51" w:type="dxa"/>
                    <w:bottom w:w="51" w:type="dxa"/>
                    <w:right w:w="51" w:type="dxa"/>
                  </w:tcMar>
                  <w:vAlign w:val="center"/>
                </w:tcPr>
                <w:p w14:paraId="7309AA08">
                  <w:pPr>
                    <w:ind w:left="-105" w:leftChars="-50" w:right="-105" w:rightChars="-5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w:t>
                  </w:r>
                </w:p>
              </w:tc>
              <w:tc>
                <w:tcPr>
                  <w:tcW w:w="410" w:type="pct"/>
                  <w:noWrap/>
                  <w:vAlign w:val="center"/>
                </w:tcPr>
                <w:p w14:paraId="3568B358">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电</w:t>
                  </w:r>
                </w:p>
              </w:tc>
              <w:tc>
                <w:tcPr>
                  <w:tcW w:w="276" w:type="pct"/>
                  <w:noWrap/>
                  <w:vAlign w:val="center"/>
                </w:tcPr>
                <w:p w14:paraId="0DB01658">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万</w:t>
                  </w:r>
                  <w:r>
                    <w:rPr>
                      <w:color w:val="000000" w:themeColor="text1"/>
                      <w:szCs w:val="21"/>
                      <w:highlight w:val="none"/>
                      <w14:textFill>
                        <w14:solidFill>
                          <w14:schemeClr w14:val="tx1"/>
                        </w14:solidFill>
                      </w14:textFill>
                    </w:rPr>
                    <w:t>kWh/a</w:t>
                  </w:r>
                </w:p>
              </w:tc>
              <w:tc>
                <w:tcPr>
                  <w:tcW w:w="441" w:type="pct"/>
                  <w:noWrap/>
                  <w:vAlign w:val="center"/>
                </w:tcPr>
                <w:p w14:paraId="4F4C9B22">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45</w:t>
                  </w:r>
                  <w:r>
                    <w:rPr>
                      <w:color w:val="000000" w:themeColor="text1"/>
                      <w:szCs w:val="21"/>
                      <w:highlight w:val="none"/>
                      <w14:textFill>
                        <w14:solidFill>
                          <w14:schemeClr w14:val="tx1"/>
                        </w14:solidFill>
                      </w14:textFill>
                    </w:rPr>
                    <w:t>00</w:t>
                  </w:r>
                </w:p>
              </w:tc>
              <w:tc>
                <w:tcPr>
                  <w:tcW w:w="754" w:type="pct"/>
                  <w:noWrap/>
                  <w:vAlign w:val="center"/>
                </w:tcPr>
                <w:p w14:paraId="6827AAF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57B74A8F">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响嘡街道供电系统</w:t>
                  </w:r>
                </w:p>
              </w:tc>
            </w:tr>
            <w:tr w14:paraId="2CDF82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15" w:type="pct"/>
                  <w:noWrap/>
                  <w:tcMar>
                    <w:top w:w="51" w:type="dxa"/>
                    <w:left w:w="51" w:type="dxa"/>
                    <w:bottom w:w="51" w:type="dxa"/>
                    <w:right w:w="51" w:type="dxa"/>
                  </w:tcMar>
                  <w:vAlign w:val="center"/>
                </w:tcPr>
                <w:p w14:paraId="60303712">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15</w:t>
                  </w:r>
                </w:p>
              </w:tc>
              <w:tc>
                <w:tcPr>
                  <w:tcW w:w="410" w:type="pct"/>
                  <w:noWrap/>
                  <w:vAlign w:val="center"/>
                </w:tcPr>
                <w:p w14:paraId="63ED6DF7">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水</w:t>
                  </w:r>
                </w:p>
              </w:tc>
              <w:tc>
                <w:tcPr>
                  <w:tcW w:w="276" w:type="pct"/>
                  <w:noWrap/>
                  <w:vAlign w:val="center"/>
                </w:tcPr>
                <w:p w14:paraId="46DF88E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/a</w:t>
                  </w:r>
                </w:p>
              </w:tc>
              <w:tc>
                <w:tcPr>
                  <w:tcW w:w="441" w:type="pct"/>
                  <w:noWrap/>
                  <w:vAlign w:val="center"/>
                </w:tcPr>
                <w:p w14:paraId="347DCD04">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12005.4</w:t>
                  </w:r>
                </w:p>
              </w:tc>
              <w:tc>
                <w:tcPr>
                  <w:tcW w:w="754" w:type="pct"/>
                  <w:noWrap/>
                  <w:vAlign w:val="center"/>
                </w:tcPr>
                <w:p w14:paraId="0D9861E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901" w:type="pct"/>
                  <w:noWrap/>
                  <w:vAlign w:val="center"/>
                </w:tcPr>
                <w:p w14:paraId="0F40B93F">
                  <w:pPr>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厂区自备井，水源为地下水</w:t>
                  </w:r>
                </w:p>
              </w:tc>
            </w:tr>
          </w:tbl>
          <w:p w14:paraId="66F8EF65">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主要原辅材料理化性质见表2-</w:t>
            </w:r>
            <w:r>
              <w:rPr>
                <w:rFonts w:hint="eastAsia"/>
                <w:color w:val="000000" w:themeColor="text1"/>
                <w:sz w:val="24"/>
                <w:highlight w:val="none"/>
                <w:lang w:val="en-US" w:eastAsia="zh-CN"/>
                <w14:textFill>
                  <w14:solidFill>
                    <w14:schemeClr w14:val="tx1"/>
                  </w14:solidFill>
                </w14:textFill>
              </w:rPr>
              <w:t>11</w:t>
            </w:r>
            <w:r>
              <w:rPr>
                <w:rFonts w:hint="eastAsia"/>
                <w:color w:val="000000" w:themeColor="text1"/>
                <w:sz w:val="24"/>
                <w:highlight w:val="none"/>
                <w14:textFill>
                  <w14:solidFill>
                    <w14:schemeClr w14:val="tx1"/>
                  </w14:solidFill>
                </w14:textFill>
              </w:rPr>
              <w:t>。</w:t>
            </w:r>
          </w:p>
          <w:p w14:paraId="793B9759">
            <w:pPr>
              <w:spacing w:line="480" w:lineRule="exact"/>
              <w:ind w:firstLine="1200" w:firstLineChars="50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w:t>
            </w:r>
            <w:r>
              <w:rPr>
                <w:rFonts w:hint="eastAsia" w:ascii="黑体" w:hAnsi="黑体" w:eastAsia="黑体"/>
                <w:color w:val="000000" w:themeColor="text1"/>
                <w:sz w:val="24"/>
                <w:highlight w:val="none"/>
                <w:lang w:val="en-US" w:eastAsia="zh-CN"/>
                <w14:textFill>
                  <w14:solidFill>
                    <w14:schemeClr w14:val="tx1"/>
                  </w14:solidFill>
                </w14:textFill>
              </w:rPr>
              <w:t>11</w:t>
            </w:r>
            <w:r>
              <w:rPr>
                <w:rFonts w:hint="eastAsia" w:ascii="黑体" w:hAnsi="黑体" w:eastAsia="黑体"/>
                <w:color w:val="000000" w:themeColor="text1"/>
                <w:sz w:val="24"/>
                <w:highlight w:val="none"/>
                <w14:textFill>
                  <w14:solidFill>
                    <w14:schemeClr w14:val="tx1"/>
                  </w14:solidFill>
                </w14:textFill>
              </w:rPr>
              <w:t xml:space="preserve">            主要原辅材料理化性质</w:t>
            </w:r>
          </w:p>
          <w:tbl>
            <w:tblPr>
              <w:tblStyle w:val="24"/>
              <w:tblW w:w="88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276"/>
              <w:gridCol w:w="6995"/>
            </w:tblGrid>
            <w:tr w14:paraId="766FF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vAlign w:val="center"/>
                </w:tcPr>
                <w:p w14:paraId="73BA09F2">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序号</w:t>
                  </w:r>
                </w:p>
              </w:tc>
              <w:tc>
                <w:tcPr>
                  <w:tcW w:w="1276" w:type="dxa"/>
                  <w:vAlign w:val="center"/>
                </w:tcPr>
                <w:p w14:paraId="5A68C66D">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物质名称</w:t>
                  </w:r>
                </w:p>
              </w:tc>
              <w:tc>
                <w:tcPr>
                  <w:tcW w:w="6995" w:type="dxa"/>
                  <w:vAlign w:val="center"/>
                </w:tcPr>
                <w:p w14:paraId="6E9A7753">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理化性质</w:t>
                  </w:r>
                </w:p>
              </w:tc>
            </w:tr>
            <w:tr w14:paraId="3BCC08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vAlign w:val="center"/>
                </w:tcPr>
                <w:p w14:paraId="2A797488">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1276" w:type="dxa"/>
                  <w:vAlign w:val="center"/>
                </w:tcPr>
                <w:p w14:paraId="76C92F63">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煤矸石</w:t>
                  </w:r>
                </w:p>
              </w:tc>
              <w:tc>
                <w:tcPr>
                  <w:tcW w:w="6995" w:type="dxa"/>
                  <w:vAlign w:val="center"/>
                </w:tcPr>
                <w:p w14:paraId="51CA8DED">
                  <w:pPr>
                    <w:spacing w:line="280" w:lineRule="exact"/>
                    <w:ind w:left="-63" w:leftChars="-30" w:right="-63" w:rightChars="-3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煤矸石是采煤过程和洗煤过程中排放的固体废物，是一种在成煤过程中与煤层伴生的一种含碳量较低、比煤坚硬的黑灰色岩石。包括巷道掘进过程中的掘进矸石、采掘过程中从顶板、底板及夹层里采出的矸石以及洗煤过程中跳出的洗矸石。其主要成为是Al</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3</w:t>
                  </w:r>
                  <w:r>
                    <w:rPr>
                      <w:color w:val="000000" w:themeColor="text1"/>
                      <w:szCs w:val="21"/>
                      <w:highlight w:val="none"/>
                      <w14:textFill>
                        <w14:solidFill>
                          <w14:schemeClr w14:val="tx1"/>
                        </w14:solidFill>
                      </w14:textFill>
                    </w:rPr>
                    <w:t>、SiO</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、另外还含有数量不等的Fe</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3</w:t>
                  </w:r>
                  <w:r>
                    <w:rPr>
                      <w:color w:val="000000" w:themeColor="text1"/>
                      <w:szCs w:val="21"/>
                      <w:highlight w:val="none"/>
                      <w14:textFill>
                        <w14:solidFill>
                          <w14:schemeClr w14:val="tx1"/>
                        </w14:solidFill>
                      </w14:textFill>
                    </w:rPr>
                    <w:t>、CaO、MgO、Na</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O、K</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O、P</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5</w:t>
                  </w: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3</w:t>
                  </w:r>
                  <w:r>
                    <w:rPr>
                      <w:color w:val="000000" w:themeColor="text1"/>
                      <w:szCs w:val="21"/>
                      <w:highlight w:val="none"/>
                      <w14:textFill>
                        <w14:solidFill>
                          <w14:schemeClr w14:val="tx1"/>
                        </w14:solidFill>
                      </w14:textFill>
                    </w:rPr>
                    <w:t>和微量稀有元素（镓、钒、钛、钴）</w:t>
                  </w:r>
                  <w:r>
                    <w:rPr>
                      <w:rFonts w:hint="eastAsia"/>
                      <w:color w:val="000000" w:themeColor="text1"/>
                      <w:szCs w:val="21"/>
                      <w:highlight w:val="none"/>
                      <w14:textFill>
                        <w14:solidFill>
                          <w14:schemeClr w14:val="tx1"/>
                        </w14:solidFill>
                      </w14:textFill>
                    </w:rPr>
                    <w:t>。含水率约2%。</w:t>
                  </w:r>
                </w:p>
              </w:tc>
            </w:tr>
            <w:tr w14:paraId="2856A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vAlign w:val="center"/>
                </w:tcPr>
                <w:p w14:paraId="4949E8C3">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1276" w:type="dxa"/>
                  <w:vAlign w:val="center"/>
                </w:tcPr>
                <w:p w14:paraId="00794687">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页岩</w:t>
                  </w:r>
                </w:p>
              </w:tc>
              <w:tc>
                <w:tcPr>
                  <w:tcW w:w="6995" w:type="dxa"/>
                  <w:vAlign w:val="center"/>
                </w:tcPr>
                <w:p w14:paraId="5E00AB88">
                  <w:pPr>
                    <w:spacing w:line="280" w:lineRule="exact"/>
                    <w:ind w:left="-63" w:leftChars="-30" w:right="-63" w:rightChars="-3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是由黏土在地壳运动中挤压而形成的岩石。它是一种沉积岩，是固结较弱的粘土经过挤压、脱水、重结晶和胶结作用而形成的。由于它层理分明、易剥离而称为页岩，页岩一般为褐色、灰色或黑色，硬度不高，易破碎，容易加工成理想的制砖原料。页岩以其对硅、钙、碳的含量不同而分为硅质页岩、钙质页岩和碳质页岩。其中以硅质页岩变形小、吸湿性小、砖不易风化和产品质量易保证等优点更适于生产页岩砖使用</w:t>
                  </w:r>
                  <w:r>
                    <w:rPr>
                      <w:rFonts w:hint="eastAsia"/>
                      <w:color w:val="000000" w:themeColor="text1"/>
                      <w:szCs w:val="21"/>
                      <w:highlight w:val="none"/>
                      <w14:textFill>
                        <w14:solidFill>
                          <w14:schemeClr w14:val="tx1"/>
                        </w14:solidFill>
                      </w14:textFill>
                    </w:rPr>
                    <w:t>。含水率10.4%。</w:t>
                  </w:r>
                </w:p>
              </w:tc>
            </w:tr>
            <w:tr w14:paraId="5E6424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vAlign w:val="center"/>
                </w:tcPr>
                <w:p w14:paraId="7F388356">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1276" w:type="dxa"/>
                  <w:vAlign w:val="center"/>
                </w:tcPr>
                <w:p w14:paraId="08DE55E7">
                  <w:pPr>
                    <w:spacing w:line="280" w:lineRule="exact"/>
                    <w:ind w:left="-63" w:leftChars="-30" w:right="-63" w:rightChars="-3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工业污泥</w:t>
                  </w:r>
                </w:p>
                <w:p w14:paraId="6F74FC9F">
                  <w:pPr>
                    <w:spacing w:line="280" w:lineRule="exact"/>
                    <w:ind w:left="-63" w:leftChars="-30" w:right="-63" w:rightChars="-3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泥饼</w:t>
                  </w:r>
                  <w:r>
                    <w:rPr>
                      <w:rFonts w:hint="eastAsia"/>
                      <w:color w:val="000000" w:themeColor="text1"/>
                      <w:szCs w:val="21"/>
                      <w:highlight w:val="none"/>
                      <w:lang w:eastAsia="zh-CN"/>
                      <w14:textFill>
                        <w14:solidFill>
                          <w14:schemeClr w14:val="tx1"/>
                        </w14:solidFill>
                      </w14:textFill>
                    </w:rPr>
                    <w:t>）</w:t>
                  </w:r>
                </w:p>
              </w:tc>
              <w:tc>
                <w:tcPr>
                  <w:tcW w:w="6995" w:type="dxa"/>
                  <w:vAlign w:val="center"/>
                </w:tcPr>
                <w:p w14:paraId="708BF29B">
                  <w:pPr>
                    <w:spacing w:line="280" w:lineRule="exact"/>
                    <w:ind w:left="-63" w:leftChars="-30" w:right="-63" w:rightChars="-3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工业污泥来自</w:t>
                  </w:r>
                  <w:r>
                    <w:rPr>
                      <w:color w:val="000000" w:themeColor="text1"/>
                      <w:szCs w:val="21"/>
                      <w:highlight w:val="none"/>
                      <w14:textFill>
                        <w14:solidFill>
                          <w14:schemeClr w14:val="tx1"/>
                        </w14:solidFill>
                      </w14:textFill>
                    </w:rPr>
                    <w:t>唐山三友远达纤维有限公司</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含水率为62.3%</w:t>
                  </w:r>
                  <w:r>
                    <w:rPr>
                      <w:rFonts w:hint="eastAsia"/>
                      <w:color w:val="000000" w:themeColor="text1"/>
                      <w:szCs w:val="21"/>
                      <w:highlight w:val="none"/>
                      <w14:textFill>
                        <w14:solidFill>
                          <w14:schemeClr w14:val="tx1"/>
                        </w14:solidFill>
                      </w14:textFill>
                    </w:rPr>
                    <w:t>，委托</w:t>
                  </w:r>
                  <w:r>
                    <w:rPr>
                      <w:color w:val="000000" w:themeColor="text1"/>
                      <w:highlight w:val="none"/>
                      <w14:textFill>
                        <w14:solidFill>
                          <w14:schemeClr w14:val="tx1"/>
                        </w14:solidFill>
                      </w14:textFill>
                    </w:rPr>
                    <w:t>北京化工大学对经板框压滤机脱水后的污泥进行危险特性鉴别，</w:t>
                  </w:r>
                  <w:r>
                    <w:rPr>
                      <w:color w:val="000000" w:themeColor="text1"/>
                      <w:szCs w:val="21"/>
                      <w:highlight w:val="none"/>
                      <w14:textFill>
                        <w14:solidFill>
                          <w14:schemeClr w14:val="tx1"/>
                        </w14:solidFill>
                      </w14:textFill>
                    </w:rPr>
                    <w:t>依据分析测定结果和危险废物具体鉴别情况及判定标准，判定其不具有易燃性、反应性、腐蚀性、浸出毒性、急性毒性，毒性物质含量未超标，正常运行情况下属于一般工业固体废物</w:t>
                  </w:r>
                  <w:r>
                    <w:rPr>
                      <w:rFonts w:hint="eastAsia"/>
                      <w:color w:val="000000" w:themeColor="text1"/>
                      <w:szCs w:val="21"/>
                      <w:highlight w:val="none"/>
                      <w14:textFill>
                        <w14:solidFill>
                          <w14:schemeClr w14:val="tx1"/>
                        </w14:solidFill>
                      </w14:textFill>
                    </w:rPr>
                    <w:t>。</w:t>
                  </w:r>
                </w:p>
              </w:tc>
            </w:tr>
            <w:tr w14:paraId="27472D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shd w:val="clear" w:color="auto" w:fill="auto"/>
                  <w:vAlign w:val="center"/>
                </w:tcPr>
                <w:p w14:paraId="223E7DF8">
                  <w:pPr>
                    <w:spacing w:line="28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4</w:t>
                  </w:r>
                </w:p>
              </w:tc>
              <w:tc>
                <w:tcPr>
                  <w:tcW w:w="1276" w:type="dxa"/>
                  <w:vAlign w:val="center"/>
                </w:tcPr>
                <w:p w14:paraId="69273A8A">
                  <w:pPr>
                    <w:spacing w:line="280" w:lineRule="exact"/>
                    <w:ind w:left="-63" w:leftChars="-30" w:right="-63" w:rightChars="-3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w:t>
                  </w:r>
                </w:p>
                <w:p w14:paraId="0036BBD9">
                  <w:pPr>
                    <w:spacing w:line="280" w:lineRule="exact"/>
                    <w:ind w:left="-63" w:leftChars="-30" w:right="-63" w:rightChars="-3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泥饼</w:t>
                  </w:r>
                  <w:r>
                    <w:rPr>
                      <w:rFonts w:hint="eastAsia"/>
                      <w:color w:val="000000" w:themeColor="text1"/>
                      <w:szCs w:val="21"/>
                      <w:highlight w:val="none"/>
                      <w:lang w:eastAsia="zh-CN"/>
                      <w14:textFill>
                        <w14:solidFill>
                          <w14:schemeClr w14:val="tx1"/>
                        </w14:solidFill>
                      </w14:textFill>
                    </w:rPr>
                    <w:t>）</w:t>
                  </w:r>
                </w:p>
              </w:tc>
              <w:tc>
                <w:tcPr>
                  <w:tcW w:w="6995" w:type="dxa"/>
                  <w:vAlign w:val="center"/>
                </w:tcPr>
                <w:p w14:paraId="01CA1ADD">
                  <w:pPr>
                    <w:spacing w:line="280" w:lineRule="exact"/>
                    <w:ind w:left="-63" w:leftChars="-30" w:right="-63" w:rightChars="-30"/>
                    <w:jc w:val="both"/>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生活污泥来自滦州粤海环保有限公司，</w:t>
                  </w:r>
                  <w:r>
                    <w:rPr>
                      <w:color w:val="000000" w:themeColor="text1"/>
                      <w:szCs w:val="21"/>
                      <w:highlight w:val="none"/>
                      <w14:textFill>
                        <w14:solidFill>
                          <w14:schemeClr w14:val="tx1"/>
                        </w14:solidFill>
                      </w14:textFill>
                    </w:rPr>
                    <w:t>含水率为</w:t>
                  </w:r>
                  <w:r>
                    <w:rPr>
                      <w:rFonts w:hint="eastAsia"/>
                      <w:color w:val="000000" w:themeColor="text1"/>
                      <w:szCs w:val="21"/>
                      <w:highlight w:val="none"/>
                      <w14:textFill>
                        <w14:solidFill>
                          <w14:schemeClr w14:val="tx1"/>
                        </w14:solidFill>
                      </w14:textFill>
                    </w:rPr>
                    <w:t>59.5%。生活污泥属于一般固废，生活污泥满足《城镇污水处理厂污水处置 制砖用泥质》（GB/T25031-2010）标准要求。</w:t>
                  </w:r>
                </w:p>
              </w:tc>
            </w:tr>
            <w:tr w14:paraId="7950D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shd w:val="clear" w:color="auto" w:fill="auto"/>
                  <w:vAlign w:val="center"/>
                </w:tcPr>
                <w:p w14:paraId="43A7F86F">
                  <w:pPr>
                    <w:spacing w:line="28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5</w:t>
                  </w:r>
                </w:p>
              </w:tc>
              <w:tc>
                <w:tcPr>
                  <w:tcW w:w="1276" w:type="dxa"/>
                  <w:vAlign w:val="center"/>
                </w:tcPr>
                <w:p w14:paraId="4A54295A">
                  <w:pPr>
                    <w:spacing w:line="28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干排淤泥</w:t>
                  </w:r>
                </w:p>
              </w:tc>
              <w:tc>
                <w:tcPr>
                  <w:tcW w:w="6995" w:type="dxa"/>
                  <w:vAlign w:val="center"/>
                </w:tcPr>
                <w:p w14:paraId="0282E9E6">
                  <w:pPr>
                    <w:spacing w:line="280" w:lineRule="exact"/>
                    <w:ind w:left="-63" w:leftChars="-30" w:right="-63" w:rightChars="-3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铁选厂干排尾矿，由选矿工艺把矿石中的有价物质提取之后输出的尾矿浆经多级浓缩后，再经脱水振动筛等高效脱水设备处理，形成含水小、易沉淀固化和利用场地堆存的矿渣，通常含水率(质量百分比)15%以下，输送至尾矿库和排土场堆存或再循环它用。</w:t>
                  </w:r>
                  <w:r>
                    <w:rPr>
                      <w:color w:val="000000" w:themeColor="text1"/>
                      <w:szCs w:val="21"/>
                      <w:highlight w:val="none"/>
                      <w14:textFill>
                        <w14:solidFill>
                          <w14:schemeClr w14:val="tx1"/>
                        </w14:solidFill>
                      </w14:textFill>
                    </w:rPr>
                    <w:t>铁尾矿主要</w:t>
                  </w:r>
                  <w:r>
                    <w:rPr>
                      <w:rFonts w:hint="eastAsia"/>
                      <w:color w:val="000000" w:themeColor="text1"/>
                      <w:szCs w:val="21"/>
                      <w:highlight w:val="none"/>
                      <w14:textFill>
                        <w14:solidFill>
                          <w14:schemeClr w14:val="tx1"/>
                        </w14:solidFill>
                      </w14:textFill>
                    </w:rPr>
                    <w:t>化学</w:t>
                  </w:r>
                  <w:r>
                    <w:rPr>
                      <w:color w:val="000000" w:themeColor="text1"/>
                      <w:szCs w:val="21"/>
                      <w:highlight w:val="none"/>
                      <w14:textFill>
                        <w14:solidFill>
                          <w14:schemeClr w14:val="tx1"/>
                        </w14:solidFill>
                      </w14:textFill>
                    </w:rPr>
                    <w:t>成分</w:t>
                  </w:r>
                  <w:r>
                    <w:rPr>
                      <w:rFonts w:hint="eastAsia"/>
                      <w:color w:val="000000" w:themeColor="text1"/>
                      <w:szCs w:val="21"/>
                      <w:highlight w:val="none"/>
                      <w14:textFill>
                        <w14:solidFill>
                          <w14:schemeClr w14:val="tx1"/>
                        </w14:solidFill>
                      </w14:textFill>
                    </w:rPr>
                    <w:t>为：</w:t>
                  </w:r>
                  <w:r>
                    <w:rPr>
                      <w:color w:val="000000" w:themeColor="text1"/>
                      <w:szCs w:val="21"/>
                      <w:highlight w:val="none"/>
                      <w14:textFill>
                        <w14:solidFill>
                          <w14:schemeClr w14:val="tx1"/>
                        </w14:solidFill>
                      </w14:textFill>
                    </w:rPr>
                    <w:t>SiO</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、Al</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3</w:t>
                  </w:r>
                  <w:r>
                    <w:rPr>
                      <w:color w:val="000000" w:themeColor="text1"/>
                      <w:szCs w:val="21"/>
                      <w:highlight w:val="none"/>
                      <w14:textFill>
                        <w14:solidFill>
                          <w14:schemeClr w14:val="tx1"/>
                        </w14:solidFill>
                      </w14:textFill>
                    </w:rPr>
                    <w:t>、Fe</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3</w:t>
                  </w:r>
                  <w:r>
                    <w:rPr>
                      <w:color w:val="000000" w:themeColor="text1"/>
                      <w:szCs w:val="21"/>
                      <w:highlight w:val="none"/>
                      <w14:textFill>
                        <w14:solidFill>
                          <w14:schemeClr w14:val="tx1"/>
                        </w14:solidFill>
                      </w14:textFill>
                    </w:rPr>
                    <w:t>、CaO和MgO，化学成分的含量随着地区不同有较大的差异。其铁尾矿的矿物成分主要是石英、赤铁矿、方解石、白云石、长石等，与天然砂的矿物成分相似。</w:t>
                  </w:r>
                  <w:r>
                    <w:rPr>
                      <w:rFonts w:hint="eastAsia"/>
                      <w:color w:val="000000" w:themeColor="text1"/>
                      <w:szCs w:val="21"/>
                      <w:highlight w:val="none"/>
                      <w14:textFill>
                        <w14:solidFill>
                          <w14:schemeClr w14:val="tx1"/>
                        </w14:solidFill>
                      </w14:textFill>
                    </w:rPr>
                    <w:t>含水率15%。</w:t>
                  </w:r>
                </w:p>
              </w:tc>
            </w:tr>
            <w:tr w14:paraId="1790D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2" w:type="dxa"/>
                  <w:vAlign w:val="center"/>
                </w:tcPr>
                <w:p w14:paraId="1A2D2A53">
                  <w:pPr>
                    <w:spacing w:line="280" w:lineRule="exact"/>
                    <w:ind w:left="-63" w:leftChars="-30" w:right="-63" w:rightChars="-3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w:t>
                  </w:r>
                </w:p>
              </w:tc>
              <w:tc>
                <w:tcPr>
                  <w:tcW w:w="1276" w:type="dxa"/>
                  <w:vAlign w:val="center"/>
                </w:tcPr>
                <w:p w14:paraId="6778E81B">
                  <w:pPr>
                    <w:pStyle w:val="51"/>
                    <w:spacing w:line="280" w:lineRule="exact"/>
                    <w:ind w:left="-63" w:leftChars="-30" w:right="-63" w:rightChars="-3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炉渣</w:t>
                  </w:r>
                </w:p>
              </w:tc>
              <w:tc>
                <w:tcPr>
                  <w:tcW w:w="6995" w:type="dxa"/>
                  <w:vAlign w:val="center"/>
                </w:tcPr>
                <w:p w14:paraId="74EDEA7A">
                  <w:pPr>
                    <w:spacing w:line="280" w:lineRule="exact"/>
                    <w:ind w:left="-63" w:leftChars="-30" w:right="-63" w:rightChars="-30"/>
                    <w:jc w:val="lef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火法冶金过程中生成的浮在金属等液态物质表面的熔体，其组成以氧化物(二氧化硅、氧化铝、氧化钙、氧化镁)为主，还常含有硫化物并夹带少量金属。炉渣的组分靠加入适量的熔剂(石灰、石英石、萤石等)进行调整。在冶炼过程中通过对炉渣组分和性质的控制，能使脉石和氧化杂质的产物与熔融金属或硫顺利分离，脱除金属中的害杂质，吸收液态金属中的非金属夹杂物不直接受炉气污染，富集有用的金属氧化物；在电炉冶炼中还是电阻发热体。全水分25.4%。</w:t>
                  </w:r>
                </w:p>
              </w:tc>
            </w:tr>
          </w:tbl>
          <w:p w14:paraId="6C334B05">
            <w:pPr>
              <w:spacing w:line="480" w:lineRule="exact"/>
              <w:ind w:firstLine="1320" w:firstLineChars="550"/>
              <w:rPr>
                <w:rFonts w:ascii="黑体" w:hAnsi="黑体" w:eastAsia="黑体"/>
                <w:bCs/>
                <w:color w:val="000000" w:themeColor="text1"/>
                <w:sz w:val="24"/>
                <w:highlight w:val="none"/>
                <w14:textFill>
                  <w14:solidFill>
                    <w14:schemeClr w14:val="tx1"/>
                  </w14:solidFill>
                </w14:textFill>
              </w:rPr>
            </w:pPr>
            <w:r>
              <w:rPr>
                <w:rFonts w:hint="eastAsia" w:ascii="黑体" w:hAnsi="黑体" w:eastAsia="黑体"/>
                <w:bCs/>
                <w:color w:val="000000" w:themeColor="text1"/>
                <w:sz w:val="24"/>
                <w:highlight w:val="none"/>
                <w14:textFill>
                  <w14:solidFill>
                    <w14:schemeClr w14:val="tx1"/>
                  </w14:solidFill>
                </w14:textFill>
              </w:rPr>
              <w:t>表2-1</w:t>
            </w:r>
            <w:r>
              <w:rPr>
                <w:rFonts w:hint="eastAsia" w:ascii="黑体" w:hAnsi="黑体" w:eastAsia="黑体"/>
                <w:bCs/>
                <w:color w:val="000000" w:themeColor="text1"/>
                <w:sz w:val="24"/>
                <w:highlight w:val="none"/>
                <w:lang w:val="en-US" w:eastAsia="zh-CN"/>
                <w14:textFill>
                  <w14:solidFill>
                    <w14:schemeClr w14:val="tx1"/>
                  </w14:solidFill>
                </w14:textFill>
              </w:rPr>
              <w:t>2</w:t>
            </w:r>
            <w:r>
              <w:rPr>
                <w:rFonts w:hint="eastAsia" w:ascii="黑体" w:hAnsi="黑体" w:eastAsia="黑体"/>
                <w:bCs/>
                <w:color w:val="000000" w:themeColor="text1"/>
                <w:sz w:val="24"/>
                <w:highlight w:val="none"/>
                <w14:textFill>
                  <w14:solidFill>
                    <w14:schemeClr w14:val="tx1"/>
                  </w14:solidFill>
                </w14:textFill>
              </w:rPr>
              <w:t xml:space="preserve">              煤矸石主要特征参数</w:t>
            </w:r>
          </w:p>
          <w:tbl>
            <w:tblPr>
              <w:tblStyle w:val="24"/>
              <w:tblW w:w="88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4"/>
              <w:gridCol w:w="850"/>
              <w:gridCol w:w="851"/>
              <w:gridCol w:w="850"/>
              <w:gridCol w:w="709"/>
              <w:gridCol w:w="709"/>
              <w:gridCol w:w="709"/>
              <w:gridCol w:w="850"/>
              <w:gridCol w:w="851"/>
              <w:gridCol w:w="708"/>
              <w:gridCol w:w="908"/>
            </w:tblGrid>
            <w:tr w14:paraId="3BE4E2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854" w:type="dxa"/>
                  <w:tcBorders>
                    <w:tl2br w:val="nil"/>
                    <w:tr2bl w:val="nil"/>
                  </w:tcBorders>
                  <w:tcMar>
                    <w:top w:w="0" w:type="dxa"/>
                    <w:left w:w="51" w:type="dxa"/>
                    <w:bottom w:w="0" w:type="dxa"/>
                    <w:right w:w="51" w:type="dxa"/>
                  </w:tcMar>
                  <w:vAlign w:val="center"/>
                </w:tcPr>
                <w:p w14:paraId="1F76599D">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原料</w:t>
                  </w:r>
                </w:p>
              </w:tc>
              <w:tc>
                <w:tcPr>
                  <w:tcW w:w="850" w:type="dxa"/>
                  <w:tcBorders>
                    <w:tl2br w:val="nil"/>
                    <w:tr2bl w:val="nil"/>
                  </w:tcBorders>
                  <w:tcMar>
                    <w:top w:w="0" w:type="dxa"/>
                    <w:left w:w="51" w:type="dxa"/>
                    <w:bottom w:w="0" w:type="dxa"/>
                    <w:right w:w="51" w:type="dxa"/>
                  </w:tcMar>
                  <w:vAlign w:val="center"/>
                </w:tcPr>
                <w:p w14:paraId="4494F956">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SiO</w:t>
                  </w:r>
                  <w:r>
                    <w:rPr>
                      <w:color w:val="000000" w:themeColor="text1"/>
                      <w:sz w:val="18"/>
                      <w:szCs w:val="18"/>
                      <w:highlight w:val="none"/>
                      <w:vertAlign w:val="subscript"/>
                      <w14:textFill>
                        <w14:solidFill>
                          <w14:schemeClr w14:val="tx1"/>
                        </w14:solidFill>
                      </w14:textFill>
                    </w:rPr>
                    <w:t>2</w:t>
                  </w:r>
                </w:p>
              </w:tc>
              <w:tc>
                <w:tcPr>
                  <w:tcW w:w="851" w:type="dxa"/>
                  <w:tcBorders>
                    <w:tl2br w:val="nil"/>
                    <w:tr2bl w:val="nil"/>
                  </w:tcBorders>
                  <w:tcMar>
                    <w:top w:w="0" w:type="dxa"/>
                    <w:left w:w="51" w:type="dxa"/>
                    <w:bottom w:w="0" w:type="dxa"/>
                    <w:right w:w="51" w:type="dxa"/>
                  </w:tcMar>
                  <w:vAlign w:val="center"/>
                </w:tcPr>
                <w:p w14:paraId="4FC8ABEC">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Al</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O</w:t>
                  </w:r>
                  <w:r>
                    <w:rPr>
                      <w:color w:val="000000" w:themeColor="text1"/>
                      <w:sz w:val="18"/>
                      <w:szCs w:val="18"/>
                      <w:highlight w:val="none"/>
                      <w:vertAlign w:val="subscript"/>
                      <w14:textFill>
                        <w14:solidFill>
                          <w14:schemeClr w14:val="tx1"/>
                        </w14:solidFill>
                      </w14:textFill>
                    </w:rPr>
                    <w:t>3</w:t>
                  </w:r>
                </w:p>
              </w:tc>
              <w:tc>
                <w:tcPr>
                  <w:tcW w:w="850" w:type="dxa"/>
                  <w:tcBorders>
                    <w:tl2br w:val="nil"/>
                    <w:tr2bl w:val="nil"/>
                  </w:tcBorders>
                  <w:tcMar>
                    <w:top w:w="0" w:type="dxa"/>
                    <w:left w:w="51" w:type="dxa"/>
                    <w:bottom w:w="0" w:type="dxa"/>
                    <w:right w:w="51" w:type="dxa"/>
                  </w:tcMar>
                  <w:vAlign w:val="center"/>
                </w:tcPr>
                <w:p w14:paraId="03F3B126">
                  <w:pPr>
                    <w:widowControl/>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TiO</w:t>
                  </w:r>
                  <w:r>
                    <w:rPr>
                      <w:color w:val="000000" w:themeColor="text1"/>
                      <w:sz w:val="18"/>
                      <w:szCs w:val="18"/>
                      <w:highlight w:val="none"/>
                      <w:vertAlign w:val="subscript"/>
                      <w14:textFill>
                        <w14:solidFill>
                          <w14:schemeClr w14:val="tx1"/>
                        </w14:solidFill>
                      </w14:textFill>
                    </w:rPr>
                    <w:t>2</w:t>
                  </w:r>
                </w:p>
              </w:tc>
              <w:tc>
                <w:tcPr>
                  <w:tcW w:w="709" w:type="dxa"/>
                  <w:tcBorders>
                    <w:tl2br w:val="nil"/>
                    <w:tr2bl w:val="nil"/>
                  </w:tcBorders>
                  <w:tcMar>
                    <w:top w:w="0" w:type="dxa"/>
                    <w:left w:w="51" w:type="dxa"/>
                    <w:bottom w:w="0" w:type="dxa"/>
                    <w:right w:w="51" w:type="dxa"/>
                  </w:tcMar>
                  <w:vAlign w:val="center"/>
                </w:tcPr>
                <w:p w14:paraId="4CF1E1B9">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CaO</w:t>
                  </w:r>
                </w:p>
              </w:tc>
              <w:tc>
                <w:tcPr>
                  <w:tcW w:w="709" w:type="dxa"/>
                  <w:tcBorders>
                    <w:tl2br w:val="nil"/>
                    <w:tr2bl w:val="nil"/>
                  </w:tcBorders>
                  <w:tcMar>
                    <w:top w:w="0" w:type="dxa"/>
                    <w:left w:w="51" w:type="dxa"/>
                    <w:bottom w:w="0" w:type="dxa"/>
                    <w:right w:w="51" w:type="dxa"/>
                  </w:tcMar>
                  <w:vAlign w:val="center"/>
                </w:tcPr>
                <w:p w14:paraId="2E287E55">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K</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O</w:t>
                  </w:r>
                </w:p>
              </w:tc>
              <w:tc>
                <w:tcPr>
                  <w:tcW w:w="709" w:type="dxa"/>
                  <w:tcBorders>
                    <w:tl2br w:val="nil"/>
                    <w:tr2bl w:val="nil"/>
                  </w:tcBorders>
                  <w:tcMar>
                    <w:top w:w="0" w:type="dxa"/>
                    <w:left w:w="51" w:type="dxa"/>
                    <w:bottom w:w="0" w:type="dxa"/>
                    <w:right w:w="51" w:type="dxa"/>
                  </w:tcMar>
                  <w:vAlign w:val="center"/>
                </w:tcPr>
                <w:p w14:paraId="34381DA3">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MgO</w:t>
                  </w:r>
                </w:p>
              </w:tc>
              <w:tc>
                <w:tcPr>
                  <w:tcW w:w="850" w:type="dxa"/>
                  <w:tcBorders>
                    <w:tl2br w:val="nil"/>
                    <w:tr2bl w:val="nil"/>
                  </w:tcBorders>
                  <w:tcMar>
                    <w:top w:w="0" w:type="dxa"/>
                    <w:left w:w="51" w:type="dxa"/>
                    <w:bottom w:w="0" w:type="dxa"/>
                    <w:right w:w="51" w:type="dxa"/>
                  </w:tcMar>
                  <w:vAlign w:val="center"/>
                </w:tcPr>
                <w:p w14:paraId="5E4155E8">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Na</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O</w:t>
                  </w:r>
                </w:p>
              </w:tc>
              <w:tc>
                <w:tcPr>
                  <w:tcW w:w="851" w:type="dxa"/>
                  <w:tcBorders>
                    <w:tl2br w:val="nil"/>
                    <w:tr2bl w:val="nil"/>
                  </w:tcBorders>
                  <w:tcMar>
                    <w:top w:w="0" w:type="dxa"/>
                    <w:left w:w="51" w:type="dxa"/>
                    <w:bottom w:w="0" w:type="dxa"/>
                    <w:right w:w="51" w:type="dxa"/>
                  </w:tcMar>
                  <w:vAlign w:val="center"/>
                </w:tcPr>
                <w:p w14:paraId="6F1F71C6">
                  <w:pPr>
                    <w:widowControl/>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Fe</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O</w:t>
                  </w:r>
                  <w:r>
                    <w:rPr>
                      <w:color w:val="000000" w:themeColor="text1"/>
                      <w:sz w:val="18"/>
                      <w:szCs w:val="18"/>
                      <w:highlight w:val="none"/>
                      <w:vertAlign w:val="subscript"/>
                      <w14:textFill>
                        <w14:solidFill>
                          <w14:schemeClr w14:val="tx1"/>
                        </w14:solidFill>
                      </w14:textFill>
                    </w:rPr>
                    <w:t>3</w:t>
                  </w:r>
                </w:p>
              </w:tc>
              <w:tc>
                <w:tcPr>
                  <w:tcW w:w="708" w:type="dxa"/>
                  <w:tcBorders>
                    <w:tl2br w:val="nil"/>
                    <w:tr2bl w:val="nil"/>
                  </w:tcBorders>
                  <w:tcMar>
                    <w:top w:w="0" w:type="dxa"/>
                    <w:left w:w="51" w:type="dxa"/>
                    <w:bottom w:w="0" w:type="dxa"/>
                    <w:right w:w="51" w:type="dxa"/>
                  </w:tcMar>
                  <w:vAlign w:val="center"/>
                </w:tcPr>
                <w:p w14:paraId="76BF87F8">
                  <w:pPr>
                    <w:widowControl/>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SO</w:t>
                  </w:r>
                  <w:r>
                    <w:rPr>
                      <w:color w:val="000000" w:themeColor="text1"/>
                      <w:sz w:val="18"/>
                      <w:szCs w:val="18"/>
                      <w:highlight w:val="none"/>
                      <w:vertAlign w:val="subscript"/>
                      <w14:textFill>
                        <w14:solidFill>
                          <w14:schemeClr w14:val="tx1"/>
                        </w14:solidFill>
                      </w14:textFill>
                    </w:rPr>
                    <w:t>3</w:t>
                  </w:r>
                </w:p>
              </w:tc>
              <w:tc>
                <w:tcPr>
                  <w:tcW w:w="908" w:type="dxa"/>
                  <w:tcBorders>
                    <w:tl2br w:val="nil"/>
                    <w:tr2bl w:val="nil"/>
                  </w:tcBorders>
                  <w:tcMar>
                    <w:top w:w="0" w:type="dxa"/>
                    <w:left w:w="51" w:type="dxa"/>
                    <w:bottom w:w="0" w:type="dxa"/>
                    <w:right w:w="51" w:type="dxa"/>
                  </w:tcMar>
                  <w:vAlign w:val="center"/>
                </w:tcPr>
                <w:p w14:paraId="57F7B153">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烧损量</w:t>
                  </w:r>
                </w:p>
              </w:tc>
            </w:tr>
            <w:tr w14:paraId="0B8849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tcMar>
                    <w:top w:w="0" w:type="dxa"/>
                    <w:left w:w="51" w:type="dxa"/>
                    <w:bottom w:w="0" w:type="dxa"/>
                    <w:right w:w="51" w:type="dxa"/>
                  </w:tcMar>
                  <w:vAlign w:val="center"/>
                </w:tcPr>
                <w:p w14:paraId="073E5BB9">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煤矸石</w:t>
                  </w:r>
                </w:p>
              </w:tc>
              <w:tc>
                <w:tcPr>
                  <w:tcW w:w="850" w:type="dxa"/>
                  <w:tcBorders>
                    <w:tl2br w:val="nil"/>
                    <w:tr2bl w:val="nil"/>
                  </w:tcBorders>
                  <w:tcMar>
                    <w:top w:w="0" w:type="dxa"/>
                    <w:left w:w="51" w:type="dxa"/>
                    <w:bottom w:w="0" w:type="dxa"/>
                    <w:right w:w="51" w:type="dxa"/>
                  </w:tcMar>
                  <w:vAlign w:val="center"/>
                </w:tcPr>
                <w:p w14:paraId="321402DF">
                  <w:pPr>
                    <w:widowControl/>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58.69</w:t>
                  </w:r>
                  <w:r>
                    <w:rPr>
                      <w:color w:val="000000" w:themeColor="text1"/>
                      <w:sz w:val="18"/>
                      <w:szCs w:val="18"/>
                      <w:highlight w:val="none"/>
                      <w14:textFill>
                        <w14:solidFill>
                          <w14:schemeClr w14:val="tx1"/>
                        </w14:solidFill>
                      </w14:textFill>
                    </w:rPr>
                    <w:t>%</w:t>
                  </w:r>
                </w:p>
              </w:tc>
              <w:tc>
                <w:tcPr>
                  <w:tcW w:w="851" w:type="dxa"/>
                  <w:tcBorders>
                    <w:tl2br w:val="nil"/>
                    <w:tr2bl w:val="nil"/>
                  </w:tcBorders>
                  <w:tcMar>
                    <w:top w:w="0" w:type="dxa"/>
                    <w:left w:w="51" w:type="dxa"/>
                    <w:bottom w:w="0" w:type="dxa"/>
                    <w:right w:w="51" w:type="dxa"/>
                  </w:tcMar>
                  <w:vAlign w:val="center"/>
                </w:tcPr>
                <w:p w14:paraId="6C3F56B1">
                  <w:pPr>
                    <w:widowControl/>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27.26</w:t>
                  </w:r>
                  <w:r>
                    <w:rPr>
                      <w:color w:val="000000" w:themeColor="text1"/>
                      <w:sz w:val="18"/>
                      <w:szCs w:val="18"/>
                      <w:highlight w:val="none"/>
                      <w14:textFill>
                        <w14:solidFill>
                          <w14:schemeClr w14:val="tx1"/>
                        </w14:solidFill>
                      </w14:textFill>
                    </w:rPr>
                    <w:t>%</w:t>
                  </w:r>
                </w:p>
              </w:tc>
              <w:tc>
                <w:tcPr>
                  <w:tcW w:w="850" w:type="dxa"/>
                  <w:tcBorders>
                    <w:tl2br w:val="nil"/>
                    <w:tr2bl w:val="nil"/>
                  </w:tcBorders>
                  <w:tcMar>
                    <w:top w:w="0" w:type="dxa"/>
                    <w:left w:w="51" w:type="dxa"/>
                    <w:bottom w:w="0" w:type="dxa"/>
                    <w:right w:w="51" w:type="dxa"/>
                  </w:tcMar>
                  <w:vAlign w:val="center"/>
                </w:tcPr>
                <w:p w14:paraId="48AF9BE8">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0.78%</w:t>
                  </w:r>
                </w:p>
              </w:tc>
              <w:tc>
                <w:tcPr>
                  <w:tcW w:w="709" w:type="dxa"/>
                  <w:tcBorders>
                    <w:tl2br w:val="nil"/>
                    <w:tr2bl w:val="nil"/>
                  </w:tcBorders>
                  <w:tcMar>
                    <w:top w:w="0" w:type="dxa"/>
                    <w:left w:w="51" w:type="dxa"/>
                    <w:bottom w:w="0" w:type="dxa"/>
                    <w:right w:w="51" w:type="dxa"/>
                  </w:tcMar>
                  <w:vAlign w:val="center"/>
                </w:tcPr>
                <w:p w14:paraId="138A0477">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1.60%</w:t>
                  </w:r>
                </w:p>
              </w:tc>
              <w:tc>
                <w:tcPr>
                  <w:tcW w:w="709" w:type="dxa"/>
                  <w:tcBorders>
                    <w:tl2br w:val="nil"/>
                    <w:tr2bl w:val="nil"/>
                  </w:tcBorders>
                  <w:tcMar>
                    <w:top w:w="0" w:type="dxa"/>
                    <w:left w:w="51" w:type="dxa"/>
                    <w:bottom w:w="0" w:type="dxa"/>
                    <w:right w:w="51" w:type="dxa"/>
                  </w:tcMar>
                  <w:vAlign w:val="center"/>
                </w:tcPr>
                <w:p w14:paraId="25C0CE4F">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1.37%</w:t>
                  </w:r>
                </w:p>
              </w:tc>
              <w:tc>
                <w:tcPr>
                  <w:tcW w:w="709" w:type="dxa"/>
                  <w:tcBorders>
                    <w:tl2br w:val="nil"/>
                    <w:tr2bl w:val="nil"/>
                  </w:tcBorders>
                  <w:tcMar>
                    <w:top w:w="0" w:type="dxa"/>
                    <w:left w:w="51" w:type="dxa"/>
                    <w:bottom w:w="0" w:type="dxa"/>
                    <w:right w:w="51" w:type="dxa"/>
                  </w:tcMar>
                  <w:vAlign w:val="center"/>
                </w:tcPr>
                <w:p w14:paraId="6BF81465">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1.02%</w:t>
                  </w:r>
                </w:p>
              </w:tc>
              <w:tc>
                <w:tcPr>
                  <w:tcW w:w="850" w:type="dxa"/>
                  <w:tcBorders>
                    <w:tl2br w:val="nil"/>
                    <w:tr2bl w:val="nil"/>
                  </w:tcBorders>
                  <w:tcMar>
                    <w:top w:w="0" w:type="dxa"/>
                    <w:left w:w="51" w:type="dxa"/>
                    <w:bottom w:w="0" w:type="dxa"/>
                    <w:right w:w="51" w:type="dxa"/>
                  </w:tcMar>
                  <w:vAlign w:val="center"/>
                </w:tcPr>
                <w:p w14:paraId="68356E06">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0.25%</w:t>
                  </w:r>
                </w:p>
              </w:tc>
              <w:tc>
                <w:tcPr>
                  <w:tcW w:w="851" w:type="dxa"/>
                  <w:tcBorders>
                    <w:tl2br w:val="nil"/>
                    <w:tr2bl w:val="nil"/>
                  </w:tcBorders>
                  <w:tcMar>
                    <w:top w:w="0" w:type="dxa"/>
                    <w:left w:w="51" w:type="dxa"/>
                    <w:bottom w:w="0" w:type="dxa"/>
                    <w:right w:w="51" w:type="dxa"/>
                  </w:tcMar>
                  <w:vAlign w:val="center"/>
                </w:tcPr>
                <w:p w14:paraId="512BF92B">
                  <w:pPr>
                    <w:widowControl/>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4.66</w:t>
                  </w:r>
                  <w:r>
                    <w:rPr>
                      <w:rFonts w:hint="eastAsia"/>
                      <w:color w:val="000000" w:themeColor="text1"/>
                      <w:sz w:val="18"/>
                      <w:szCs w:val="18"/>
                      <w:highlight w:val="none"/>
                      <w14:textFill>
                        <w14:solidFill>
                          <w14:schemeClr w14:val="tx1"/>
                        </w14:solidFill>
                      </w14:textFill>
                    </w:rPr>
                    <w:t>4</w:t>
                  </w:r>
                  <w:r>
                    <w:rPr>
                      <w:color w:val="000000" w:themeColor="text1"/>
                      <w:sz w:val="18"/>
                      <w:szCs w:val="18"/>
                      <w:highlight w:val="none"/>
                      <w14:textFill>
                        <w14:solidFill>
                          <w14:schemeClr w14:val="tx1"/>
                        </w14:solidFill>
                      </w14:textFill>
                    </w:rPr>
                    <w:t>%</w:t>
                  </w:r>
                </w:p>
              </w:tc>
              <w:tc>
                <w:tcPr>
                  <w:tcW w:w="708" w:type="dxa"/>
                  <w:tcBorders>
                    <w:tl2br w:val="nil"/>
                    <w:tr2bl w:val="nil"/>
                  </w:tcBorders>
                  <w:tcMar>
                    <w:top w:w="0" w:type="dxa"/>
                    <w:left w:w="51" w:type="dxa"/>
                    <w:bottom w:w="0" w:type="dxa"/>
                    <w:right w:w="51" w:type="dxa"/>
                  </w:tcMar>
                  <w:vAlign w:val="center"/>
                </w:tcPr>
                <w:p w14:paraId="36CE75D3">
                  <w:pPr>
                    <w:widowControl/>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0.15</w:t>
                  </w:r>
                  <w:r>
                    <w:rPr>
                      <w:color w:val="000000" w:themeColor="text1"/>
                      <w:sz w:val="18"/>
                      <w:szCs w:val="18"/>
                      <w:highlight w:val="none"/>
                      <w14:textFill>
                        <w14:solidFill>
                          <w14:schemeClr w14:val="tx1"/>
                        </w14:solidFill>
                      </w14:textFill>
                    </w:rPr>
                    <w:t>%</w:t>
                  </w:r>
                </w:p>
              </w:tc>
              <w:tc>
                <w:tcPr>
                  <w:tcW w:w="908" w:type="dxa"/>
                  <w:tcBorders>
                    <w:tl2br w:val="nil"/>
                    <w:tr2bl w:val="nil"/>
                  </w:tcBorders>
                  <w:tcMar>
                    <w:top w:w="0" w:type="dxa"/>
                    <w:left w:w="51" w:type="dxa"/>
                    <w:bottom w:w="0" w:type="dxa"/>
                    <w:right w:w="51" w:type="dxa"/>
                  </w:tcMar>
                  <w:vAlign w:val="center"/>
                </w:tcPr>
                <w:p w14:paraId="1A6737E1">
                  <w:pPr>
                    <w:widowControl/>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4.216</w:t>
                  </w:r>
                  <w:r>
                    <w:rPr>
                      <w:color w:val="000000" w:themeColor="text1"/>
                      <w:sz w:val="18"/>
                      <w:szCs w:val="18"/>
                      <w:highlight w:val="none"/>
                      <w14:textFill>
                        <w14:solidFill>
                          <w14:schemeClr w14:val="tx1"/>
                        </w14:solidFill>
                      </w14:textFill>
                    </w:rPr>
                    <w:t>%</w:t>
                  </w:r>
                </w:p>
              </w:tc>
            </w:tr>
          </w:tbl>
          <w:p w14:paraId="755EEE7F">
            <w:pPr>
              <w:pStyle w:val="22"/>
              <w:spacing w:after="0" w:line="480" w:lineRule="exact"/>
              <w:ind w:firstLine="1320" w:firstLineChars="550"/>
              <w:rPr>
                <w:rFonts w:ascii="黑体" w:hAnsi="黑体" w:eastAsia="黑体"/>
                <w:bCs/>
                <w:color w:val="000000" w:themeColor="text1"/>
                <w:sz w:val="24"/>
                <w:highlight w:val="none"/>
                <w14:textFill>
                  <w14:solidFill>
                    <w14:schemeClr w14:val="tx1"/>
                  </w14:solidFill>
                </w14:textFill>
              </w:rPr>
            </w:pPr>
            <w:r>
              <w:rPr>
                <w:rFonts w:hint="eastAsia" w:ascii="黑体" w:hAnsi="黑体" w:eastAsia="黑体"/>
                <w:bCs/>
                <w:color w:val="000000" w:themeColor="text1"/>
                <w:sz w:val="24"/>
                <w:highlight w:val="none"/>
                <w14:textFill>
                  <w14:solidFill>
                    <w14:schemeClr w14:val="tx1"/>
                  </w14:solidFill>
                </w14:textFill>
              </w:rPr>
              <w:t>表2-1</w:t>
            </w:r>
            <w:r>
              <w:rPr>
                <w:rFonts w:hint="eastAsia" w:ascii="黑体" w:hAnsi="黑体" w:eastAsia="黑体"/>
                <w:bCs/>
                <w:color w:val="000000" w:themeColor="text1"/>
                <w:sz w:val="24"/>
                <w:highlight w:val="none"/>
                <w:lang w:val="en-US" w:eastAsia="zh-CN"/>
                <w14:textFill>
                  <w14:solidFill>
                    <w14:schemeClr w14:val="tx1"/>
                  </w14:solidFill>
                </w14:textFill>
              </w:rPr>
              <w:t>3</w:t>
            </w:r>
            <w:r>
              <w:rPr>
                <w:rFonts w:hint="eastAsia" w:ascii="黑体" w:hAnsi="黑体" w:eastAsia="黑体"/>
                <w:bCs/>
                <w:color w:val="000000" w:themeColor="text1"/>
                <w:sz w:val="24"/>
                <w:highlight w:val="none"/>
                <w14:textFill>
                  <w14:solidFill>
                    <w14:schemeClr w14:val="tx1"/>
                  </w14:solidFill>
                </w14:textFill>
              </w:rPr>
              <w:t xml:space="preserve">             页岩的化学组成(单位：%)</w:t>
            </w:r>
          </w:p>
          <w:tbl>
            <w:tblPr>
              <w:tblStyle w:val="2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8"/>
              <w:gridCol w:w="786"/>
              <w:gridCol w:w="851"/>
              <w:gridCol w:w="850"/>
              <w:gridCol w:w="851"/>
              <w:gridCol w:w="709"/>
              <w:gridCol w:w="850"/>
              <w:gridCol w:w="709"/>
              <w:gridCol w:w="709"/>
              <w:gridCol w:w="708"/>
              <w:gridCol w:w="858"/>
            </w:tblGrid>
            <w:tr w14:paraId="137E26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68" w:type="dxa"/>
                  <w:vAlign w:val="center"/>
                </w:tcPr>
                <w:p w14:paraId="612DEBA2">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项目</w:t>
                  </w:r>
                </w:p>
              </w:tc>
              <w:tc>
                <w:tcPr>
                  <w:tcW w:w="786" w:type="dxa"/>
                  <w:vAlign w:val="center"/>
                </w:tcPr>
                <w:p w14:paraId="6FFAB1D7">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SiO</w:t>
                  </w:r>
                  <w:r>
                    <w:rPr>
                      <w:color w:val="000000" w:themeColor="text1"/>
                      <w:sz w:val="18"/>
                      <w:szCs w:val="18"/>
                      <w:highlight w:val="none"/>
                      <w:vertAlign w:val="subscript"/>
                      <w14:textFill>
                        <w14:solidFill>
                          <w14:schemeClr w14:val="tx1"/>
                        </w14:solidFill>
                      </w14:textFill>
                    </w:rPr>
                    <w:t>2</w:t>
                  </w:r>
                </w:p>
              </w:tc>
              <w:tc>
                <w:tcPr>
                  <w:tcW w:w="851" w:type="dxa"/>
                  <w:vAlign w:val="center"/>
                </w:tcPr>
                <w:p w14:paraId="71610151">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Al</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O</w:t>
                  </w:r>
                  <w:r>
                    <w:rPr>
                      <w:color w:val="000000" w:themeColor="text1"/>
                      <w:sz w:val="18"/>
                      <w:szCs w:val="18"/>
                      <w:highlight w:val="none"/>
                      <w:vertAlign w:val="subscript"/>
                      <w14:textFill>
                        <w14:solidFill>
                          <w14:schemeClr w14:val="tx1"/>
                        </w14:solidFill>
                      </w14:textFill>
                    </w:rPr>
                    <w:t>3</w:t>
                  </w:r>
                </w:p>
              </w:tc>
              <w:tc>
                <w:tcPr>
                  <w:tcW w:w="850" w:type="dxa"/>
                  <w:vAlign w:val="center"/>
                </w:tcPr>
                <w:p w14:paraId="7EDD9F09">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Fe</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O</w:t>
                  </w:r>
                  <w:r>
                    <w:rPr>
                      <w:color w:val="000000" w:themeColor="text1"/>
                      <w:sz w:val="18"/>
                      <w:szCs w:val="18"/>
                      <w:highlight w:val="none"/>
                      <w:vertAlign w:val="subscript"/>
                      <w14:textFill>
                        <w14:solidFill>
                          <w14:schemeClr w14:val="tx1"/>
                        </w14:solidFill>
                      </w14:textFill>
                    </w:rPr>
                    <w:t>3</w:t>
                  </w:r>
                </w:p>
              </w:tc>
              <w:tc>
                <w:tcPr>
                  <w:tcW w:w="851" w:type="dxa"/>
                  <w:vAlign w:val="center"/>
                </w:tcPr>
                <w:p w14:paraId="6C9E52D6">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Ti</w:t>
                  </w:r>
                  <w:r>
                    <w:rPr>
                      <w:color w:val="000000" w:themeColor="text1"/>
                      <w:sz w:val="18"/>
                      <w:szCs w:val="18"/>
                      <w:highlight w:val="none"/>
                      <w14:textFill>
                        <w14:solidFill>
                          <w14:schemeClr w14:val="tx1"/>
                        </w14:solidFill>
                      </w14:textFill>
                    </w:rPr>
                    <w:t>O</w:t>
                  </w:r>
                  <w:r>
                    <w:rPr>
                      <w:rFonts w:hint="eastAsia"/>
                      <w:color w:val="000000" w:themeColor="text1"/>
                      <w:sz w:val="18"/>
                      <w:szCs w:val="18"/>
                      <w:highlight w:val="none"/>
                      <w:vertAlign w:val="subscript"/>
                      <w14:textFill>
                        <w14:solidFill>
                          <w14:schemeClr w14:val="tx1"/>
                        </w14:solidFill>
                      </w14:textFill>
                    </w:rPr>
                    <w:t>2</w:t>
                  </w:r>
                </w:p>
              </w:tc>
              <w:tc>
                <w:tcPr>
                  <w:tcW w:w="709" w:type="dxa"/>
                  <w:vAlign w:val="center"/>
                </w:tcPr>
                <w:p w14:paraId="300C6E42">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CaO</w:t>
                  </w:r>
                </w:p>
              </w:tc>
              <w:tc>
                <w:tcPr>
                  <w:tcW w:w="850" w:type="dxa"/>
                  <w:vAlign w:val="center"/>
                </w:tcPr>
                <w:p w14:paraId="74DC72C7">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MgO</w:t>
                  </w:r>
                </w:p>
              </w:tc>
              <w:tc>
                <w:tcPr>
                  <w:tcW w:w="709" w:type="dxa"/>
                  <w:vAlign w:val="center"/>
                </w:tcPr>
                <w:p w14:paraId="4C38A06E">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F</w:t>
                  </w:r>
                </w:p>
              </w:tc>
              <w:tc>
                <w:tcPr>
                  <w:tcW w:w="709" w:type="dxa"/>
                  <w:vAlign w:val="center"/>
                </w:tcPr>
                <w:p w14:paraId="0EC2D8FE">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K</w:t>
                  </w:r>
                  <w:r>
                    <w:rPr>
                      <w:rFonts w:hint="eastAsia"/>
                      <w:color w:val="000000" w:themeColor="text1"/>
                      <w:sz w:val="18"/>
                      <w:szCs w:val="18"/>
                      <w:highlight w:val="none"/>
                      <w:vertAlign w:val="subscript"/>
                      <w14:textFill>
                        <w14:solidFill>
                          <w14:schemeClr w14:val="tx1"/>
                        </w14:solidFill>
                      </w14:textFill>
                    </w:rPr>
                    <w:t>2</w:t>
                  </w:r>
                  <w:r>
                    <w:rPr>
                      <w:rFonts w:hint="eastAsia"/>
                      <w:color w:val="000000" w:themeColor="text1"/>
                      <w:sz w:val="18"/>
                      <w:szCs w:val="18"/>
                      <w:highlight w:val="none"/>
                      <w14:textFill>
                        <w14:solidFill>
                          <w14:schemeClr w14:val="tx1"/>
                        </w14:solidFill>
                      </w14:textFill>
                    </w:rPr>
                    <w:t>O</w:t>
                  </w:r>
                </w:p>
              </w:tc>
              <w:tc>
                <w:tcPr>
                  <w:tcW w:w="708" w:type="dxa"/>
                  <w:vAlign w:val="center"/>
                </w:tcPr>
                <w:p w14:paraId="68000C32">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Na</w:t>
                  </w:r>
                  <w:r>
                    <w:rPr>
                      <w:rFonts w:hint="eastAsia"/>
                      <w:color w:val="000000" w:themeColor="text1"/>
                      <w:sz w:val="18"/>
                      <w:szCs w:val="18"/>
                      <w:highlight w:val="none"/>
                      <w:vertAlign w:val="subscript"/>
                      <w14:textFill>
                        <w14:solidFill>
                          <w14:schemeClr w14:val="tx1"/>
                        </w14:solidFill>
                      </w14:textFill>
                    </w:rPr>
                    <w:t>2</w:t>
                  </w:r>
                  <w:r>
                    <w:rPr>
                      <w:rFonts w:hint="eastAsia"/>
                      <w:color w:val="000000" w:themeColor="text1"/>
                      <w:sz w:val="18"/>
                      <w:szCs w:val="18"/>
                      <w:highlight w:val="none"/>
                      <w14:textFill>
                        <w14:solidFill>
                          <w14:schemeClr w14:val="tx1"/>
                        </w14:solidFill>
                      </w14:textFill>
                    </w:rPr>
                    <w:t>O</w:t>
                  </w:r>
                </w:p>
              </w:tc>
              <w:tc>
                <w:tcPr>
                  <w:tcW w:w="858" w:type="dxa"/>
                  <w:vAlign w:val="center"/>
                </w:tcPr>
                <w:p w14:paraId="4F7ECCFF">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其他</w:t>
                  </w:r>
                </w:p>
              </w:tc>
            </w:tr>
            <w:tr w14:paraId="5D97B6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68" w:type="dxa"/>
                  <w:vAlign w:val="center"/>
                </w:tcPr>
                <w:p w14:paraId="33467798">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页岩</w:t>
                  </w:r>
                </w:p>
              </w:tc>
              <w:tc>
                <w:tcPr>
                  <w:tcW w:w="786" w:type="dxa"/>
                  <w:vAlign w:val="center"/>
                </w:tcPr>
                <w:p w14:paraId="7DCBACCF">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70.98</w:t>
                  </w:r>
                </w:p>
              </w:tc>
              <w:tc>
                <w:tcPr>
                  <w:tcW w:w="851" w:type="dxa"/>
                  <w:vAlign w:val="center"/>
                </w:tcPr>
                <w:p w14:paraId="6D08D38B">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15.07</w:t>
                  </w:r>
                </w:p>
              </w:tc>
              <w:tc>
                <w:tcPr>
                  <w:tcW w:w="850" w:type="dxa"/>
                  <w:vAlign w:val="center"/>
                </w:tcPr>
                <w:p w14:paraId="0BC89D85">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5.26</w:t>
                  </w:r>
                </w:p>
              </w:tc>
              <w:tc>
                <w:tcPr>
                  <w:tcW w:w="851" w:type="dxa"/>
                  <w:vAlign w:val="center"/>
                </w:tcPr>
                <w:p w14:paraId="423E8B82">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0.77</w:t>
                  </w:r>
                </w:p>
              </w:tc>
              <w:tc>
                <w:tcPr>
                  <w:tcW w:w="709" w:type="dxa"/>
                  <w:vAlign w:val="center"/>
                </w:tcPr>
                <w:p w14:paraId="1E71D00D">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1.69</w:t>
                  </w:r>
                </w:p>
              </w:tc>
              <w:tc>
                <w:tcPr>
                  <w:tcW w:w="850" w:type="dxa"/>
                  <w:vAlign w:val="center"/>
                </w:tcPr>
                <w:p w14:paraId="59D12BD3">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1.70</w:t>
                  </w:r>
                </w:p>
              </w:tc>
              <w:tc>
                <w:tcPr>
                  <w:tcW w:w="709" w:type="dxa"/>
                  <w:vAlign w:val="center"/>
                </w:tcPr>
                <w:p w14:paraId="6E0DC20B">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0.002</w:t>
                  </w:r>
                </w:p>
              </w:tc>
              <w:tc>
                <w:tcPr>
                  <w:tcW w:w="1417" w:type="dxa"/>
                  <w:gridSpan w:val="2"/>
                  <w:vAlign w:val="center"/>
                </w:tcPr>
                <w:p w14:paraId="4CF53803">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4.35</w:t>
                  </w:r>
                </w:p>
              </w:tc>
              <w:tc>
                <w:tcPr>
                  <w:tcW w:w="858" w:type="dxa"/>
                  <w:vAlign w:val="center"/>
                </w:tcPr>
                <w:p w14:paraId="6BF3EE7C">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0.178</w:t>
                  </w:r>
                </w:p>
              </w:tc>
            </w:tr>
          </w:tbl>
          <w:p w14:paraId="59957A99">
            <w:pPr>
              <w:pStyle w:val="22"/>
              <w:spacing w:after="0" w:line="480" w:lineRule="exact"/>
              <w:ind w:firstLine="1200" w:firstLineChars="500"/>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2-1</w:t>
            </w:r>
            <w:r>
              <w:rPr>
                <w:rFonts w:hint="eastAsia" w:ascii="黑体" w:hAnsi="黑体" w:eastAsia="黑体"/>
                <w:bCs/>
                <w:color w:val="000000" w:themeColor="text1"/>
                <w:sz w:val="24"/>
                <w:highlight w:val="none"/>
                <w:lang w:val="en-US" w:eastAsia="zh-CN"/>
                <w14:textFill>
                  <w14:solidFill>
                    <w14:schemeClr w14:val="tx1"/>
                  </w14:solidFill>
                </w14:textFill>
              </w:rPr>
              <w:t>4</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工业</w:t>
            </w:r>
            <w:r>
              <w:rPr>
                <w:rFonts w:ascii="黑体" w:hAnsi="黑体" w:eastAsia="黑体"/>
                <w:bCs/>
                <w:color w:val="000000" w:themeColor="text1"/>
                <w:sz w:val="24"/>
                <w:highlight w:val="none"/>
                <w14:textFill>
                  <w14:solidFill>
                    <w14:schemeClr w14:val="tx1"/>
                  </w14:solidFill>
                </w14:textFill>
              </w:rPr>
              <w:t>污泥成分及含量</w:t>
            </w:r>
          </w:p>
          <w:tbl>
            <w:tblPr>
              <w:tblStyle w:val="24"/>
              <w:tblW w:w="868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9"/>
              <w:gridCol w:w="755"/>
              <w:gridCol w:w="894"/>
              <w:gridCol w:w="1317"/>
              <w:gridCol w:w="1817"/>
              <w:gridCol w:w="2577"/>
              <w:gridCol w:w="683"/>
            </w:tblGrid>
            <w:tr w14:paraId="60DCD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639" w:type="dxa"/>
                  <w:noWrap/>
                  <w:vAlign w:val="center"/>
                </w:tcPr>
                <w:p w14:paraId="0E267A6D">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bCs/>
                      <w:color w:val="000000" w:themeColor="text1"/>
                      <w:spacing w:val="5"/>
                      <w:sz w:val="18"/>
                      <w:szCs w:val="18"/>
                      <w:highlight w:val="none"/>
                      <w14:textFill>
                        <w14:solidFill>
                          <w14:schemeClr w14:val="tx1"/>
                        </w14:solidFill>
                      </w14:textFill>
                    </w:rPr>
                    <w:t>序号</w:t>
                  </w:r>
                </w:p>
              </w:tc>
              <w:tc>
                <w:tcPr>
                  <w:tcW w:w="1649" w:type="dxa"/>
                  <w:gridSpan w:val="2"/>
                  <w:noWrap/>
                  <w:vAlign w:val="center"/>
                </w:tcPr>
                <w:p w14:paraId="0D2045AC">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bCs/>
                      <w:color w:val="000000" w:themeColor="text1"/>
                      <w:spacing w:val="5"/>
                      <w:sz w:val="18"/>
                      <w:szCs w:val="18"/>
                      <w:highlight w:val="none"/>
                      <w14:textFill>
                        <w14:solidFill>
                          <w14:schemeClr w14:val="tx1"/>
                        </w14:solidFill>
                      </w14:textFill>
                    </w:rPr>
                    <w:t>控制项目</w:t>
                  </w:r>
                </w:p>
              </w:tc>
              <w:tc>
                <w:tcPr>
                  <w:tcW w:w="1317" w:type="dxa"/>
                  <w:noWrap/>
                  <w:vAlign w:val="center"/>
                </w:tcPr>
                <w:p w14:paraId="05AEE36C">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bCs/>
                      <w:color w:val="000000" w:themeColor="text1"/>
                      <w:spacing w:val="5"/>
                      <w:sz w:val="18"/>
                      <w:szCs w:val="18"/>
                      <w:highlight w:val="none"/>
                      <w14:textFill>
                        <w14:solidFill>
                          <w14:schemeClr w14:val="tx1"/>
                        </w14:solidFill>
                      </w14:textFill>
                    </w:rPr>
                    <w:t>单位</w:t>
                  </w:r>
                </w:p>
              </w:tc>
              <w:tc>
                <w:tcPr>
                  <w:tcW w:w="1817" w:type="dxa"/>
                  <w:noWrap/>
                  <w:vAlign w:val="center"/>
                </w:tcPr>
                <w:p w14:paraId="1F10FD27">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唐山三友远达纤维有限公司厂区污水处理站污泥监测结果</w:t>
                  </w:r>
                </w:p>
              </w:tc>
              <w:tc>
                <w:tcPr>
                  <w:tcW w:w="2577" w:type="dxa"/>
                  <w:noWrap/>
                  <w:vAlign w:val="center"/>
                </w:tcPr>
                <w:p w14:paraId="474B44D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《水泥窑协同处置固体废物技术规范》（GB30760-2014）入窑生料中重金属含量参考限值</w:t>
                  </w:r>
                </w:p>
              </w:tc>
              <w:tc>
                <w:tcPr>
                  <w:tcW w:w="683" w:type="dxa"/>
                  <w:noWrap/>
                  <w:vAlign w:val="center"/>
                </w:tcPr>
                <w:p w14:paraId="6FC3365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符合性</w:t>
                  </w:r>
                </w:p>
              </w:tc>
            </w:tr>
            <w:tr w14:paraId="5EBDD4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441FBA0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w:t>
                  </w:r>
                </w:p>
              </w:tc>
              <w:tc>
                <w:tcPr>
                  <w:tcW w:w="755" w:type="dxa"/>
                  <w:vMerge w:val="restart"/>
                  <w:noWrap/>
                  <w:vAlign w:val="center"/>
                </w:tcPr>
                <w:p w14:paraId="5258B0B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理化</w:t>
                  </w:r>
                </w:p>
                <w:p w14:paraId="1CB3688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指标</w:t>
                  </w:r>
                </w:p>
              </w:tc>
              <w:tc>
                <w:tcPr>
                  <w:tcW w:w="894" w:type="dxa"/>
                  <w:noWrap/>
                  <w:vAlign w:val="center"/>
                </w:tcPr>
                <w:p w14:paraId="1BFE084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pH</w:t>
                  </w:r>
                </w:p>
              </w:tc>
              <w:tc>
                <w:tcPr>
                  <w:tcW w:w="1317" w:type="dxa"/>
                  <w:noWrap/>
                  <w:vAlign w:val="center"/>
                </w:tcPr>
                <w:p w14:paraId="6E9C198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无量纲</w:t>
                  </w:r>
                </w:p>
              </w:tc>
              <w:tc>
                <w:tcPr>
                  <w:tcW w:w="1817" w:type="dxa"/>
                  <w:noWrap/>
                  <w:vAlign w:val="center"/>
                </w:tcPr>
                <w:p w14:paraId="38A7B29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6.87</w:t>
                  </w:r>
                </w:p>
              </w:tc>
              <w:tc>
                <w:tcPr>
                  <w:tcW w:w="2577" w:type="dxa"/>
                  <w:noWrap/>
                  <w:vAlign w:val="center"/>
                </w:tcPr>
                <w:p w14:paraId="77440F6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restart"/>
                  <w:noWrap/>
                  <w:vAlign w:val="center"/>
                </w:tcPr>
                <w:p w14:paraId="5DAD893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符合</w:t>
                  </w:r>
                </w:p>
              </w:tc>
            </w:tr>
            <w:tr w14:paraId="481FF3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0FC5893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w:t>
                  </w:r>
                </w:p>
              </w:tc>
              <w:tc>
                <w:tcPr>
                  <w:tcW w:w="755" w:type="dxa"/>
                  <w:vMerge w:val="continue"/>
                  <w:noWrap/>
                  <w:vAlign w:val="center"/>
                </w:tcPr>
                <w:p w14:paraId="1EC6CD9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c>
                <w:tcPr>
                  <w:tcW w:w="894" w:type="dxa"/>
                  <w:noWrap/>
                  <w:vAlign w:val="center"/>
                </w:tcPr>
                <w:p w14:paraId="2A037E7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含水率</w:t>
                  </w:r>
                </w:p>
              </w:tc>
              <w:tc>
                <w:tcPr>
                  <w:tcW w:w="1317" w:type="dxa"/>
                  <w:noWrap/>
                  <w:vAlign w:val="center"/>
                </w:tcPr>
                <w:p w14:paraId="298621E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1817" w:type="dxa"/>
                  <w:noWrap/>
                  <w:vAlign w:val="center"/>
                </w:tcPr>
                <w:p w14:paraId="0D4046F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62.3</w:t>
                  </w:r>
                </w:p>
              </w:tc>
              <w:tc>
                <w:tcPr>
                  <w:tcW w:w="2577" w:type="dxa"/>
                  <w:noWrap/>
                  <w:vAlign w:val="center"/>
                </w:tcPr>
                <w:p w14:paraId="18A52AD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346CC45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70F1CE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0155E83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3</w:t>
                  </w:r>
                </w:p>
              </w:tc>
              <w:tc>
                <w:tcPr>
                  <w:tcW w:w="1649" w:type="dxa"/>
                  <w:gridSpan w:val="2"/>
                  <w:noWrap/>
                  <w:vAlign w:val="center"/>
                </w:tcPr>
                <w:p w14:paraId="0DD2506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烧失量</w:t>
                  </w:r>
                  <w:r>
                    <w:rPr>
                      <w:rFonts w:hint="eastAsia"/>
                      <w:color w:val="000000" w:themeColor="text1"/>
                      <w:spacing w:val="5"/>
                      <w:sz w:val="18"/>
                      <w:szCs w:val="18"/>
                      <w:highlight w:val="none"/>
                      <w14:textFill>
                        <w14:solidFill>
                          <w14:schemeClr w14:val="tx1"/>
                        </w14:solidFill>
                      </w14:textFill>
                    </w:rPr>
                    <w:t>（干污泥）</w:t>
                  </w:r>
                </w:p>
              </w:tc>
              <w:tc>
                <w:tcPr>
                  <w:tcW w:w="1317" w:type="dxa"/>
                  <w:noWrap/>
                  <w:vAlign w:val="center"/>
                </w:tcPr>
                <w:p w14:paraId="2BCCDCC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1817" w:type="dxa"/>
                  <w:noWrap/>
                  <w:vAlign w:val="center"/>
                </w:tcPr>
                <w:p w14:paraId="1BD956B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9.928</w:t>
                  </w:r>
                </w:p>
              </w:tc>
              <w:tc>
                <w:tcPr>
                  <w:tcW w:w="2577" w:type="dxa"/>
                  <w:noWrap/>
                  <w:vAlign w:val="center"/>
                </w:tcPr>
                <w:p w14:paraId="68454EA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34CA8E7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508B7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0122BEF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w:t>
                  </w:r>
                </w:p>
              </w:tc>
              <w:tc>
                <w:tcPr>
                  <w:tcW w:w="1649" w:type="dxa"/>
                  <w:gridSpan w:val="2"/>
                  <w:noWrap/>
                  <w:vAlign w:val="center"/>
                </w:tcPr>
                <w:p w14:paraId="2B59603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镉</w:t>
                  </w:r>
                </w:p>
              </w:tc>
              <w:tc>
                <w:tcPr>
                  <w:tcW w:w="1317" w:type="dxa"/>
                  <w:noWrap/>
                  <w:vAlign w:val="center"/>
                </w:tcPr>
                <w:p w14:paraId="67BE599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7EE5137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0.3</w:t>
                  </w:r>
                </w:p>
              </w:tc>
              <w:tc>
                <w:tcPr>
                  <w:tcW w:w="2577" w:type="dxa"/>
                  <w:noWrap/>
                  <w:vAlign w:val="center"/>
                </w:tcPr>
                <w:p w14:paraId="3C488A2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p>
              </w:tc>
              <w:tc>
                <w:tcPr>
                  <w:tcW w:w="683" w:type="dxa"/>
                  <w:vMerge w:val="continue"/>
                  <w:noWrap/>
                  <w:vAlign w:val="center"/>
                </w:tcPr>
                <w:p w14:paraId="6AF904D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6B021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0923F09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5</w:t>
                  </w:r>
                </w:p>
              </w:tc>
              <w:tc>
                <w:tcPr>
                  <w:tcW w:w="1649" w:type="dxa"/>
                  <w:gridSpan w:val="2"/>
                  <w:noWrap/>
                  <w:vAlign w:val="center"/>
                </w:tcPr>
                <w:p w14:paraId="23A0D75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汞</w:t>
                  </w:r>
                </w:p>
              </w:tc>
              <w:tc>
                <w:tcPr>
                  <w:tcW w:w="1317" w:type="dxa"/>
                  <w:noWrap/>
                  <w:vAlign w:val="center"/>
                </w:tcPr>
                <w:p w14:paraId="2180EA6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3467A4B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0.096</w:t>
                  </w:r>
                </w:p>
              </w:tc>
              <w:tc>
                <w:tcPr>
                  <w:tcW w:w="2577" w:type="dxa"/>
                  <w:noWrap/>
                  <w:vAlign w:val="center"/>
                </w:tcPr>
                <w:p w14:paraId="78AA1EF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594B9A2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6170E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525495E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w:t>
                  </w:r>
                </w:p>
              </w:tc>
              <w:tc>
                <w:tcPr>
                  <w:tcW w:w="1649" w:type="dxa"/>
                  <w:gridSpan w:val="2"/>
                  <w:noWrap/>
                  <w:vAlign w:val="center"/>
                </w:tcPr>
                <w:p w14:paraId="2F15103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铅</w:t>
                  </w:r>
                </w:p>
              </w:tc>
              <w:tc>
                <w:tcPr>
                  <w:tcW w:w="1317" w:type="dxa"/>
                  <w:noWrap/>
                  <w:vAlign w:val="center"/>
                </w:tcPr>
                <w:p w14:paraId="750B1CD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5423E24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6.8</w:t>
                  </w:r>
                </w:p>
              </w:tc>
              <w:tc>
                <w:tcPr>
                  <w:tcW w:w="2577" w:type="dxa"/>
                  <w:noWrap/>
                  <w:vAlign w:val="center"/>
                </w:tcPr>
                <w:p w14:paraId="19F2109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67</w:t>
                  </w:r>
                </w:p>
              </w:tc>
              <w:tc>
                <w:tcPr>
                  <w:tcW w:w="683" w:type="dxa"/>
                  <w:vMerge w:val="continue"/>
                  <w:noWrap/>
                  <w:vAlign w:val="center"/>
                </w:tcPr>
                <w:p w14:paraId="6DDBAC6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5FB51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5A9D7CC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7</w:t>
                  </w:r>
                </w:p>
              </w:tc>
              <w:tc>
                <w:tcPr>
                  <w:tcW w:w="1649" w:type="dxa"/>
                  <w:gridSpan w:val="2"/>
                  <w:noWrap/>
                  <w:vAlign w:val="center"/>
                </w:tcPr>
                <w:p w14:paraId="5D11D61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铬</w:t>
                  </w:r>
                </w:p>
              </w:tc>
              <w:tc>
                <w:tcPr>
                  <w:tcW w:w="1317" w:type="dxa"/>
                  <w:noWrap/>
                  <w:vAlign w:val="center"/>
                </w:tcPr>
                <w:p w14:paraId="051E270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2837199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ND</w:t>
                  </w:r>
                </w:p>
              </w:tc>
              <w:tc>
                <w:tcPr>
                  <w:tcW w:w="2577" w:type="dxa"/>
                  <w:noWrap/>
                  <w:vAlign w:val="center"/>
                </w:tcPr>
                <w:p w14:paraId="54933FC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98</w:t>
                  </w:r>
                </w:p>
              </w:tc>
              <w:tc>
                <w:tcPr>
                  <w:tcW w:w="683" w:type="dxa"/>
                  <w:vMerge w:val="continue"/>
                  <w:noWrap/>
                  <w:vAlign w:val="center"/>
                </w:tcPr>
                <w:p w14:paraId="3A213AF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89812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4DC2788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8</w:t>
                  </w:r>
                </w:p>
              </w:tc>
              <w:tc>
                <w:tcPr>
                  <w:tcW w:w="1649" w:type="dxa"/>
                  <w:gridSpan w:val="2"/>
                  <w:noWrap/>
                  <w:vAlign w:val="center"/>
                </w:tcPr>
                <w:p w14:paraId="75DDD51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砷</w:t>
                  </w:r>
                </w:p>
              </w:tc>
              <w:tc>
                <w:tcPr>
                  <w:tcW w:w="1317" w:type="dxa"/>
                  <w:noWrap/>
                  <w:vAlign w:val="center"/>
                </w:tcPr>
                <w:p w14:paraId="41D577B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0D96B6D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5.3</w:t>
                  </w:r>
                </w:p>
              </w:tc>
              <w:tc>
                <w:tcPr>
                  <w:tcW w:w="2577" w:type="dxa"/>
                  <w:noWrap/>
                  <w:vAlign w:val="center"/>
                </w:tcPr>
                <w:p w14:paraId="4D3C41E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28</w:t>
                  </w:r>
                </w:p>
              </w:tc>
              <w:tc>
                <w:tcPr>
                  <w:tcW w:w="683" w:type="dxa"/>
                  <w:vMerge w:val="continue"/>
                  <w:noWrap/>
                  <w:vAlign w:val="center"/>
                </w:tcPr>
                <w:p w14:paraId="66CC4C8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539EB8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2D0E512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9</w:t>
                  </w:r>
                </w:p>
              </w:tc>
              <w:tc>
                <w:tcPr>
                  <w:tcW w:w="1649" w:type="dxa"/>
                  <w:gridSpan w:val="2"/>
                  <w:noWrap/>
                  <w:vAlign w:val="center"/>
                </w:tcPr>
                <w:p w14:paraId="0A4BD63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镍</w:t>
                  </w:r>
                </w:p>
              </w:tc>
              <w:tc>
                <w:tcPr>
                  <w:tcW w:w="1317" w:type="dxa"/>
                  <w:noWrap/>
                  <w:vAlign w:val="center"/>
                </w:tcPr>
                <w:p w14:paraId="31E6EFF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2C744C2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11.8</w:t>
                  </w:r>
                </w:p>
              </w:tc>
              <w:tc>
                <w:tcPr>
                  <w:tcW w:w="2577" w:type="dxa"/>
                  <w:noWrap/>
                  <w:vAlign w:val="center"/>
                </w:tcPr>
                <w:p w14:paraId="68D74B5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66</w:t>
                  </w:r>
                </w:p>
              </w:tc>
              <w:tc>
                <w:tcPr>
                  <w:tcW w:w="683" w:type="dxa"/>
                  <w:vMerge w:val="continue"/>
                  <w:noWrap/>
                  <w:vAlign w:val="center"/>
                </w:tcPr>
                <w:p w14:paraId="38A4356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11E97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1FCFC0D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p>
              </w:tc>
              <w:tc>
                <w:tcPr>
                  <w:tcW w:w="1649" w:type="dxa"/>
                  <w:gridSpan w:val="2"/>
                  <w:noWrap/>
                  <w:vAlign w:val="center"/>
                </w:tcPr>
                <w:p w14:paraId="652A6C7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锌</w:t>
                  </w:r>
                </w:p>
              </w:tc>
              <w:tc>
                <w:tcPr>
                  <w:tcW w:w="1317" w:type="dxa"/>
                  <w:noWrap/>
                  <w:vAlign w:val="center"/>
                </w:tcPr>
                <w:p w14:paraId="1A41176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6A6159D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41.1</w:t>
                  </w:r>
                </w:p>
              </w:tc>
              <w:tc>
                <w:tcPr>
                  <w:tcW w:w="2577" w:type="dxa"/>
                  <w:noWrap/>
                  <w:vAlign w:val="center"/>
                </w:tcPr>
                <w:p w14:paraId="0050571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361</w:t>
                  </w:r>
                </w:p>
              </w:tc>
              <w:tc>
                <w:tcPr>
                  <w:tcW w:w="683" w:type="dxa"/>
                  <w:vMerge w:val="continue"/>
                  <w:noWrap/>
                  <w:vAlign w:val="center"/>
                </w:tcPr>
                <w:p w14:paraId="1603764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158A64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755B26E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11</w:t>
                  </w:r>
                </w:p>
              </w:tc>
              <w:tc>
                <w:tcPr>
                  <w:tcW w:w="1649" w:type="dxa"/>
                  <w:gridSpan w:val="2"/>
                  <w:noWrap/>
                  <w:vAlign w:val="center"/>
                </w:tcPr>
                <w:p w14:paraId="706182C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铜</w:t>
                  </w:r>
                </w:p>
              </w:tc>
              <w:tc>
                <w:tcPr>
                  <w:tcW w:w="1317" w:type="dxa"/>
                  <w:noWrap/>
                  <w:vAlign w:val="center"/>
                </w:tcPr>
                <w:p w14:paraId="596DEE9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3CD7268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9.8</w:t>
                  </w:r>
                </w:p>
              </w:tc>
              <w:tc>
                <w:tcPr>
                  <w:tcW w:w="2577" w:type="dxa"/>
                  <w:noWrap/>
                  <w:vAlign w:val="center"/>
                </w:tcPr>
                <w:p w14:paraId="6BF6A58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65</w:t>
                  </w:r>
                </w:p>
              </w:tc>
              <w:tc>
                <w:tcPr>
                  <w:tcW w:w="683" w:type="dxa"/>
                  <w:vMerge w:val="continue"/>
                  <w:noWrap/>
                  <w:vAlign w:val="center"/>
                </w:tcPr>
                <w:p w14:paraId="466D9A5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2801BC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60B6B7E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12</w:t>
                  </w:r>
                </w:p>
              </w:tc>
              <w:tc>
                <w:tcPr>
                  <w:tcW w:w="1649" w:type="dxa"/>
                  <w:gridSpan w:val="2"/>
                  <w:noWrap/>
                  <w:vAlign w:val="center"/>
                </w:tcPr>
                <w:p w14:paraId="00FA66F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铍</w:t>
                  </w:r>
                </w:p>
              </w:tc>
              <w:tc>
                <w:tcPr>
                  <w:tcW w:w="1317" w:type="dxa"/>
                  <w:noWrap/>
                  <w:vAlign w:val="center"/>
                </w:tcPr>
                <w:p w14:paraId="3D94C76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78C157F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0.39</w:t>
                  </w:r>
                </w:p>
              </w:tc>
              <w:tc>
                <w:tcPr>
                  <w:tcW w:w="2577" w:type="dxa"/>
                  <w:noWrap/>
                  <w:vAlign w:val="center"/>
                </w:tcPr>
                <w:p w14:paraId="32C1772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66FC6A4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1EC49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5FD8677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13</w:t>
                  </w:r>
                </w:p>
              </w:tc>
              <w:tc>
                <w:tcPr>
                  <w:tcW w:w="1649" w:type="dxa"/>
                  <w:gridSpan w:val="2"/>
                  <w:noWrap/>
                  <w:vAlign w:val="center"/>
                </w:tcPr>
                <w:p w14:paraId="058AAE0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钡</w:t>
                  </w:r>
                </w:p>
              </w:tc>
              <w:tc>
                <w:tcPr>
                  <w:tcW w:w="1317" w:type="dxa"/>
                  <w:noWrap/>
                  <w:vAlign w:val="center"/>
                </w:tcPr>
                <w:p w14:paraId="0C52E4E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460AA1E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54.1</w:t>
                  </w:r>
                </w:p>
              </w:tc>
              <w:tc>
                <w:tcPr>
                  <w:tcW w:w="2577" w:type="dxa"/>
                  <w:noWrap/>
                  <w:vAlign w:val="center"/>
                </w:tcPr>
                <w:p w14:paraId="4F905DE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40F6FE5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1B77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08A0DF9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14</w:t>
                  </w:r>
                </w:p>
              </w:tc>
              <w:tc>
                <w:tcPr>
                  <w:tcW w:w="1649" w:type="dxa"/>
                  <w:gridSpan w:val="2"/>
                  <w:noWrap/>
                  <w:vAlign w:val="center"/>
                </w:tcPr>
                <w:p w14:paraId="057D1B1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银</w:t>
                  </w:r>
                </w:p>
              </w:tc>
              <w:tc>
                <w:tcPr>
                  <w:tcW w:w="1317" w:type="dxa"/>
                  <w:noWrap/>
                  <w:vAlign w:val="center"/>
                </w:tcPr>
                <w:p w14:paraId="331BEB4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49460FE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ND</w:t>
                  </w:r>
                </w:p>
              </w:tc>
              <w:tc>
                <w:tcPr>
                  <w:tcW w:w="2577" w:type="dxa"/>
                  <w:noWrap/>
                  <w:vAlign w:val="center"/>
                </w:tcPr>
                <w:p w14:paraId="3C713F7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245ED07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671BF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2C9B49D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15</w:t>
                  </w:r>
                </w:p>
              </w:tc>
              <w:tc>
                <w:tcPr>
                  <w:tcW w:w="1649" w:type="dxa"/>
                  <w:gridSpan w:val="2"/>
                  <w:noWrap/>
                  <w:vAlign w:val="center"/>
                </w:tcPr>
                <w:p w14:paraId="37B1618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硒</w:t>
                  </w:r>
                </w:p>
              </w:tc>
              <w:tc>
                <w:tcPr>
                  <w:tcW w:w="1317" w:type="dxa"/>
                  <w:noWrap/>
                  <w:vAlign w:val="center"/>
                </w:tcPr>
                <w:p w14:paraId="502F5CD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0BF73A9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0.252</w:t>
                  </w:r>
                </w:p>
              </w:tc>
              <w:tc>
                <w:tcPr>
                  <w:tcW w:w="2577" w:type="dxa"/>
                  <w:noWrap/>
                  <w:vAlign w:val="center"/>
                </w:tcPr>
                <w:p w14:paraId="6CCC985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28BC2EB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477EF4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2BAE03E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16</w:t>
                  </w:r>
                </w:p>
              </w:tc>
              <w:tc>
                <w:tcPr>
                  <w:tcW w:w="1649" w:type="dxa"/>
                  <w:gridSpan w:val="2"/>
                  <w:noWrap/>
                  <w:vAlign w:val="center"/>
                </w:tcPr>
                <w:p w14:paraId="6B19974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钴</w:t>
                  </w:r>
                </w:p>
              </w:tc>
              <w:tc>
                <w:tcPr>
                  <w:tcW w:w="1317" w:type="dxa"/>
                  <w:noWrap/>
                  <w:vAlign w:val="center"/>
                </w:tcPr>
                <w:p w14:paraId="210AFBC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18DE4D2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16.2</w:t>
                  </w:r>
                </w:p>
              </w:tc>
              <w:tc>
                <w:tcPr>
                  <w:tcW w:w="2577" w:type="dxa"/>
                  <w:noWrap/>
                  <w:vAlign w:val="center"/>
                </w:tcPr>
                <w:p w14:paraId="062198A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4A2C2A4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7C807F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4A511A4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17</w:t>
                  </w:r>
                </w:p>
              </w:tc>
              <w:tc>
                <w:tcPr>
                  <w:tcW w:w="1649" w:type="dxa"/>
                  <w:gridSpan w:val="2"/>
                  <w:noWrap/>
                  <w:vAlign w:val="center"/>
                </w:tcPr>
                <w:p w14:paraId="63AAC1B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石油溶剂</w:t>
                  </w:r>
                </w:p>
              </w:tc>
              <w:tc>
                <w:tcPr>
                  <w:tcW w:w="1317" w:type="dxa"/>
                  <w:noWrap/>
                  <w:vAlign w:val="center"/>
                </w:tcPr>
                <w:p w14:paraId="1D30370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71B5A6A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79</w:t>
                  </w:r>
                </w:p>
              </w:tc>
              <w:tc>
                <w:tcPr>
                  <w:tcW w:w="2577" w:type="dxa"/>
                  <w:noWrap/>
                  <w:vAlign w:val="center"/>
                </w:tcPr>
                <w:p w14:paraId="0957A16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5470E0C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A0A50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0753E0E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18</w:t>
                  </w:r>
                </w:p>
              </w:tc>
              <w:tc>
                <w:tcPr>
                  <w:tcW w:w="1649" w:type="dxa"/>
                  <w:gridSpan w:val="2"/>
                  <w:noWrap/>
                  <w:vAlign w:val="center"/>
                </w:tcPr>
                <w:p w14:paraId="081D0F9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丙烯酰胺</w:t>
                  </w:r>
                </w:p>
              </w:tc>
              <w:tc>
                <w:tcPr>
                  <w:tcW w:w="1317" w:type="dxa"/>
                  <w:noWrap/>
                  <w:vAlign w:val="center"/>
                </w:tcPr>
                <w:p w14:paraId="0BA401F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117EBE2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ND</w:t>
                  </w:r>
                </w:p>
              </w:tc>
              <w:tc>
                <w:tcPr>
                  <w:tcW w:w="2577" w:type="dxa"/>
                  <w:noWrap/>
                  <w:vAlign w:val="center"/>
                </w:tcPr>
                <w:p w14:paraId="2FDBB0B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04FB921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4C3876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64D1581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19</w:t>
                  </w:r>
                </w:p>
              </w:tc>
              <w:tc>
                <w:tcPr>
                  <w:tcW w:w="1649" w:type="dxa"/>
                  <w:gridSpan w:val="2"/>
                  <w:noWrap/>
                  <w:vAlign w:val="center"/>
                </w:tcPr>
                <w:p w14:paraId="6630BE3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氯离子</w:t>
                  </w:r>
                </w:p>
              </w:tc>
              <w:tc>
                <w:tcPr>
                  <w:tcW w:w="1317" w:type="dxa"/>
                  <w:noWrap/>
                  <w:vAlign w:val="center"/>
                </w:tcPr>
                <w:p w14:paraId="30680FC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1CE59A9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4605.54</w:t>
                  </w:r>
                </w:p>
              </w:tc>
              <w:tc>
                <w:tcPr>
                  <w:tcW w:w="2577" w:type="dxa"/>
                  <w:noWrap/>
                  <w:vAlign w:val="center"/>
                </w:tcPr>
                <w:p w14:paraId="765F93F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48D9CCD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3057C8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20FCB14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20</w:t>
                  </w:r>
                </w:p>
              </w:tc>
              <w:tc>
                <w:tcPr>
                  <w:tcW w:w="1649" w:type="dxa"/>
                  <w:gridSpan w:val="2"/>
                  <w:noWrap/>
                  <w:vAlign w:val="center"/>
                </w:tcPr>
                <w:p w14:paraId="142EECD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硫化物</w:t>
                  </w:r>
                </w:p>
              </w:tc>
              <w:tc>
                <w:tcPr>
                  <w:tcW w:w="1317" w:type="dxa"/>
                  <w:noWrap/>
                  <w:vAlign w:val="center"/>
                </w:tcPr>
                <w:p w14:paraId="1260854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817" w:type="dxa"/>
                  <w:noWrap/>
                  <w:vAlign w:val="center"/>
                </w:tcPr>
                <w:p w14:paraId="3EEEA43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633.8</w:t>
                  </w:r>
                </w:p>
              </w:tc>
              <w:tc>
                <w:tcPr>
                  <w:tcW w:w="2577" w:type="dxa"/>
                  <w:noWrap/>
                  <w:vAlign w:val="center"/>
                </w:tcPr>
                <w:p w14:paraId="0877848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0AD4C7C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626D7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9" w:type="dxa"/>
                  <w:noWrap/>
                  <w:vAlign w:val="center"/>
                </w:tcPr>
                <w:p w14:paraId="16D1B2D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21</w:t>
                  </w:r>
                </w:p>
              </w:tc>
              <w:tc>
                <w:tcPr>
                  <w:tcW w:w="1649" w:type="dxa"/>
                  <w:gridSpan w:val="2"/>
                  <w:noWrap/>
                  <w:vAlign w:val="center"/>
                </w:tcPr>
                <w:p w14:paraId="1BB86A6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低位发热量</w:t>
                  </w:r>
                </w:p>
              </w:tc>
              <w:tc>
                <w:tcPr>
                  <w:tcW w:w="1317" w:type="dxa"/>
                  <w:noWrap/>
                  <w:vAlign w:val="center"/>
                </w:tcPr>
                <w:p w14:paraId="6ABF298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MJ/kg</w:t>
                  </w:r>
                </w:p>
              </w:tc>
              <w:tc>
                <w:tcPr>
                  <w:tcW w:w="1817" w:type="dxa"/>
                  <w:noWrap/>
                  <w:vAlign w:val="center"/>
                </w:tcPr>
                <w:p w14:paraId="6860A11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0.46</w:t>
                  </w:r>
                </w:p>
              </w:tc>
              <w:tc>
                <w:tcPr>
                  <w:tcW w:w="2577" w:type="dxa"/>
                  <w:noWrap/>
                  <w:vAlign w:val="center"/>
                </w:tcPr>
                <w:p w14:paraId="1C5EEE8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683" w:type="dxa"/>
                  <w:vMerge w:val="continue"/>
                  <w:noWrap/>
                  <w:vAlign w:val="center"/>
                </w:tcPr>
                <w:p w14:paraId="0BDE956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bl>
          <w:p w14:paraId="19BFDDDD">
            <w:pPr>
              <w:spacing w:line="480" w:lineRule="exact"/>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受唐山三友远达纤维有限公司委托，北京化工大学对唐山三友远达纤维有限公司</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东、西厂区</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经板框压滤机脱水后的污泥进行危险特性鉴别，以确定其属性，规范其科学管理。</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本评价引用《</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唐山三友远达纤维有限公司</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污水处理站污泥危险特性鉴别报告》</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形成</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的</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结论:</w:t>
            </w:r>
          </w:p>
          <w:p w14:paraId="5250B52F">
            <w:pPr>
              <w:spacing w:line="480" w:lineRule="exact"/>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a、根据原辅材料、生产工艺和样品初筛结果及理论分析，可判断该污泥不具有易燃性、反应性、腐蚀性。</w:t>
            </w:r>
          </w:p>
          <w:p w14:paraId="2B5F966B">
            <w:pPr>
              <w:spacing w:line="480" w:lineRule="exact"/>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b、污泥样品中检测的浸出毒性的指标均未超过《危险废物鉴别标准 浸出毒性鉴别》（GB 5085.3-2007）中规定的标准限值。因此可判断该污泥不具有浸出毒性。</w:t>
            </w:r>
          </w:p>
          <w:p w14:paraId="49E9BF20">
            <w:pPr>
              <w:spacing w:line="480" w:lineRule="exact"/>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c、污泥样品中检测的毒性物质含量指标均未超过《危险废物鉴别标准 毒性物质含量鉴别》（GB 5085.6-2007）中规定的标准限值，且累积毒性也均未超过标准限值，可判断该污泥的毒性物质含量未超标。</w:t>
            </w:r>
          </w:p>
          <w:p w14:paraId="4751D01A">
            <w:pPr>
              <w:spacing w:line="480" w:lineRule="exact"/>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d、污泥样品的急性毒性估计值不在《化学品分类和标签规范 第18部分：急性毒性》（GB 30000.18-2013）中规定的5种类别范围内，也不在《危险废物鉴别标准 急性毒性初筛》（GB 5085.2-2007）标准规定的限值范围内，因此可判断该污泥不具有急性毒性。</w:t>
            </w:r>
          </w:p>
          <w:p w14:paraId="7B1C6415">
            <w:pPr>
              <w:spacing w:line="480" w:lineRule="exact"/>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综上所述，对唐山三友远达纤维有限公司东、西厂区的污泥进行了采样、测试和分析，依据分析测定结果和危险废物具体鉴别情况及判定标准，正常运行情况下，唐山三友远达纤维有限工序东、西厂区产生的污泥均不属于危险废物，属于一般工业固体废物。</w:t>
            </w:r>
          </w:p>
          <w:p w14:paraId="56A0E6A0">
            <w:pPr>
              <w:pStyle w:val="22"/>
              <w:spacing w:after="0" w:line="480" w:lineRule="exact"/>
              <w:ind w:firstLine="1200" w:firstLineChars="500"/>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2-1</w:t>
            </w:r>
            <w:r>
              <w:rPr>
                <w:rFonts w:hint="eastAsia" w:ascii="黑体" w:hAnsi="黑体" w:eastAsia="黑体"/>
                <w:bCs/>
                <w:color w:val="000000" w:themeColor="text1"/>
                <w:sz w:val="24"/>
                <w:highlight w:val="none"/>
                <w:lang w:val="en-US" w:eastAsia="zh-CN"/>
                <w14:textFill>
                  <w14:solidFill>
                    <w14:schemeClr w14:val="tx1"/>
                  </w14:solidFill>
                </w14:textFill>
              </w:rPr>
              <w:t>5</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生活</w:t>
            </w:r>
            <w:r>
              <w:rPr>
                <w:rFonts w:ascii="黑体" w:hAnsi="黑体" w:eastAsia="黑体"/>
                <w:bCs/>
                <w:color w:val="000000" w:themeColor="text1"/>
                <w:sz w:val="24"/>
                <w:highlight w:val="none"/>
                <w14:textFill>
                  <w14:solidFill>
                    <w14:schemeClr w14:val="tx1"/>
                  </w14:solidFill>
                </w14:textFill>
              </w:rPr>
              <w:t>污泥成分及含量</w:t>
            </w:r>
          </w:p>
          <w:tbl>
            <w:tblPr>
              <w:tblStyle w:val="24"/>
              <w:tblW w:w="88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6"/>
              <w:gridCol w:w="567"/>
              <w:gridCol w:w="993"/>
              <w:gridCol w:w="756"/>
              <w:gridCol w:w="1323"/>
              <w:gridCol w:w="1961"/>
              <w:gridCol w:w="2126"/>
              <w:gridCol w:w="611"/>
            </w:tblGrid>
            <w:tr w14:paraId="68A7AD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27D856ED">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bCs/>
                      <w:color w:val="000000" w:themeColor="text1"/>
                      <w:spacing w:val="5"/>
                      <w:sz w:val="18"/>
                      <w:szCs w:val="18"/>
                      <w:highlight w:val="none"/>
                      <w14:textFill>
                        <w14:solidFill>
                          <w14:schemeClr w14:val="tx1"/>
                        </w14:solidFill>
                      </w14:textFill>
                    </w:rPr>
                    <w:t>序号</w:t>
                  </w:r>
                </w:p>
              </w:tc>
              <w:tc>
                <w:tcPr>
                  <w:tcW w:w="1560" w:type="dxa"/>
                  <w:gridSpan w:val="2"/>
                  <w:noWrap/>
                  <w:vAlign w:val="center"/>
                </w:tcPr>
                <w:p w14:paraId="7ED7E64E">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bCs/>
                      <w:color w:val="000000" w:themeColor="text1"/>
                      <w:spacing w:val="5"/>
                      <w:sz w:val="18"/>
                      <w:szCs w:val="18"/>
                      <w:highlight w:val="none"/>
                      <w14:textFill>
                        <w14:solidFill>
                          <w14:schemeClr w14:val="tx1"/>
                        </w14:solidFill>
                      </w14:textFill>
                    </w:rPr>
                    <w:t>控制项目</w:t>
                  </w:r>
                </w:p>
              </w:tc>
              <w:tc>
                <w:tcPr>
                  <w:tcW w:w="756" w:type="dxa"/>
                  <w:noWrap/>
                  <w:vAlign w:val="center"/>
                </w:tcPr>
                <w:p w14:paraId="3D124930">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bCs/>
                      <w:color w:val="000000" w:themeColor="text1"/>
                      <w:spacing w:val="5"/>
                      <w:sz w:val="18"/>
                      <w:szCs w:val="18"/>
                      <w:highlight w:val="none"/>
                      <w14:textFill>
                        <w14:solidFill>
                          <w14:schemeClr w14:val="tx1"/>
                        </w14:solidFill>
                      </w14:textFill>
                    </w:rPr>
                    <w:t>单位</w:t>
                  </w:r>
                </w:p>
              </w:tc>
              <w:tc>
                <w:tcPr>
                  <w:tcW w:w="1323" w:type="dxa"/>
                  <w:noWrap/>
                  <w:vAlign w:val="center"/>
                </w:tcPr>
                <w:p w14:paraId="4F5E955D">
                  <w:pPr>
                    <w:adjustRightInd w:val="0"/>
                    <w:snapToGrid w:val="0"/>
                    <w:ind w:left="-105" w:leftChars="-50" w:right="-105" w:rightChars="-50"/>
                    <w:jc w:val="center"/>
                    <w:rPr>
                      <w:bCs/>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滦州粤海环保有限公司</w:t>
                  </w:r>
                  <w:r>
                    <w:rPr>
                      <w:color w:val="000000" w:themeColor="text1"/>
                      <w:spacing w:val="5"/>
                      <w:sz w:val="18"/>
                      <w:szCs w:val="18"/>
                      <w:highlight w:val="none"/>
                      <w14:textFill>
                        <w14:solidFill>
                          <w14:schemeClr w14:val="tx1"/>
                        </w14:solidFill>
                      </w14:textFill>
                    </w:rPr>
                    <w:t>污泥监测结果</w:t>
                  </w:r>
                </w:p>
              </w:tc>
              <w:tc>
                <w:tcPr>
                  <w:tcW w:w="1961" w:type="dxa"/>
                  <w:noWrap/>
                  <w:vAlign w:val="center"/>
                </w:tcPr>
                <w:p w14:paraId="5DA22C4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《城镇污水处理厂污泥泥质》（GB24188-2009）限值</w:t>
                  </w:r>
                </w:p>
              </w:tc>
              <w:tc>
                <w:tcPr>
                  <w:tcW w:w="2126" w:type="dxa"/>
                  <w:vAlign w:val="center"/>
                </w:tcPr>
                <w:p w14:paraId="154E176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《城镇污水处理厂污泥处置 制砖用泥质》（GB/T25031-2010）</w:t>
                  </w:r>
                  <w:r>
                    <w:rPr>
                      <w:color w:val="000000" w:themeColor="text1"/>
                      <w:spacing w:val="5"/>
                      <w:sz w:val="18"/>
                      <w:szCs w:val="18"/>
                      <w:highlight w:val="none"/>
                      <w14:textFill>
                        <w14:solidFill>
                          <w14:schemeClr w14:val="tx1"/>
                        </w14:solidFill>
                      </w14:textFill>
                    </w:rPr>
                    <w:t>限值</w:t>
                  </w:r>
                </w:p>
              </w:tc>
              <w:tc>
                <w:tcPr>
                  <w:tcW w:w="611" w:type="dxa"/>
                  <w:noWrap/>
                  <w:vAlign w:val="center"/>
                </w:tcPr>
                <w:p w14:paraId="35F2219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符合性</w:t>
                  </w:r>
                </w:p>
              </w:tc>
            </w:tr>
            <w:tr w14:paraId="1BD6C8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220ECCC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w:t>
                  </w:r>
                </w:p>
              </w:tc>
              <w:tc>
                <w:tcPr>
                  <w:tcW w:w="567" w:type="dxa"/>
                  <w:vMerge w:val="restart"/>
                  <w:noWrap/>
                  <w:vAlign w:val="center"/>
                </w:tcPr>
                <w:p w14:paraId="4FD213E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理化指标</w:t>
                  </w:r>
                </w:p>
              </w:tc>
              <w:tc>
                <w:tcPr>
                  <w:tcW w:w="993" w:type="dxa"/>
                  <w:noWrap/>
                  <w:vAlign w:val="center"/>
                </w:tcPr>
                <w:p w14:paraId="7ACB21B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pH</w:t>
                  </w:r>
                </w:p>
              </w:tc>
              <w:tc>
                <w:tcPr>
                  <w:tcW w:w="756" w:type="dxa"/>
                  <w:noWrap/>
                  <w:vAlign w:val="center"/>
                </w:tcPr>
                <w:p w14:paraId="3FF5D24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无量纲</w:t>
                  </w:r>
                </w:p>
              </w:tc>
              <w:tc>
                <w:tcPr>
                  <w:tcW w:w="1323" w:type="dxa"/>
                  <w:noWrap/>
                  <w:vAlign w:val="center"/>
                </w:tcPr>
                <w:p w14:paraId="515CFEB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7.9</w:t>
                  </w:r>
                </w:p>
              </w:tc>
              <w:tc>
                <w:tcPr>
                  <w:tcW w:w="1961" w:type="dxa"/>
                  <w:noWrap/>
                  <w:vAlign w:val="center"/>
                </w:tcPr>
                <w:p w14:paraId="498CEC7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5-10</w:t>
                  </w:r>
                </w:p>
              </w:tc>
              <w:tc>
                <w:tcPr>
                  <w:tcW w:w="2126" w:type="dxa"/>
                  <w:vAlign w:val="center"/>
                </w:tcPr>
                <w:p w14:paraId="482BA0F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5-10</w:t>
                  </w:r>
                </w:p>
              </w:tc>
              <w:tc>
                <w:tcPr>
                  <w:tcW w:w="611" w:type="dxa"/>
                  <w:vMerge w:val="restart"/>
                  <w:noWrap/>
                  <w:vAlign w:val="center"/>
                </w:tcPr>
                <w:p w14:paraId="3F79957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符合</w:t>
                  </w:r>
                </w:p>
              </w:tc>
            </w:tr>
            <w:tr w14:paraId="2D09D2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541B4EB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w:t>
                  </w:r>
                </w:p>
              </w:tc>
              <w:tc>
                <w:tcPr>
                  <w:tcW w:w="567" w:type="dxa"/>
                  <w:vMerge w:val="continue"/>
                  <w:noWrap/>
                  <w:vAlign w:val="center"/>
                </w:tcPr>
                <w:p w14:paraId="6FB881E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c>
                <w:tcPr>
                  <w:tcW w:w="993" w:type="dxa"/>
                  <w:noWrap/>
                  <w:vAlign w:val="center"/>
                </w:tcPr>
                <w:p w14:paraId="27B7C00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含水率</w:t>
                  </w:r>
                </w:p>
              </w:tc>
              <w:tc>
                <w:tcPr>
                  <w:tcW w:w="756" w:type="dxa"/>
                  <w:noWrap/>
                  <w:vAlign w:val="center"/>
                </w:tcPr>
                <w:p w14:paraId="063F3B4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w:t>
                  </w:r>
                </w:p>
              </w:tc>
              <w:tc>
                <w:tcPr>
                  <w:tcW w:w="1323" w:type="dxa"/>
                  <w:noWrap/>
                  <w:vAlign w:val="center"/>
                </w:tcPr>
                <w:p w14:paraId="7C060FF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59.5</w:t>
                  </w:r>
                </w:p>
              </w:tc>
              <w:tc>
                <w:tcPr>
                  <w:tcW w:w="1961" w:type="dxa"/>
                  <w:noWrap/>
                  <w:vAlign w:val="center"/>
                </w:tcPr>
                <w:p w14:paraId="46A22A2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＜80</w:t>
                  </w:r>
                </w:p>
              </w:tc>
              <w:tc>
                <w:tcPr>
                  <w:tcW w:w="2126" w:type="dxa"/>
                  <w:vAlign w:val="center"/>
                </w:tcPr>
                <w:p w14:paraId="337EF52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ascii="宋体" w:hAnsi="宋体"/>
                      <w:color w:val="000000" w:themeColor="text1"/>
                      <w:spacing w:val="5"/>
                      <w:sz w:val="18"/>
                      <w:szCs w:val="18"/>
                      <w:highlight w:val="none"/>
                      <w14:textFill>
                        <w14:solidFill>
                          <w14:schemeClr w14:val="tx1"/>
                        </w14:solidFill>
                      </w14:textFill>
                    </w:rPr>
                    <w:t>≤</w:t>
                  </w:r>
                  <w:r>
                    <w:rPr>
                      <w:color w:val="000000" w:themeColor="text1"/>
                      <w:spacing w:val="5"/>
                      <w:sz w:val="18"/>
                      <w:szCs w:val="18"/>
                      <w:highlight w:val="none"/>
                      <w14:textFill>
                        <w14:solidFill>
                          <w14:schemeClr w14:val="tx1"/>
                        </w14:solidFill>
                      </w14:textFill>
                    </w:rPr>
                    <w:t>40</w:t>
                  </w:r>
                </w:p>
              </w:tc>
              <w:tc>
                <w:tcPr>
                  <w:tcW w:w="611" w:type="dxa"/>
                  <w:vMerge w:val="continue"/>
                  <w:noWrap/>
                  <w:vAlign w:val="center"/>
                </w:tcPr>
                <w:p w14:paraId="64FE422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536FD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1D640E5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3</w:t>
                  </w:r>
                </w:p>
              </w:tc>
              <w:tc>
                <w:tcPr>
                  <w:tcW w:w="1560" w:type="dxa"/>
                  <w:gridSpan w:val="2"/>
                  <w:noWrap/>
                  <w:vAlign w:val="center"/>
                </w:tcPr>
                <w:p w14:paraId="1C247A2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砷</w:t>
                  </w:r>
                </w:p>
              </w:tc>
              <w:tc>
                <w:tcPr>
                  <w:tcW w:w="756" w:type="dxa"/>
                  <w:noWrap/>
                  <w:vAlign w:val="center"/>
                </w:tcPr>
                <w:p w14:paraId="208594E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2E39BC7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15.28</w:t>
                  </w:r>
                </w:p>
              </w:tc>
              <w:tc>
                <w:tcPr>
                  <w:tcW w:w="1961" w:type="dxa"/>
                  <w:noWrap/>
                  <w:vAlign w:val="center"/>
                </w:tcPr>
                <w:p w14:paraId="130D85F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＜75</w:t>
                  </w:r>
                </w:p>
              </w:tc>
              <w:tc>
                <w:tcPr>
                  <w:tcW w:w="2126" w:type="dxa"/>
                  <w:vAlign w:val="center"/>
                </w:tcPr>
                <w:p w14:paraId="01BCA5D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＜75</w:t>
                  </w:r>
                </w:p>
              </w:tc>
              <w:tc>
                <w:tcPr>
                  <w:tcW w:w="611" w:type="dxa"/>
                  <w:vMerge w:val="continue"/>
                  <w:noWrap/>
                  <w:vAlign w:val="center"/>
                </w:tcPr>
                <w:p w14:paraId="1713577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1558BB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486" w:type="dxa"/>
                  <w:noWrap/>
                  <w:vAlign w:val="center"/>
                </w:tcPr>
                <w:p w14:paraId="4B4622A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w:t>
                  </w:r>
                </w:p>
              </w:tc>
              <w:tc>
                <w:tcPr>
                  <w:tcW w:w="1560" w:type="dxa"/>
                  <w:gridSpan w:val="2"/>
                  <w:noWrap/>
                  <w:vAlign w:val="center"/>
                </w:tcPr>
                <w:p w14:paraId="6F28699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镉</w:t>
                  </w:r>
                </w:p>
              </w:tc>
              <w:tc>
                <w:tcPr>
                  <w:tcW w:w="756" w:type="dxa"/>
                  <w:noWrap/>
                  <w:vAlign w:val="center"/>
                </w:tcPr>
                <w:p w14:paraId="258C1B5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406B6B1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9.46</w:t>
                  </w:r>
                </w:p>
              </w:tc>
              <w:tc>
                <w:tcPr>
                  <w:tcW w:w="1961" w:type="dxa"/>
                  <w:noWrap/>
                  <w:vAlign w:val="center"/>
                </w:tcPr>
                <w:p w14:paraId="5D0A180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＜20</w:t>
                  </w:r>
                </w:p>
              </w:tc>
              <w:tc>
                <w:tcPr>
                  <w:tcW w:w="2126" w:type="dxa"/>
                  <w:vAlign w:val="center"/>
                </w:tcPr>
                <w:p w14:paraId="184C44D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＜20</w:t>
                  </w:r>
                </w:p>
              </w:tc>
              <w:tc>
                <w:tcPr>
                  <w:tcW w:w="611" w:type="dxa"/>
                  <w:vMerge w:val="continue"/>
                  <w:noWrap/>
                  <w:vAlign w:val="center"/>
                </w:tcPr>
                <w:p w14:paraId="5C53E65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2F053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499BE58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5</w:t>
                  </w:r>
                </w:p>
              </w:tc>
              <w:tc>
                <w:tcPr>
                  <w:tcW w:w="1560" w:type="dxa"/>
                  <w:gridSpan w:val="2"/>
                  <w:noWrap/>
                  <w:vAlign w:val="center"/>
                </w:tcPr>
                <w:p w14:paraId="2C0D5C4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铬</w:t>
                  </w:r>
                </w:p>
              </w:tc>
              <w:tc>
                <w:tcPr>
                  <w:tcW w:w="756" w:type="dxa"/>
                  <w:noWrap/>
                  <w:vAlign w:val="center"/>
                </w:tcPr>
                <w:p w14:paraId="3D1FA31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6440D58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45.93</w:t>
                  </w:r>
                </w:p>
              </w:tc>
              <w:tc>
                <w:tcPr>
                  <w:tcW w:w="1961" w:type="dxa"/>
                  <w:noWrap/>
                  <w:vAlign w:val="center"/>
                </w:tcPr>
                <w:p w14:paraId="4E746D2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＜1000</w:t>
                  </w:r>
                </w:p>
              </w:tc>
              <w:tc>
                <w:tcPr>
                  <w:tcW w:w="2126" w:type="dxa"/>
                  <w:vAlign w:val="center"/>
                </w:tcPr>
                <w:p w14:paraId="14C1164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＜1000</w:t>
                  </w:r>
                </w:p>
              </w:tc>
              <w:tc>
                <w:tcPr>
                  <w:tcW w:w="611" w:type="dxa"/>
                  <w:vMerge w:val="continue"/>
                  <w:noWrap/>
                  <w:vAlign w:val="center"/>
                </w:tcPr>
                <w:p w14:paraId="4AA9ACB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25506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40DCA93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6</w:t>
                  </w:r>
                </w:p>
              </w:tc>
              <w:tc>
                <w:tcPr>
                  <w:tcW w:w="1560" w:type="dxa"/>
                  <w:gridSpan w:val="2"/>
                  <w:noWrap/>
                  <w:vAlign w:val="center"/>
                </w:tcPr>
                <w:p w14:paraId="16C1AF4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铜</w:t>
                  </w:r>
                </w:p>
              </w:tc>
              <w:tc>
                <w:tcPr>
                  <w:tcW w:w="756" w:type="dxa"/>
                  <w:noWrap/>
                  <w:vAlign w:val="center"/>
                </w:tcPr>
                <w:p w14:paraId="7F9D1B4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22EFD61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110</w:t>
                  </w:r>
                </w:p>
              </w:tc>
              <w:tc>
                <w:tcPr>
                  <w:tcW w:w="1961" w:type="dxa"/>
                  <w:noWrap/>
                  <w:vAlign w:val="center"/>
                </w:tcPr>
                <w:p w14:paraId="23B3205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＜1500</w:t>
                  </w:r>
                </w:p>
              </w:tc>
              <w:tc>
                <w:tcPr>
                  <w:tcW w:w="2126" w:type="dxa"/>
                  <w:vAlign w:val="center"/>
                </w:tcPr>
                <w:p w14:paraId="5294898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＜1500</w:t>
                  </w:r>
                </w:p>
              </w:tc>
              <w:tc>
                <w:tcPr>
                  <w:tcW w:w="611" w:type="dxa"/>
                  <w:vMerge w:val="continue"/>
                  <w:noWrap/>
                  <w:vAlign w:val="center"/>
                </w:tcPr>
                <w:p w14:paraId="2CE4554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25FDD3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486" w:type="dxa"/>
                  <w:noWrap/>
                  <w:vAlign w:val="center"/>
                </w:tcPr>
                <w:p w14:paraId="3E03BFD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7</w:t>
                  </w:r>
                </w:p>
              </w:tc>
              <w:tc>
                <w:tcPr>
                  <w:tcW w:w="1560" w:type="dxa"/>
                  <w:gridSpan w:val="2"/>
                  <w:noWrap/>
                  <w:vAlign w:val="center"/>
                </w:tcPr>
                <w:p w14:paraId="341A062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汞</w:t>
                  </w:r>
                </w:p>
              </w:tc>
              <w:tc>
                <w:tcPr>
                  <w:tcW w:w="756" w:type="dxa"/>
                  <w:noWrap/>
                  <w:vAlign w:val="center"/>
                </w:tcPr>
                <w:p w14:paraId="7336492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37BBE7E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12.98</w:t>
                  </w:r>
                </w:p>
              </w:tc>
              <w:tc>
                <w:tcPr>
                  <w:tcW w:w="1961" w:type="dxa"/>
                  <w:noWrap/>
                  <w:vAlign w:val="center"/>
                </w:tcPr>
                <w:p w14:paraId="2D56D9F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＜25</w:t>
                  </w:r>
                </w:p>
              </w:tc>
              <w:tc>
                <w:tcPr>
                  <w:tcW w:w="2126" w:type="dxa"/>
                  <w:vAlign w:val="center"/>
                </w:tcPr>
                <w:p w14:paraId="4C243A3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＜25</w:t>
                  </w:r>
                </w:p>
              </w:tc>
              <w:tc>
                <w:tcPr>
                  <w:tcW w:w="611" w:type="dxa"/>
                  <w:vMerge w:val="continue"/>
                  <w:noWrap/>
                  <w:vAlign w:val="center"/>
                </w:tcPr>
                <w:p w14:paraId="5B5E508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4D571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51455A4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8</w:t>
                  </w:r>
                </w:p>
              </w:tc>
              <w:tc>
                <w:tcPr>
                  <w:tcW w:w="1560" w:type="dxa"/>
                  <w:gridSpan w:val="2"/>
                  <w:noWrap/>
                  <w:vAlign w:val="center"/>
                </w:tcPr>
                <w:p w14:paraId="69F1C37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镍</w:t>
                  </w:r>
                </w:p>
              </w:tc>
              <w:tc>
                <w:tcPr>
                  <w:tcW w:w="756" w:type="dxa"/>
                  <w:noWrap/>
                  <w:vAlign w:val="center"/>
                </w:tcPr>
                <w:p w14:paraId="4B1127D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2B28A35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112</w:t>
                  </w:r>
                </w:p>
              </w:tc>
              <w:tc>
                <w:tcPr>
                  <w:tcW w:w="1961" w:type="dxa"/>
                  <w:noWrap/>
                  <w:vAlign w:val="center"/>
                </w:tcPr>
                <w:p w14:paraId="1F215D2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＜200</w:t>
                  </w:r>
                </w:p>
              </w:tc>
              <w:tc>
                <w:tcPr>
                  <w:tcW w:w="2126" w:type="dxa"/>
                  <w:vAlign w:val="center"/>
                </w:tcPr>
                <w:p w14:paraId="5201981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＜200</w:t>
                  </w:r>
                </w:p>
              </w:tc>
              <w:tc>
                <w:tcPr>
                  <w:tcW w:w="611" w:type="dxa"/>
                  <w:vMerge w:val="continue"/>
                  <w:noWrap/>
                  <w:vAlign w:val="center"/>
                </w:tcPr>
                <w:p w14:paraId="2AB4300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50CF76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1B38FB1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9</w:t>
                  </w:r>
                </w:p>
              </w:tc>
              <w:tc>
                <w:tcPr>
                  <w:tcW w:w="1560" w:type="dxa"/>
                  <w:gridSpan w:val="2"/>
                  <w:noWrap/>
                  <w:vAlign w:val="center"/>
                </w:tcPr>
                <w:p w14:paraId="2F6B7D2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铅</w:t>
                  </w:r>
                </w:p>
              </w:tc>
              <w:tc>
                <w:tcPr>
                  <w:tcW w:w="756" w:type="dxa"/>
                  <w:noWrap/>
                  <w:vAlign w:val="center"/>
                </w:tcPr>
                <w:p w14:paraId="5157C08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44DF90E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243</w:t>
                  </w:r>
                </w:p>
              </w:tc>
              <w:tc>
                <w:tcPr>
                  <w:tcW w:w="1961" w:type="dxa"/>
                  <w:noWrap/>
                  <w:vAlign w:val="center"/>
                </w:tcPr>
                <w:p w14:paraId="6E7B96C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＜1000</w:t>
                  </w:r>
                </w:p>
              </w:tc>
              <w:tc>
                <w:tcPr>
                  <w:tcW w:w="2126" w:type="dxa"/>
                  <w:vAlign w:val="center"/>
                </w:tcPr>
                <w:p w14:paraId="2F9290D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＜1000</w:t>
                  </w:r>
                </w:p>
              </w:tc>
              <w:tc>
                <w:tcPr>
                  <w:tcW w:w="611" w:type="dxa"/>
                  <w:vMerge w:val="continue"/>
                  <w:noWrap/>
                  <w:vAlign w:val="center"/>
                </w:tcPr>
                <w:p w14:paraId="4CACBFF9">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489B0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59996E4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p>
              </w:tc>
              <w:tc>
                <w:tcPr>
                  <w:tcW w:w="1560" w:type="dxa"/>
                  <w:gridSpan w:val="2"/>
                  <w:noWrap/>
                  <w:vAlign w:val="center"/>
                </w:tcPr>
                <w:p w14:paraId="10DD5804">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w:t>
                  </w:r>
                  <w:r>
                    <w:rPr>
                      <w:color w:val="000000" w:themeColor="text1"/>
                      <w:spacing w:val="5"/>
                      <w:sz w:val="18"/>
                      <w:szCs w:val="18"/>
                      <w:highlight w:val="none"/>
                      <w14:textFill>
                        <w14:solidFill>
                          <w14:schemeClr w14:val="tx1"/>
                        </w14:solidFill>
                      </w14:textFill>
                    </w:rPr>
                    <w:t>锌</w:t>
                  </w:r>
                </w:p>
              </w:tc>
              <w:tc>
                <w:tcPr>
                  <w:tcW w:w="756" w:type="dxa"/>
                  <w:noWrap/>
                  <w:vAlign w:val="center"/>
                </w:tcPr>
                <w:p w14:paraId="4972495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74AD096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226</w:t>
                  </w:r>
                </w:p>
              </w:tc>
              <w:tc>
                <w:tcPr>
                  <w:tcW w:w="1961" w:type="dxa"/>
                  <w:noWrap/>
                  <w:vAlign w:val="center"/>
                </w:tcPr>
                <w:p w14:paraId="103DA7F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＜4000</w:t>
                  </w:r>
                </w:p>
              </w:tc>
              <w:tc>
                <w:tcPr>
                  <w:tcW w:w="2126" w:type="dxa"/>
                  <w:vAlign w:val="center"/>
                </w:tcPr>
                <w:p w14:paraId="2CE067C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＜4000</w:t>
                  </w:r>
                </w:p>
              </w:tc>
              <w:tc>
                <w:tcPr>
                  <w:tcW w:w="611" w:type="dxa"/>
                  <w:vMerge w:val="continue"/>
                  <w:noWrap/>
                  <w:vAlign w:val="center"/>
                </w:tcPr>
                <w:p w14:paraId="3A2AC80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78792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2E5FCFA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11</w:t>
                  </w:r>
                </w:p>
              </w:tc>
              <w:tc>
                <w:tcPr>
                  <w:tcW w:w="1560" w:type="dxa"/>
                  <w:gridSpan w:val="2"/>
                  <w:noWrap/>
                  <w:vAlign w:val="center"/>
                </w:tcPr>
                <w:p w14:paraId="0FDB173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矿物油</w:t>
                  </w:r>
                </w:p>
              </w:tc>
              <w:tc>
                <w:tcPr>
                  <w:tcW w:w="756" w:type="dxa"/>
                  <w:noWrap/>
                  <w:vAlign w:val="center"/>
                </w:tcPr>
                <w:p w14:paraId="75520D2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22F1519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1981</w:t>
                  </w:r>
                </w:p>
              </w:tc>
              <w:tc>
                <w:tcPr>
                  <w:tcW w:w="1961" w:type="dxa"/>
                  <w:noWrap/>
                  <w:vAlign w:val="center"/>
                </w:tcPr>
                <w:p w14:paraId="0B9C0ED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＜3000</w:t>
                  </w:r>
                </w:p>
              </w:tc>
              <w:tc>
                <w:tcPr>
                  <w:tcW w:w="2126" w:type="dxa"/>
                  <w:vAlign w:val="center"/>
                </w:tcPr>
                <w:p w14:paraId="7CFEE01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＜3000</w:t>
                  </w:r>
                </w:p>
              </w:tc>
              <w:tc>
                <w:tcPr>
                  <w:tcW w:w="611" w:type="dxa"/>
                  <w:vMerge w:val="continue"/>
                  <w:noWrap/>
                  <w:vAlign w:val="center"/>
                </w:tcPr>
                <w:p w14:paraId="315903B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40969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44E583F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12</w:t>
                  </w:r>
                </w:p>
              </w:tc>
              <w:tc>
                <w:tcPr>
                  <w:tcW w:w="1560" w:type="dxa"/>
                  <w:gridSpan w:val="2"/>
                  <w:noWrap/>
                  <w:vAlign w:val="center"/>
                </w:tcPr>
                <w:p w14:paraId="7FEA3170">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细菌总数</w:t>
                  </w:r>
                </w:p>
              </w:tc>
              <w:tc>
                <w:tcPr>
                  <w:tcW w:w="756" w:type="dxa"/>
                  <w:noWrap/>
                  <w:vAlign w:val="center"/>
                </w:tcPr>
                <w:p w14:paraId="63DAF97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个</w:t>
                  </w:r>
                  <w:r>
                    <w:rPr>
                      <w:color w:val="000000" w:themeColor="text1"/>
                      <w:spacing w:val="5"/>
                      <w:sz w:val="18"/>
                      <w:szCs w:val="18"/>
                      <w:highlight w:val="none"/>
                      <w14:textFill>
                        <w14:solidFill>
                          <w14:schemeClr w14:val="tx1"/>
                        </w14:solidFill>
                      </w14:textFill>
                    </w:rPr>
                    <w:t>/kg</w:t>
                  </w:r>
                </w:p>
              </w:tc>
              <w:tc>
                <w:tcPr>
                  <w:tcW w:w="1323" w:type="dxa"/>
                  <w:noWrap/>
                  <w:vAlign w:val="center"/>
                </w:tcPr>
                <w:p w14:paraId="2D0E9DA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1.3</w:t>
                  </w:r>
                  <w:r>
                    <w:rPr>
                      <w:color w:val="000000" w:themeColor="text1"/>
                      <w:spacing w:val="5"/>
                      <w:sz w:val="18"/>
                      <w:szCs w:val="18"/>
                      <w:highlight w:val="none"/>
                      <w14:textFill>
                        <w14:solidFill>
                          <w14:schemeClr w14:val="tx1"/>
                        </w14:solidFill>
                      </w14:textFill>
                    </w:rPr>
                    <w:t>×</w:t>
                  </w:r>
                  <w:bookmarkStart w:id="10" w:name="OLE_LINK2"/>
                  <w:bookmarkStart w:id="11" w:name="OLE_LINK1"/>
                  <w:r>
                    <w:rPr>
                      <w:rFonts w:hint="eastAsia"/>
                      <w:color w:val="000000" w:themeColor="text1"/>
                      <w:spacing w:val="5"/>
                      <w:sz w:val="18"/>
                      <w:szCs w:val="18"/>
                      <w:highlight w:val="none"/>
                      <w14:textFill>
                        <w14:solidFill>
                          <w14:schemeClr w14:val="tx1"/>
                        </w14:solidFill>
                      </w14:textFill>
                    </w:rPr>
                    <w:t>10</w:t>
                  </w:r>
                  <w:r>
                    <w:rPr>
                      <w:rFonts w:hint="eastAsia"/>
                      <w:color w:val="000000" w:themeColor="text1"/>
                      <w:spacing w:val="5"/>
                      <w:sz w:val="18"/>
                      <w:szCs w:val="18"/>
                      <w:highlight w:val="none"/>
                      <w:vertAlign w:val="superscript"/>
                      <w14:textFill>
                        <w14:solidFill>
                          <w14:schemeClr w14:val="tx1"/>
                        </w14:solidFill>
                      </w14:textFill>
                    </w:rPr>
                    <w:t>7</w:t>
                  </w:r>
                  <w:bookmarkEnd w:id="10"/>
                  <w:bookmarkEnd w:id="11"/>
                </w:p>
              </w:tc>
              <w:tc>
                <w:tcPr>
                  <w:tcW w:w="1961" w:type="dxa"/>
                  <w:noWrap/>
                  <w:vAlign w:val="center"/>
                </w:tcPr>
                <w:p w14:paraId="66283C8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r>
                    <w:rPr>
                      <w:color w:val="000000" w:themeColor="text1"/>
                      <w:spacing w:val="5"/>
                      <w:sz w:val="18"/>
                      <w:szCs w:val="18"/>
                      <w:highlight w:val="none"/>
                      <w:vertAlign w:val="superscript"/>
                      <w14:textFill>
                        <w14:solidFill>
                          <w14:schemeClr w14:val="tx1"/>
                        </w14:solidFill>
                      </w14:textFill>
                    </w:rPr>
                    <w:t>8</w:t>
                  </w:r>
                </w:p>
              </w:tc>
              <w:tc>
                <w:tcPr>
                  <w:tcW w:w="2126" w:type="dxa"/>
                  <w:vAlign w:val="center"/>
                </w:tcPr>
                <w:p w14:paraId="34690E9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r>
                    <w:rPr>
                      <w:color w:val="000000" w:themeColor="text1"/>
                      <w:spacing w:val="5"/>
                      <w:sz w:val="18"/>
                      <w:szCs w:val="18"/>
                      <w:highlight w:val="none"/>
                      <w:vertAlign w:val="superscript"/>
                      <w14:textFill>
                        <w14:solidFill>
                          <w14:schemeClr w14:val="tx1"/>
                        </w14:solidFill>
                      </w14:textFill>
                    </w:rPr>
                    <w:t>8</w:t>
                  </w:r>
                </w:p>
              </w:tc>
              <w:tc>
                <w:tcPr>
                  <w:tcW w:w="611" w:type="dxa"/>
                  <w:vMerge w:val="continue"/>
                  <w:noWrap/>
                  <w:vAlign w:val="center"/>
                </w:tcPr>
                <w:p w14:paraId="2E0554E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CBC4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63DE226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13</w:t>
                  </w:r>
                </w:p>
              </w:tc>
              <w:tc>
                <w:tcPr>
                  <w:tcW w:w="1560" w:type="dxa"/>
                  <w:gridSpan w:val="2"/>
                  <w:noWrap/>
                  <w:vAlign w:val="center"/>
                </w:tcPr>
                <w:p w14:paraId="7A7CD8C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挥发酚</w:t>
                  </w:r>
                </w:p>
              </w:tc>
              <w:tc>
                <w:tcPr>
                  <w:tcW w:w="756" w:type="dxa"/>
                  <w:noWrap/>
                  <w:vAlign w:val="center"/>
                </w:tcPr>
                <w:p w14:paraId="0DF70348">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5A4A869E">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21.52</w:t>
                  </w:r>
                </w:p>
              </w:tc>
              <w:tc>
                <w:tcPr>
                  <w:tcW w:w="1961" w:type="dxa"/>
                  <w:noWrap/>
                  <w:vAlign w:val="center"/>
                </w:tcPr>
                <w:p w14:paraId="7A932125">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＜40</w:t>
                  </w:r>
                </w:p>
              </w:tc>
              <w:tc>
                <w:tcPr>
                  <w:tcW w:w="2126" w:type="dxa"/>
                  <w:vAlign w:val="center"/>
                </w:tcPr>
                <w:p w14:paraId="24D92E4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＜40</w:t>
                  </w:r>
                </w:p>
              </w:tc>
              <w:tc>
                <w:tcPr>
                  <w:tcW w:w="611" w:type="dxa"/>
                  <w:vMerge w:val="continue"/>
                  <w:noWrap/>
                  <w:vAlign w:val="center"/>
                </w:tcPr>
                <w:p w14:paraId="2F292A5C">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3CE25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6846B20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14</w:t>
                  </w:r>
                </w:p>
              </w:tc>
              <w:tc>
                <w:tcPr>
                  <w:tcW w:w="1560" w:type="dxa"/>
                  <w:gridSpan w:val="2"/>
                  <w:noWrap/>
                  <w:vAlign w:val="center"/>
                </w:tcPr>
                <w:p w14:paraId="3E9577D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总氰化物</w:t>
                  </w:r>
                </w:p>
              </w:tc>
              <w:tc>
                <w:tcPr>
                  <w:tcW w:w="756" w:type="dxa"/>
                  <w:noWrap/>
                  <w:vAlign w:val="center"/>
                </w:tcPr>
                <w:p w14:paraId="77739EC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mg/kg</w:t>
                  </w:r>
                </w:p>
              </w:tc>
              <w:tc>
                <w:tcPr>
                  <w:tcW w:w="1323" w:type="dxa"/>
                  <w:noWrap/>
                  <w:vAlign w:val="center"/>
                </w:tcPr>
                <w:p w14:paraId="107B7F5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0.88</w:t>
                  </w:r>
                </w:p>
              </w:tc>
              <w:tc>
                <w:tcPr>
                  <w:tcW w:w="1961" w:type="dxa"/>
                  <w:noWrap/>
                  <w:vAlign w:val="center"/>
                </w:tcPr>
                <w:p w14:paraId="5012EE4F">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p>
              </w:tc>
              <w:tc>
                <w:tcPr>
                  <w:tcW w:w="2126" w:type="dxa"/>
                  <w:vAlign w:val="center"/>
                </w:tcPr>
                <w:p w14:paraId="40B529B3">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＜10</w:t>
                  </w:r>
                </w:p>
              </w:tc>
              <w:tc>
                <w:tcPr>
                  <w:tcW w:w="611" w:type="dxa"/>
                  <w:vMerge w:val="continue"/>
                  <w:noWrap/>
                  <w:vAlign w:val="center"/>
                </w:tcPr>
                <w:p w14:paraId="1FF7D50A">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r w14:paraId="0C9862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6" w:type="dxa"/>
                  <w:noWrap/>
                  <w:vAlign w:val="center"/>
                </w:tcPr>
                <w:p w14:paraId="00E31071">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15</w:t>
                  </w:r>
                </w:p>
              </w:tc>
              <w:tc>
                <w:tcPr>
                  <w:tcW w:w="1560" w:type="dxa"/>
                  <w:gridSpan w:val="2"/>
                  <w:noWrap/>
                  <w:vAlign w:val="center"/>
                </w:tcPr>
                <w:p w14:paraId="6E5DA067">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粪大肠菌群菌值</w:t>
                  </w:r>
                </w:p>
              </w:tc>
              <w:tc>
                <w:tcPr>
                  <w:tcW w:w="756" w:type="dxa"/>
                  <w:noWrap/>
                  <w:vAlign w:val="center"/>
                </w:tcPr>
                <w:p w14:paraId="727805AD">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g</w:t>
                  </w:r>
                </w:p>
              </w:tc>
              <w:tc>
                <w:tcPr>
                  <w:tcW w:w="1323" w:type="dxa"/>
                  <w:noWrap/>
                  <w:vAlign w:val="center"/>
                </w:tcPr>
                <w:p w14:paraId="373DFF72">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rFonts w:hint="eastAsia"/>
                      <w:color w:val="000000" w:themeColor="text1"/>
                      <w:spacing w:val="5"/>
                      <w:sz w:val="18"/>
                      <w:szCs w:val="18"/>
                      <w:highlight w:val="none"/>
                      <w14:textFill>
                        <w14:solidFill>
                          <w14:schemeClr w14:val="tx1"/>
                        </w14:solidFill>
                      </w14:textFill>
                    </w:rPr>
                    <w:t>0.1</w:t>
                  </w:r>
                </w:p>
              </w:tc>
              <w:tc>
                <w:tcPr>
                  <w:tcW w:w="1961" w:type="dxa"/>
                  <w:noWrap/>
                  <w:vAlign w:val="center"/>
                </w:tcPr>
                <w:p w14:paraId="0683FFC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＞0.01</w:t>
                  </w:r>
                </w:p>
              </w:tc>
              <w:tc>
                <w:tcPr>
                  <w:tcW w:w="2126" w:type="dxa"/>
                  <w:vAlign w:val="center"/>
                </w:tcPr>
                <w:p w14:paraId="6DAD1836">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r>
                    <w:rPr>
                      <w:color w:val="000000" w:themeColor="text1"/>
                      <w:spacing w:val="5"/>
                      <w:sz w:val="18"/>
                      <w:szCs w:val="18"/>
                      <w:highlight w:val="none"/>
                      <w14:textFill>
                        <w14:solidFill>
                          <w14:schemeClr w14:val="tx1"/>
                        </w14:solidFill>
                      </w14:textFill>
                    </w:rPr>
                    <w:t>＞0.01</w:t>
                  </w:r>
                </w:p>
              </w:tc>
              <w:tc>
                <w:tcPr>
                  <w:tcW w:w="611" w:type="dxa"/>
                  <w:vMerge w:val="continue"/>
                  <w:noWrap/>
                  <w:vAlign w:val="center"/>
                </w:tcPr>
                <w:p w14:paraId="4D8F14DB">
                  <w:pPr>
                    <w:adjustRightInd w:val="0"/>
                    <w:snapToGrid w:val="0"/>
                    <w:ind w:left="-105" w:leftChars="-50" w:right="-105" w:rightChars="-50"/>
                    <w:jc w:val="center"/>
                    <w:rPr>
                      <w:color w:val="000000" w:themeColor="text1"/>
                      <w:spacing w:val="5"/>
                      <w:sz w:val="18"/>
                      <w:szCs w:val="18"/>
                      <w:highlight w:val="none"/>
                      <w14:textFill>
                        <w14:solidFill>
                          <w14:schemeClr w14:val="tx1"/>
                        </w14:solidFill>
                      </w14:textFill>
                    </w:rPr>
                  </w:pPr>
                </w:p>
              </w:tc>
            </w:tr>
          </w:tbl>
          <w:p w14:paraId="673515E6">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天然气用于隧道窑点火助燃，</w:t>
            </w:r>
            <w:r>
              <w:rPr>
                <w:rFonts w:hint="eastAsia"/>
                <w:color w:val="000000" w:themeColor="text1"/>
                <w:sz w:val="24"/>
                <w:highlight w:val="none"/>
                <w14:textFill>
                  <w14:solidFill>
                    <w14:schemeClr w14:val="tx1"/>
                  </w14:solidFill>
                </w14:textFill>
              </w:rPr>
              <w:t>天然气</w:t>
            </w:r>
            <w:r>
              <w:rPr>
                <w:color w:val="000000" w:themeColor="text1"/>
                <w:sz w:val="24"/>
                <w:highlight w:val="none"/>
                <w14:textFill>
                  <w14:solidFill>
                    <w14:schemeClr w14:val="tx1"/>
                  </w14:solidFill>
                </w14:textFill>
              </w:rPr>
              <w:t>主要成分见下表。</w:t>
            </w:r>
          </w:p>
          <w:p w14:paraId="532FCBD0">
            <w:pPr>
              <w:autoSpaceDE w:val="0"/>
              <w:autoSpaceDN w:val="0"/>
              <w:spacing w:line="480" w:lineRule="exact"/>
              <w:ind w:firstLine="1200" w:firstLineChars="500"/>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2-1</w:t>
            </w:r>
            <w:r>
              <w:rPr>
                <w:rFonts w:hint="eastAsia" w:ascii="黑体" w:hAnsi="黑体" w:eastAsia="黑体"/>
                <w:color w:val="000000" w:themeColor="text1"/>
                <w:sz w:val="24"/>
                <w:highlight w:val="none"/>
                <w:lang w:val="en-US" w:eastAsia="zh-CN"/>
                <w14:textFill>
                  <w14:solidFill>
                    <w14:schemeClr w14:val="tx1"/>
                  </w14:solidFill>
                </w14:textFill>
              </w:rPr>
              <w:t>6</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天然气主要成分一览表</w:t>
            </w:r>
          </w:p>
          <w:tbl>
            <w:tblPr>
              <w:tblStyle w:val="24"/>
              <w:tblW w:w="87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
              <w:gridCol w:w="895"/>
              <w:gridCol w:w="895"/>
              <w:gridCol w:w="895"/>
              <w:gridCol w:w="895"/>
              <w:gridCol w:w="895"/>
              <w:gridCol w:w="895"/>
              <w:gridCol w:w="1194"/>
              <w:gridCol w:w="1288"/>
            </w:tblGrid>
            <w:tr w14:paraId="4F0938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06" w:type="dxa"/>
                  <w:tcBorders>
                    <w:tl2br w:val="nil"/>
                    <w:tr2bl w:val="nil"/>
                  </w:tcBorders>
                  <w:tcMar>
                    <w:top w:w="0" w:type="dxa"/>
                    <w:left w:w="51" w:type="dxa"/>
                    <w:bottom w:w="0" w:type="dxa"/>
                    <w:right w:w="51" w:type="dxa"/>
                  </w:tcMar>
                  <w:vAlign w:val="center"/>
                </w:tcPr>
                <w:p w14:paraId="1A3CA3FB">
                  <w:pPr>
                    <w:widowControl/>
                    <w:spacing w:line="240" w:lineRule="auto"/>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原料</w:t>
                  </w:r>
                </w:p>
              </w:tc>
              <w:tc>
                <w:tcPr>
                  <w:tcW w:w="895" w:type="dxa"/>
                  <w:tcBorders>
                    <w:tl2br w:val="nil"/>
                    <w:tr2bl w:val="nil"/>
                  </w:tcBorders>
                  <w:tcMar>
                    <w:top w:w="0" w:type="dxa"/>
                    <w:left w:w="51" w:type="dxa"/>
                    <w:bottom w:w="0" w:type="dxa"/>
                    <w:right w:w="51" w:type="dxa"/>
                  </w:tcMar>
                  <w:vAlign w:val="center"/>
                </w:tcPr>
                <w:p w14:paraId="45CD5010">
                  <w:pPr>
                    <w:widowControl/>
                    <w:spacing w:line="240" w:lineRule="auto"/>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CH</w:t>
                  </w:r>
                  <w:r>
                    <w:rPr>
                      <w:color w:val="000000" w:themeColor="text1"/>
                      <w:sz w:val="18"/>
                      <w:szCs w:val="18"/>
                      <w:highlight w:val="none"/>
                      <w:vertAlign w:val="subscript"/>
                      <w14:textFill>
                        <w14:solidFill>
                          <w14:schemeClr w14:val="tx1"/>
                        </w14:solidFill>
                      </w14:textFill>
                    </w:rPr>
                    <w:t>4</w:t>
                  </w:r>
                </w:p>
              </w:tc>
              <w:tc>
                <w:tcPr>
                  <w:tcW w:w="895" w:type="dxa"/>
                  <w:tcBorders>
                    <w:tl2br w:val="nil"/>
                    <w:tr2bl w:val="nil"/>
                  </w:tcBorders>
                  <w:tcMar>
                    <w:top w:w="0" w:type="dxa"/>
                    <w:left w:w="51" w:type="dxa"/>
                    <w:bottom w:w="0" w:type="dxa"/>
                    <w:right w:w="51" w:type="dxa"/>
                  </w:tcMar>
                  <w:vAlign w:val="center"/>
                </w:tcPr>
                <w:p w14:paraId="73DF9DA7">
                  <w:pPr>
                    <w:widowControl/>
                    <w:spacing w:line="240" w:lineRule="auto"/>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C</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H</w:t>
                  </w:r>
                  <w:r>
                    <w:rPr>
                      <w:color w:val="000000" w:themeColor="text1"/>
                      <w:sz w:val="18"/>
                      <w:szCs w:val="18"/>
                      <w:highlight w:val="none"/>
                      <w:vertAlign w:val="subscript"/>
                      <w14:textFill>
                        <w14:solidFill>
                          <w14:schemeClr w14:val="tx1"/>
                        </w14:solidFill>
                      </w14:textFill>
                    </w:rPr>
                    <w:t>6</w:t>
                  </w:r>
                </w:p>
              </w:tc>
              <w:tc>
                <w:tcPr>
                  <w:tcW w:w="895" w:type="dxa"/>
                  <w:tcBorders>
                    <w:tl2br w:val="nil"/>
                    <w:tr2bl w:val="nil"/>
                  </w:tcBorders>
                  <w:tcMar>
                    <w:top w:w="0" w:type="dxa"/>
                    <w:left w:w="51" w:type="dxa"/>
                    <w:bottom w:w="0" w:type="dxa"/>
                    <w:right w:w="51" w:type="dxa"/>
                  </w:tcMar>
                  <w:vAlign w:val="center"/>
                </w:tcPr>
                <w:p w14:paraId="369CF1CA">
                  <w:pPr>
                    <w:widowControl/>
                    <w:spacing w:line="240" w:lineRule="auto"/>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C</w:t>
                  </w:r>
                  <w:r>
                    <w:rPr>
                      <w:color w:val="000000" w:themeColor="text1"/>
                      <w:sz w:val="18"/>
                      <w:szCs w:val="18"/>
                      <w:highlight w:val="none"/>
                      <w:vertAlign w:val="subscript"/>
                      <w14:textFill>
                        <w14:solidFill>
                          <w14:schemeClr w14:val="tx1"/>
                        </w14:solidFill>
                      </w14:textFill>
                    </w:rPr>
                    <w:t>3</w:t>
                  </w:r>
                  <w:r>
                    <w:rPr>
                      <w:color w:val="000000" w:themeColor="text1"/>
                      <w:sz w:val="18"/>
                      <w:szCs w:val="18"/>
                      <w:highlight w:val="none"/>
                      <w14:textFill>
                        <w14:solidFill>
                          <w14:schemeClr w14:val="tx1"/>
                        </w14:solidFill>
                      </w14:textFill>
                    </w:rPr>
                    <w:t>H</w:t>
                  </w:r>
                  <w:r>
                    <w:rPr>
                      <w:color w:val="000000" w:themeColor="text1"/>
                      <w:sz w:val="18"/>
                      <w:szCs w:val="18"/>
                      <w:highlight w:val="none"/>
                      <w:vertAlign w:val="subscript"/>
                      <w14:textFill>
                        <w14:solidFill>
                          <w14:schemeClr w14:val="tx1"/>
                        </w14:solidFill>
                      </w14:textFill>
                    </w:rPr>
                    <w:t>8</w:t>
                  </w:r>
                </w:p>
              </w:tc>
              <w:tc>
                <w:tcPr>
                  <w:tcW w:w="895" w:type="dxa"/>
                  <w:tcBorders>
                    <w:tl2br w:val="nil"/>
                    <w:tr2bl w:val="nil"/>
                  </w:tcBorders>
                  <w:tcMar>
                    <w:top w:w="0" w:type="dxa"/>
                    <w:left w:w="51" w:type="dxa"/>
                    <w:bottom w:w="0" w:type="dxa"/>
                    <w:right w:w="51" w:type="dxa"/>
                  </w:tcMar>
                  <w:vAlign w:val="center"/>
                </w:tcPr>
                <w:p w14:paraId="5532075F">
                  <w:pPr>
                    <w:widowControl/>
                    <w:spacing w:line="240" w:lineRule="auto"/>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C</w:t>
                  </w:r>
                  <w:r>
                    <w:rPr>
                      <w:color w:val="000000" w:themeColor="text1"/>
                      <w:sz w:val="18"/>
                      <w:szCs w:val="18"/>
                      <w:highlight w:val="none"/>
                      <w:vertAlign w:val="subscript"/>
                      <w14:textFill>
                        <w14:solidFill>
                          <w14:schemeClr w14:val="tx1"/>
                        </w14:solidFill>
                      </w14:textFill>
                    </w:rPr>
                    <w:t>4</w:t>
                  </w:r>
                  <w:r>
                    <w:rPr>
                      <w:color w:val="000000" w:themeColor="text1"/>
                      <w:sz w:val="18"/>
                      <w:szCs w:val="18"/>
                      <w:highlight w:val="none"/>
                      <w14:textFill>
                        <w14:solidFill>
                          <w14:schemeClr w14:val="tx1"/>
                        </w14:solidFill>
                      </w14:textFill>
                    </w:rPr>
                    <w:t>H</w:t>
                  </w:r>
                  <w:r>
                    <w:rPr>
                      <w:color w:val="000000" w:themeColor="text1"/>
                      <w:sz w:val="18"/>
                      <w:szCs w:val="18"/>
                      <w:highlight w:val="none"/>
                      <w:vertAlign w:val="subscript"/>
                      <w14:textFill>
                        <w14:solidFill>
                          <w14:schemeClr w14:val="tx1"/>
                        </w14:solidFill>
                      </w14:textFill>
                    </w:rPr>
                    <w:t>10</w:t>
                  </w:r>
                </w:p>
              </w:tc>
              <w:tc>
                <w:tcPr>
                  <w:tcW w:w="895" w:type="dxa"/>
                  <w:tcBorders>
                    <w:tl2br w:val="nil"/>
                    <w:tr2bl w:val="nil"/>
                  </w:tcBorders>
                  <w:tcMar>
                    <w:top w:w="0" w:type="dxa"/>
                    <w:left w:w="51" w:type="dxa"/>
                    <w:bottom w:w="0" w:type="dxa"/>
                    <w:right w:w="51" w:type="dxa"/>
                  </w:tcMar>
                  <w:vAlign w:val="center"/>
                </w:tcPr>
                <w:p w14:paraId="47F63EB0">
                  <w:pPr>
                    <w:widowControl/>
                    <w:spacing w:line="240" w:lineRule="auto"/>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CO</w:t>
                  </w:r>
                  <w:r>
                    <w:rPr>
                      <w:color w:val="000000" w:themeColor="text1"/>
                      <w:sz w:val="18"/>
                      <w:szCs w:val="18"/>
                      <w:highlight w:val="none"/>
                      <w:vertAlign w:val="subscript"/>
                      <w14:textFill>
                        <w14:solidFill>
                          <w14:schemeClr w14:val="tx1"/>
                        </w14:solidFill>
                      </w14:textFill>
                    </w:rPr>
                    <w:t>2</w:t>
                  </w:r>
                </w:p>
              </w:tc>
              <w:tc>
                <w:tcPr>
                  <w:tcW w:w="895" w:type="dxa"/>
                  <w:tcBorders>
                    <w:tl2br w:val="nil"/>
                    <w:tr2bl w:val="nil"/>
                  </w:tcBorders>
                  <w:tcMar>
                    <w:top w:w="0" w:type="dxa"/>
                    <w:left w:w="51" w:type="dxa"/>
                    <w:bottom w:w="0" w:type="dxa"/>
                    <w:right w:w="51" w:type="dxa"/>
                  </w:tcMar>
                  <w:vAlign w:val="center"/>
                </w:tcPr>
                <w:p w14:paraId="203FE46B">
                  <w:pPr>
                    <w:widowControl/>
                    <w:spacing w:line="240" w:lineRule="auto"/>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N</w:t>
                  </w:r>
                  <w:r>
                    <w:rPr>
                      <w:color w:val="000000" w:themeColor="text1"/>
                      <w:sz w:val="18"/>
                      <w:szCs w:val="18"/>
                      <w:highlight w:val="none"/>
                      <w:vertAlign w:val="subscript"/>
                      <w14:textFill>
                        <w14:solidFill>
                          <w14:schemeClr w14:val="tx1"/>
                        </w14:solidFill>
                      </w14:textFill>
                    </w:rPr>
                    <w:t>2</w:t>
                  </w:r>
                </w:p>
              </w:tc>
              <w:tc>
                <w:tcPr>
                  <w:tcW w:w="1194" w:type="dxa"/>
                  <w:tcBorders>
                    <w:tl2br w:val="nil"/>
                    <w:tr2bl w:val="nil"/>
                  </w:tcBorders>
                  <w:tcMar>
                    <w:top w:w="0" w:type="dxa"/>
                    <w:left w:w="51" w:type="dxa"/>
                    <w:bottom w:w="0" w:type="dxa"/>
                    <w:right w:w="51" w:type="dxa"/>
                  </w:tcMar>
                  <w:vAlign w:val="center"/>
                </w:tcPr>
                <w:p w14:paraId="25969998">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总硫（以硫计）</w:t>
                  </w:r>
                </w:p>
              </w:tc>
              <w:tc>
                <w:tcPr>
                  <w:tcW w:w="1288" w:type="dxa"/>
                  <w:tcBorders>
                    <w:tl2br w:val="nil"/>
                    <w:tr2bl w:val="nil"/>
                  </w:tcBorders>
                  <w:tcMar>
                    <w:top w:w="0" w:type="dxa"/>
                    <w:left w:w="51" w:type="dxa"/>
                    <w:bottom w:w="0" w:type="dxa"/>
                    <w:right w:w="51" w:type="dxa"/>
                  </w:tcMar>
                  <w:vAlign w:val="center"/>
                </w:tcPr>
                <w:p w14:paraId="4DABE6D6">
                  <w:pPr>
                    <w:widowControl/>
                    <w:spacing w:line="240" w:lineRule="auto"/>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热值</w:t>
                  </w:r>
                </w:p>
              </w:tc>
            </w:tr>
            <w:tr w14:paraId="500C9A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06" w:type="dxa"/>
                  <w:tcBorders>
                    <w:tl2br w:val="nil"/>
                    <w:tr2bl w:val="nil"/>
                  </w:tcBorders>
                  <w:tcMar>
                    <w:top w:w="0" w:type="dxa"/>
                    <w:left w:w="51" w:type="dxa"/>
                    <w:bottom w:w="0" w:type="dxa"/>
                    <w:right w:w="51" w:type="dxa"/>
                  </w:tcMar>
                  <w:vAlign w:val="center"/>
                </w:tcPr>
                <w:p w14:paraId="63D2C137">
                  <w:pPr>
                    <w:widowControl/>
                    <w:spacing w:line="240" w:lineRule="auto"/>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天然气</w:t>
                  </w:r>
                </w:p>
              </w:tc>
              <w:tc>
                <w:tcPr>
                  <w:tcW w:w="895" w:type="dxa"/>
                  <w:tcBorders>
                    <w:tl2br w:val="nil"/>
                    <w:tr2bl w:val="nil"/>
                  </w:tcBorders>
                  <w:tcMar>
                    <w:top w:w="0" w:type="dxa"/>
                    <w:left w:w="51" w:type="dxa"/>
                    <w:bottom w:w="0" w:type="dxa"/>
                    <w:right w:w="51" w:type="dxa"/>
                  </w:tcMar>
                  <w:vAlign w:val="center"/>
                </w:tcPr>
                <w:p w14:paraId="3A71C5AD">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91.83</w:t>
                  </w:r>
                  <w:r>
                    <w:rPr>
                      <w:color w:val="000000" w:themeColor="text1"/>
                      <w:sz w:val="18"/>
                      <w:szCs w:val="18"/>
                      <w:highlight w:val="none"/>
                      <w14:textFill>
                        <w14:solidFill>
                          <w14:schemeClr w14:val="tx1"/>
                        </w14:solidFill>
                      </w14:textFill>
                    </w:rPr>
                    <w:t>%</w:t>
                  </w:r>
                </w:p>
              </w:tc>
              <w:tc>
                <w:tcPr>
                  <w:tcW w:w="895" w:type="dxa"/>
                  <w:tcBorders>
                    <w:tl2br w:val="nil"/>
                    <w:tr2bl w:val="nil"/>
                  </w:tcBorders>
                  <w:tcMar>
                    <w:top w:w="0" w:type="dxa"/>
                    <w:left w:w="51" w:type="dxa"/>
                    <w:bottom w:w="0" w:type="dxa"/>
                    <w:right w:w="51" w:type="dxa"/>
                  </w:tcMar>
                  <w:vAlign w:val="center"/>
                </w:tcPr>
                <w:p w14:paraId="4AB506B1">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3.57</w:t>
                  </w:r>
                  <w:r>
                    <w:rPr>
                      <w:color w:val="000000" w:themeColor="text1"/>
                      <w:sz w:val="18"/>
                      <w:szCs w:val="18"/>
                      <w:highlight w:val="none"/>
                      <w14:textFill>
                        <w14:solidFill>
                          <w14:schemeClr w14:val="tx1"/>
                        </w14:solidFill>
                      </w14:textFill>
                    </w:rPr>
                    <w:t>%</w:t>
                  </w:r>
                </w:p>
              </w:tc>
              <w:tc>
                <w:tcPr>
                  <w:tcW w:w="895" w:type="dxa"/>
                  <w:tcBorders>
                    <w:tl2br w:val="nil"/>
                    <w:tr2bl w:val="nil"/>
                  </w:tcBorders>
                  <w:tcMar>
                    <w:top w:w="0" w:type="dxa"/>
                    <w:left w:w="51" w:type="dxa"/>
                    <w:bottom w:w="0" w:type="dxa"/>
                    <w:right w:w="51" w:type="dxa"/>
                  </w:tcMar>
                  <w:vAlign w:val="center"/>
                </w:tcPr>
                <w:p w14:paraId="1F2746BF">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0.63</w:t>
                  </w:r>
                  <w:r>
                    <w:rPr>
                      <w:color w:val="000000" w:themeColor="text1"/>
                      <w:sz w:val="18"/>
                      <w:szCs w:val="18"/>
                      <w:highlight w:val="none"/>
                      <w14:textFill>
                        <w14:solidFill>
                          <w14:schemeClr w14:val="tx1"/>
                        </w14:solidFill>
                      </w14:textFill>
                    </w:rPr>
                    <w:t>%</w:t>
                  </w:r>
                </w:p>
              </w:tc>
              <w:tc>
                <w:tcPr>
                  <w:tcW w:w="895" w:type="dxa"/>
                  <w:tcBorders>
                    <w:tl2br w:val="nil"/>
                    <w:tr2bl w:val="nil"/>
                  </w:tcBorders>
                  <w:tcMar>
                    <w:top w:w="0" w:type="dxa"/>
                    <w:left w:w="51" w:type="dxa"/>
                    <w:bottom w:w="0" w:type="dxa"/>
                    <w:right w:w="51" w:type="dxa"/>
                  </w:tcMar>
                  <w:vAlign w:val="center"/>
                </w:tcPr>
                <w:p w14:paraId="3316816E">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0.23</w:t>
                  </w:r>
                  <w:r>
                    <w:rPr>
                      <w:color w:val="000000" w:themeColor="text1"/>
                      <w:sz w:val="18"/>
                      <w:szCs w:val="18"/>
                      <w:highlight w:val="none"/>
                      <w14:textFill>
                        <w14:solidFill>
                          <w14:schemeClr w14:val="tx1"/>
                        </w14:solidFill>
                      </w14:textFill>
                    </w:rPr>
                    <w:t>%</w:t>
                  </w:r>
                </w:p>
              </w:tc>
              <w:tc>
                <w:tcPr>
                  <w:tcW w:w="895" w:type="dxa"/>
                  <w:tcBorders>
                    <w:tl2br w:val="nil"/>
                    <w:tr2bl w:val="nil"/>
                  </w:tcBorders>
                  <w:tcMar>
                    <w:top w:w="0" w:type="dxa"/>
                    <w:left w:w="51" w:type="dxa"/>
                    <w:bottom w:w="0" w:type="dxa"/>
                    <w:right w:w="51" w:type="dxa"/>
                  </w:tcMar>
                  <w:vAlign w:val="center"/>
                </w:tcPr>
                <w:p w14:paraId="6848EEB3">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1.21</w:t>
                  </w:r>
                  <w:r>
                    <w:rPr>
                      <w:color w:val="000000" w:themeColor="text1"/>
                      <w:sz w:val="18"/>
                      <w:szCs w:val="18"/>
                      <w:highlight w:val="none"/>
                      <w14:textFill>
                        <w14:solidFill>
                          <w14:schemeClr w14:val="tx1"/>
                        </w14:solidFill>
                      </w14:textFill>
                    </w:rPr>
                    <w:t>%</w:t>
                  </w:r>
                </w:p>
              </w:tc>
              <w:tc>
                <w:tcPr>
                  <w:tcW w:w="895" w:type="dxa"/>
                  <w:tcBorders>
                    <w:tl2br w:val="nil"/>
                    <w:tr2bl w:val="nil"/>
                  </w:tcBorders>
                  <w:tcMar>
                    <w:top w:w="0" w:type="dxa"/>
                    <w:left w:w="51" w:type="dxa"/>
                    <w:bottom w:w="0" w:type="dxa"/>
                    <w:right w:w="51" w:type="dxa"/>
                  </w:tcMar>
                  <w:vAlign w:val="center"/>
                </w:tcPr>
                <w:p w14:paraId="4BE276F8">
                  <w:pPr>
                    <w:widowControl/>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2.47</w:t>
                  </w:r>
                  <w:r>
                    <w:rPr>
                      <w:color w:val="000000" w:themeColor="text1"/>
                      <w:sz w:val="18"/>
                      <w:szCs w:val="18"/>
                      <w:highlight w:val="none"/>
                      <w14:textFill>
                        <w14:solidFill>
                          <w14:schemeClr w14:val="tx1"/>
                        </w14:solidFill>
                      </w14:textFill>
                    </w:rPr>
                    <w:t>%</w:t>
                  </w:r>
                </w:p>
              </w:tc>
              <w:tc>
                <w:tcPr>
                  <w:tcW w:w="1194" w:type="dxa"/>
                  <w:tcBorders>
                    <w:tl2br w:val="nil"/>
                    <w:tr2bl w:val="nil"/>
                  </w:tcBorders>
                  <w:tcMar>
                    <w:top w:w="0" w:type="dxa"/>
                    <w:left w:w="51" w:type="dxa"/>
                    <w:bottom w:w="0" w:type="dxa"/>
                    <w:right w:w="51" w:type="dxa"/>
                  </w:tcMar>
                  <w:vAlign w:val="center"/>
                </w:tcPr>
                <w:p w14:paraId="44689AA0">
                  <w:pPr>
                    <w:widowControl/>
                    <w:spacing w:line="240" w:lineRule="auto"/>
                    <w:jc w:val="center"/>
                    <w:rPr>
                      <w:color w:val="000000" w:themeColor="text1"/>
                      <w:sz w:val="18"/>
                      <w:szCs w:val="18"/>
                      <w:highlight w:val="none"/>
                      <w:vertAlign w:val="superscript"/>
                      <w14:textFill>
                        <w14:solidFill>
                          <w14:schemeClr w14:val="tx1"/>
                        </w14:solidFill>
                      </w14:textFill>
                    </w:rPr>
                  </w:pP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20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1288" w:type="dxa"/>
                  <w:tcBorders>
                    <w:tl2br w:val="nil"/>
                    <w:tr2bl w:val="nil"/>
                  </w:tcBorders>
                  <w:tcMar>
                    <w:top w:w="0" w:type="dxa"/>
                    <w:left w:w="51" w:type="dxa"/>
                    <w:bottom w:w="0" w:type="dxa"/>
                    <w:right w:w="51" w:type="dxa"/>
                  </w:tcMar>
                  <w:vAlign w:val="center"/>
                </w:tcPr>
                <w:p w14:paraId="76F45440">
                  <w:pPr>
                    <w:widowControl/>
                    <w:spacing w:line="240" w:lineRule="auto"/>
                    <w:jc w:val="center"/>
                    <w:rPr>
                      <w:color w:val="000000" w:themeColor="text1"/>
                      <w:sz w:val="18"/>
                      <w:szCs w:val="18"/>
                      <w:highlight w:val="none"/>
                      <w:vertAlign w:val="superscript"/>
                      <w14:textFill>
                        <w14:solidFill>
                          <w14:schemeClr w14:val="tx1"/>
                        </w14:solidFill>
                      </w14:textFill>
                    </w:rPr>
                  </w:pPr>
                  <w:r>
                    <w:rPr>
                      <w:rFonts w:hint="eastAsia"/>
                      <w:color w:val="000000" w:themeColor="text1"/>
                      <w:sz w:val="18"/>
                      <w:szCs w:val="18"/>
                      <w:highlight w:val="none"/>
                      <w14:textFill>
                        <w14:solidFill>
                          <w14:schemeClr w14:val="tx1"/>
                        </w14:solidFill>
                      </w14:textFill>
                    </w:rPr>
                    <w:t>33740</w:t>
                  </w:r>
                  <w:r>
                    <w:rPr>
                      <w:color w:val="000000" w:themeColor="text1"/>
                      <w:sz w:val="18"/>
                      <w:szCs w:val="18"/>
                      <w:highlight w:val="none"/>
                      <w14:textFill>
                        <w14:solidFill>
                          <w14:schemeClr w14:val="tx1"/>
                        </w14:solidFill>
                      </w14:textFill>
                    </w:rPr>
                    <w:t>KJ/m</w:t>
                  </w:r>
                  <w:r>
                    <w:rPr>
                      <w:color w:val="000000" w:themeColor="text1"/>
                      <w:sz w:val="18"/>
                      <w:szCs w:val="18"/>
                      <w:highlight w:val="none"/>
                      <w:vertAlign w:val="superscript"/>
                      <w14:textFill>
                        <w14:solidFill>
                          <w14:schemeClr w14:val="tx1"/>
                        </w14:solidFill>
                      </w14:textFill>
                    </w:rPr>
                    <w:t>3</w:t>
                  </w:r>
                </w:p>
              </w:tc>
            </w:tr>
          </w:tbl>
          <w:p w14:paraId="05C6D748">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污泥掺烧制砖可行性：</w:t>
            </w:r>
          </w:p>
          <w:p w14:paraId="3900BB9B">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工业</w:t>
            </w:r>
            <w:r>
              <w:rPr>
                <w:color w:val="000000" w:themeColor="text1"/>
                <w:sz w:val="24"/>
                <w:highlight w:val="none"/>
                <w14:textFill>
                  <w14:solidFill>
                    <w14:schemeClr w14:val="tx1"/>
                  </w14:solidFill>
                </w14:textFill>
              </w:rPr>
              <w:t>污泥成分检测数据满足《水泥窑协同处置固体废物技术规范》（GB30760-2014）入窑生料中重金属含量参考限值</w:t>
            </w:r>
            <w:r>
              <w:rPr>
                <w:rFonts w:hint="eastAsia"/>
                <w:color w:val="000000" w:themeColor="text1"/>
                <w:sz w:val="24"/>
                <w:highlight w:val="none"/>
                <w14:textFill>
                  <w14:solidFill>
                    <w14:schemeClr w14:val="tx1"/>
                  </w14:solidFill>
                </w14:textFill>
              </w:rPr>
              <w:t>，可以入窑处置；</w:t>
            </w:r>
          </w:p>
          <w:p w14:paraId="41AA5B1E">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工业污泥产生单位对</w:t>
            </w:r>
            <w:r>
              <w:rPr>
                <w:color w:val="000000" w:themeColor="text1"/>
                <w:sz w:val="24"/>
                <w:highlight w:val="none"/>
                <w14:textFill>
                  <w14:solidFill>
                    <w14:schemeClr w14:val="tx1"/>
                  </w14:solidFill>
                </w14:textFill>
              </w:rPr>
              <w:t>污泥进行</w:t>
            </w:r>
            <w:r>
              <w:rPr>
                <w:rFonts w:hint="eastAsia"/>
                <w:color w:val="000000" w:themeColor="text1"/>
                <w:sz w:val="24"/>
                <w:highlight w:val="none"/>
                <w14:textFill>
                  <w14:solidFill>
                    <w14:schemeClr w14:val="tx1"/>
                  </w14:solidFill>
                </w14:textFill>
              </w:rPr>
              <w:t>了</w:t>
            </w:r>
            <w:r>
              <w:rPr>
                <w:color w:val="000000" w:themeColor="text1"/>
                <w:sz w:val="24"/>
                <w:highlight w:val="none"/>
                <w14:textFill>
                  <w14:solidFill>
                    <w14:schemeClr w14:val="tx1"/>
                  </w14:solidFill>
                </w14:textFill>
              </w:rPr>
              <w:t>危险特性鉴别，依据分析测定结果和危险废物具体鉴别情况及判定标准，判定其不具有易燃性、反应性、腐蚀性、浸出毒性、急性毒性，毒性物质含量未超标，正常运行情况下属于一般工业固体废物</w:t>
            </w:r>
            <w:r>
              <w:rPr>
                <w:rFonts w:hint="eastAsia"/>
                <w:color w:val="000000" w:themeColor="text1"/>
                <w:sz w:val="24"/>
                <w:highlight w:val="none"/>
                <w14:textFill>
                  <w14:solidFill>
                    <w14:schemeClr w14:val="tx1"/>
                  </w14:solidFill>
                </w14:textFill>
              </w:rPr>
              <w:t>；</w:t>
            </w:r>
          </w:p>
          <w:p w14:paraId="2657320F">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污水站产生的生活污泥属于一般</w:t>
            </w:r>
            <w:r>
              <w:rPr>
                <w:color w:val="000000" w:themeColor="text1"/>
                <w:sz w:val="24"/>
                <w:highlight w:val="none"/>
                <w14:textFill>
                  <w14:solidFill>
                    <w14:schemeClr w14:val="tx1"/>
                  </w14:solidFill>
                </w14:textFill>
              </w:rPr>
              <w:t>工业固体废物</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成分检测数据满足</w:t>
            </w:r>
            <w:r>
              <w:rPr>
                <w:rFonts w:hint="eastAsia"/>
                <w:color w:val="000000" w:themeColor="text1"/>
                <w:sz w:val="24"/>
                <w:highlight w:val="none"/>
                <w14:textFill>
                  <w14:solidFill>
                    <w14:schemeClr w14:val="tx1"/>
                  </w14:solidFill>
                </w14:textFill>
              </w:rPr>
              <w:t>《城镇污水处理厂污泥处置 制砖用泥质》（GB/T25031-2010）制砖用泥质要求，</w:t>
            </w:r>
            <w:r>
              <w:rPr>
                <w:color w:val="000000" w:themeColor="text1"/>
                <w:sz w:val="24"/>
                <w:highlight w:val="none"/>
                <w14:textFill>
                  <w14:solidFill>
                    <w14:schemeClr w14:val="tx1"/>
                  </w14:solidFill>
                </w14:textFill>
              </w:rPr>
              <w:t>污泥在运输过程</w:t>
            </w:r>
            <w:r>
              <w:rPr>
                <w:rFonts w:hint="eastAsia"/>
                <w:color w:val="000000" w:themeColor="text1"/>
                <w:sz w:val="24"/>
                <w:highlight w:val="none"/>
                <w14:textFill>
                  <w14:solidFill>
                    <w14:schemeClr w14:val="tx1"/>
                  </w14:solidFill>
                </w14:textFill>
              </w:rPr>
              <w:t>及存储过程</w:t>
            </w:r>
            <w:r>
              <w:rPr>
                <w:color w:val="000000" w:themeColor="text1"/>
                <w:sz w:val="24"/>
                <w:highlight w:val="none"/>
                <w14:textFill>
                  <w14:solidFill>
                    <w14:schemeClr w14:val="tx1"/>
                  </w14:solidFill>
                </w14:textFill>
              </w:rPr>
              <w:t>中会损耗一部分水量，</w:t>
            </w:r>
            <w:r>
              <w:rPr>
                <w:rFonts w:hint="eastAsia"/>
                <w:color w:val="000000" w:themeColor="text1"/>
                <w:sz w:val="24"/>
                <w:highlight w:val="none"/>
                <w:lang w:val="en-US" w:eastAsia="zh-CN"/>
                <w14:textFill>
                  <w14:solidFill>
                    <w14:schemeClr w14:val="tx1"/>
                  </w14:solidFill>
                </w14:textFill>
              </w:rPr>
              <w:t>同时建设单位通过调节搅拌用水量确保</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污泥</w:t>
            </w:r>
            <w:r>
              <w:rPr>
                <w:rFonts w:hint="eastAsia"/>
                <w:color w:val="000000" w:themeColor="text1"/>
                <w:sz w:val="24"/>
                <w:highlight w:val="none"/>
                <w14:textFill>
                  <w14:solidFill>
                    <w14:schemeClr w14:val="tx1"/>
                  </w14:solidFill>
                </w14:textFill>
              </w:rPr>
              <w:t>含水率可达到GB/T25031-2010中污泥用于制砖时的含水率要求；</w:t>
            </w:r>
          </w:p>
          <w:p w14:paraId="46F04A60">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根据《城镇污水处理厂污泥处置 制砖用泥质》（GB/T25031-2010）要求“将处理后污泥与其他制砖原料混合时，污泥(以干污泥计)与制砖总原料的重量比(wt%)，即混合比例应小于或等于10%”，本次改扩建后，</w:t>
            </w:r>
            <w:r>
              <w:rPr>
                <w:color w:val="000000" w:themeColor="text1"/>
                <w:sz w:val="24"/>
                <w:highlight w:val="none"/>
                <w14:textFill>
                  <w14:solidFill>
                    <w14:schemeClr w14:val="tx1"/>
                  </w14:solidFill>
                </w14:textFill>
              </w:rPr>
              <w:t>工业污泥</w:t>
            </w:r>
            <w:r>
              <w:rPr>
                <w:rFonts w:hint="eastAsia"/>
                <w:color w:val="000000" w:themeColor="text1"/>
                <w:sz w:val="24"/>
                <w:highlight w:val="none"/>
                <w14:textFill>
                  <w14:solidFill>
                    <w14:schemeClr w14:val="tx1"/>
                  </w14:solidFill>
                </w14:textFill>
              </w:rPr>
              <w:t>和生活污泥</w:t>
            </w:r>
            <w:r>
              <w:rPr>
                <w:color w:val="000000" w:themeColor="text1"/>
                <w:sz w:val="24"/>
                <w:highlight w:val="none"/>
                <w14:textFill>
                  <w14:solidFill>
                    <w14:schemeClr w14:val="tx1"/>
                  </w14:solidFill>
                </w14:textFill>
              </w:rPr>
              <w:t>（以干污泥计）掺烧比例</w:t>
            </w:r>
            <w:r>
              <w:rPr>
                <w:rFonts w:hint="eastAsia"/>
                <w:color w:val="000000" w:themeColor="text1"/>
                <w:sz w:val="24"/>
                <w:highlight w:val="none"/>
                <w:lang w:val="en-US" w:eastAsia="zh-CN"/>
                <w14:textFill>
                  <w14:solidFill>
                    <w14:schemeClr w14:val="tx1"/>
                  </w14:solidFill>
                </w14:textFill>
              </w:rPr>
              <w:t>约</w:t>
            </w:r>
            <w:r>
              <w:rPr>
                <w:color w:val="000000" w:themeColor="text1"/>
                <w:sz w:val="24"/>
                <w:highlight w:val="none"/>
                <w14:textFill>
                  <w14:solidFill>
                    <w14:schemeClr w14:val="tx1"/>
                  </w14:solidFill>
                </w14:textFill>
              </w:rPr>
              <w:t>为</w:t>
            </w:r>
            <w:r>
              <w:rPr>
                <w:rFonts w:hint="eastAsia"/>
                <w:color w:val="000000" w:themeColor="text1"/>
                <w:sz w:val="24"/>
                <w:highlight w:val="none"/>
                <w:lang w:val="en-US" w:eastAsia="zh-CN"/>
                <w14:textFill>
                  <w14:solidFill>
                    <w14:schemeClr w14:val="tx1"/>
                  </w14:solidFill>
                </w14:textFill>
              </w:rPr>
              <w:t>5.19</w:t>
            </w:r>
            <w:r>
              <w:rPr>
                <w:color w:val="000000" w:themeColor="text1"/>
                <w:sz w:val="24"/>
                <w:highlight w:val="none"/>
                <w14:textFill>
                  <w14:solidFill>
                    <w14:schemeClr w14:val="tx1"/>
                  </w14:solidFill>
                </w14:textFill>
              </w:rPr>
              <w:t>%，掺烧比例满足相关要求。</w:t>
            </w:r>
          </w:p>
          <w:p w14:paraId="02F46A4A">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根据《排污许可证申请与核发技术规范 陶瓷砖瓦工业》(HJ954—2018)“烧结砖瓦生产包括硬质原料（页岩、煤矸石等）、软质原料（粘土、淤泥（江河湖海淤泥）、粉煤灰、污泥（城市污泥）等）”，本项目使用污泥可行；其他一般工业固体废物制砖可行性：铁选厂干排淤泥</w:t>
            </w:r>
            <w:r>
              <w:rPr>
                <w:color w:val="000000" w:themeColor="text1"/>
                <w:sz w:val="24"/>
                <w:highlight w:val="none"/>
                <w14:textFill>
                  <w14:solidFill>
                    <w14:schemeClr w14:val="tx1"/>
                  </w14:solidFill>
                </w14:textFill>
              </w:rPr>
              <w:t>主要</w:t>
            </w:r>
            <w:r>
              <w:rPr>
                <w:rFonts w:hint="eastAsia"/>
                <w:color w:val="000000" w:themeColor="text1"/>
                <w:sz w:val="24"/>
                <w:highlight w:val="none"/>
                <w14:textFill>
                  <w14:solidFill>
                    <w14:schemeClr w14:val="tx1"/>
                  </w14:solidFill>
                </w14:textFill>
              </w:rPr>
              <w:t>化学</w:t>
            </w:r>
            <w:r>
              <w:rPr>
                <w:color w:val="000000" w:themeColor="text1"/>
                <w:sz w:val="24"/>
                <w:highlight w:val="none"/>
                <w14:textFill>
                  <w14:solidFill>
                    <w14:schemeClr w14:val="tx1"/>
                  </w14:solidFill>
                </w14:textFill>
              </w:rPr>
              <w:t>成分</w:t>
            </w:r>
            <w:r>
              <w:rPr>
                <w:rFonts w:hint="eastAsia"/>
                <w:color w:val="000000" w:themeColor="text1"/>
                <w:sz w:val="24"/>
                <w:highlight w:val="none"/>
                <w14:textFill>
                  <w14:solidFill>
                    <w14:schemeClr w14:val="tx1"/>
                  </w14:solidFill>
                </w14:textFill>
              </w:rPr>
              <w:t>为：</w:t>
            </w:r>
            <w:r>
              <w:rPr>
                <w:color w:val="000000" w:themeColor="text1"/>
                <w:sz w:val="24"/>
                <w:highlight w:val="none"/>
                <w14:textFill>
                  <w14:solidFill>
                    <w14:schemeClr w14:val="tx1"/>
                  </w14:solidFill>
                </w14:textFill>
              </w:rPr>
              <w:t>SiO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、Al</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、Fe</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O</w:t>
            </w:r>
            <w:r>
              <w:rPr>
                <w:color w:val="000000" w:themeColor="text1"/>
                <w:sz w:val="24"/>
                <w:highlight w:val="none"/>
                <w:vertAlign w:val="subscript"/>
                <w14:textFill>
                  <w14:solidFill>
                    <w14:schemeClr w14:val="tx1"/>
                  </w14:solidFill>
                </w14:textFill>
              </w:rPr>
              <w:t>3</w:t>
            </w:r>
            <w:r>
              <w:rPr>
                <w:color w:val="000000" w:themeColor="text1"/>
                <w:sz w:val="24"/>
                <w:highlight w:val="none"/>
                <w14:textFill>
                  <w14:solidFill>
                    <w14:schemeClr w14:val="tx1"/>
                  </w14:solidFill>
                </w14:textFill>
              </w:rPr>
              <w:t>、CaO和MgO</w:t>
            </w:r>
            <w:r>
              <w:rPr>
                <w:rFonts w:hint="eastAsia"/>
                <w:color w:val="000000" w:themeColor="text1"/>
                <w:sz w:val="24"/>
                <w:highlight w:val="none"/>
                <w14:textFill>
                  <w14:solidFill>
                    <w14:schemeClr w14:val="tx1"/>
                  </w14:solidFill>
                </w14:textFill>
              </w:rPr>
              <w:t>，其主要成分与页岩类似，用于替代页岩可行；根据建设单位提供资料，炉渣低位发热量、干基高位发热量均高于煤矸石，用于替代煤矸石可行。</w:t>
            </w:r>
          </w:p>
          <w:p w14:paraId="56A1CE14">
            <w:pPr>
              <w:spacing w:line="480" w:lineRule="exact"/>
              <w:ind w:firstLine="480" w:firstLineChars="200"/>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主要</w:t>
            </w:r>
            <w:r>
              <w:rPr>
                <w:rFonts w:hint="eastAsia"/>
                <w:bCs/>
                <w:color w:val="000000" w:themeColor="text1"/>
                <w:sz w:val="24"/>
                <w:highlight w:val="none"/>
                <w14:textFill>
                  <w14:solidFill>
                    <w14:schemeClr w14:val="tx1"/>
                  </w14:solidFill>
                </w14:textFill>
              </w:rPr>
              <w:t>物料存储设施及存储能力一览表见表2-1</w:t>
            </w:r>
            <w:r>
              <w:rPr>
                <w:rFonts w:hint="eastAsia"/>
                <w:bCs/>
                <w:color w:val="000000" w:themeColor="text1"/>
                <w:sz w:val="24"/>
                <w:highlight w:val="none"/>
                <w:lang w:val="en-US" w:eastAsia="zh-CN"/>
                <w14:textFill>
                  <w14:solidFill>
                    <w14:schemeClr w14:val="tx1"/>
                  </w14:solidFill>
                </w14:textFill>
              </w:rPr>
              <w:t>7</w:t>
            </w:r>
            <w:r>
              <w:rPr>
                <w:rFonts w:hint="eastAsia"/>
                <w:bCs/>
                <w:color w:val="000000" w:themeColor="text1"/>
                <w:sz w:val="24"/>
                <w:highlight w:val="none"/>
                <w14:textFill>
                  <w14:solidFill>
                    <w14:schemeClr w14:val="tx1"/>
                  </w14:solidFill>
                </w14:textFill>
              </w:rPr>
              <w:t>。</w:t>
            </w:r>
          </w:p>
          <w:p w14:paraId="78D0EFF7">
            <w:pPr>
              <w:spacing w:line="480" w:lineRule="exact"/>
              <w:ind w:firstLine="1293" w:firstLineChars="539"/>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2-1</w:t>
            </w:r>
            <w:r>
              <w:rPr>
                <w:rFonts w:hint="eastAsia" w:ascii="黑体" w:hAnsi="黑体" w:eastAsia="黑体"/>
                <w:bCs/>
                <w:color w:val="000000" w:themeColor="text1"/>
                <w:sz w:val="24"/>
                <w:highlight w:val="none"/>
                <w:lang w:val="en-US" w:eastAsia="zh-CN"/>
                <w14:textFill>
                  <w14:solidFill>
                    <w14:schemeClr w14:val="tx1"/>
                  </w14:solidFill>
                </w14:textFill>
              </w:rPr>
              <w:t>7</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主要</w:t>
            </w:r>
            <w:r>
              <w:rPr>
                <w:rFonts w:hint="eastAsia" w:ascii="黑体" w:hAnsi="黑体" w:eastAsia="黑体"/>
                <w:bCs/>
                <w:color w:val="000000" w:themeColor="text1"/>
                <w:sz w:val="24"/>
                <w:highlight w:val="none"/>
                <w14:textFill>
                  <w14:solidFill>
                    <w14:schemeClr w14:val="tx1"/>
                  </w14:solidFill>
                </w14:textFill>
              </w:rPr>
              <w:t>物料存储设施及存储能力一览表</w:t>
            </w:r>
          </w:p>
          <w:tbl>
            <w:tblPr>
              <w:tblStyle w:val="24"/>
              <w:tblW w:w="8650" w:type="dxa"/>
              <w:jc w:val="center"/>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276"/>
              <w:gridCol w:w="6762"/>
            </w:tblGrid>
            <w:tr w14:paraId="3219FD8B">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612" w:type="dxa"/>
                  <w:vAlign w:val="center"/>
                </w:tcPr>
                <w:p w14:paraId="3292F35B">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1276" w:type="dxa"/>
                  <w:vAlign w:val="center"/>
                </w:tcPr>
                <w:p w14:paraId="76C3034E">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6762" w:type="dxa"/>
                  <w:vAlign w:val="center"/>
                </w:tcPr>
                <w:p w14:paraId="71AF7142">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56BA5C83">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14:paraId="57E02110">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276" w:type="dxa"/>
                  <w:vAlign w:val="center"/>
                </w:tcPr>
                <w:p w14:paraId="51A35BE7">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w:t>
                  </w:r>
                </w:p>
              </w:tc>
              <w:tc>
                <w:tcPr>
                  <w:tcW w:w="6762" w:type="dxa"/>
                  <w:vAlign w:val="center"/>
                </w:tcPr>
                <w:p w14:paraId="34C67CC2">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存储于现有页岩原料库，地面已采用抗渗混凝土硬化，存储区面积290m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29</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10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，堆存高度4m，有效容积387m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，堆存密度2500kg/m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，堆存量967.5t，够</w:t>
                  </w: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天用量</w:t>
                  </w:r>
                </w:p>
              </w:tc>
            </w:tr>
            <w:tr w14:paraId="2789F173">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14:paraId="3B58F0E4">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276" w:type="dxa"/>
                  <w:vAlign w:val="center"/>
                </w:tcPr>
                <w:p w14:paraId="034A0D28">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煤矸石</w:t>
                  </w:r>
                </w:p>
              </w:tc>
              <w:tc>
                <w:tcPr>
                  <w:tcW w:w="6762" w:type="dxa"/>
                  <w:vAlign w:val="center"/>
                </w:tcPr>
                <w:p w14:paraId="4F208B5E">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存储于现有煤矸石原料库，地面已采用抗渗混凝土硬化，存储区面积800m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40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20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，堆存高度4m，有效容积1067m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，堆存密度2500kg/m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，堆存量2667.5t，够</w:t>
                  </w: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天用量</w:t>
                  </w:r>
                </w:p>
              </w:tc>
            </w:tr>
            <w:tr w14:paraId="36C4477D">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14:paraId="368D81BB">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1276" w:type="dxa"/>
                  <w:vAlign w:val="center"/>
                </w:tcPr>
                <w:p w14:paraId="0F134E07">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剥岩废料</w:t>
                  </w:r>
                </w:p>
              </w:tc>
              <w:tc>
                <w:tcPr>
                  <w:tcW w:w="6762" w:type="dxa"/>
                  <w:vAlign w:val="center"/>
                </w:tcPr>
                <w:p w14:paraId="2B0B7EC2">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存储于现有页岩原料库，地面已采用抗渗混凝土硬化，存储区面积100m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10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10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，堆存高度4m，有效容积133m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，堆存密度2500kg/m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，堆存量632.5t，够</w:t>
                  </w: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天用量</w:t>
                  </w:r>
                </w:p>
              </w:tc>
            </w:tr>
            <w:tr w14:paraId="602A945E">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14:paraId="22EA18A4">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p>
              </w:tc>
              <w:tc>
                <w:tcPr>
                  <w:tcW w:w="1276" w:type="dxa"/>
                  <w:vAlign w:val="center"/>
                </w:tcPr>
                <w:p w14:paraId="1A231563">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工业污泥</w:t>
                  </w:r>
                </w:p>
              </w:tc>
              <w:tc>
                <w:tcPr>
                  <w:tcW w:w="6762" w:type="dxa"/>
                  <w:vAlign w:val="center"/>
                </w:tcPr>
                <w:p w14:paraId="0FF10D7E">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存储于现有污泥库，地面重点防渗处理，存储区面积176m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22</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8</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，来料为泥饼状，堆存高度4m，有效容积235m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，堆存密度2800kg/m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存储</w:t>
                  </w:r>
                  <w:r>
                    <w:rPr>
                      <w:rFonts w:hint="eastAsia"/>
                      <w:color w:val="000000" w:themeColor="text1"/>
                      <w:szCs w:val="21"/>
                      <w:highlight w:val="none"/>
                      <w14:textFill>
                        <w14:solidFill>
                          <w14:schemeClr w14:val="tx1"/>
                        </w14:solidFill>
                      </w14:textFill>
                    </w:rPr>
                    <w:t>存</w:t>
                  </w:r>
                  <w:r>
                    <w:rPr>
                      <w:rFonts w:hint="eastAsia"/>
                      <w:color w:val="000000" w:themeColor="text1"/>
                      <w:szCs w:val="21"/>
                      <w:highlight w:val="none"/>
                      <w:lang w:val="en-US" w:eastAsia="zh-CN"/>
                      <w14:textFill>
                        <w14:solidFill>
                          <w14:schemeClr w14:val="tx1"/>
                        </w14:solidFill>
                      </w14:textFill>
                    </w:rPr>
                    <w:t>能力</w:t>
                  </w:r>
                  <w:r>
                    <w:rPr>
                      <w:rFonts w:hint="eastAsia"/>
                      <w:color w:val="000000" w:themeColor="text1"/>
                      <w:szCs w:val="21"/>
                      <w:highlight w:val="none"/>
                      <w14:textFill>
                        <w14:solidFill>
                          <w14:schemeClr w14:val="tx1"/>
                        </w14:solidFill>
                      </w14:textFill>
                    </w:rPr>
                    <w:t>658t</w:t>
                  </w:r>
                </w:p>
              </w:tc>
            </w:tr>
            <w:tr w14:paraId="281E82F7">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2" w:type="dxa"/>
                  <w:vAlign w:val="center"/>
                </w:tcPr>
                <w:p w14:paraId="722A3B2A">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p>
              </w:tc>
              <w:tc>
                <w:tcPr>
                  <w:tcW w:w="1276" w:type="dxa"/>
                  <w:vAlign w:val="center"/>
                </w:tcPr>
                <w:p w14:paraId="64A7F23E">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w:t>
                  </w:r>
                </w:p>
              </w:tc>
              <w:tc>
                <w:tcPr>
                  <w:tcW w:w="6762" w:type="dxa"/>
                  <w:vAlign w:val="center"/>
                </w:tcPr>
                <w:p w14:paraId="4E75253A">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存储于新建污泥库，地面重点防渗处理，存储区面积176m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22</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8</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，来料为泥饼状，堆存高度4m，有效容积235m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，堆存密度2800kg/m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存储</w:t>
                  </w:r>
                  <w:r>
                    <w:rPr>
                      <w:rFonts w:hint="eastAsia"/>
                      <w:color w:val="000000" w:themeColor="text1"/>
                      <w:szCs w:val="21"/>
                      <w:highlight w:val="none"/>
                      <w14:textFill>
                        <w14:solidFill>
                          <w14:schemeClr w14:val="tx1"/>
                        </w14:solidFill>
                      </w14:textFill>
                    </w:rPr>
                    <w:t>存</w:t>
                  </w:r>
                  <w:r>
                    <w:rPr>
                      <w:rFonts w:hint="eastAsia"/>
                      <w:color w:val="000000" w:themeColor="text1"/>
                      <w:szCs w:val="21"/>
                      <w:highlight w:val="none"/>
                      <w:lang w:val="en-US" w:eastAsia="zh-CN"/>
                      <w14:textFill>
                        <w14:solidFill>
                          <w14:schemeClr w14:val="tx1"/>
                        </w14:solidFill>
                      </w14:textFill>
                    </w:rPr>
                    <w:t>能力</w:t>
                  </w:r>
                  <w:r>
                    <w:rPr>
                      <w:rFonts w:hint="eastAsia"/>
                      <w:color w:val="000000" w:themeColor="text1"/>
                      <w:szCs w:val="21"/>
                      <w:highlight w:val="none"/>
                      <w14:textFill>
                        <w14:solidFill>
                          <w14:schemeClr w14:val="tx1"/>
                        </w14:solidFill>
                      </w14:textFill>
                    </w:rPr>
                    <w:t>658t</w:t>
                  </w:r>
                </w:p>
              </w:tc>
            </w:tr>
            <w:tr w14:paraId="00ED90F6">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12" w:type="dxa"/>
                  <w:vAlign w:val="center"/>
                </w:tcPr>
                <w:p w14:paraId="03A3C870">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p>
              </w:tc>
              <w:tc>
                <w:tcPr>
                  <w:tcW w:w="1276" w:type="dxa"/>
                  <w:vAlign w:val="center"/>
                </w:tcPr>
                <w:p w14:paraId="3B2C2532">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干排淤泥</w:t>
                  </w:r>
                </w:p>
              </w:tc>
              <w:tc>
                <w:tcPr>
                  <w:tcW w:w="6762" w:type="dxa"/>
                  <w:vAlign w:val="center"/>
                </w:tcPr>
                <w:p w14:paraId="34502F88">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存储于现有页岩原料库，地面已采用抗渗混凝土硬化，存储区面积1800m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75</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24</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，来料为泥饼状，堆存高度4m，有效容积67m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，堆存密度2500kg/m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，堆存量6000t，够</w:t>
                  </w:r>
                  <w:r>
                    <w:rPr>
                      <w:rFonts w:hint="eastAsia"/>
                      <w:color w:val="000000" w:themeColor="text1"/>
                      <w:szCs w:val="21"/>
                      <w:highlight w:val="none"/>
                      <w:lang w:val="en-US" w:eastAsia="zh-CN"/>
                      <w14:textFill>
                        <w14:solidFill>
                          <w14:schemeClr w14:val="tx1"/>
                        </w14:solidFill>
                      </w14:textFill>
                    </w:rPr>
                    <w:t>2.5</w:t>
                  </w:r>
                  <w:r>
                    <w:rPr>
                      <w:rFonts w:hint="eastAsia"/>
                      <w:color w:val="000000" w:themeColor="text1"/>
                      <w:szCs w:val="21"/>
                      <w:highlight w:val="none"/>
                      <w14:textFill>
                        <w14:solidFill>
                          <w14:schemeClr w14:val="tx1"/>
                        </w14:solidFill>
                      </w14:textFill>
                    </w:rPr>
                    <w:t>天用量</w:t>
                  </w:r>
                </w:p>
              </w:tc>
            </w:tr>
            <w:tr w14:paraId="72B5C900">
              <w:tblPrEx>
                <w:tblBorders>
                  <w:top w:val="single" w:color="000000"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612" w:type="dxa"/>
                  <w:vAlign w:val="center"/>
                </w:tcPr>
                <w:p w14:paraId="3616D08A">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w:t>
                  </w:r>
                </w:p>
              </w:tc>
              <w:tc>
                <w:tcPr>
                  <w:tcW w:w="1276" w:type="dxa"/>
                  <w:vAlign w:val="center"/>
                </w:tcPr>
                <w:p w14:paraId="19233BF5">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炉渣</w:t>
                  </w:r>
                </w:p>
              </w:tc>
              <w:tc>
                <w:tcPr>
                  <w:tcW w:w="6762" w:type="dxa"/>
                  <w:vAlign w:val="center"/>
                </w:tcPr>
                <w:p w14:paraId="3FFA734C">
                  <w:pPr>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存储于现有煤矸石原料库，地面已采用抗渗混凝土硬化，存储区面积600m</w:t>
                  </w:r>
                  <w:r>
                    <w:rPr>
                      <w:rFonts w:hint="eastAsia"/>
                      <w:color w:val="000000" w:themeColor="text1"/>
                      <w:szCs w:val="21"/>
                      <w:highlight w:val="none"/>
                      <w:vertAlign w:val="superscript"/>
                      <w14:textFill>
                        <w14:solidFill>
                          <w14:schemeClr w14:val="tx1"/>
                        </w14:solidFill>
                      </w14:textFill>
                    </w:rPr>
                    <w:t>2</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30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20</w:t>
                  </w:r>
                  <w:r>
                    <w:rPr>
                      <w:color w:val="000000" w:themeColor="text1"/>
                      <w:szCs w:val="21"/>
                      <w:highlight w:val="none"/>
                      <w14:textFill>
                        <w14:solidFill>
                          <w14:schemeClr w14:val="tx1"/>
                        </w14:solidFill>
                      </w14:textFill>
                    </w:rPr>
                    <w:t>m）</w:t>
                  </w:r>
                  <w:r>
                    <w:rPr>
                      <w:rFonts w:hint="eastAsia"/>
                      <w:color w:val="000000" w:themeColor="text1"/>
                      <w:szCs w:val="21"/>
                      <w:highlight w:val="none"/>
                      <w14:textFill>
                        <w14:solidFill>
                          <w14:schemeClr w14:val="tx1"/>
                        </w14:solidFill>
                      </w14:textFill>
                    </w:rPr>
                    <w:t>，堆存高度4m，有效容积800m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，堆存密度2000kg/m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，堆存量1600t，够</w:t>
                  </w:r>
                  <w:r>
                    <w:rPr>
                      <w:rFonts w:hint="eastAsia"/>
                      <w:color w:val="000000" w:themeColor="text1"/>
                      <w:szCs w:val="21"/>
                      <w:highlight w:val="none"/>
                      <w:lang w:val="en-US" w:eastAsia="zh-CN"/>
                      <w14:textFill>
                        <w14:solidFill>
                          <w14:schemeClr w14:val="tx1"/>
                        </w14:solidFill>
                      </w14:textFill>
                    </w:rPr>
                    <w:t>2.3</w:t>
                  </w:r>
                  <w:r>
                    <w:rPr>
                      <w:rFonts w:hint="eastAsia"/>
                      <w:color w:val="000000" w:themeColor="text1"/>
                      <w:szCs w:val="21"/>
                      <w:highlight w:val="none"/>
                      <w14:textFill>
                        <w14:solidFill>
                          <w14:schemeClr w14:val="tx1"/>
                        </w14:solidFill>
                      </w14:textFill>
                    </w:rPr>
                    <w:t>天用量</w:t>
                  </w:r>
                </w:p>
              </w:tc>
            </w:tr>
          </w:tbl>
          <w:p w14:paraId="71C12CE4">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改扩建前后原辅材料及能源消耗变化情况见表2-1</w:t>
            </w:r>
            <w:r>
              <w:rPr>
                <w:rFonts w:hint="eastAsia"/>
                <w:color w:val="000000" w:themeColor="text1"/>
                <w:sz w:val="24"/>
                <w:highlight w:val="none"/>
                <w:lang w:val="en-US" w:eastAsia="zh-CN"/>
                <w14:textFill>
                  <w14:solidFill>
                    <w14:schemeClr w14:val="tx1"/>
                  </w14:solidFill>
                </w14:textFill>
              </w:rPr>
              <w:t>8</w:t>
            </w:r>
            <w:r>
              <w:rPr>
                <w:rFonts w:hint="eastAsia"/>
                <w:color w:val="000000" w:themeColor="text1"/>
                <w:sz w:val="24"/>
                <w:highlight w:val="none"/>
                <w14:textFill>
                  <w14:solidFill>
                    <w14:schemeClr w14:val="tx1"/>
                  </w14:solidFill>
                </w14:textFill>
              </w:rPr>
              <w:t>。</w:t>
            </w:r>
          </w:p>
          <w:p w14:paraId="1EC43283">
            <w:pPr>
              <w:spacing w:line="480" w:lineRule="exact"/>
              <w:ind w:firstLine="1080" w:firstLineChars="450"/>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kern w:val="0"/>
                <w:sz w:val="24"/>
                <w:highlight w:val="none"/>
                <w14:textFill>
                  <w14:solidFill>
                    <w14:schemeClr w14:val="tx1"/>
                  </w14:solidFill>
                </w14:textFill>
              </w:rPr>
              <w:t>表2-</w:t>
            </w:r>
            <w:r>
              <w:rPr>
                <w:rFonts w:hint="eastAsia" w:ascii="黑体" w:hAnsi="黑体" w:eastAsia="黑体"/>
                <w:color w:val="000000" w:themeColor="text1"/>
                <w:kern w:val="0"/>
                <w:sz w:val="24"/>
                <w:highlight w:val="none"/>
                <w14:textFill>
                  <w14:solidFill>
                    <w14:schemeClr w14:val="tx1"/>
                  </w14:solidFill>
                </w14:textFill>
              </w:rPr>
              <w:t>1</w:t>
            </w:r>
            <w:r>
              <w:rPr>
                <w:rFonts w:hint="eastAsia" w:ascii="黑体" w:hAnsi="黑体" w:eastAsia="黑体"/>
                <w:color w:val="000000" w:themeColor="text1"/>
                <w:kern w:val="0"/>
                <w:sz w:val="24"/>
                <w:highlight w:val="none"/>
                <w:lang w:val="en-US" w:eastAsia="zh-CN"/>
                <w14:textFill>
                  <w14:solidFill>
                    <w14:schemeClr w14:val="tx1"/>
                  </w14:solidFill>
                </w14:textFill>
              </w:rPr>
              <w:t>8</w:t>
            </w:r>
            <w:r>
              <w:rPr>
                <w:rFonts w:hint="eastAsia" w:ascii="黑体" w:hAnsi="黑体" w:eastAsia="黑体"/>
                <w:color w:val="000000" w:themeColor="text1"/>
                <w:kern w:val="0"/>
                <w:sz w:val="24"/>
                <w:highlight w:val="none"/>
                <w14:textFill>
                  <w14:solidFill>
                    <w14:schemeClr w14:val="tx1"/>
                  </w14:solidFill>
                </w14:textFill>
              </w:rPr>
              <w:t xml:space="preserve"> </w:t>
            </w:r>
            <w:r>
              <w:rPr>
                <w:rFonts w:ascii="黑体" w:hAnsi="黑体" w:eastAsia="黑体"/>
                <w:color w:val="000000" w:themeColor="text1"/>
                <w:kern w:val="0"/>
                <w:sz w:val="24"/>
                <w:highlight w:val="none"/>
                <w14:textFill>
                  <w14:solidFill>
                    <w14:schemeClr w14:val="tx1"/>
                  </w14:solidFill>
                </w14:textFill>
              </w:rPr>
              <w:t xml:space="preserve">   </w:t>
            </w:r>
            <w:r>
              <w:rPr>
                <w:rFonts w:hint="eastAsia" w:ascii="黑体" w:hAnsi="黑体" w:eastAsia="黑体"/>
                <w:color w:val="000000" w:themeColor="text1"/>
                <w:kern w:val="0"/>
                <w:sz w:val="24"/>
                <w:highlight w:val="none"/>
                <w14:textFill>
                  <w14:solidFill>
                    <w14:schemeClr w14:val="tx1"/>
                  </w14:solidFill>
                </w14:textFill>
              </w:rPr>
              <w:t xml:space="preserve">   改</w:t>
            </w:r>
            <w:r>
              <w:rPr>
                <w:rFonts w:hint="eastAsia" w:ascii="黑体" w:hAnsi="黑体" w:eastAsia="黑体"/>
                <w:color w:val="000000" w:themeColor="text1"/>
                <w:sz w:val="24"/>
                <w:highlight w:val="none"/>
                <w14:textFill>
                  <w14:solidFill>
                    <w14:schemeClr w14:val="tx1"/>
                  </w14:solidFill>
                </w14:textFill>
              </w:rPr>
              <w:t>扩建前后原辅材料及能源消耗变化情况</w:t>
            </w:r>
          </w:p>
          <w:tbl>
            <w:tblPr>
              <w:tblStyle w:val="24"/>
              <w:tblW w:w="84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1276"/>
              <w:gridCol w:w="1701"/>
              <w:gridCol w:w="1843"/>
              <w:gridCol w:w="1569"/>
            </w:tblGrid>
            <w:tr w14:paraId="3091F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18B14D86">
                  <w:pPr>
                    <w:pStyle w:val="51"/>
                    <w:spacing w:line="280" w:lineRule="exact"/>
                    <w:ind w:left="-105" w:leftChars="-50" w:right="-105" w:rightChar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名称</w:t>
                  </w:r>
                </w:p>
              </w:tc>
              <w:tc>
                <w:tcPr>
                  <w:tcW w:w="753" w:type="pct"/>
                  <w:vAlign w:val="center"/>
                </w:tcPr>
                <w:p w14:paraId="51A034D7">
                  <w:pPr>
                    <w:pStyle w:val="51"/>
                    <w:spacing w:line="280" w:lineRule="exact"/>
                    <w:ind w:left="-105" w:leftChars="-50" w:right="-105" w:rightChar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单位</w:t>
                  </w:r>
                </w:p>
              </w:tc>
              <w:tc>
                <w:tcPr>
                  <w:tcW w:w="1004" w:type="pct"/>
                  <w:vAlign w:val="center"/>
                </w:tcPr>
                <w:p w14:paraId="15A6D420">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改扩建前</w:t>
                  </w:r>
                  <w:r>
                    <w:rPr>
                      <w:color w:val="000000" w:themeColor="text1"/>
                      <w:highlight w:val="none"/>
                      <w14:textFill>
                        <w14:solidFill>
                          <w14:schemeClr w14:val="tx1"/>
                        </w14:solidFill>
                      </w14:textFill>
                    </w:rPr>
                    <w:t>消耗量</w:t>
                  </w:r>
                </w:p>
              </w:tc>
              <w:tc>
                <w:tcPr>
                  <w:tcW w:w="1088" w:type="pct"/>
                  <w:vAlign w:val="center"/>
                </w:tcPr>
                <w:p w14:paraId="75A9E667">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改扩建后</w:t>
                  </w:r>
                  <w:r>
                    <w:rPr>
                      <w:color w:val="000000" w:themeColor="text1"/>
                      <w:highlight w:val="none"/>
                      <w14:textFill>
                        <w14:solidFill>
                          <w14:schemeClr w14:val="tx1"/>
                        </w14:solidFill>
                      </w14:textFill>
                    </w:rPr>
                    <w:t>消耗量</w:t>
                  </w:r>
                </w:p>
              </w:tc>
              <w:tc>
                <w:tcPr>
                  <w:tcW w:w="926" w:type="pct"/>
                  <w:vAlign w:val="center"/>
                </w:tcPr>
                <w:p w14:paraId="6DB7D554">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变化情况</w:t>
                  </w:r>
                </w:p>
              </w:tc>
            </w:tr>
            <w:tr w14:paraId="3BBFE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05B7A391">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页岩</w:t>
                  </w:r>
                </w:p>
              </w:tc>
              <w:tc>
                <w:tcPr>
                  <w:tcW w:w="753" w:type="pct"/>
                  <w:vAlign w:val="center"/>
                </w:tcPr>
                <w:p w14:paraId="126DD7FB">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651B2C40">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81810</w:t>
                  </w:r>
                </w:p>
              </w:tc>
              <w:tc>
                <w:tcPr>
                  <w:tcW w:w="1088" w:type="pct"/>
                  <w:vAlign w:val="center"/>
                </w:tcPr>
                <w:p w14:paraId="3A9D6F8E">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96</w:t>
                  </w:r>
                  <w:r>
                    <w:rPr>
                      <w:color w:val="000000" w:themeColor="text1"/>
                      <w:szCs w:val="21"/>
                      <w:highlight w:val="none"/>
                      <w14:textFill>
                        <w14:solidFill>
                          <w14:schemeClr w14:val="tx1"/>
                        </w14:solidFill>
                      </w14:textFill>
                    </w:rPr>
                    <w:t>000</w:t>
                  </w:r>
                </w:p>
              </w:tc>
              <w:tc>
                <w:tcPr>
                  <w:tcW w:w="926" w:type="pct"/>
                  <w:vAlign w:val="center"/>
                </w:tcPr>
                <w:p w14:paraId="336C60E9">
                  <w:pPr>
                    <w:pStyle w:val="51"/>
                    <w:spacing w:line="280" w:lineRule="exact"/>
                    <w:ind w:left="-105" w:leftChars="-50" w:right="-105" w:rightChars="-50"/>
                    <w:rPr>
                      <w:rFonts w:hint="default" w:eastAsia="宋体"/>
                      <w:color w:val="000000" w:themeColor="text1"/>
                      <w:kern w:val="2"/>
                      <w:highlight w:val="none"/>
                      <w:lang w:val="en-US" w:eastAsia="zh-CN"/>
                      <w14:textFill>
                        <w14:solidFill>
                          <w14:schemeClr w14:val="tx1"/>
                        </w14:solidFill>
                      </w14:textFill>
                    </w:rPr>
                  </w:pPr>
                  <w:r>
                    <w:rPr>
                      <w:rFonts w:hint="eastAsia"/>
                      <w:color w:val="000000" w:themeColor="text1"/>
                      <w:kern w:val="2"/>
                      <w:highlight w:val="none"/>
                      <w14:textFill>
                        <w14:solidFill>
                          <w14:schemeClr w14:val="tx1"/>
                        </w14:solidFill>
                      </w14:textFill>
                    </w:rPr>
                    <w:t>+</w:t>
                  </w:r>
                  <w:r>
                    <w:rPr>
                      <w:rFonts w:hint="eastAsia"/>
                      <w:color w:val="000000" w:themeColor="text1"/>
                      <w:kern w:val="2"/>
                      <w:highlight w:val="none"/>
                      <w:lang w:val="en-US" w:eastAsia="zh-CN"/>
                      <w14:textFill>
                        <w14:solidFill>
                          <w14:schemeClr w14:val="tx1"/>
                        </w14:solidFill>
                      </w14:textFill>
                    </w:rPr>
                    <w:t>14190</w:t>
                  </w:r>
                </w:p>
              </w:tc>
            </w:tr>
            <w:tr w14:paraId="24D916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7EAE15E8">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煤矸石</w:t>
                  </w:r>
                </w:p>
              </w:tc>
              <w:tc>
                <w:tcPr>
                  <w:tcW w:w="753" w:type="pct"/>
                  <w:vAlign w:val="center"/>
                </w:tcPr>
                <w:p w14:paraId="5D6C1CB4">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5BB6A23E">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70000</w:t>
                  </w:r>
                </w:p>
              </w:tc>
              <w:tc>
                <w:tcPr>
                  <w:tcW w:w="1088" w:type="pct"/>
                  <w:vAlign w:val="center"/>
                </w:tcPr>
                <w:p w14:paraId="4F9BF239">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288</w:t>
                  </w:r>
                  <w:r>
                    <w:rPr>
                      <w:color w:val="000000" w:themeColor="text1"/>
                      <w:szCs w:val="21"/>
                      <w:highlight w:val="none"/>
                      <w14:textFill>
                        <w14:solidFill>
                          <w14:schemeClr w14:val="tx1"/>
                        </w14:solidFill>
                      </w14:textFill>
                    </w:rPr>
                    <w:t>000</w:t>
                  </w:r>
                </w:p>
              </w:tc>
              <w:tc>
                <w:tcPr>
                  <w:tcW w:w="926" w:type="pct"/>
                  <w:vAlign w:val="center"/>
                </w:tcPr>
                <w:p w14:paraId="7CB41444">
                  <w:pPr>
                    <w:pStyle w:val="51"/>
                    <w:spacing w:line="280" w:lineRule="exact"/>
                    <w:ind w:left="-105" w:leftChars="-50" w:right="-105" w:rightChars="-50"/>
                    <w:rPr>
                      <w:color w:val="000000" w:themeColor="text1"/>
                      <w:kern w:val="2"/>
                      <w:highlight w:val="none"/>
                      <w14:textFill>
                        <w14:solidFill>
                          <w14:schemeClr w14:val="tx1"/>
                        </w14:solidFill>
                      </w14:textFill>
                    </w:rPr>
                  </w:pPr>
                  <w:r>
                    <w:rPr>
                      <w:rFonts w:hint="eastAsia"/>
                      <w:color w:val="000000" w:themeColor="text1"/>
                      <w:kern w:val="2"/>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218</w:t>
                  </w:r>
                  <w:r>
                    <w:rPr>
                      <w:color w:val="000000" w:themeColor="text1"/>
                      <w:szCs w:val="21"/>
                      <w:highlight w:val="none"/>
                      <w14:textFill>
                        <w14:solidFill>
                          <w14:schemeClr w14:val="tx1"/>
                        </w14:solidFill>
                      </w14:textFill>
                    </w:rPr>
                    <w:t>000</w:t>
                  </w:r>
                </w:p>
              </w:tc>
            </w:tr>
            <w:tr w14:paraId="45F63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1F1D0948">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剥岩废料</w:t>
                  </w:r>
                </w:p>
              </w:tc>
              <w:tc>
                <w:tcPr>
                  <w:tcW w:w="753" w:type="pct"/>
                  <w:vAlign w:val="center"/>
                </w:tcPr>
                <w:p w14:paraId="7003F067">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7F60C59D">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8750</w:t>
                  </w:r>
                </w:p>
              </w:tc>
              <w:tc>
                <w:tcPr>
                  <w:tcW w:w="1088" w:type="pct"/>
                  <w:vAlign w:val="center"/>
                </w:tcPr>
                <w:p w14:paraId="153FD4B8">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36</w:t>
                  </w:r>
                  <w:r>
                    <w:rPr>
                      <w:color w:val="000000" w:themeColor="text1"/>
                      <w:szCs w:val="21"/>
                      <w:highlight w:val="none"/>
                      <w14:textFill>
                        <w14:solidFill>
                          <w14:schemeClr w14:val="tx1"/>
                        </w14:solidFill>
                      </w14:textFill>
                    </w:rPr>
                    <w:t>000</w:t>
                  </w:r>
                </w:p>
              </w:tc>
              <w:tc>
                <w:tcPr>
                  <w:tcW w:w="926" w:type="pct"/>
                  <w:vAlign w:val="center"/>
                </w:tcPr>
                <w:p w14:paraId="31E0ED5F">
                  <w:pPr>
                    <w:pStyle w:val="51"/>
                    <w:spacing w:line="280" w:lineRule="exact"/>
                    <w:ind w:left="-105" w:leftChars="-50" w:right="-105" w:rightChars="-50"/>
                    <w:rPr>
                      <w:rFonts w:hint="default" w:eastAsia="宋体"/>
                      <w:color w:val="000000" w:themeColor="text1"/>
                      <w:kern w:val="2"/>
                      <w:highlight w:val="none"/>
                      <w:lang w:val="en-US" w:eastAsia="zh-CN"/>
                      <w14:textFill>
                        <w14:solidFill>
                          <w14:schemeClr w14:val="tx1"/>
                        </w14:solidFill>
                      </w14:textFill>
                    </w:rPr>
                  </w:pPr>
                  <w:r>
                    <w:rPr>
                      <w:rFonts w:hint="eastAsia"/>
                      <w:color w:val="000000" w:themeColor="text1"/>
                      <w:kern w:val="2"/>
                      <w:highlight w:val="none"/>
                      <w14:textFill>
                        <w14:solidFill>
                          <w14:schemeClr w14:val="tx1"/>
                        </w14:solidFill>
                      </w14:textFill>
                    </w:rPr>
                    <w:t>+</w:t>
                  </w:r>
                  <w:r>
                    <w:rPr>
                      <w:rFonts w:hint="eastAsia"/>
                      <w:color w:val="000000" w:themeColor="text1"/>
                      <w:kern w:val="2"/>
                      <w:highlight w:val="none"/>
                      <w:lang w:val="en-US" w:eastAsia="zh-CN"/>
                      <w14:textFill>
                        <w14:solidFill>
                          <w14:schemeClr w14:val="tx1"/>
                        </w14:solidFill>
                      </w14:textFill>
                    </w:rPr>
                    <w:t>27250</w:t>
                  </w:r>
                </w:p>
              </w:tc>
            </w:tr>
            <w:tr w14:paraId="3C1D98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1AB2814C">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工业污泥</w:t>
                  </w:r>
                </w:p>
              </w:tc>
              <w:tc>
                <w:tcPr>
                  <w:tcW w:w="753" w:type="pct"/>
                  <w:vAlign w:val="center"/>
                </w:tcPr>
                <w:p w14:paraId="6DA3BBE5">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4CD23BFD">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31920</w:t>
                  </w:r>
                </w:p>
              </w:tc>
              <w:tc>
                <w:tcPr>
                  <w:tcW w:w="1088" w:type="pct"/>
                  <w:vAlign w:val="center"/>
                </w:tcPr>
                <w:p w14:paraId="1D918BCC">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115500</w:t>
                  </w:r>
                </w:p>
              </w:tc>
              <w:tc>
                <w:tcPr>
                  <w:tcW w:w="926" w:type="pct"/>
                  <w:vAlign w:val="center"/>
                </w:tcPr>
                <w:p w14:paraId="39799817">
                  <w:pPr>
                    <w:pStyle w:val="51"/>
                    <w:spacing w:line="280" w:lineRule="exact"/>
                    <w:ind w:left="-105" w:leftChars="-50" w:right="-105" w:rightChars="-50"/>
                    <w:rPr>
                      <w:rFonts w:hint="default" w:eastAsia="宋体"/>
                      <w:color w:val="000000" w:themeColor="text1"/>
                      <w:kern w:val="2"/>
                      <w:highlight w:val="none"/>
                      <w:lang w:val="en-US" w:eastAsia="zh-CN"/>
                      <w14:textFill>
                        <w14:solidFill>
                          <w14:schemeClr w14:val="tx1"/>
                        </w14:solidFill>
                      </w14:textFill>
                    </w:rPr>
                  </w:pPr>
                  <w:r>
                    <w:rPr>
                      <w:rFonts w:hint="eastAsia"/>
                      <w:color w:val="000000" w:themeColor="text1"/>
                      <w:kern w:val="2"/>
                      <w:highlight w:val="none"/>
                      <w14:textFill>
                        <w14:solidFill>
                          <w14:schemeClr w14:val="tx1"/>
                        </w14:solidFill>
                      </w14:textFill>
                    </w:rPr>
                    <w:t>+</w:t>
                  </w:r>
                  <w:r>
                    <w:rPr>
                      <w:rFonts w:hint="eastAsia"/>
                      <w:color w:val="000000" w:themeColor="text1"/>
                      <w:kern w:val="2"/>
                      <w:highlight w:val="none"/>
                      <w:lang w:val="en-US" w:eastAsia="zh-CN"/>
                      <w14:textFill>
                        <w14:solidFill>
                          <w14:schemeClr w14:val="tx1"/>
                        </w14:solidFill>
                      </w14:textFill>
                    </w:rPr>
                    <w:t>83580</w:t>
                  </w:r>
                </w:p>
              </w:tc>
            </w:tr>
            <w:tr w14:paraId="76000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5CEAB886">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w:t>
                  </w:r>
                </w:p>
              </w:tc>
              <w:tc>
                <w:tcPr>
                  <w:tcW w:w="753" w:type="pct"/>
                  <w:vAlign w:val="center"/>
                </w:tcPr>
                <w:p w14:paraId="6DAF0EB1">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6DCB3CFA">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6380</w:t>
                  </w:r>
                </w:p>
              </w:tc>
              <w:tc>
                <w:tcPr>
                  <w:tcW w:w="1088" w:type="pct"/>
                  <w:vAlign w:val="center"/>
                </w:tcPr>
                <w:p w14:paraId="73CA63F3">
                  <w:pPr>
                    <w:spacing w:line="280" w:lineRule="exact"/>
                    <w:ind w:left="-105" w:leftChars="-50" w:right="-105" w:rightChars="-5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66000</w:t>
                  </w:r>
                </w:p>
              </w:tc>
              <w:tc>
                <w:tcPr>
                  <w:tcW w:w="926" w:type="pct"/>
                  <w:vAlign w:val="center"/>
                </w:tcPr>
                <w:p w14:paraId="7F91363D">
                  <w:pPr>
                    <w:pStyle w:val="51"/>
                    <w:spacing w:line="280" w:lineRule="exact"/>
                    <w:ind w:left="-105" w:leftChars="-50" w:right="-105" w:rightChars="-50"/>
                    <w:rPr>
                      <w:rFonts w:hint="default" w:eastAsia="宋体"/>
                      <w:color w:val="000000" w:themeColor="text1"/>
                      <w:kern w:val="2"/>
                      <w:highlight w:val="none"/>
                      <w:lang w:val="en-US" w:eastAsia="zh-CN"/>
                      <w14:textFill>
                        <w14:solidFill>
                          <w14:schemeClr w14:val="tx1"/>
                        </w14:solidFill>
                      </w14:textFill>
                    </w:rPr>
                  </w:pPr>
                  <w:r>
                    <w:rPr>
                      <w:rFonts w:hint="eastAsia"/>
                      <w:color w:val="000000" w:themeColor="text1"/>
                      <w:kern w:val="2"/>
                      <w:highlight w:val="none"/>
                      <w14:textFill>
                        <w14:solidFill>
                          <w14:schemeClr w14:val="tx1"/>
                        </w14:solidFill>
                      </w14:textFill>
                    </w:rPr>
                    <w:t>+</w:t>
                  </w:r>
                  <w:r>
                    <w:rPr>
                      <w:rFonts w:hint="eastAsia"/>
                      <w:color w:val="000000" w:themeColor="text1"/>
                      <w:kern w:val="2"/>
                      <w:highlight w:val="none"/>
                      <w:lang w:val="en-US" w:eastAsia="zh-CN"/>
                      <w14:textFill>
                        <w14:solidFill>
                          <w14:schemeClr w14:val="tx1"/>
                        </w14:solidFill>
                      </w14:textFill>
                    </w:rPr>
                    <w:t>59620</w:t>
                  </w:r>
                </w:p>
              </w:tc>
            </w:tr>
            <w:tr w14:paraId="7EDED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2B051D1F">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干排淤泥</w:t>
                  </w:r>
                </w:p>
              </w:tc>
              <w:tc>
                <w:tcPr>
                  <w:tcW w:w="753" w:type="pct"/>
                  <w:vAlign w:val="center"/>
                </w:tcPr>
                <w:p w14:paraId="0F65A6FC">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2051BD8A">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088" w:type="pct"/>
                  <w:vAlign w:val="center"/>
                </w:tcPr>
                <w:p w14:paraId="564BBC25">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000</w:t>
                  </w:r>
                </w:p>
              </w:tc>
              <w:tc>
                <w:tcPr>
                  <w:tcW w:w="926" w:type="pct"/>
                  <w:vAlign w:val="center"/>
                </w:tcPr>
                <w:p w14:paraId="25FEF77B">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000</w:t>
                  </w:r>
                </w:p>
              </w:tc>
            </w:tr>
            <w:tr w14:paraId="2CD158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73A953A6">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炉渣</w:t>
                  </w:r>
                </w:p>
              </w:tc>
              <w:tc>
                <w:tcPr>
                  <w:tcW w:w="753" w:type="pct"/>
                  <w:vAlign w:val="center"/>
                </w:tcPr>
                <w:p w14:paraId="4AEE6D4E">
                  <w:pPr>
                    <w:spacing w:line="280" w:lineRule="exact"/>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53CD3E58">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088" w:type="pct"/>
                  <w:vAlign w:val="center"/>
                </w:tcPr>
                <w:p w14:paraId="0294D638">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225</w:t>
                  </w:r>
                  <w:r>
                    <w:rPr>
                      <w:color w:val="000000" w:themeColor="text1"/>
                      <w:szCs w:val="21"/>
                      <w:highlight w:val="none"/>
                      <w14:textFill>
                        <w14:solidFill>
                          <w14:schemeClr w14:val="tx1"/>
                        </w14:solidFill>
                      </w14:textFill>
                    </w:rPr>
                    <w:t>000</w:t>
                  </w:r>
                </w:p>
              </w:tc>
              <w:tc>
                <w:tcPr>
                  <w:tcW w:w="926" w:type="pct"/>
                  <w:vAlign w:val="center"/>
                </w:tcPr>
                <w:p w14:paraId="6C559AEC">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22</w:t>
                  </w:r>
                  <w:r>
                    <w:rPr>
                      <w:rFonts w:hint="eastAsia"/>
                      <w:color w:val="000000" w:themeColor="text1"/>
                      <w:szCs w:val="21"/>
                      <w:highlight w:val="none"/>
                      <w14:textFill>
                        <w14:solidFill>
                          <w14:schemeClr w14:val="tx1"/>
                        </w14:solidFill>
                      </w14:textFill>
                    </w:rPr>
                    <w:t>5000</w:t>
                  </w:r>
                </w:p>
              </w:tc>
            </w:tr>
            <w:tr w14:paraId="23907D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38F27AA7">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石灰粉（CaO）</w:t>
                  </w:r>
                </w:p>
              </w:tc>
              <w:tc>
                <w:tcPr>
                  <w:tcW w:w="753" w:type="pct"/>
                  <w:vAlign w:val="center"/>
                </w:tcPr>
                <w:p w14:paraId="2E4FAD6C">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39633345">
                  <w:pPr>
                    <w:pStyle w:val="51"/>
                    <w:spacing w:line="280" w:lineRule="exact"/>
                    <w:ind w:left="-105" w:leftChars="-50" w:right="-105" w:rightChars="-5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90</w:t>
                  </w:r>
                </w:p>
              </w:tc>
              <w:tc>
                <w:tcPr>
                  <w:tcW w:w="1088" w:type="pct"/>
                  <w:vAlign w:val="center"/>
                </w:tcPr>
                <w:p w14:paraId="0DE6E59A">
                  <w:pPr>
                    <w:spacing w:line="280" w:lineRule="exact"/>
                    <w:ind w:left="-105" w:leftChars="-50" w:right="-105" w:rightChars="-5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530</w:t>
                  </w:r>
                </w:p>
              </w:tc>
              <w:tc>
                <w:tcPr>
                  <w:tcW w:w="926" w:type="pct"/>
                  <w:vAlign w:val="center"/>
                </w:tcPr>
                <w:p w14:paraId="41BBD305">
                  <w:pPr>
                    <w:pStyle w:val="51"/>
                    <w:spacing w:line="280" w:lineRule="exact"/>
                    <w:ind w:left="-105" w:leftChars="-50" w:right="-105" w:rightChars="-50"/>
                    <w:rPr>
                      <w:rFonts w:hint="default"/>
                      <w:color w:val="000000" w:themeColor="text1"/>
                      <w:highlight w:val="none"/>
                      <w:lang w:val="en-US"/>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440</w:t>
                  </w:r>
                </w:p>
              </w:tc>
            </w:tr>
            <w:tr w14:paraId="25110D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4B46B442">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低温复合</w:t>
                  </w:r>
                  <w:r>
                    <w:rPr>
                      <w:rFonts w:hint="eastAsia"/>
                      <w:color w:val="000000" w:themeColor="text1"/>
                      <w:szCs w:val="21"/>
                      <w:highlight w:val="none"/>
                      <w14:textFill>
                        <w14:solidFill>
                          <w14:schemeClr w14:val="tx1"/>
                        </w14:solidFill>
                      </w14:textFill>
                    </w:rPr>
                    <w:t>脱硝剂</w:t>
                  </w:r>
                </w:p>
              </w:tc>
              <w:tc>
                <w:tcPr>
                  <w:tcW w:w="753" w:type="pct"/>
                  <w:vAlign w:val="center"/>
                </w:tcPr>
                <w:p w14:paraId="1C23D5C7">
                  <w:pPr>
                    <w:pStyle w:val="51"/>
                    <w:spacing w:line="280" w:lineRule="exact"/>
                    <w:ind w:left="-105" w:leftChars="-50" w:right="-105" w:rightChar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t/a</w:t>
                  </w:r>
                </w:p>
              </w:tc>
              <w:tc>
                <w:tcPr>
                  <w:tcW w:w="1004" w:type="pct"/>
                  <w:vAlign w:val="center"/>
                </w:tcPr>
                <w:p w14:paraId="3C50FE7D">
                  <w:pPr>
                    <w:widowControl/>
                    <w:spacing w:line="280" w:lineRule="exact"/>
                    <w:ind w:left="-105" w:leftChars="-50" w:right="-105" w:rightChars="-50"/>
                    <w:jc w:val="center"/>
                    <w:textAlignment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2</w:t>
                  </w:r>
                </w:p>
              </w:tc>
              <w:tc>
                <w:tcPr>
                  <w:tcW w:w="1088" w:type="pct"/>
                  <w:vAlign w:val="center"/>
                </w:tcPr>
                <w:p w14:paraId="270B07BF">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26" w:type="pct"/>
                  <w:vAlign w:val="center"/>
                </w:tcPr>
                <w:p w14:paraId="0F80A4EB">
                  <w:pPr>
                    <w:pStyle w:val="51"/>
                    <w:spacing w:line="280" w:lineRule="exact"/>
                    <w:ind w:left="-105" w:leftChars="-50" w:right="-105" w:rightChars="-5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r>
            <w:tr w14:paraId="0E38E5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497A2F15">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尿素溶液</w:t>
                  </w:r>
                </w:p>
              </w:tc>
              <w:tc>
                <w:tcPr>
                  <w:tcW w:w="753" w:type="pct"/>
                  <w:vAlign w:val="center"/>
                </w:tcPr>
                <w:p w14:paraId="7C53A992">
                  <w:pPr>
                    <w:pStyle w:val="51"/>
                    <w:spacing w:line="280" w:lineRule="exact"/>
                    <w:ind w:left="-105" w:leftChars="-50" w:right="-105" w:rightChar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t/a</w:t>
                  </w:r>
                </w:p>
              </w:tc>
              <w:tc>
                <w:tcPr>
                  <w:tcW w:w="1004" w:type="pct"/>
                  <w:vAlign w:val="center"/>
                </w:tcPr>
                <w:p w14:paraId="5C818747">
                  <w:pPr>
                    <w:widowControl/>
                    <w:spacing w:line="280" w:lineRule="exact"/>
                    <w:ind w:left="-105" w:leftChars="-50" w:right="-105" w:rightChars="-50"/>
                    <w:jc w:val="center"/>
                    <w:textAlignment w:val="center"/>
                    <w:rPr>
                      <w:rFonts w:hint="eastAsia"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0</w:t>
                  </w:r>
                </w:p>
              </w:tc>
              <w:tc>
                <w:tcPr>
                  <w:tcW w:w="1088" w:type="pct"/>
                  <w:vAlign w:val="center"/>
                </w:tcPr>
                <w:p w14:paraId="5536C231">
                  <w:pPr>
                    <w:spacing w:line="280" w:lineRule="exact"/>
                    <w:ind w:left="-105" w:leftChars="-50" w:right="-105" w:rightChars="-50"/>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60</w:t>
                  </w:r>
                </w:p>
              </w:tc>
              <w:tc>
                <w:tcPr>
                  <w:tcW w:w="926" w:type="pct"/>
                  <w:vAlign w:val="center"/>
                </w:tcPr>
                <w:p w14:paraId="668388CC">
                  <w:pPr>
                    <w:pStyle w:val="51"/>
                    <w:spacing w:line="280" w:lineRule="exact"/>
                    <w:ind w:left="-105" w:leftChars="-50" w:right="-105" w:rightChars="-5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+60</w:t>
                  </w:r>
                </w:p>
              </w:tc>
            </w:tr>
            <w:tr w14:paraId="61298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09EF7099">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润滑油</w:t>
                  </w:r>
                </w:p>
              </w:tc>
              <w:tc>
                <w:tcPr>
                  <w:tcW w:w="753" w:type="pct"/>
                  <w:vAlign w:val="center"/>
                </w:tcPr>
                <w:p w14:paraId="4B1B93F2">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57EC9971">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0.6</w:t>
                  </w:r>
                </w:p>
              </w:tc>
              <w:tc>
                <w:tcPr>
                  <w:tcW w:w="1088" w:type="pct"/>
                  <w:vAlign w:val="center"/>
                </w:tcPr>
                <w:p w14:paraId="3001EC9F">
                  <w:pPr>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w:t>
                  </w:r>
                </w:p>
              </w:tc>
              <w:tc>
                <w:tcPr>
                  <w:tcW w:w="926" w:type="pct"/>
                  <w:vAlign w:val="center"/>
                </w:tcPr>
                <w:p w14:paraId="275C5CEF">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.4</w:t>
                  </w:r>
                </w:p>
              </w:tc>
            </w:tr>
            <w:tr w14:paraId="78A434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71869670">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活性炭</w:t>
                  </w:r>
                </w:p>
              </w:tc>
              <w:tc>
                <w:tcPr>
                  <w:tcW w:w="753" w:type="pct"/>
                  <w:vAlign w:val="center"/>
                </w:tcPr>
                <w:p w14:paraId="6C58F25B">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t/a</w:t>
                  </w:r>
                </w:p>
              </w:tc>
              <w:tc>
                <w:tcPr>
                  <w:tcW w:w="1004" w:type="pct"/>
                  <w:vAlign w:val="center"/>
                </w:tcPr>
                <w:p w14:paraId="7DDD022B">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088" w:type="pct"/>
                  <w:vAlign w:val="center"/>
                </w:tcPr>
                <w:p w14:paraId="7EDCC49E">
                  <w:pPr>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p>
              </w:tc>
              <w:tc>
                <w:tcPr>
                  <w:tcW w:w="926" w:type="pct"/>
                  <w:vAlign w:val="center"/>
                </w:tcPr>
                <w:p w14:paraId="147D3EE8">
                  <w:pPr>
                    <w:pStyle w:val="51"/>
                    <w:spacing w:line="280" w:lineRule="exact"/>
                    <w:ind w:left="-105" w:leftChars="-50" w:right="-105" w:rightChars="-5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w:t>
                  </w:r>
                </w:p>
              </w:tc>
            </w:tr>
            <w:tr w14:paraId="0C033F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0B7AF2CF">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天然气</w:t>
                  </w:r>
                </w:p>
              </w:tc>
              <w:tc>
                <w:tcPr>
                  <w:tcW w:w="753" w:type="pct"/>
                  <w:vAlign w:val="center"/>
                </w:tcPr>
                <w:p w14:paraId="1D3EE27D">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m</w:t>
                  </w:r>
                  <w:r>
                    <w:rPr>
                      <w:rFonts w:hint="eastAsia"/>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/a</w:t>
                  </w:r>
                </w:p>
              </w:tc>
              <w:tc>
                <w:tcPr>
                  <w:tcW w:w="1004" w:type="pct"/>
                  <w:vAlign w:val="center"/>
                </w:tcPr>
                <w:p w14:paraId="1990D4E6">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p>
              </w:tc>
              <w:tc>
                <w:tcPr>
                  <w:tcW w:w="1088" w:type="pct"/>
                  <w:vAlign w:val="center"/>
                </w:tcPr>
                <w:p w14:paraId="37AA3D24">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926" w:type="pct"/>
                  <w:vAlign w:val="center"/>
                </w:tcPr>
                <w:p w14:paraId="2EF14D5E">
                  <w:pPr>
                    <w:pStyle w:val="51"/>
                    <w:spacing w:line="280" w:lineRule="exact"/>
                    <w:ind w:left="-105" w:leftChars="-50" w:right="-105" w:rightChars="-5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r>
            <w:tr w14:paraId="41AE1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6B54AC1A">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电</w:t>
                  </w:r>
                </w:p>
              </w:tc>
              <w:tc>
                <w:tcPr>
                  <w:tcW w:w="753" w:type="pct"/>
                  <w:vAlign w:val="center"/>
                </w:tcPr>
                <w:p w14:paraId="3BB6FCC7">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万kWh/</w:t>
                  </w:r>
                  <w:r>
                    <w:rPr>
                      <w:rFonts w:hint="eastAsia"/>
                      <w:color w:val="000000" w:themeColor="text1"/>
                      <w:szCs w:val="21"/>
                      <w:highlight w:val="none"/>
                      <w14:textFill>
                        <w14:solidFill>
                          <w14:schemeClr w14:val="tx1"/>
                        </w14:solidFill>
                      </w14:textFill>
                    </w:rPr>
                    <w:t>a</w:t>
                  </w:r>
                </w:p>
              </w:tc>
              <w:tc>
                <w:tcPr>
                  <w:tcW w:w="1004" w:type="pct"/>
                  <w:vAlign w:val="center"/>
                </w:tcPr>
                <w:p w14:paraId="7CB3CA95">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1200</w:t>
                  </w:r>
                </w:p>
              </w:tc>
              <w:tc>
                <w:tcPr>
                  <w:tcW w:w="1088" w:type="pct"/>
                  <w:vAlign w:val="center"/>
                </w:tcPr>
                <w:p w14:paraId="2DA1111B">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4500</w:t>
                  </w:r>
                </w:p>
              </w:tc>
              <w:tc>
                <w:tcPr>
                  <w:tcW w:w="926" w:type="pct"/>
                  <w:vAlign w:val="center"/>
                </w:tcPr>
                <w:p w14:paraId="4B917F1A">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33</w:t>
                  </w:r>
                  <w:r>
                    <w:rPr>
                      <w:rFonts w:hint="eastAsia"/>
                      <w:color w:val="000000" w:themeColor="text1"/>
                      <w:highlight w:val="none"/>
                      <w14:textFill>
                        <w14:solidFill>
                          <w14:schemeClr w14:val="tx1"/>
                        </w14:solidFill>
                      </w14:textFill>
                    </w:rPr>
                    <w:t>00</w:t>
                  </w:r>
                </w:p>
              </w:tc>
            </w:tr>
            <w:tr w14:paraId="60745F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9" w:type="pct"/>
                  <w:vAlign w:val="center"/>
                </w:tcPr>
                <w:p w14:paraId="6445015D">
                  <w:pPr>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水</w:t>
                  </w:r>
                </w:p>
              </w:tc>
              <w:tc>
                <w:tcPr>
                  <w:tcW w:w="753" w:type="pct"/>
                  <w:vAlign w:val="center"/>
                </w:tcPr>
                <w:p w14:paraId="52A367A4">
                  <w:pPr>
                    <w:pStyle w:val="51"/>
                    <w:spacing w:line="28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3</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a</w:t>
                  </w:r>
                </w:p>
              </w:tc>
              <w:tc>
                <w:tcPr>
                  <w:tcW w:w="1004" w:type="pct"/>
                  <w:vAlign w:val="center"/>
                </w:tcPr>
                <w:p w14:paraId="4F23C799">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8310</w:t>
                  </w:r>
                </w:p>
              </w:tc>
              <w:tc>
                <w:tcPr>
                  <w:tcW w:w="1088" w:type="pct"/>
                  <w:vAlign w:val="center"/>
                </w:tcPr>
                <w:p w14:paraId="296513E5">
                  <w:pPr>
                    <w:spacing w:line="280" w:lineRule="exact"/>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12005.4</w:t>
                  </w:r>
                </w:p>
              </w:tc>
              <w:tc>
                <w:tcPr>
                  <w:tcW w:w="926" w:type="pct"/>
                  <w:vAlign w:val="center"/>
                </w:tcPr>
                <w:p w14:paraId="20D3600D">
                  <w:pPr>
                    <w:pStyle w:val="51"/>
                    <w:spacing w:line="280" w:lineRule="exact"/>
                    <w:ind w:left="-105" w:leftChars="-50" w:right="-105" w:rightChars="-5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3695.4</w:t>
                  </w:r>
                </w:p>
              </w:tc>
            </w:tr>
          </w:tbl>
          <w:p w14:paraId="79225A7F">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改扩建项目主要设备设施表见表2-1</w:t>
            </w:r>
            <w:r>
              <w:rPr>
                <w:rFonts w:hint="eastAsia"/>
                <w:color w:val="000000" w:themeColor="text1"/>
                <w:sz w:val="24"/>
                <w:highlight w:val="none"/>
                <w:lang w:val="en-US" w:eastAsia="zh-CN"/>
                <w14:textFill>
                  <w14:solidFill>
                    <w14:schemeClr w14:val="tx1"/>
                  </w14:solidFill>
                </w14:textFill>
              </w:rPr>
              <w:t>9</w:t>
            </w:r>
            <w:r>
              <w:rPr>
                <w:rFonts w:hint="eastAsia"/>
                <w:color w:val="000000" w:themeColor="text1"/>
                <w:sz w:val="24"/>
                <w:highlight w:val="none"/>
                <w14:textFill>
                  <w14:solidFill>
                    <w14:schemeClr w14:val="tx1"/>
                  </w14:solidFill>
                </w14:textFill>
              </w:rPr>
              <w:t>。</w:t>
            </w:r>
          </w:p>
          <w:p w14:paraId="3127F0BF">
            <w:pPr>
              <w:spacing w:line="480" w:lineRule="exact"/>
              <w:ind w:firstLine="1200" w:firstLineChars="500"/>
              <w:rPr>
                <w:rFonts w:ascii="黑体" w:hAnsi="黑体" w:eastAsia="黑体"/>
                <w:color w:val="000000" w:themeColor="text1"/>
                <w:kern w:val="0"/>
                <w:sz w:val="24"/>
                <w:highlight w:val="none"/>
                <w14:textFill>
                  <w14:solidFill>
                    <w14:schemeClr w14:val="tx1"/>
                  </w14:solidFill>
                </w14:textFill>
              </w:rPr>
            </w:pPr>
            <w:r>
              <w:rPr>
                <w:rFonts w:hint="eastAsia" w:ascii="黑体" w:hAnsi="黑体" w:eastAsia="黑体"/>
                <w:color w:val="000000" w:themeColor="text1"/>
                <w:kern w:val="0"/>
                <w:sz w:val="24"/>
                <w:highlight w:val="none"/>
                <w14:textFill>
                  <w14:solidFill>
                    <w14:schemeClr w14:val="tx1"/>
                  </w14:solidFill>
                </w14:textFill>
              </w:rPr>
              <w:t>表2-1</w:t>
            </w:r>
            <w:r>
              <w:rPr>
                <w:rFonts w:hint="eastAsia" w:ascii="黑体" w:hAnsi="黑体" w:eastAsia="黑体"/>
                <w:color w:val="000000" w:themeColor="text1"/>
                <w:kern w:val="0"/>
                <w:sz w:val="24"/>
                <w:highlight w:val="none"/>
                <w:lang w:val="en-US" w:eastAsia="zh-CN"/>
                <w14:textFill>
                  <w14:solidFill>
                    <w14:schemeClr w14:val="tx1"/>
                  </w14:solidFill>
                </w14:textFill>
              </w:rPr>
              <w:t>9</w:t>
            </w:r>
            <w:r>
              <w:rPr>
                <w:rFonts w:hint="eastAsia" w:ascii="黑体" w:hAnsi="黑体" w:eastAsia="黑体"/>
                <w:color w:val="000000" w:themeColor="text1"/>
                <w:kern w:val="0"/>
                <w:sz w:val="24"/>
                <w:highlight w:val="none"/>
                <w14:textFill>
                  <w14:solidFill>
                    <w14:schemeClr w14:val="tx1"/>
                  </w14:solidFill>
                </w14:textFill>
              </w:rPr>
              <w:t xml:space="preserve">          改扩建项目</w:t>
            </w:r>
            <w:r>
              <w:rPr>
                <w:rFonts w:ascii="黑体" w:hAnsi="黑体" w:eastAsia="黑体"/>
                <w:color w:val="000000" w:themeColor="text1"/>
                <w:kern w:val="0"/>
                <w:sz w:val="24"/>
                <w:highlight w:val="none"/>
                <w14:textFill>
                  <w14:solidFill>
                    <w14:schemeClr w14:val="tx1"/>
                  </w14:solidFill>
                </w14:textFill>
              </w:rPr>
              <w:t>主要设备设施一览表</w:t>
            </w:r>
          </w:p>
          <w:tbl>
            <w:tblPr>
              <w:tblStyle w:val="24"/>
              <w:tblW w:w="507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1"/>
              <w:gridCol w:w="433"/>
              <w:gridCol w:w="321"/>
              <w:gridCol w:w="1533"/>
              <w:gridCol w:w="1216"/>
              <w:gridCol w:w="1335"/>
              <w:gridCol w:w="568"/>
              <w:gridCol w:w="709"/>
              <w:gridCol w:w="707"/>
              <w:gridCol w:w="1645"/>
            </w:tblGrid>
            <w:tr w14:paraId="48F41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64A60DFD">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序号</w:t>
                  </w:r>
                </w:p>
              </w:tc>
              <w:tc>
                <w:tcPr>
                  <w:tcW w:w="1285" w:type="pct"/>
                  <w:gridSpan w:val="3"/>
                  <w:vAlign w:val="center"/>
                </w:tcPr>
                <w:p w14:paraId="1FDA8952">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设备名称</w:t>
                  </w:r>
                </w:p>
              </w:tc>
              <w:tc>
                <w:tcPr>
                  <w:tcW w:w="683" w:type="pct"/>
                  <w:vAlign w:val="center"/>
                </w:tcPr>
                <w:p w14:paraId="17A44013">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规格型号</w:t>
                  </w:r>
                </w:p>
              </w:tc>
              <w:tc>
                <w:tcPr>
                  <w:tcW w:w="750" w:type="pct"/>
                  <w:vAlign w:val="center"/>
                </w:tcPr>
                <w:p w14:paraId="5EC893D5">
                  <w:pPr>
                    <w:widowControl/>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设施参数</w:t>
                  </w:r>
                </w:p>
              </w:tc>
              <w:tc>
                <w:tcPr>
                  <w:tcW w:w="319" w:type="pct"/>
                  <w:vAlign w:val="center"/>
                </w:tcPr>
                <w:p w14:paraId="34B6A728">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单位</w:t>
                  </w:r>
                </w:p>
              </w:tc>
              <w:tc>
                <w:tcPr>
                  <w:tcW w:w="398" w:type="pct"/>
                  <w:vAlign w:val="center"/>
                </w:tcPr>
                <w:p w14:paraId="0F15CEAA">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数量</w:t>
                  </w:r>
                </w:p>
              </w:tc>
              <w:tc>
                <w:tcPr>
                  <w:tcW w:w="1321" w:type="pct"/>
                  <w:gridSpan w:val="2"/>
                  <w:vAlign w:val="center"/>
                </w:tcPr>
                <w:p w14:paraId="483827E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备注</w:t>
                  </w:r>
                </w:p>
              </w:tc>
            </w:tr>
            <w:tr w14:paraId="7C09F6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63F4097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243" w:type="pct"/>
                  <w:vMerge w:val="restart"/>
                  <w:vAlign w:val="center"/>
                </w:tcPr>
                <w:p w14:paraId="15765FC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主体设备</w:t>
                  </w:r>
                </w:p>
              </w:tc>
              <w:tc>
                <w:tcPr>
                  <w:tcW w:w="180" w:type="pct"/>
                  <w:vMerge w:val="restart"/>
                  <w:vAlign w:val="center"/>
                </w:tcPr>
                <w:p w14:paraId="18632D9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破碎工段</w:t>
                  </w:r>
                </w:p>
              </w:tc>
              <w:tc>
                <w:tcPr>
                  <w:tcW w:w="861" w:type="pct"/>
                  <w:vAlign w:val="center"/>
                </w:tcPr>
                <w:p w14:paraId="4ED27C2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颚式破碎机</w:t>
                  </w:r>
                </w:p>
              </w:tc>
              <w:tc>
                <w:tcPr>
                  <w:tcW w:w="683" w:type="pct"/>
                  <w:vAlign w:val="center"/>
                </w:tcPr>
                <w:p w14:paraId="7320E68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PE</w:t>
                  </w:r>
                  <w:r>
                    <w:rPr>
                      <w:rFonts w:hint="eastAsia"/>
                      <w:color w:val="000000" w:themeColor="text1"/>
                      <w:sz w:val="21"/>
                      <w:szCs w:val="21"/>
                      <w:highlight w:val="none"/>
                      <w:lang w:val="en-US" w:eastAsia="zh-CN"/>
                      <w14:textFill>
                        <w14:solidFill>
                          <w14:schemeClr w14:val="tx1"/>
                        </w14:solidFill>
                      </w14:textFill>
                    </w:rPr>
                    <w:t>3</w:t>
                  </w:r>
                  <w:r>
                    <w:rPr>
                      <w:rFonts w:hint="eastAsia"/>
                      <w:color w:val="000000" w:themeColor="text1"/>
                      <w:sz w:val="21"/>
                      <w:szCs w:val="21"/>
                      <w:highlight w:val="none"/>
                      <w14:textFill>
                        <w14:solidFill>
                          <w14:schemeClr w14:val="tx1"/>
                        </w14:solidFill>
                      </w14:textFill>
                    </w:rPr>
                    <w:t>00</w:t>
                  </w:r>
                  <w:r>
                    <w:rPr>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12</w:t>
                  </w:r>
                  <w:r>
                    <w:rPr>
                      <w:rFonts w:hint="eastAsia"/>
                      <w:color w:val="000000" w:themeColor="text1"/>
                      <w:sz w:val="21"/>
                      <w:szCs w:val="21"/>
                      <w:highlight w:val="none"/>
                      <w14:textFill>
                        <w14:solidFill>
                          <w14:schemeClr w14:val="tx1"/>
                        </w14:solidFill>
                      </w14:textFill>
                    </w:rPr>
                    <w:t>00</w:t>
                  </w:r>
                </w:p>
              </w:tc>
              <w:tc>
                <w:tcPr>
                  <w:tcW w:w="750" w:type="pct"/>
                  <w:vAlign w:val="center"/>
                </w:tcPr>
                <w:p w14:paraId="3546637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台时产量120t/h</w:t>
                  </w:r>
                </w:p>
              </w:tc>
              <w:tc>
                <w:tcPr>
                  <w:tcW w:w="319" w:type="pct"/>
                  <w:vAlign w:val="center"/>
                </w:tcPr>
                <w:p w14:paraId="59071BD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33EF7CA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p>
              </w:tc>
              <w:tc>
                <w:tcPr>
                  <w:tcW w:w="397" w:type="pct"/>
                  <w:vAlign w:val="center"/>
                </w:tcPr>
                <w:p w14:paraId="5826FDF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更换现有并新增1台</w:t>
                  </w:r>
                </w:p>
              </w:tc>
              <w:tc>
                <w:tcPr>
                  <w:tcW w:w="924" w:type="pct"/>
                  <w:vAlign w:val="center"/>
                </w:tcPr>
                <w:p w14:paraId="1E52473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粗破</w:t>
                  </w:r>
                </w:p>
              </w:tc>
            </w:tr>
            <w:tr w14:paraId="26FE9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1CDC699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243" w:type="pct"/>
                  <w:vMerge w:val="continue"/>
                  <w:vAlign w:val="center"/>
                </w:tcPr>
                <w:p w14:paraId="3A4A33CE">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216EA2FC">
                  <w:pPr>
                    <w:jc w:val="center"/>
                    <w:rPr>
                      <w:color w:val="000000" w:themeColor="text1"/>
                      <w:sz w:val="21"/>
                      <w:szCs w:val="21"/>
                      <w:highlight w:val="none"/>
                      <w14:textFill>
                        <w14:solidFill>
                          <w14:schemeClr w14:val="tx1"/>
                        </w14:solidFill>
                      </w14:textFill>
                    </w:rPr>
                  </w:pPr>
                </w:p>
              </w:tc>
              <w:tc>
                <w:tcPr>
                  <w:tcW w:w="861" w:type="pct"/>
                  <w:vAlign w:val="center"/>
                </w:tcPr>
                <w:p w14:paraId="463A6BC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锤式破碎机</w:t>
                  </w:r>
                </w:p>
              </w:tc>
              <w:tc>
                <w:tcPr>
                  <w:tcW w:w="683" w:type="pct"/>
                  <w:vAlign w:val="center"/>
                </w:tcPr>
                <w:p w14:paraId="04A5D787">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r>
                    <w:rPr>
                      <w:rFonts w:hint="eastAsia"/>
                      <w:color w:val="000000" w:themeColor="text1"/>
                      <w:sz w:val="21"/>
                      <w:szCs w:val="21"/>
                      <w:highlight w:val="none"/>
                      <w14:textFill>
                        <w14:solidFill>
                          <w14:schemeClr w14:val="tx1"/>
                        </w14:solidFill>
                      </w14:textFill>
                    </w:rPr>
                    <w:t>PCZ</w:t>
                  </w:r>
                  <w:r>
                    <w:rPr>
                      <w:rFonts w:hint="eastAsia"/>
                      <w:color w:val="000000" w:themeColor="text1"/>
                      <w:sz w:val="21"/>
                      <w:szCs w:val="21"/>
                      <w:highlight w:val="none"/>
                      <w:lang w:val="en-US" w:eastAsia="zh-CN"/>
                      <w14:textFill>
                        <w14:solidFill>
                          <w14:schemeClr w14:val="tx1"/>
                        </w14:solidFill>
                      </w14:textFill>
                    </w:rPr>
                    <w:t>1314</w:t>
                  </w:r>
                </w:p>
              </w:tc>
              <w:tc>
                <w:tcPr>
                  <w:tcW w:w="750" w:type="pct"/>
                  <w:vAlign w:val="center"/>
                </w:tcPr>
                <w:p w14:paraId="597BF1E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台时产量150t/h</w:t>
                  </w:r>
                </w:p>
              </w:tc>
              <w:tc>
                <w:tcPr>
                  <w:tcW w:w="319" w:type="pct"/>
                  <w:vAlign w:val="center"/>
                </w:tcPr>
                <w:p w14:paraId="20FF508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22C4001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15E00AD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1A2E120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细碎</w:t>
                  </w:r>
                </w:p>
              </w:tc>
            </w:tr>
            <w:tr w14:paraId="2B543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58F879D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w:t>
                  </w:r>
                </w:p>
              </w:tc>
              <w:tc>
                <w:tcPr>
                  <w:tcW w:w="243" w:type="pct"/>
                  <w:vMerge w:val="continue"/>
                  <w:vAlign w:val="center"/>
                </w:tcPr>
                <w:p w14:paraId="7BCA900F">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617358CD">
                  <w:pPr>
                    <w:jc w:val="center"/>
                    <w:rPr>
                      <w:color w:val="000000" w:themeColor="text1"/>
                      <w:sz w:val="21"/>
                      <w:szCs w:val="21"/>
                      <w:highlight w:val="none"/>
                      <w14:textFill>
                        <w14:solidFill>
                          <w14:schemeClr w14:val="tx1"/>
                        </w14:solidFill>
                      </w14:textFill>
                    </w:rPr>
                  </w:pPr>
                </w:p>
              </w:tc>
              <w:tc>
                <w:tcPr>
                  <w:tcW w:w="861" w:type="pct"/>
                  <w:vAlign w:val="center"/>
                </w:tcPr>
                <w:p w14:paraId="4AB425F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圆滚筛</w:t>
                  </w:r>
                </w:p>
              </w:tc>
              <w:tc>
                <w:tcPr>
                  <w:tcW w:w="683" w:type="pct"/>
                  <w:vAlign w:val="center"/>
                </w:tcPr>
                <w:p w14:paraId="3E897E9F">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长5m、φ2m</w:t>
                  </w:r>
                </w:p>
              </w:tc>
              <w:tc>
                <w:tcPr>
                  <w:tcW w:w="750" w:type="pct"/>
                  <w:vAlign w:val="center"/>
                </w:tcPr>
                <w:p w14:paraId="544F72E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台时产量120t/h</w:t>
                  </w:r>
                </w:p>
              </w:tc>
              <w:tc>
                <w:tcPr>
                  <w:tcW w:w="319" w:type="pct"/>
                  <w:vAlign w:val="center"/>
                </w:tcPr>
                <w:p w14:paraId="55C3AC6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05FB085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397" w:type="pct"/>
                  <w:vAlign w:val="center"/>
                </w:tcPr>
                <w:p w14:paraId="2AC0222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4436ED0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筛分</w:t>
                  </w:r>
                </w:p>
              </w:tc>
            </w:tr>
            <w:tr w14:paraId="562DAC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6E27DCA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243" w:type="pct"/>
                  <w:vMerge w:val="continue"/>
                  <w:vAlign w:val="center"/>
                </w:tcPr>
                <w:p w14:paraId="76A8C5EA">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22517BB8">
                  <w:pPr>
                    <w:jc w:val="center"/>
                    <w:rPr>
                      <w:color w:val="000000" w:themeColor="text1"/>
                      <w:sz w:val="21"/>
                      <w:szCs w:val="21"/>
                      <w:highlight w:val="none"/>
                      <w14:textFill>
                        <w14:solidFill>
                          <w14:schemeClr w14:val="tx1"/>
                        </w14:solidFill>
                      </w14:textFill>
                    </w:rPr>
                  </w:pPr>
                </w:p>
              </w:tc>
              <w:tc>
                <w:tcPr>
                  <w:tcW w:w="861" w:type="pct"/>
                  <w:vAlign w:val="center"/>
                </w:tcPr>
                <w:p w14:paraId="6D9D6AA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双轴搅拌机</w:t>
                  </w:r>
                </w:p>
              </w:tc>
              <w:tc>
                <w:tcPr>
                  <w:tcW w:w="683" w:type="pct"/>
                  <w:vAlign w:val="center"/>
                </w:tcPr>
                <w:p w14:paraId="03AF7C3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JS2000</w:t>
                  </w:r>
                </w:p>
              </w:tc>
              <w:tc>
                <w:tcPr>
                  <w:tcW w:w="750" w:type="pct"/>
                  <w:vAlign w:val="center"/>
                </w:tcPr>
                <w:p w14:paraId="01DF2BD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台时产量150t/h</w:t>
                  </w:r>
                </w:p>
              </w:tc>
              <w:tc>
                <w:tcPr>
                  <w:tcW w:w="319" w:type="pct"/>
                  <w:vAlign w:val="center"/>
                </w:tcPr>
                <w:p w14:paraId="431B7C8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04ABC6D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397" w:type="pct"/>
                  <w:vAlign w:val="center"/>
                </w:tcPr>
                <w:p w14:paraId="5AE51F4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505FAC2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搅拌</w:t>
                  </w:r>
                </w:p>
              </w:tc>
            </w:tr>
            <w:tr w14:paraId="3A6C6E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171CE09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5</w:t>
                  </w:r>
                </w:p>
              </w:tc>
              <w:tc>
                <w:tcPr>
                  <w:tcW w:w="243" w:type="pct"/>
                  <w:vMerge w:val="continue"/>
                  <w:vAlign w:val="center"/>
                </w:tcPr>
                <w:p w14:paraId="3FDE3688">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22FA893C">
                  <w:pPr>
                    <w:jc w:val="center"/>
                    <w:rPr>
                      <w:color w:val="000000" w:themeColor="text1"/>
                      <w:sz w:val="21"/>
                      <w:szCs w:val="21"/>
                      <w:highlight w:val="none"/>
                      <w14:textFill>
                        <w14:solidFill>
                          <w14:schemeClr w14:val="tx1"/>
                        </w14:solidFill>
                      </w14:textFill>
                    </w:rPr>
                  </w:pPr>
                </w:p>
              </w:tc>
              <w:tc>
                <w:tcPr>
                  <w:tcW w:w="861" w:type="pct"/>
                  <w:vAlign w:val="center"/>
                </w:tcPr>
                <w:p w14:paraId="237F01B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双轴搅拌挤出机</w:t>
                  </w:r>
                </w:p>
              </w:tc>
              <w:tc>
                <w:tcPr>
                  <w:tcW w:w="683" w:type="pct"/>
                  <w:vAlign w:val="center"/>
                </w:tcPr>
                <w:p w14:paraId="0BFC2CC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JS2000</w:t>
                  </w:r>
                </w:p>
              </w:tc>
              <w:tc>
                <w:tcPr>
                  <w:tcW w:w="750" w:type="pct"/>
                  <w:vAlign w:val="center"/>
                </w:tcPr>
                <w:p w14:paraId="4A01BE0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台时产量130t/h</w:t>
                  </w:r>
                </w:p>
              </w:tc>
              <w:tc>
                <w:tcPr>
                  <w:tcW w:w="319" w:type="pct"/>
                  <w:vAlign w:val="center"/>
                </w:tcPr>
                <w:p w14:paraId="5DA79BE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731D91E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43B7360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0FDC271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搅拌</w:t>
                  </w:r>
                </w:p>
              </w:tc>
            </w:tr>
            <w:tr w14:paraId="1C1CD8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3BF33A5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w:t>
                  </w:r>
                </w:p>
              </w:tc>
              <w:tc>
                <w:tcPr>
                  <w:tcW w:w="243" w:type="pct"/>
                  <w:vMerge w:val="continue"/>
                  <w:vAlign w:val="center"/>
                </w:tcPr>
                <w:p w14:paraId="52F61BE9">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002DAE92">
                  <w:pPr>
                    <w:jc w:val="center"/>
                    <w:rPr>
                      <w:color w:val="000000" w:themeColor="text1"/>
                      <w:sz w:val="21"/>
                      <w:szCs w:val="21"/>
                      <w:highlight w:val="none"/>
                      <w14:textFill>
                        <w14:solidFill>
                          <w14:schemeClr w14:val="tx1"/>
                        </w14:solidFill>
                      </w14:textFill>
                    </w:rPr>
                  </w:pPr>
                </w:p>
              </w:tc>
              <w:tc>
                <w:tcPr>
                  <w:tcW w:w="861" w:type="pct"/>
                  <w:vAlign w:val="center"/>
                </w:tcPr>
                <w:p w14:paraId="4C1CCEF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箱式</w:t>
                  </w:r>
                  <w:r>
                    <w:rPr>
                      <w:color w:val="000000" w:themeColor="text1"/>
                      <w:sz w:val="21"/>
                      <w:szCs w:val="21"/>
                      <w:highlight w:val="none"/>
                      <w14:textFill>
                        <w14:solidFill>
                          <w14:schemeClr w14:val="tx1"/>
                        </w14:solidFill>
                      </w14:textFill>
                    </w:rPr>
                    <w:t>给料机</w:t>
                  </w:r>
                </w:p>
              </w:tc>
              <w:tc>
                <w:tcPr>
                  <w:tcW w:w="683" w:type="pct"/>
                  <w:vAlign w:val="center"/>
                </w:tcPr>
                <w:p w14:paraId="3B982B1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XGD800</w:t>
                  </w:r>
                </w:p>
              </w:tc>
              <w:tc>
                <w:tcPr>
                  <w:tcW w:w="750" w:type="pct"/>
                  <w:vAlign w:val="center"/>
                </w:tcPr>
                <w:p w14:paraId="7B7FFDD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台时产量80t/h</w:t>
                  </w:r>
                </w:p>
              </w:tc>
              <w:tc>
                <w:tcPr>
                  <w:tcW w:w="319" w:type="pct"/>
                  <w:vAlign w:val="center"/>
                </w:tcPr>
                <w:p w14:paraId="1BDAC27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50B411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w:t>
                  </w:r>
                </w:p>
              </w:tc>
              <w:tc>
                <w:tcPr>
                  <w:tcW w:w="397" w:type="pct"/>
                  <w:vAlign w:val="center"/>
                </w:tcPr>
                <w:p w14:paraId="3A8C112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08679A4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给料</w:t>
                  </w:r>
                </w:p>
              </w:tc>
            </w:tr>
            <w:tr w14:paraId="2FED7D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15FDE07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w:t>
                  </w:r>
                </w:p>
              </w:tc>
              <w:tc>
                <w:tcPr>
                  <w:tcW w:w="243" w:type="pct"/>
                  <w:vMerge w:val="continue"/>
                  <w:vAlign w:val="center"/>
                </w:tcPr>
                <w:p w14:paraId="59B9E935">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28162561">
                  <w:pPr>
                    <w:jc w:val="center"/>
                    <w:rPr>
                      <w:color w:val="000000" w:themeColor="text1"/>
                      <w:sz w:val="21"/>
                      <w:szCs w:val="21"/>
                      <w:highlight w:val="none"/>
                      <w14:textFill>
                        <w14:solidFill>
                          <w14:schemeClr w14:val="tx1"/>
                        </w14:solidFill>
                      </w14:textFill>
                    </w:rPr>
                  </w:pPr>
                </w:p>
              </w:tc>
              <w:tc>
                <w:tcPr>
                  <w:tcW w:w="861" w:type="pct"/>
                  <w:vAlign w:val="center"/>
                </w:tcPr>
                <w:p w14:paraId="6AB6DD0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板式给料机</w:t>
                  </w:r>
                </w:p>
              </w:tc>
              <w:tc>
                <w:tcPr>
                  <w:tcW w:w="683" w:type="pct"/>
                  <w:vAlign w:val="center"/>
                </w:tcPr>
                <w:p w14:paraId="6BEB6BA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BZ1200</w:t>
                  </w:r>
                </w:p>
              </w:tc>
              <w:tc>
                <w:tcPr>
                  <w:tcW w:w="750" w:type="pct"/>
                  <w:vAlign w:val="center"/>
                </w:tcPr>
                <w:p w14:paraId="401A10E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台时产量60t/h</w:t>
                  </w:r>
                </w:p>
              </w:tc>
              <w:tc>
                <w:tcPr>
                  <w:tcW w:w="319" w:type="pct"/>
                  <w:vAlign w:val="center"/>
                </w:tcPr>
                <w:p w14:paraId="4D4216D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024667F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397" w:type="pct"/>
                  <w:vAlign w:val="center"/>
                </w:tcPr>
                <w:p w14:paraId="0EE9F8E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02A76E1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给料</w:t>
                  </w:r>
                </w:p>
              </w:tc>
            </w:tr>
            <w:tr w14:paraId="4120B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55" w:hRule="atLeast"/>
                <w:jc w:val="center"/>
              </w:trPr>
              <w:tc>
                <w:tcPr>
                  <w:tcW w:w="242" w:type="pct"/>
                  <w:vAlign w:val="center"/>
                </w:tcPr>
                <w:p w14:paraId="45C40B6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p>
              </w:tc>
              <w:tc>
                <w:tcPr>
                  <w:tcW w:w="243" w:type="pct"/>
                  <w:vMerge w:val="continue"/>
                  <w:vAlign w:val="center"/>
                </w:tcPr>
                <w:p w14:paraId="5E12EBD0">
                  <w:pPr>
                    <w:jc w:val="center"/>
                    <w:rPr>
                      <w:color w:val="000000" w:themeColor="text1"/>
                      <w:sz w:val="21"/>
                      <w:szCs w:val="21"/>
                      <w:highlight w:val="none"/>
                      <w14:textFill>
                        <w14:solidFill>
                          <w14:schemeClr w14:val="tx1"/>
                        </w14:solidFill>
                      </w14:textFill>
                    </w:rPr>
                  </w:pPr>
                </w:p>
              </w:tc>
              <w:tc>
                <w:tcPr>
                  <w:tcW w:w="180" w:type="pct"/>
                  <w:vAlign w:val="center"/>
                </w:tcPr>
                <w:p w14:paraId="2EEE7EE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陈化</w:t>
                  </w:r>
                </w:p>
              </w:tc>
              <w:tc>
                <w:tcPr>
                  <w:tcW w:w="861" w:type="pct"/>
                  <w:vAlign w:val="center"/>
                </w:tcPr>
                <w:p w14:paraId="517C034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陈化布料皮带</w:t>
                  </w:r>
                </w:p>
              </w:tc>
              <w:tc>
                <w:tcPr>
                  <w:tcW w:w="683" w:type="pct"/>
                  <w:vAlign w:val="center"/>
                </w:tcPr>
                <w:p w14:paraId="755B1DE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KNP</w:t>
                  </w:r>
                  <w:r>
                    <w:rPr>
                      <w:rFonts w:hint="eastAsia"/>
                      <w:color w:val="000000" w:themeColor="text1"/>
                      <w:sz w:val="21"/>
                      <w:szCs w:val="21"/>
                      <w:highlight w:val="none"/>
                      <w14:textFill>
                        <w14:solidFill>
                          <w14:schemeClr w14:val="tx1"/>
                        </w14:solidFill>
                      </w14:textFill>
                    </w:rPr>
                    <w:t>800</w:t>
                  </w:r>
                  <w:r>
                    <w:rPr>
                      <w:color w:val="000000" w:themeColor="text1"/>
                      <w:sz w:val="21"/>
                      <w:szCs w:val="21"/>
                      <w:highlight w:val="none"/>
                      <w14:textFill>
                        <w14:solidFill>
                          <w14:schemeClr w14:val="tx1"/>
                        </w14:solidFill>
                      </w14:textFill>
                    </w:rPr>
                    <w:t>*26M</w:t>
                  </w:r>
                </w:p>
              </w:tc>
              <w:tc>
                <w:tcPr>
                  <w:tcW w:w="750" w:type="pct"/>
                  <w:vAlign w:val="center"/>
                </w:tcPr>
                <w:p w14:paraId="78AEC76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传输能力140t/h</w:t>
                  </w:r>
                </w:p>
              </w:tc>
              <w:tc>
                <w:tcPr>
                  <w:tcW w:w="319" w:type="pct"/>
                  <w:vAlign w:val="center"/>
                </w:tcPr>
                <w:p w14:paraId="6C34273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7CF58D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37ACC04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1D96617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布料</w:t>
                  </w:r>
                </w:p>
              </w:tc>
            </w:tr>
            <w:tr w14:paraId="2E8806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2ED9A60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9</w:t>
                  </w:r>
                </w:p>
              </w:tc>
              <w:tc>
                <w:tcPr>
                  <w:tcW w:w="243" w:type="pct"/>
                  <w:vMerge w:val="continue"/>
                  <w:vAlign w:val="center"/>
                </w:tcPr>
                <w:p w14:paraId="3AC10C82">
                  <w:pPr>
                    <w:jc w:val="center"/>
                    <w:rPr>
                      <w:color w:val="000000" w:themeColor="text1"/>
                      <w:sz w:val="21"/>
                      <w:szCs w:val="21"/>
                      <w:highlight w:val="none"/>
                      <w14:textFill>
                        <w14:solidFill>
                          <w14:schemeClr w14:val="tx1"/>
                        </w14:solidFill>
                      </w14:textFill>
                    </w:rPr>
                  </w:pPr>
                </w:p>
              </w:tc>
              <w:tc>
                <w:tcPr>
                  <w:tcW w:w="180" w:type="pct"/>
                  <w:vMerge w:val="restart"/>
                  <w:vAlign w:val="center"/>
                </w:tcPr>
                <w:p w14:paraId="771DCF1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成型与切坯</w:t>
                  </w:r>
                </w:p>
              </w:tc>
              <w:tc>
                <w:tcPr>
                  <w:tcW w:w="861" w:type="pct"/>
                  <w:vAlign w:val="center"/>
                </w:tcPr>
                <w:p w14:paraId="794CD30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多斗挖土机</w:t>
                  </w:r>
                </w:p>
              </w:tc>
              <w:tc>
                <w:tcPr>
                  <w:tcW w:w="683" w:type="pct"/>
                  <w:vAlign w:val="center"/>
                </w:tcPr>
                <w:p w14:paraId="1949A30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DWY</w:t>
                  </w:r>
                  <w:r>
                    <w:rPr>
                      <w:rFonts w:hint="eastAsia"/>
                      <w:color w:val="000000" w:themeColor="text1"/>
                      <w:sz w:val="21"/>
                      <w:szCs w:val="21"/>
                      <w:highlight w:val="none"/>
                      <w14:textFill>
                        <w14:solidFill>
                          <w14:schemeClr w14:val="tx1"/>
                        </w14:solidFill>
                      </w14:textFill>
                    </w:rPr>
                    <w:t>30-980</w:t>
                  </w:r>
                </w:p>
              </w:tc>
              <w:tc>
                <w:tcPr>
                  <w:tcW w:w="750" w:type="pct"/>
                  <w:vAlign w:val="center"/>
                </w:tcPr>
                <w:p w14:paraId="33D17EF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生产能力30m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05185AD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9AEF3A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4771F8F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45E4965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给料</w:t>
                  </w:r>
                </w:p>
              </w:tc>
            </w:tr>
            <w:tr w14:paraId="78007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0D9295F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p>
              </w:tc>
              <w:tc>
                <w:tcPr>
                  <w:tcW w:w="243" w:type="pct"/>
                  <w:vMerge w:val="continue"/>
                  <w:vAlign w:val="center"/>
                </w:tcPr>
                <w:p w14:paraId="505EC400">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F0904C8">
                  <w:pPr>
                    <w:jc w:val="center"/>
                    <w:rPr>
                      <w:color w:val="000000" w:themeColor="text1"/>
                      <w:sz w:val="21"/>
                      <w:szCs w:val="21"/>
                      <w:highlight w:val="none"/>
                      <w14:textFill>
                        <w14:solidFill>
                          <w14:schemeClr w14:val="tx1"/>
                        </w14:solidFill>
                      </w14:textFill>
                    </w:rPr>
                  </w:pPr>
                </w:p>
              </w:tc>
              <w:tc>
                <w:tcPr>
                  <w:tcW w:w="861" w:type="pct"/>
                  <w:vAlign w:val="center"/>
                </w:tcPr>
                <w:p w14:paraId="782CF7A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真空挤出机</w:t>
                  </w:r>
                </w:p>
              </w:tc>
              <w:tc>
                <w:tcPr>
                  <w:tcW w:w="683" w:type="pct"/>
                  <w:vAlign w:val="center"/>
                </w:tcPr>
                <w:p w14:paraId="0E7C48B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JKY</w:t>
                  </w:r>
                  <w:r>
                    <w:rPr>
                      <w:rFonts w:hint="eastAsia"/>
                      <w:color w:val="000000" w:themeColor="text1"/>
                      <w:sz w:val="21"/>
                      <w:szCs w:val="21"/>
                      <w:highlight w:val="none"/>
                      <w14:textFill>
                        <w14:solidFill>
                          <w14:schemeClr w14:val="tx1"/>
                        </w14:solidFill>
                      </w14:textFill>
                    </w:rPr>
                    <w:t>90</w:t>
                  </w:r>
                </w:p>
              </w:tc>
              <w:tc>
                <w:tcPr>
                  <w:tcW w:w="750" w:type="pct"/>
                  <w:vAlign w:val="center"/>
                </w:tcPr>
                <w:p w14:paraId="1279D4E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台时产量120t/h</w:t>
                  </w:r>
                </w:p>
              </w:tc>
              <w:tc>
                <w:tcPr>
                  <w:tcW w:w="319" w:type="pct"/>
                  <w:vAlign w:val="center"/>
                </w:tcPr>
                <w:p w14:paraId="5D6594E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3241B1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50164A8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19F8332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挤出成型</w:t>
                  </w:r>
                </w:p>
              </w:tc>
            </w:tr>
            <w:tr w14:paraId="3C7F5F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52D7128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11</w:t>
                  </w:r>
                </w:p>
              </w:tc>
              <w:tc>
                <w:tcPr>
                  <w:tcW w:w="243" w:type="pct"/>
                  <w:vMerge w:val="continue"/>
                  <w:vAlign w:val="center"/>
                </w:tcPr>
                <w:p w14:paraId="4DFC6CF8">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73190975">
                  <w:pPr>
                    <w:jc w:val="center"/>
                    <w:rPr>
                      <w:color w:val="000000" w:themeColor="text1"/>
                      <w:sz w:val="21"/>
                      <w:szCs w:val="21"/>
                      <w:highlight w:val="none"/>
                      <w14:textFill>
                        <w14:solidFill>
                          <w14:schemeClr w14:val="tx1"/>
                        </w14:solidFill>
                      </w14:textFill>
                    </w:rPr>
                  </w:pPr>
                </w:p>
              </w:tc>
              <w:tc>
                <w:tcPr>
                  <w:tcW w:w="861" w:type="pct"/>
                  <w:vAlign w:val="center"/>
                </w:tcPr>
                <w:p w14:paraId="120D567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自动切条切坯机</w:t>
                  </w:r>
                </w:p>
              </w:tc>
              <w:tc>
                <w:tcPr>
                  <w:tcW w:w="683" w:type="pct"/>
                  <w:vAlign w:val="center"/>
                </w:tcPr>
                <w:p w14:paraId="0D05137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Z</w:t>
                  </w:r>
                  <w:r>
                    <w:rPr>
                      <w:rFonts w:hint="eastAsia"/>
                      <w:color w:val="000000" w:themeColor="text1"/>
                      <w:sz w:val="21"/>
                      <w:szCs w:val="21"/>
                      <w:highlight w:val="none"/>
                      <w14:textFill>
                        <w14:solidFill>
                          <w14:schemeClr w14:val="tx1"/>
                        </w14:solidFill>
                      </w14:textFill>
                    </w:rPr>
                    <w:t>D</w:t>
                  </w:r>
                  <w:r>
                    <w:rPr>
                      <w:color w:val="000000" w:themeColor="text1"/>
                      <w:sz w:val="21"/>
                      <w:szCs w:val="21"/>
                      <w:highlight w:val="none"/>
                      <w14:textFill>
                        <w14:solidFill>
                          <w14:schemeClr w14:val="tx1"/>
                        </w14:solidFill>
                      </w14:textFill>
                    </w:rPr>
                    <w:t>PT</w:t>
                  </w:r>
                </w:p>
              </w:tc>
              <w:tc>
                <w:tcPr>
                  <w:tcW w:w="750" w:type="pct"/>
                  <w:vAlign w:val="center"/>
                </w:tcPr>
                <w:p w14:paraId="1A26593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台时产量120t/h</w:t>
                  </w:r>
                </w:p>
              </w:tc>
              <w:tc>
                <w:tcPr>
                  <w:tcW w:w="319" w:type="pct"/>
                  <w:vAlign w:val="center"/>
                </w:tcPr>
                <w:p w14:paraId="0319ECA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6C33E6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662F4DE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47C1DEF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切条、切坯</w:t>
                  </w:r>
                </w:p>
              </w:tc>
            </w:tr>
            <w:tr w14:paraId="462630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53AFA7F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12</w:t>
                  </w:r>
                </w:p>
              </w:tc>
              <w:tc>
                <w:tcPr>
                  <w:tcW w:w="243" w:type="pct"/>
                  <w:vMerge w:val="continue"/>
                  <w:vAlign w:val="center"/>
                </w:tcPr>
                <w:p w14:paraId="6386E839">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7F11FB82">
                  <w:pPr>
                    <w:jc w:val="center"/>
                    <w:rPr>
                      <w:color w:val="000000" w:themeColor="text1"/>
                      <w:sz w:val="21"/>
                      <w:szCs w:val="21"/>
                      <w:highlight w:val="none"/>
                      <w14:textFill>
                        <w14:solidFill>
                          <w14:schemeClr w14:val="tx1"/>
                        </w14:solidFill>
                      </w14:textFill>
                    </w:rPr>
                  </w:pPr>
                </w:p>
              </w:tc>
              <w:tc>
                <w:tcPr>
                  <w:tcW w:w="861" w:type="pct"/>
                  <w:vAlign w:val="center"/>
                </w:tcPr>
                <w:p w14:paraId="4B868CB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自动码坯机</w:t>
                  </w:r>
                </w:p>
              </w:tc>
              <w:tc>
                <w:tcPr>
                  <w:tcW w:w="683" w:type="pct"/>
                  <w:vAlign w:val="center"/>
                </w:tcPr>
                <w:p w14:paraId="1FD4998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JMZMP-1</w:t>
                  </w:r>
                </w:p>
              </w:tc>
              <w:tc>
                <w:tcPr>
                  <w:tcW w:w="750" w:type="pct"/>
                  <w:vAlign w:val="center"/>
                </w:tcPr>
                <w:p w14:paraId="1057E52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台时产量120t/h</w:t>
                  </w:r>
                </w:p>
              </w:tc>
              <w:tc>
                <w:tcPr>
                  <w:tcW w:w="319" w:type="pct"/>
                  <w:vAlign w:val="center"/>
                </w:tcPr>
                <w:p w14:paraId="4821DD7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E96637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490A126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646D1A3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码坯</w:t>
                  </w:r>
                </w:p>
              </w:tc>
            </w:tr>
            <w:tr w14:paraId="18A855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47DF0A8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13</w:t>
                  </w:r>
                </w:p>
              </w:tc>
              <w:tc>
                <w:tcPr>
                  <w:tcW w:w="243" w:type="pct"/>
                  <w:vMerge w:val="continue"/>
                  <w:vAlign w:val="center"/>
                </w:tcPr>
                <w:p w14:paraId="7ABE5913">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625F3DFF">
                  <w:pPr>
                    <w:jc w:val="center"/>
                    <w:rPr>
                      <w:color w:val="000000" w:themeColor="text1"/>
                      <w:sz w:val="21"/>
                      <w:szCs w:val="21"/>
                      <w:highlight w:val="none"/>
                      <w14:textFill>
                        <w14:solidFill>
                          <w14:schemeClr w14:val="tx1"/>
                        </w14:solidFill>
                      </w14:textFill>
                    </w:rPr>
                  </w:pPr>
                </w:p>
              </w:tc>
              <w:tc>
                <w:tcPr>
                  <w:tcW w:w="861" w:type="pct"/>
                  <w:vAlign w:val="center"/>
                </w:tcPr>
                <w:p w14:paraId="48B9180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双杠顶车机</w:t>
                  </w:r>
                </w:p>
              </w:tc>
              <w:tc>
                <w:tcPr>
                  <w:tcW w:w="683" w:type="pct"/>
                  <w:vAlign w:val="center"/>
                </w:tcPr>
                <w:p w14:paraId="687EBBC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281E129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4E6F520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3F0EEE0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10</w:t>
                  </w:r>
                </w:p>
              </w:tc>
              <w:tc>
                <w:tcPr>
                  <w:tcW w:w="397" w:type="pct"/>
                  <w:vAlign w:val="center"/>
                </w:tcPr>
                <w:p w14:paraId="4FDD26F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5903396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07C9D8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21FED7D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14</w:t>
                  </w:r>
                </w:p>
              </w:tc>
              <w:tc>
                <w:tcPr>
                  <w:tcW w:w="243" w:type="pct"/>
                  <w:vMerge w:val="continue"/>
                  <w:vAlign w:val="center"/>
                </w:tcPr>
                <w:p w14:paraId="5070EA82">
                  <w:pPr>
                    <w:jc w:val="center"/>
                    <w:rPr>
                      <w:color w:val="000000" w:themeColor="text1"/>
                      <w:sz w:val="21"/>
                      <w:szCs w:val="21"/>
                      <w:highlight w:val="none"/>
                      <w14:textFill>
                        <w14:solidFill>
                          <w14:schemeClr w14:val="tx1"/>
                        </w14:solidFill>
                      </w14:textFill>
                    </w:rPr>
                  </w:pPr>
                </w:p>
              </w:tc>
              <w:tc>
                <w:tcPr>
                  <w:tcW w:w="180" w:type="pct"/>
                  <w:vMerge w:val="restart"/>
                  <w:vAlign w:val="center"/>
                </w:tcPr>
                <w:p w14:paraId="5D68753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烘干与焙烧工段</w:t>
                  </w:r>
                </w:p>
              </w:tc>
              <w:tc>
                <w:tcPr>
                  <w:tcW w:w="861" w:type="pct"/>
                  <w:vAlign w:val="center"/>
                </w:tcPr>
                <w:p w14:paraId="333D86B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干燥车</w:t>
                  </w:r>
                </w:p>
              </w:tc>
              <w:tc>
                <w:tcPr>
                  <w:tcW w:w="683" w:type="pct"/>
                  <w:vAlign w:val="center"/>
                </w:tcPr>
                <w:p w14:paraId="276F3A5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1011F3C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承载量3120块/车</w:t>
                  </w:r>
                </w:p>
              </w:tc>
              <w:tc>
                <w:tcPr>
                  <w:tcW w:w="319" w:type="pct"/>
                  <w:vAlign w:val="center"/>
                </w:tcPr>
                <w:p w14:paraId="2C71031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052D772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380</w:t>
                  </w:r>
                </w:p>
              </w:tc>
              <w:tc>
                <w:tcPr>
                  <w:tcW w:w="397" w:type="pct"/>
                  <w:vAlign w:val="center"/>
                </w:tcPr>
                <w:p w14:paraId="06F087C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4279D36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运输</w:t>
                  </w:r>
                </w:p>
              </w:tc>
            </w:tr>
            <w:tr w14:paraId="4BEC8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2A40147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15</w:t>
                  </w:r>
                </w:p>
              </w:tc>
              <w:tc>
                <w:tcPr>
                  <w:tcW w:w="243" w:type="pct"/>
                  <w:vMerge w:val="continue"/>
                  <w:vAlign w:val="center"/>
                </w:tcPr>
                <w:p w14:paraId="1F4F40F2">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23B89783">
                  <w:pPr>
                    <w:jc w:val="center"/>
                    <w:rPr>
                      <w:color w:val="000000" w:themeColor="text1"/>
                      <w:sz w:val="21"/>
                      <w:szCs w:val="21"/>
                      <w:highlight w:val="none"/>
                      <w14:textFill>
                        <w14:solidFill>
                          <w14:schemeClr w14:val="tx1"/>
                        </w14:solidFill>
                      </w14:textFill>
                    </w:rPr>
                  </w:pPr>
                </w:p>
              </w:tc>
              <w:tc>
                <w:tcPr>
                  <w:tcW w:w="861" w:type="pct"/>
                  <w:vAlign w:val="center"/>
                </w:tcPr>
                <w:p w14:paraId="0F5019A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隧道型干燥室</w:t>
                  </w:r>
                </w:p>
              </w:tc>
              <w:tc>
                <w:tcPr>
                  <w:tcW w:w="683" w:type="pct"/>
                  <w:vAlign w:val="center"/>
                </w:tcPr>
                <w:p w14:paraId="5A1DDA8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113m*3.</w:t>
                  </w:r>
                  <w:r>
                    <w:rPr>
                      <w:rFonts w:hint="eastAsia"/>
                      <w:color w:val="000000" w:themeColor="text1"/>
                      <w:sz w:val="21"/>
                      <w:szCs w:val="21"/>
                      <w:highlight w:val="none"/>
                      <w:lang w:val="en-US" w:eastAsia="zh-CN"/>
                      <w14:textFill>
                        <w14:solidFill>
                          <w14:schemeClr w14:val="tx1"/>
                        </w14:solidFill>
                      </w14:textFill>
                    </w:rPr>
                    <w:t>8</w:t>
                  </w:r>
                  <w:r>
                    <w:rPr>
                      <w:color w:val="000000" w:themeColor="text1"/>
                      <w:sz w:val="21"/>
                      <w:szCs w:val="21"/>
                      <w:highlight w:val="none"/>
                      <w14:textFill>
                        <w14:solidFill>
                          <w14:schemeClr w14:val="tx1"/>
                        </w14:solidFill>
                      </w14:textFill>
                    </w:rPr>
                    <w:t>m</w:t>
                  </w:r>
                </w:p>
              </w:tc>
              <w:tc>
                <w:tcPr>
                  <w:tcW w:w="750" w:type="pct"/>
                  <w:vAlign w:val="center"/>
                </w:tcPr>
                <w:p w14:paraId="651127D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长113</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、宽3.</w:t>
                  </w:r>
                  <w:r>
                    <w:rPr>
                      <w:rFonts w:hint="eastAsia"/>
                      <w:color w:val="000000" w:themeColor="text1"/>
                      <w:sz w:val="21"/>
                      <w:szCs w:val="21"/>
                      <w:highlight w:val="none"/>
                      <w:lang w:val="en-US" w:eastAsia="zh-CN"/>
                      <w14:textFill>
                        <w14:solidFill>
                          <w14:schemeClr w14:val="tx1"/>
                        </w14:solidFill>
                      </w14:textFill>
                    </w:rPr>
                    <w:t>8</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、高</w:t>
                  </w:r>
                  <w:r>
                    <w:rPr>
                      <w:rFonts w:hint="eastAsia"/>
                      <w:color w:val="000000" w:themeColor="text1"/>
                      <w:sz w:val="21"/>
                      <w:szCs w:val="21"/>
                      <w:highlight w:val="none"/>
                      <w:lang w:val="en-US" w:eastAsia="zh-CN"/>
                      <w14:textFill>
                        <w14:solidFill>
                          <w14:schemeClr w14:val="tx1"/>
                        </w14:solidFill>
                      </w14:textFill>
                    </w:rPr>
                    <w:t>3</w:t>
                  </w:r>
                  <w:r>
                    <w:rPr>
                      <w:color w:val="000000" w:themeColor="text1"/>
                      <w:sz w:val="21"/>
                      <w:szCs w:val="21"/>
                      <w:highlight w:val="none"/>
                      <w14:textFill>
                        <w14:solidFill>
                          <w14:schemeClr w14:val="tx1"/>
                        </w14:solidFill>
                      </w14:textFill>
                    </w:rPr>
                    <w:t>m</w:t>
                  </w:r>
                </w:p>
              </w:tc>
              <w:tc>
                <w:tcPr>
                  <w:tcW w:w="319" w:type="pct"/>
                  <w:vAlign w:val="center"/>
                </w:tcPr>
                <w:p w14:paraId="29A9F85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2440BB8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397" w:type="pct"/>
                  <w:vAlign w:val="center"/>
                </w:tcPr>
                <w:p w14:paraId="2F11D2F1">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加大</w:t>
                  </w:r>
                </w:p>
              </w:tc>
              <w:tc>
                <w:tcPr>
                  <w:tcW w:w="924" w:type="pct"/>
                  <w:vAlign w:val="center"/>
                </w:tcPr>
                <w:p w14:paraId="6F837C2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干燥</w:t>
                  </w:r>
                </w:p>
              </w:tc>
            </w:tr>
            <w:tr w14:paraId="27EB6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6A14C11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p>
              </w:tc>
              <w:tc>
                <w:tcPr>
                  <w:tcW w:w="243" w:type="pct"/>
                  <w:vMerge w:val="continue"/>
                  <w:vAlign w:val="center"/>
                </w:tcPr>
                <w:p w14:paraId="03226B4C">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3759EC06">
                  <w:pPr>
                    <w:jc w:val="center"/>
                    <w:rPr>
                      <w:color w:val="000000" w:themeColor="text1"/>
                      <w:sz w:val="21"/>
                      <w:szCs w:val="21"/>
                      <w:highlight w:val="none"/>
                      <w14:textFill>
                        <w14:solidFill>
                          <w14:schemeClr w14:val="tx1"/>
                        </w14:solidFill>
                      </w14:textFill>
                    </w:rPr>
                  </w:pPr>
                </w:p>
              </w:tc>
              <w:tc>
                <w:tcPr>
                  <w:tcW w:w="861" w:type="pct"/>
                  <w:vAlign w:val="center"/>
                </w:tcPr>
                <w:p w14:paraId="47D594B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隧道焙烧窑</w:t>
                  </w:r>
                </w:p>
              </w:tc>
              <w:tc>
                <w:tcPr>
                  <w:tcW w:w="683" w:type="pct"/>
                  <w:vAlign w:val="center"/>
                </w:tcPr>
                <w:p w14:paraId="476F795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113m*3.</w:t>
                  </w:r>
                  <w:r>
                    <w:rPr>
                      <w:rFonts w:hint="eastAsia"/>
                      <w:color w:val="000000" w:themeColor="text1"/>
                      <w:sz w:val="21"/>
                      <w:szCs w:val="21"/>
                      <w:highlight w:val="none"/>
                      <w:lang w:val="en-US" w:eastAsia="zh-CN"/>
                      <w14:textFill>
                        <w14:solidFill>
                          <w14:schemeClr w14:val="tx1"/>
                        </w14:solidFill>
                      </w14:textFill>
                    </w:rPr>
                    <w:t>8</w:t>
                  </w:r>
                  <w:r>
                    <w:rPr>
                      <w:color w:val="000000" w:themeColor="text1"/>
                      <w:sz w:val="21"/>
                      <w:szCs w:val="21"/>
                      <w:highlight w:val="none"/>
                      <w14:textFill>
                        <w14:solidFill>
                          <w14:schemeClr w14:val="tx1"/>
                        </w14:solidFill>
                      </w14:textFill>
                    </w:rPr>
                    <w:t>m</w:t>
                  </w:r>
                </w:p>
              </w:tc>
              <w:tc>
                <w:tcPr>
                  <w:tcW w:w="750" w:type="pct"/>
                  <w:vAlign w:val="center"/>
                </w:tcPr>
                <w:p w14:paraId="093887A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长113</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、宽3.</w:t>
                  </w:r>
                  <w:r>
                    <w:rPr>
                      <w:rFonts w:hint="eastAsia"/>
                      <w:color w:val="000000" w:themeColor="text1"/>
                      <w:sz w:val="21"/>
                      <w:szCs w:val="21"/>
                      <w:highlight w:val="none"/>
                      <w:lang w:val="en-US" w:eastAsia="zh-CN"/>
                      <w14:textFill>
                        <w14:solidFill>
                          <w14:schemeClr w14:val="tx1"/>
                        </w14:solidFill>
                      </w14:textFill>
                    </w:rPr>
                    <w:t>8</w:t>
                  </w:r>
                  <w:r>
                    <w:rPr>
                      <w:color w:val="000000" w:themeColor="text1"/>
                      <w:sz w:val="21"/>
                      <w:szCs w:val="21"/>
                      <w:highlight w:val="none"/>
                      <w14:textFill>
                        <w14:solidFill>
                          <w14:schemeClr w14:val="tx1"/>
                        </w14:solidFill>
                      </w14:textFill>
                    </w:rPr>
                    <w:t>m</w:t>
                  </w:r>
                  <w:r>
                    <w:rPr>
                      <w:rFonts w:hint="eastAsia"/>
                      <w:color w:val="000000" w:themeColor="text1"/>
                      <w:sz w:val="21"/>
                      <w:szCs w:val="21"/>
                      <w:highlight w:val="none"/>
                      <w14:textFill>
                        <w14:solidFill>
                          <w14:schemeClr w14:val="tx1"/>
                        </w14:solidFill>
                      </w14:textFill>
                    </w:rPr>
                    <w:t>、高</w:t>
                  </w:r>
                  <w:r>
                    <w:rPr>
                      <w:rFonts w:hint="eastAsia"/>
                      <w:color w:val="000000" w:themeColor="text1"/>
                      <w:sz w:val="21"/>
                      <w:szCs w:val="21"/>
                      <w:highlight w:val="none"/>
                      <w:lang w:val="en-US" w:eastAsia="zh-CN"/>
                      <w14:textFill>
                        <w14:solidFill>
                          <w14:schemeClr w14:val="tx1"/>
                        </w14:solidFill>
                      </w14:textFill>
                    </w:rPr>
                    <w:t>3</w:t>
                  </w:r>
                  <w:r>
                    <w:rPr>
                      <w:color w:val="000000" w:themeColor="text1"/>
                      <w:sz w:val="21"/>
                      <w:szCs w:val="21"/>
                      <w:highlight w:val="none"/>
                      <w14:textFill>
                        <w14:solidFill>
                          <w14:schemeClr w14:val="tx1"/>
                        </w14:solidFill>
                      </w14:textFill>
                    </w:rPr>
                    <w:t>m</w:t>
                  </w:r>
                </w:p>
              </w:tc>
              <w:tc>
                <w:tcPr>
                  <w:tcW w:w="319" w:type="pct"/>
                  <w:vAlign w:val="center"/>
                </w:tcPr>
                <w:p w14:paraId="22DF635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F41C27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397" w:type="pct"/>
                  <w:vAlign w:val="center"/>
                </w:tcPr>
                <w:p w14:paraId="0B648A4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加大</w:t>
                  </w:r>
                </w:p>
              </w:tc>
              <w:tc>
                <w:tcPr>
                  <w:tcW w:w="924" w:type="pct"/>
                  <w:vAlign w:val="center"/>
                </w:tcPr>
                <w:p w14:paraId="628BBB4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焙烧</w:t>
                  </w:r>
                </w:p>
              </w:tc>
            </w:tr>
            <w:tr w14:paraId="39F7E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1247116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17</w:t>
                  </w:r>
                </w:p>
              </w:tc>
              <w:tc>
                <w:tcPr>
                  <w:tcW w:w="243" w:type="pct"/>
                  <w:vMerge w:val="continue"/>
                  <w:vAlign w:val="center"/>
                </w:tcPr>
                <w:p w14:paraId="310CE77C">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043144D">
                  <w:pPr>
                    <w:jc w:val="center"/>
                    <w:rPr>
                      <w:color w:val="000000" w:themeColor="text1"/>
                      <w:sz w:val="21"/>
                      <w:szCs w:val="21"/>
                      <w:highlight w:val="none"/>
                      <w14:textFill>
                        <w14:solidFill>
                          <w14:schemeClr w14:val="tx1"/>
                        </w14:solidFill>
                      </w14:textFill>
                    </w:rPr>
                  </w:pPr>
                </w:p>
              </w:tc>
              <w:tc>
                <w:tcPr>
                  <w:tcW w:w="861" w:type="pct"/>
                  <w:vAlign w:val="center"/>
                </w:tcPr>
                <w:p w14:paraId="026F61A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风机</w:t>
                  </w:r>
                </w:p>
              </w:tc>
              <w:tc>
                <w:tcPr>
                  <w:tcW w:w="683" w:type="pct"/>
                  <w:vAlign w:val="center"/>
                </w:tcPr>
                <w:p w14:paraId="5239BAE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90</w:t>
                  </w:r>
                  <w:r>
                    <w:rPr>
                      <w:rFonts w:hint="eastAsia"/>
                      <w:color w:val="000000" w:themeColor="text1"/>
                      <w:sz w:val="21"/>
                      <w:szCs w:val="21"/>
                      <w:highlight w:val="none"/>
                      <w14:textFill>
                        <w14:solidFill>
                          <w14:schemeClr w14:val="tx1"/>
                        </w14:solidFill>
                      </w14:textFill>
                    </w:rPr>
                    <w:t>kW</w:t>
                  </w:r>
                </w:p>
              </w:tc>
              <w:tc>
                <w:tcPr>
                  <w:tcW w:w="750" w:type="pct"/>
                  <w:vAlign w:val="center"/>
                </w:tcPr>
                <w:p w14:paraId="1D1C394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34BF1FF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2322B97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397" w:type="pct"/>
                  <w:vMerge w:val="restart"/>
                  <w:vAlign w:val="center"/>
                </w:tcPr>
                <w:p w14:paraId="4FD8E4E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Merge w:val="restart"/>
                  <w:vAlign w:val="center"/>
                </w:tcPr>
                <w:p w14:paraId="77A9594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37784E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257FB73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18</w:t>
                  </w:r>
                </w:p>
              </w:tc>
              <w:tc>
                <w:tcPr>
                  <w:tcW w:w="243" w:type="pct"/>
                  <w:vMerge w:val="continue"/>
                  <w:vAlign w:val="center"/>
                </w:tcPr>
                <w:p w14:paraId="633040DE">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3603BF25">
                  <w:pPr>
                    <w:jc w:val="center"/>
                    <w:rPr>
                      <w:color w:val="000000" w:themeColor="text1"/>
                      <w:sz w:val="21"/>
                      <w:szCs w:val="21"/>
                      <w:highlight w:val="none"/>
                      <w14:textFill>
                        <w14:solidFill>
                          <w14:schemeClr w14:val="tx1"/>
                        </w14:solidFill>
                      </w14:textFill>
                    </w:rPr>
                  </w:pPr>
                </w:p>
              </w:tc>
              <w:tc>
                <w:tcPr>
                  <w:tcW w:w="861" w:type="pct"/>
                  <w:vAlign w:val="center"/>
                </w:tcPr>
                <w:p w14:paraId="48B3513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风机</w:t>
                  </w:r>
                </w:p>
              </w:tc>
              <w:tc>
                <w:tcPr>
                  <w:tcW w:w="683" w:type="pct"/>
                  <w:vAlign w:val="center"/>
                </w:tcPr>
                <w:p w14:paraId="71E749D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165</w:t>
                  </w:r>
                  <w:r>
                    <w:rPr>
                      <w:rFonts w:hint="eastAsia"/>
                      <w:color w:val="000000" w:themeColor="text1"/>
                      <w:sz w:val="21"/>
                      <w:szCs w:val="21"/>
                      <w:highlight w:val="none"/>
                      <w14:textFill>
                        <w14:solidFill>
                          <w14:schemeClr w14:val="tx1"/>
                        </w14:solidFill>
                      </w14:textFill>
                    </w:rPr>
                    <w:t>kW</w:t>
                  </w:r>
                </w:p>
              </w:tc>
              <w:tc>
                <w:tcPr>
                  <w:tcW w:w="750" w:type="pct"/>
                  <w:vAlign w:val="center"/>
                </w:tcPr>
                <w:p w14:paraId="0758CEC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013E0C2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A72ADB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397" w:type="pct"/>
                  <w:vMerge w:val="continue"/>
                  <w:vAlign w:val="center"/>
                </w:tcPr>
                <w:p w14:paraId="1CE5FC1A">
                  <w:pPr>
                    <w:jc w:val="center"/>
                    <w:rPr>
                      <w:color w:val="000000" w:themeColor="text1"/>
                      <w:sz w:val="21"/>
                      <w:szCs w:val="21"/>
                      <w:highlight w:val="none"/>
                      <w14:textFill>
                        <w14:solidFill>
                          <w14:schemeClr w14:val="tx1"/>
                        </w14:solidFill>
                      </w14:textFill>
                    </w:rPr>
                  </w:pPr>
                </w:p>
              </w:tc>
              <w:tc>
                <w:tcPr>
                  <w:tcW w:w="924" w:type="pct"/>
                  <w:vMerge w:val="continue"/>
                  <w:vAlign w:val="center"/>
                </w:tcPr>
                <w:p w14:paraId="5DF67064">
                  <w:pPr>
                    <w:jc w:val="center"/>
                    <w:rPr>
                      <w:color w:val="000000" w:themeColor="text1"/>
                      <w:sz w:val="21"/>
                      <w:szCs w:val="21"/>
                      <w:highlight w:val="none"/>
                      <w14:textFill>
                        <w14:solidFill>
                          <w14:schemeClr w14:val="tx1"/>
                        </w14:solidFill>
                      </w14:textFill>
                    </w:rPr>
                  </w:pPr>
                </w:p>
              </w:tc>
            </w:tr>
            <w:tr w14:paraId="16B571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7FC7C91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19</w:t>
                  </w:r>
                </w:p>
              </w:tc>
              <w:tc>
                <w:tcPr>
                  <w:tcW w:w="243" w:type="pct"/>
                  <w:vMerge w:val="continue"/>
                  <w:vAlign w:val="center"/>
                </w:tcPr>
                <w:p w14:paraId="51F601D1">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08600279">
                  <w:pPr>
                    <w:jc w:val="center"/>
                    <w:rPr>
                      <w:color w:val="000000" w:themeColor="text1"/>
                      <w:sz w:val="21"/>
                      <w:szCs w:val="21"/>
                      <w:highlight w:val="none"/>
                      <w14:textFill>
                        <w14:solidFill>
                          <w14:schemeClr w14:val="tx1"/>
                        </w14:solidFill>
                      </w14:textFill>
                    </w:rPr>
                  </w:pPr>
                </w:p>
              </w:tc>
              <w:tc>
                <w:tcPr>
                  <w:tcW w:w="861" w:type="pct"/>
                  <w:vAlign w:val="center"/>
                </w:tcPr>
                <w:p w14:paraId="5909368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电动摆渡车</w:t>
                  </w:r>
                </w:p>
              </w:tc>
              <w:tc>
                <w:tcPr>
                  <w:tcW w:w="683" w:type="pct"/>
                  <w:vAlign w:val="center"/>
                </w:tcPr>
                <w:p w14:paraId="1268914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ZXBD-400</w:t>
                  </w:r>
                </w:p>
              </w:tc>
              <w:tc>
                <w:tcPr>
                  <w:tcW w:w="750" w:type="pct"/>
                  <w:vAlign w:val="center"/>
                </w:tcPr>
                <w:p w14:paraId="4040765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2443918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4A5C262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w:t>
                  </w:r>
                </w:p>
              </w:tc>
              <w:tc>
                <w:tcPr>
                  <w:tcW w:w="397" w:type="pct"/>
                  <w:vAlign w:val="center"/>
                </w:tcPr>
                <w:p w14:paraId="6606D4F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717CAF0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023769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283B238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w:t>
                  </w:r>
                </w:p>
              </w:tc>
              <w:tc>
                <w:tcPr>
                  <w:tcW w:w="243" w:type="pct"/>
                  <w:vMerge w:val="continue"/>
                  <w:vAlign w:val="center"/>
                </w:tcPr>
                <w:p w14:paraId="07A9857E">
                  <w:pPr>
                    <w:jc w:val="center"/>
                    <w:rPr>
                      <w:color w:val="000000" w:themeColor="text1"/>
                      <w:sz w:val="21"/>
                      <w:szCs w:val="21"/>
                      <w:highlight w:val="none"/>
                      <w14:textFill>
                        <w14:solidFill>
                          <w14:schemeClr w14:val="tx1"/>
                        </w14:solidFill>
                      </w14:textFill>
                    </w:rPr>
                  </w:pPr>
                </w:p>
              </w:tc>
              <w:tc>
                <w:tcPr>
                  <w:tcW w:w="180" w:type="pct"/>
                  <w:vMerge w:val="restart"/>
                  <w:vAlign w:val="center"/>
                </w:tcPr>
                <w:p w14:paraId="6ECE4C2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其他</w:t>
                  </w:r>
                </w:p>
              </w:tc>
              <w:tc>
                <w:tcPr>
                  <w:tcW w:w="861" w:type="pct"/>
                  <w:vAlign w:val="center"/>
                </w:tcPr>
                <w:p w14:paraId="531B353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皮带输送机</w:t>
                  </w:r>
                </w:p>
              </w:tc>
              <w:tc>
                <w:tcPr>
                  <w:tcW w:w="683" w:type="pct"/>
                  <w:vAlign w:val="center"/>
                </w:tcPr>
                <w:p w14:paraId="3EF84A9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B500</w:t>
                  </w:r>
                </w:p>
              </w:tc>
              <w:tc>
                <w:tcPr>
                  <w:tcW w:w="750" w:type="pct"/>
                  <w:vAlign w:val="center"/>
                </w:tcPr>
                <w:p w14:paraId="1648543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077C604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1DE74C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24</w:t>
                  </w:r>
                </w:p>
              </w:tc>
              <w:tc>
                <w:tcPr>
                  <w:tcW w:w="397" w:type="pct"/>
                  <w:vAlign w:val="center"/>
                </w:tcPr>
                <w:p w14:paraId="603A6D3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450DC21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222490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0BCC9D4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21</w:t>
                  </w:r>
                </w:p>
              </w:tc>
              <w:tc>
                <w:tcPr>
                  <w:tcW w:w="243" w:type="pct"/>
                  <w:vMerge w:val="continue"/>
                  <w:vAlign w:val="center"/>
                </w:tcPr>
                <w:p w14:paraId="1B58C881">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5E5A2E3">
                  <w:pPr>
                    <w:jc w:val="center"/>
                    <w:rPr>
                      <w:color w:val="000000" w:themeColor="text1"/>
                      <w:sz w:val="21"/>
                      <w:szCs w:val="21"/>
                      <w:highlight w:val="none"/>
                      <w14:textFill>
                        <w14:solidFill>
                          <w14:schemeClr w14:val="tx1"/>
                        </w14:solidFill>
                      </w14:textFill>
                    </w:rPr>
                  </w:pPr>
                </w:p>
              </w:tc>
              <w:tc>
                <w:tcPr>
                  <w:tcW w:w="861" w:type="pct"/>
                  <w:vAlign w:val="center"/>
                </w:tcPr>
                <w:p w14:paraId="5BF4880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电子皮带秤</w:t>
                  </w:r>
                </w:p>
              </w:tc>
              <w:tc>
                <w:tcPr>
                  <w:tcW w:w="683" w:type="pct"/>
                  <w:vAlign w:val="center"/>
                </w:tcPr>
                <w:p w14:paraId="4281D5C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1FED941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0261D95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0A8B660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397" w:type="pct"/>
                  <w:vAlign w:val="center"/>
                </w:tcPr>
                <w:p w14:paraId="2389BA8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71EE523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77241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3EEB5DF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23</w:t>
                  </w:r>
                </w:p>
              </w:tc>
              <w:tc>
                <w:tcPr>
                  <w:tcW w:w="243" w:type="pct"/>
                  <w:vMerge w:val="continue"/>
                  <w:vAlign w:val="center"/>
                </w:tcPr>
                <w:p w14:paraId="10EC6BB4">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0E63392C">
                  <w:pPr>
                    <w:jc w:val="center"/>
                    <w:rPr>
                      <w:color w:val="000000" w:themeColor="text1"/>
                      <w:sz w:val="21"/>
                      <w:szCs w:val="21"/>
                      <w:highlight w:val="none"/>
                      <w14:textFill>
                        <w14:solidFill>
                          <w14:schemeClr w14:val="tx1"/>
                        </w14:solidFill>
                      </w14:textFill>
                    </w:rPr>
                  </w:pPr>
                </w:p>
              </w:tc>
              <w:tc>
                <w:tcPr>
                  <w:tcW w:w="861" w:type="pct"/>
                  <w:vAlign w:val="center"/>
                </w:tcPr>
                <w:p w14:paraId="420DDB5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砂浆泵</w:t>
                  </w:r>
                </w:p>
              </w:tc>
              <w:tc>
                <w:tcPr>
                  <w:tcW w:w="683" w:type="pct"/>
                  <w:vAlign w:val="center"/>
                </w:tcPr>
                <w:p w14:paraId="5F7E92A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250UHB-ZK-DL-600</w:t>
                  </w:r>
                </w:p>
              </w:tc>
              <w:tc>
                <w:tcPr>
                  <w:tcW w:w="750" w:type="pct"/>
                  <w:vAlign w:val="center"/>
                </w:tcPr>
                <w:p w14:paraId="6205463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4F58982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7EFE385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5EAE0C0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59D7F5E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r>
            <w:tr w14:paraId="47C387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2C91A2A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24</w:t>
                  </w:r>
                </w:p>
              </w:tc>
              <w:tc>
                <w:tcPr>
                  <w:tcW w:w="243" w:type="pct"/>
                  <w:vMerge w:val="continue"/>
                  <w:vAlign w:val="center"/>
                </w:tcPr>
                <w:p w14:paraId="7BF61E30">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00FF28A">
                  <w:pPr>
                    <w:jc w:val="center"/>
                    <w:rPr>
                      <w:color w:val="000000" w:themeColor="text1"/>
                      <w:sz w:val="21"/>
                      <w:szCs w:val="21"/>
                      <w:highlight w:val="none"/>
                      <w14:textFill>
                        <w14:solidFill>
                          <w14:schemeClr w14:val="tx1"/>
                        </w14:solidFill>
                      </w14:textFill>
                    </w:rPr>
                  </w:pPr>
                </w:p>
              </w:tc>
              <w:tc>
                <w:tcPr>
                  <w:tcW w:w="861" w:type="pct"/>
                  <w:vAlign w:val="center"/>
                </w:tcPr>
                <w:p w14:paraId="2449588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装载机</w:t>
                  </w:r>
                </w:p>
              </w:tc>
              <w:tc>
                <w:tcPr>
                  <w:tcW w:w="683" w:type="pct"/>
                  <w:vAlign w:val="center"/>
                </w:tcPr>
                <w:p w14:paraId="680E417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SEM655D</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SEM632D</w:t>
                  </w:r>
                </w:p>
              </w:tc>
              <w:tc>
                <w:tcPr>
                  <w:tcW w:w="750" w:type="pct"/>
                  <w:vAlign w:val="center"/>
                </w:tcPr>
                <w:p w14:paraId="074A24C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3T、3.5T</w:t>
                  </w:r>
                </w:p>
              </w:tc>
              <w:tc>
                <w:tcPr>
                  <w:tcW w:w="319" w:type="pct"/>
                  <w:vAlign w:val="center"/>
                </w:tcPr>
                <w:p w14:paraId="29284A1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辆</w:t>
                  </w:r>
                </w:p>
              </w:tc>
              <w:tc>
                <w:tcPr>
                  <w:tcW w:w="398" w:type="pct"/>
                  <w:vAlign w:val="center"/>
                </w:tcPr>
                <w:p w14:paraId="7321242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02FE84D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0EC35F1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国三，</w:t>
                  </w:r>
                  <w:r>
                    <w:rPr>
                      <w:rFonts w:hint="eastAsia"/>
                      <w:color w:val="000000" w:themeColor="text1"/>
                      <w:sz w:val="21"/>
                      <w:szCs w:val="21"/>
                      <w:highlight w:val="none"/>
                      <w14:textFill>
                        <w14:solidFill>
                          <w14:schemeClr w14:val="tx1"/>
                        </w14:solidFill>
                      </w14:textFill>
                    </w:rPr>
                    <w:t>已</w:t>
                  </w:r>
                  <w:r>
                    <w:rPr>
                      <w:color w:val="000000" w:themeColor="text1"/>
                      <w:sz w:val="21"/>
                      <w:szCs w:val="21"/>
                      <w:highlight w:val="none"/>
                      <w14:textFill>
                        <w14:solidFill>
                          <w14:schemeClr w14:val="tx1"/>
                        </w14:solidFill>
                      </w14:textFill>
                    </w:rPr>
                    <w:t>环保登记备案</w:t>
                  </w:r>
                </w:p>
              </w:tc>
            </w:tr>
            <w:tr w14:paraId="6CBDD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55D4304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25</w:t>
                  </w:r>
                </w:p>
              </w:tc>
              <w:tc>
                <w:tcPr>
                  <w:tcW w:w="243" w:type="pct"/>
                  <w:vMerge w:val="continue"/>
                  <w:vAlign w:val="center"/>
                </w:tcPr>
                <w:p w14:paraId="7522F7E5">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CF6C68C">
                  <w:pPr>
                    <w:jc w:val="center"/>
                    <w:rPr>
                      <w:color w:val="000000" w:themeColor="text1"/>
                      <w:sz w:val="21"/>
                      <w:szCs w:val="21"/>
                      <w:highlight w:val="none"/>
                      <w14:textFill>
                        <w14:solidFill>
                          <w14:schemeClr w14:val="tx1"/>
                        </w14:solidFill>
                      </w14:textFill>
                    </w:rPr>
                  </w:pPr>
                </w:p>
              </w:tc>
              <w:tc>
                <w:tcPr>
                  <w:tcW w:w="861" w:type="pct"/>
                  <w:vAlign w:val="center"/>
                </w:tcPr>
                <w:p w14:paraId="4D38F86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洒水车</w:t>
                  </w:r>
                </w:p>
              </w:tc>
              <w:tc>
                <w:tcPr>
                  <w:tcW w:w="683" w:type="pct"/>
                  <w:vAlign w:val="center"/>
                </w:tcPr>
                <w:p w14:paraId="3241B9C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750" w:type="pct"/>
                  <w:vAlign w:val="center"/>
                </w:tcPr>
                <w:p w14:paraId="2A5E26A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5C7071F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55001B1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397" w:type="pct"/>
                  <w:vAlign w:val="center"/>
                </w:tcPr>
                <w:p w14:paraId="03EBDA8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107E3EC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国五标准</w:t>
                  </w:r>
                </w:p>
              </w:tc>
            </w:tr>
            <w:tr w14:paraId="03BA4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61" w:hRule="atLeast"/>
                <w:jc w:val="center"/>
              </w:trPr>
              <w:tc>
                <w:tcPr>
                  <w:tcW w:w="242" w:type="pct"/>
                  <w:vMerge w:val="restart"/>
                  <w:vAlign w:val="center"/>
                </w:tcPr>
                <w:p w14:paraId="2CE23AC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26</w:t>
                  </w:r>
                </w:p>
              </w:tc>
              <w:tc>
                <w:tcPr>
                  <w:tcW w:w="243" w:type="pct"/>
                  <w:vMerge w:val="restart"/>
                  <w:vAlign w:val="center"/>
                </w:tcPr>
                <w:p w14:paraId="7E2B17BE">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环保设备</w:t>
                  </w:r>
                </w:p>
              </w:tc>
              <w:tc>
                <w:tcPr>
                  <w:tcW w:w="180" w:type="pct"/>
                  <w:vMerge w:val="restart"/>
                  <w:vAlign w:val="center"/>
                </w:tcPr>
                <w:p w14:paraId="172D8E3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除尘</w:t>
                  </w:r>
                </w:p>
              </w:tc>
              <w:tc>
                <w:tcPr>
                  <w:tcW w:w="861" w:type="pct"/>
                  <w:vMerge w:val="restart"/>
                  <w:vAlign w:val="center"/>
                </w:tcPr>
                <w:p w14:paraId="4746BB4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脉冲布袋除尘器</w:t>
                  </w:r>
                </w:p>
              </w:tc>
              <w:tc>
                <w:tcPr>
                  <w:tcW w:w="683" w:type="pct"/>
                  <w:vMerge w:val="restart"/>
                  <w:vAlign w:val="center"/>
                </w:tcPr>
                <w:p w14:paraId="11C52E9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PPC-96-6</w:t>
                  </w:r>
                </w:p>
              </w:tc>
              <w:tc>
                <w:tcPr>
                  <w:tcW w:w="750" w:type="pct"/>
                  <w:vAlign w:val="center"/>
                </w:tcPr>
                <w:p w14:paraId="763C20B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50000m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586942D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套</w:t>
                  </w:r>
                </w:p>
              </w:tc>
              <w:tc>
                <w:tcPr>
                  <w:tcW w:w="398" w:type="pct"/>
                  <w:vAlign w:val="center"/>
                </w:tcPr>
                <w:p w14:paraId="31E14E40">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397" w:type="pct"/>
                  <w:vAlign w:val="center"/>
                </w:tcPr>
                <w:p w14:paraId="6870C98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4B29F00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上料、破碎、筛分、搅拌工序</w:t>
                  </w:r>
                </w:p>
              </w:tc>
            </w:tr>
            <w:tr w14:paraId="48DCE5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9" w:hRule="atLeast"/>
                <w:jc w:val="center"/>
              </w:trPr>
              <w:tc>
                <w:tcPr>
                  <w:tcW w:w="242" w:type="pct"/>
                  <w:vMerge w:val="continue"/>
                  <w:vAlign w:val="center"/>
                </w:tcPr>
                <w:p w14:paraId="72774CAE">
                  <w:pPr>
                    <w:jc w:val="center"/>
                    <w:rPr>
                      <w:rFonts w:hint="eastAsia"/>
                      <w:color w:val="000000" w:themeColor="text1"/>
                      <w:sz w:val="21"/>
                      <w:szCs w:val="21"/>
                      <w:highlight w:val="none"/>
                      <w14:textFill>
                        <w14:solidFill>
                          <w14:schemeClr w14:val="tx1"/>
                        </w14:solidFill>
                      </w14:textFill>
                    </w:rPr>
                  </w:pPr>
                </w:p>
              </w:tc>
              <w:tc>
                <w:tcPr>
                  <w:tcW w:w="243" w:type="pct"/>
                  <w:vMerge w:val="continue"/>
                  <w:vAlign w:val="center"/>
                </w:tcPr>
                <w:p w14:paraId="1A7F1784">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047ECF8C">
                  <w:pPr>
                    <w:jc w:val="center"/>
                    <w:rPr>
                      <w:color w:val="000000" w:themeColor="text1"/>
                      <w:sz w:val="21"/>
                      <w:szCs w:val="21"/>
                      <w:highlight w:val="none"/>
                      <w14:textFill>
                        <w14:solidFill>
                          <w14:schemeClr w14:val="tx1"/>
                        </w14:solidFill>
                      </w14:textFill>
                    </w:rPr>
                  </w:pPr>
                </w:p>
              </w:tc>
              <w:tc>
                <w:tcPr>
                  <w:tcW w:w="861" w:type="pct"/>
                  <w:vMerge w:val="continue"/>
                  <w:vAlign w:val="center"/>
                </w:tcPr>
                <w:p w14:paraId="07AEBF4D">
                  <w:pPr>
                    <w:jc w:val="center"/>
                    <w:rPr>
                      <w:color w:val="000000" w:themeColor="text1"/>
                      <w:sz w:val="21"/>
                      <w:szCs w:val="21"/>
                      <w:highlight w:val="none"/>
                      <w14:textFill>
                        <w14:solidFill>
                          <w14:schemeClr w14:val="tx1"/>
                        </w14:solidFill>
                      </w14:textFill>
                    </w:rPr>
                  </w:pPr>
                </w:p>
              </w:tc>
              <w:tc>
                <w:tcPr>
                  <w:tcW w:w="683" w:type="pct"/>
                  <w:vMerge w:val="continue"/>
                  <w:vAlign w:val="center"/>
                </w:tcPr>
                <w:p w14:paraId="0506F1DA">
                  <w:pPr>
                    <w:jc w:val="center"/>
                    <w:rPr>
                      <w:color w:val="000000" w:themeColor="text1"/>
                      <w:sz w:val="21"/>
                      <w:szCs w:val="21"/>
                      <w:highlight w:val="none"/>
                      <w14:textFill>
                        <w14:solidFill>
                          <w14:schemeClr w14:val="tx1"/>
                        </w14:solidFill>
                      </w14:textFill>
                    </w:rPr>
                  </w:pPr>
                </w:p>
              </w:tc>
              <w:tc>
                <w:tcPr>
                  <w:tcW w:w="750" w:type="pct"/>
                  <w:vAlign w:val="center"/>
                </w:tcPr>
                <w:p w14:paraId="50B492D5">
                  <w:pPr>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12000m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568" w:type="dxa"/>
                  <w:vAlign w:val="center"/>
                </w:tcPr>
                <w:p w14:paraId="4660ABC7">
                  <w:pPr>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套</w:t>
                  </w:r>
                </w:p>
              </w:tc>
              <w:tc>
                <w:tcPr>
                  <w:tcW w:w="709" w:type="dxa"/>
                  <w:vAlign w:val="center"/>
                </w:tcPr>
                <w:p w14:paraId="5FA0E105">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707" w:type="dxa"/>
                  <w:vAlign w:val="center"/>
                </w:tcPr>
                <w:p w14:paraId="03066DD6">
                  <w:pPr>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1645" w:type="dxa"/>
                  <w:vAlign w:val="center"/>
                </w:tcPr>
                <w:p w14:paraId="4C56D4D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窑车吹扫工序</w:t>
                  </w:r>
                </w:p>
              </w:tc>
            </w:tr>
            <w:tr w14:paraId="2119BA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4549A7F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27</w:t>
                  </w:r>
                </w:p>
              </w:tc>
              <w:tc>
                <w:tcPr>
                  <w:tcW w:w="243" w:type="pct"/>
                  <w:vMerge w:val="continue"/>
                  <w:vAlign w:val="center"/>
                </w:tcPr>
                <w:p w14:paraId="6A697D9C">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CB1F8D5">
                  <w:pPr>
                    <w:jc w:val="center"/>
                    <w:rPr>
                      <w:color w:val="000000" w:themeColor="text1"/>
                      <w:sz w:val="21"/>
                      <w:szCs w:val="21"/>
                      <w:highlight w:val="none"/>
                      <w14:textFill>
                        <w14:solidFill>
                          <w14:schemeClr w14:val="tx1"/>
                        </w14:solidFill>
                      </w14:textFill>
                    </w:rPr>
                  </w:pPr>
                </w:p>
              </w:tc>
              <w:tc>
                <w:tcPr>
                  <w:tcW w:w="861" w:type="pct"/>
                  <w:vAlign w:val="center"/>
                </w:tcPr>
                <w:p w14:paraId="3917F43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雾炮</w:t>
                  </w:r>
                </w:p>
              </w:tc>
              <w:tc>
                <w:tcPr>
                  <w:tcW w:w="683" w:type="pct"/>
                  <w:vAlign w:val="center"/>
                </w:tcPr>
                <w:p w14:paraId="7DB9AD2C">
                  <w:pPr>
                    <w:jc w:val="center"/>
                    <w:rPr>
                      <w:color w:val="000000" w:themeColor="text1"/>
                      <w:spacing w:val="6"/>
                      <w:sz w:val="21"/>
                      <w:szCs w:val="21"/>
                      <w:highlight w:val="none"/>
                      <w14:textFill>
                        <w14:solidFill>
                          <w14:schemeClr w14:val="tx1"/>
                        </w14:solidFill>
                      </w14:textFill>
                    </w:rPr>
                  </w:pPr>
                  <w:r>
                    <w:rPr>
                      <w:color w:val="000000" w:themeColor="text1"/>
                      <w:spacing w:val="6"/>
                      <w:sz w:val="21"/>
                      <w:szCs w:val="21"/>
                      <w:highlight w:val="none"/>
                      <w14:textFill>
                        <w14:solidFill>
                          <w14:schemeClr w14:val="tx1"/>
                        </w14:solidFill>
                      </w14:textFill>
                    </w:rPr>
                    <w:t>--</w:t>
                  </w:r>
                </w:p>
              </w:tc>
              <w:tc>
                <w:tcPr>
                  <w:tcW w:w="750" w:type="pct"/>
                  <w:vAlign w:val="center"/>
                </w:tcPr>
                <w:p w14:paraId="05933E2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5294E0F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37D5583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23CE610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7409039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抑尘</w:t>
                  </w:r>
                </w:p>
              </w:tc>
            </w:tr>
            <w:tr w14:paraId="39657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5EF5AE0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28</w:t>
                  </w:r>
                </w:p>
              </w:tc>
              <w:tc>
                <w:tcPr>
                  <w:tcW w:w="243" w:type="pct"/>
                  <w:vMerge w:val="continue"/>
                  <w:vAlign w:val="center"/>
                </w:tcPr>
                <w:p w14:paraId="7364ED32">
                  <w:pPr>
                    <w:jc w:val="center"/>
                    <w:rPr>
                      <w:color w:val="000000" w:themeColor="text1"/>
                      <w:sz w:val="21"/>
                      <w:szCs w:val="21"/>
                      <w:highlight w:val="none"/>
                      <w14:textFill>
                        <w14:solidFill>
                          <w14:schemeClr w14:val="tx1"/>
                        </w14:solidFill>
                      </w14:textFill>
                    </w:rPr>
                  </w:pPr>
                </w:p>
              </w:tc>
              <w:tc>
                <w:tcPr>
                  <w:tcW w:w="180" w:type="pct"/>
                  <w:vMerge w:val="restart"/>
                  <w:vAlign w:val="center"/>
                </w:tcPr>
                <w:p w14:paraId="07F51AB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w:t>
                  </w:r>
                  <w:r>
                    <w:rPr>
                      <w:rFonts w:hint="eastAsia"/>
                      <w:color w:val="000000" w:themeColor="text1"/>
                      <w:sz w:val="21"/>
                      <w:szCs w:val="21"/>
                      <w:highlight w:val="none"/>
                      <w14:textFill>
                        <w14:solidFill>
                          <w14:schemeClr w14:val="tx1"/>
                        </w14:solidFill>
                      </w14:textFill>
                    </w:rPr>
                    <w:t>脱硝</w:t>
                  </w:r>
                  <w:r>
                    <w:rPr>
                      <w:color w:val="000000" w:themeColor="text1"/>
                      <w:sz w:val="21"/>
                      <w:szCs w:val="21"/>
                      <w:highlight w:val="none"/>
                      <w14:textFill>
                        <w14:solidFill>
                          <w14:schemeClr w14:val="tx1"/>
                        </w14:solidFill>
                      </w14:textFill>
                    </w:rPr>
                    <w:t>除尘设备</w:t>
                  </w:r>
                </w:p>
              </w:tc>
              <w:tc>
                <w:tcPr>
                  <w:tcW w:w="861" w:type="pct"/>
                  <w:vAlign w:val="center"/>
                </w:tcPr>
                <w:p w14:paraId="3DCD641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脱硫剂制备系统</w:t>
                  </w:r>
                </w:p>
              </w:tc>
              <w:tc>
                <w:tcPr>
                  <w:tcW w:w="683" w:type="pct"/>
                  <w:vAlign w:val="center"/>
                </w:tcPr>
                <w:p w14:paraId="1DB5FD06">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5A91452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558371A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152976C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397" w:type="pct"/>
                  <w:vAlign w:val="center"/>
                </w:tcPr>
                <w:p w14:paraId="68CBEFA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1E0E872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设置石灰粉仓、仓顶除尘器</w:t>
                  </w:r>
                </w:p>
              </w:tc>
            </w:tr>
            <w:tr w14:paraId="7F731A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49B6297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29</w:t>
                  </w:r>
                </w:p>
              </w:tc>
              <w:tc>
                <w:tcPr>
                  <w:tcW w:w="243" w:type="pct"/>
                  <w:vMerge w:val="continue"/>
                  <w:vAlign w:val="center"/>
                </w:tcPr>
                <w:p w14:paraId="0D7AEB57">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0C6E160E">
                  <w:pPr>
                    <w:jc w:val="center"/>
                    <w:rPr>
                      <w:color w:val="000000" w:themeColor="text1"/>
                      <w:sz w:val="21"/>
                      <w:szCs w:val="21"/>
                      <w:highlight w:val="none"/>
                      <w14:textFill>
                        <w14:solidFill>
                          <w14:schemeClr w14:val="tx1"/>
                        </w14:solidFill>
                      </w14:textFill>
                    </w:rPr>
                  </w:pPr>
                </w:p>
              </w:tc>
              <w:tc>
                <w:tcPr>
                  <w:tcW w:w="861" w:type="pct"/>
                  <w:vAlign w:val="center"/>
                </w:tcPr>
                <w:p w14:paraId="09C9DFA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湿式电除尘器</w:t>
                  </w:r>
                </w:p>
              </w:tc>
              <w:tc>
                <w:tcPr>
                  <w:tcW w:w="683" w:type="pct"/>
                  <w:vAlign w:val="center"/>
                </w:tcPr>
                <w:p w14:paraId="22ABEE6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Merge w:val="restart"/>
                  <w:vAlign w:val="center"/>
                </w:tcPr>
                <w:p w14:paraId="0C42625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170000m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4ACA5F3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10FBE33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5042A75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5897B19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除尘</w:t>
                  </w:r>
                  <w:r>
                    <w:rPr>
                      <w:rFonts w:hint="eastAsia"/>
                      <w:color w:val="000000" w:themeColor="text1"/>
                      <w:sz w:val="21"/>
                      <w:szCs w:val="21"/>
                      <w:highlight w:val="none"/>
                      <w14:textFill>
                        <w14:solidFill>
                          <w14:schemeClr w14:val="tx1"/>
                        </w14:solidFill>
                      </w14:textFill>
                    </w:rPr>
                    <w:t>，1#、2#隧道窑共用，3#、4#隧道窑共用</w:t>
                  </w:r>
                </w:p>
              </w:tc>
            </w:tr>
            <w:tr w14:paraId="739CF6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5BAF976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30</w:t>
                  </w:r>
                </w:p>
              </w:tc>
              <w:tc>
                <w:tcPr>
                  <w:tcW w:w="243" w:type="pct"/>
                  <w:vMerge w:val="continue"/>
                  <w:vAlign w:val="center"/>
                </w:tcPr>
                <w:p w14:paraId="594C9F1E">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5F2D4102">
                  <w:pPr>
                    <w:jc w:val="center"/>
                    <w:rPr>
                      <w:color w:val="000000" w:themeColor="text1"/>
                      <w:sz w:val="21"/>
                      <w:szCs w:val="21"/>
                      <w:highlight w:val="none"/>
                      <w14:textFill>
                        <w14:solidFill>
                          <w14:schemeClr w14:val="tx1"/>
                        </w14:solidFill>
                      </w14:textFill>
                    </w:rPr>
                  </w:pPr>
                </w:p>
              </w:tc>
              <w:tc>
                <w:tcPr>
                  <w:tcW w:w="861" w:type="pct"/>
                  <w:vAlign w:val="center"/>
                </w:tcPr>
                <w:p w14:paraId="06629A7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脱硫塔</w:t>
                  </w:r>
                </w:p>
              </w:tc>
              <w:tc>
                <w:tcPr>
                  <w:tcW w:w="683" w:type="pct"/>
                  <w:vAlign w:val="center"/>
                </w:tcPr>
                <w:p w14:paraId="469AC9B3">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Merge w:val="continue"/>
                  <w:vAlign w:val="center"/>
                </w:tcPr>
                <w:p w14:paraId="31484CFE">
                  <w:pPr>
                    <w:jc w:val="center"/>
                    <w:rPr>
                      <w:color w:val="000000" w:themeColor="text1"/>
                      <w:sz w:val="21"/>
                      <w:szCs w:val="21"/>
                      <w:highlight w:val="none"/>
                      <w14:textFill>
                        <w14:solidFill>
                          <w14:schemeClr w14:val="tx1"/>
                        </w14:solidFill>
                      </w14:textFill>
                    </w:rPr>
                  </w:pPr>
                </w:p>
              </w:tc>
              <w:tc>
                <w:tcPr>
                  <w:tcW w:w="319" w:type="pct"/>
                  <w:vAlign w:val="center"/>
                </w:tcPr>
                <w:p w14:paraId="175DFF6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座</w:t>
                  </w:r>
                </w:p>
              </w:tc>
              <w:tc>
                <w:tcPr>
                  <w:tcW w:w="398" w:type="pct"/>
                  <w:vAlign w:val="center"/>
                </w:tcPr>
                <w:p w14:paraId="0A1222E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51C6588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1DFD821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w:t>
                  </w:r>
                  <w:r>
                    <w:rPr>
                      <w:rFonts w:hint="eastAsia"/>
                      <w:color w:val="000000" w:themeColor="text1"/>
                      <w:sz w:val="21"/>
                      <w:szCs w:val="21"/>
                      <w:highlight w:val="none"/>
                      <w14:textFill>
                        <w14:solidFill>
                          <w14:schemeClr w14:val="tx1"/>
                        </w14:solidFill>
                      </w14:textFill>
                    </w:rPr>
                    <w:t>，1#、2#隧道窑共用，3#、4#隧道窑共用</w:t>
                  </w:r>
                </w:p>
              </w:tc>
            </w:tr>
            <w:tr w14:paraId="409D8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7EDF2FF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31</w:t>
                  </w:r>
                </w:p>
              </w:tc>
              <w:tc>
                <w:tcPr>
                  <w:tcW w:w="243" w:type="pct"/>
                  <w:vMerge w:val="continue"/>
                  <w:vAlign w:val="center"/>
                </w:tcPr>
                <w:p w14:paraId="3C9E450A">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6E7FADCF">
                  <w:pPr>
                    <w:jc w:val="center"/>
                    <w:rPr>
                      <w:color w:val="000000" w:themeColor="text1"/>
                      <w:sz w:val="21"/>
                      <w:szCs w:val="21"/>
                      <w:highlight w:val="none"/>
                      <w14:textFill>
                        <w14:solidFill>
                          <w14:schemeClr w14:val="tx1"/>
                        </w14:solidFill>
                      </w14:textFill>
                    </w:rPr>
                  </w:pPr>
                </w:p>
              </w:tc>
              <w:tc>
                <w:tcPr>
                  <w:tcW w:w="861" w:type="pct"/>
                  <w:vAlign w:val="center"/>
                </w:tcPr>
                <w:p w14:paraId="6A7112BC">
                  <w:pPr>
                    <w:jc w:val="center"/>
                    <w:rPr>
                      <w:rFonts w:hint="default"/>
                      <w:color w:val="000000" w:themeColor="text1"/>
                      <w:sz w:val="21"/>
                      <w:szCs w:val="21"/>
                      <w:highlight w:val="none"/>
                      <w:lang w:val="en-US"/>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SNCR脱硝系统</w:t>
                  </w:r>
                </w:p>
              </w:tc>
              <w:tc>
                <w:tcPr>
                  <w:tcW w:w="683" w:type="pct"/>
                  <w:vAlign w:val="center"/>
                </w:tcPr>
                <w:p w14:paraId="0716C57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750" w:type="pct"/>
                  <w:vMerge w:val="continue"/>
                  <w:vAlign w:val="center"/>
                </w:tcPr>
                <w:p w14:paraId="22037B72">
                  <w:pPr>
                    <w:jc w:val="center"/>
                    <w:rPr>
                      <w:color w:val="000000" w:themeColor="text1"/>
                      <w:sz w:val="21"/>
                      <w:szCs w:val="21"/>
                      <w:highlight w:val="none"/>
                      <w14:textFill>
                        <w14:solidFill>
                          <w14:schemeClr w14:val="tx1"/>
                        </w14:solidFill>
                      </w14:textFill>
                    </w:rPr>
                  </w:pPr>
                </w:p>
              </w:tc>
              <w:tc>
                <w:tcPr>
                  <w:tcW w:w="319" w:type="pct"/>
                  <w:vAlign w:val="center"/>
                </w:tcPr>
                <w:p w14:paraId="0656092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5ECC7147">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397" w:type="pct"/>
                  <w:vAlign w:val="center"/>
                </w:tcPr>
                <w:p w14:paraId="6E4BB8E6">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新建</w:t>
                  </w:r>
                </w:p>
              </w:tc>
              <w:tc>
                <w:tcPr>
                  <w:tcW w:w="924" w:type="pct"/>
                  <w:vAlign w:val="center"/>
                </w:tcPr>
                <w:p w14:paraId="649DFDB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脱硝，</w:t>
                  </w:r>
                  <w:r>
                    <w:rPr>
                      <w:rFonts w:hint="eastAsia"/>
                      <w:color w:val="000000" w:themeColor="text1"/>
                      <w:sz w:val="21"/>
                      <w:szCs w:val="21"/>
                      <w:highlight w:val="none"/>
                      <w:lang w:val="en-US" w:eastAsia="zh-CN"/>
                      <w14:textFill>
                        <w14:solidFill>
                          <w14:schemeClr w14:val="tx1"/>
                        </w14:solidFill>
                      </w14:textFill>
                    </w:rPr>
                    <w:t>每2</w:t>
                  </w:r>
                  <w:r>
                    <w:rPr>
                      <w:rFonts w:hint="eastAsia"/>
                      <w:color w:val="000000" w:themeColor="text1"/>
                      <w:sz w:val="21"/>
                      <w:szCs w:val="21"/>
                      <w:highlight w:val="none"/>
                      <w14:textFill>
                        <w14:solidFill>
                          <w14:schemeClr w14:val="tx1"/>
                        </w14:solidFill>
                      </w14:textFill>
                    </w:rPr>
                    <w:t>条隧道窑共用1套</w:t>
                  </w:r>
                </w:p>
              </w:tc>
            </w:tr>
            <w:tr w14:paraId="41E1BC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094F0A95">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32</w:t>
                  </w:r>
                </w:p>
              </w:tc>
              <w:tc>
                <w:tcPr>
                  <w:tcW w:w="243" w:type="pct"/>
                  <w:vMerge w:val="continue"/>
                  <w:vAlign w:val="center"/>
                </w:tcPr>
                <w:p w14:paraId="23C51640">
                  <w:pPr>
                    <w:jc w:val="center"/>
                    <w:rPr>
                      <w:color w:val="000000" w:themeColor="text1"/>
                      <w:sz w:val="21"/>
                      <w:szCs w:val="21"/>
                      <w:highlight w:val="none"/>
                      <w14:textFill>
                        <w14:solidFill>
                          <w14:schemeClr w14:val="tx1"/>
                        </w14:solidFill>
                      </w14:textFill>
                    </w:rPr>
                  </w:pPr>
                </w:p>
              </w:tc>
              <w:tc>
                <w:tcPr>
                  <w:tcW w:w="180" w:type="pct"/>
                  <w:vMerge w:val="restart"/>
                  <w:vAlign w:val="center"/>
                </w:tcPr>
                <w:p w14:paraId="53F98B1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其他</w:t>
                  </w:r>
                </w:p>
              </w:tc>
              <w:tc>
                <w:tcPr>
                  <w:tcW w:w="861" w:type="pct"/>
                  <w:vAlign w:val="center"/>
                </w:tcPr>
                <w:p w14:paraId="2557720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在线监测设备</w:t>
                  </w:r>
                </w:p>
              </w:tc>
              <w:tc>
                <w:tcPr>
                  <w:tcW w:w="683" w:type="pct"/>
                  <w:vAlign w:val="center"/>
                </w:tcPr>
                <w:p w14:paraId="33E53B4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EM-5</w:t>
                  </w:r>
                </w:p>
              </w:tc>
              <w:tc>
                <w:tcPr>
                  <w:tcW w:w="750" w:type="pct"/>
                  <w:vAlign w:val="center"/>
                </w:tcPr>
                <w:p w14:paraId="7B48C9E7">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19" w:type="pct"/>
                  <w:vAlign w:val="center"/>
                </w:tcPr>
                <w:p w14:paraId="357CABA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套</w:t>
                  </w:r>
                </w:p>
              </w:tc>
              <w:tc>
                <w:tcPr>
                  <w:tcW w:w="398" w:type="pct"/>
                  <w:vAlign w:val="center"/>
                </w:tcPr>
                <w:p w14:paraId="0DAB3D5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0692CEA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现有</w:t>
                  </w:r>
                </w:p>
              </w:tc>
              <w:tc>
                <w:tcPr>
                  <w:tcW w:w="924" w:type="pct"/>
                  <w:vAlign w:val="center"/>
                </w:tcPr>
                <w:p w14:paraId="58D6A341">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脱硫</w:t>
                  </w:r>
                  <w:r>
                    <w:rPr>
                      <w:rFonts w:hint="eastAsia"/>
                      <w:color w:val="000000" w:themeColor="text1"/>
                      <w:sz w:val="21"/>
                      <w:szCs w:val="21"/>
                      <w:highlight w:val="none"/>
                      <w14:textFill>
                        <w14:solidFill>
                          <w14:schemeClr w14:val="tx1"/>
                        </w14:solidFill>
                      </w14:textFill>
                    </w:rPr>
                    <w:t>脱硝</w:t>
                  </w:r>
                  <w:r>
                    <w:rPr>
                      <w:color w:val="000000" w:themeColor="text1"/>
                      <w:sz w:val="21"/>
                      <w:szCs w:val="21"/>
                      <w:highlight w:val="none"/>
                      <w14:textFill>
                        <w14:solidFill>
                          <w14:schemeClr w14:val="tx1"/>
                        </w14:solidFill>
                      </w14:textFill>
                    </w:rPr>
                    <w:t>除尘排气筒，炉窑车间门口、厂界</w:t>
                  </w:r>
                </w:p>
              </w:tc>
            </w:tr>
            <w:tr w14:paraId="209CB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42" w:type="pct"/>
                  <w:vAlign w:val="center"/>
                </w:tcPr>
                <w:p w14:paraId="1E10B53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33</w:t>
                  </w:r>
                </w:p>
              </w:tc>
              <w:tc>
                <w:tcPr>
                  <w:tcW w:w="243" w:type="pct"/>
                  <w:vMerge w:val="continue"/>
                  <w:vAlign w:val="center"/>
                </w:tcPr>
                <w:p w14:paraId="31FD0F7F">
                  <w:pPr>
                    <w:jc w:val="center"/>
                    <w:rPr>
                      <w:color w:val="000000" w:themeColor="text1"/>
                      <w:sz w:val="21"/>
                      <w:szCs w:val="21"/>
                      <w:highlight w:val="none"/>
                      <w14:textFill>
                        <w14:solidFill>
                          <w14:schemeClr w14:val="tx1"/>
                        </w14:solidFill>
                      </w14:textFill>
                    </w:rPr>
                  </w:pPr>
                </w:p>
              </w:tc>
              <w:tc>
                <w:tcPr>
                  <w:tcW w:w="180" w:type="pct"/>
                  <w:vMerge w:val="continue"/>
                  <w:vAlign w:val="center"/>
                </w:tcPr>
                <w:p w14:paraId="17F5C989">
                  <w:pPr>
                    <w:jc w:val="center"/>
                    <w:rPr>
                      <w:color w:val="000000" w:themeColor="text1"/>
                      <w:sz w:val="21"/>
                      <w:szCs w:val="21"/>
                      <w:highlight w:val="none"/>
                      <w14:textFill>
                        <w14:solidFill>
                          <w14:schemeClr w14:val="tx1"/>
                        </w14:solidFill>
                      </w14:textFill>
                    </w:rPr>
                  </w:pPr>
                </w:p>
              </w:tc>
              <w:tc>
                <w:tcPr>
                  <w:tcW w:w="861" w:type="pct"/>
                  <w:vAlign w:val="center"/>
                </w:tcPr>
                <w:p w14:paraId="0B9B646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活性炭吸附箱</w:t>
                  </w:r>
                </w:p>
              </w:tc>
              <w:tc>
                <w:tcPr>
                  <w:tcW w:w="683" w:type="pct"/>
                  <w:vAlign w:val="center"/>
                </w:tcPr>
                <w:p w14:paraId="60D40A2A">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750" w:type="pct"/>
                  <w:vAlign w:val="center"/>
                </w:tcPr>
                <w:p w14:paraId="7545637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20000m</w:t>
                  </w:r>
                  <w:r>
                    <w:rPr>
                      <w:rFonts w:hint="eastAsia"/>
                      <w:color w:val="000000" w:themeColor="text1"/>
                      <w:sz w:val="21"/>
                      <w:szCs w:val="21"/>
                      <w:highlight w:val="none"/>
                      <w:vertAlign w:val="super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/h</w:t>
                  </w:r>
                </w:p>
              </w:tc>
              <w:tc>
                <w:tcPr>
                  <w:tcW w:w="319" w:type="pct"/>
                  <w:vAlign w:val="center"/>
                </w:tcPr>
                <w:p w14:paraId="7497474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台</w:t>
                  </w:r>
                </w:p>
              </w:tc>
              <w:tc>
                <w:tcPr>
                  <w:tcW w:w="398" w:type="pct"/>
                  <w:vAlign w:val="center"/>
                </w:tcPr>
                <w:p w14:paraId="60380A5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397" w:type="pct"/>
                  <w:vAlign w:val="center"/>
                </w:tcPr>
                <w:p w14:paraId="76469D7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更换</w:t>
                  </w:r>
                </w:p>
              </w:tc>
              <w:tc>
                <w:tcPr>
                  <w:tcW w:w="924" w:type="pct"/>
                  <w:vAlign w:val="center"/>
                </w:tcPr>
                <w:p w14:paraId="4011AE8C">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污泥</w:t>
                  </w:r>
                  <w:r>
                    <w:rPr>
                      <w:rFonts w:hint="eastAsia"/>
                      <w:color w:val="000000" w:themeColor="text1"/>
                      <w:sz w:val="21"/>
                      <w:szCs w:val="21"/>
                      <w:highlight w:val="none"/>
                      <w14:textFill>
                        <w14:solidFill>
                          <w14:schemeClr w14:val="tx1"/>
                        </w14:solidFill>
                      </w14:textFill>
                    </w:rPr>
                    <w:t>库</w:t>
                  </w:r>
                  <w:r>
                    <w:rPr>
                      <w:color w:val="000000" w:themeColor="text1"/>
                      <w:sz w:val="21"/>
                      <w:szCs w:val="21"/>
                      <w:highlight w:val="none"/>
                      <w14:textFill>
                        <w14:solidFill>
                          <w14:schemeClr w14:val="tx1"/>
                        </w14:solidFill>
                      </w14:textFill>
                    </w:rPr>
                    <w:t>除臭装置</w:t>
                  </w:r>
                  <w:r>
                    <w:rPr>
                      <w:rFonts w:hint="eastAsia"/>
                      <w:color w:val="000000" w:themeColor="text1"/>
                      <w:sz w:val="21"/>
                      <w:szCs w:val="21"/>
                      <w:highlight w:val="none"/>
                      <w14:textFill>
                        <w14:solidFill>
                          <w14:schemeClr w14:val="tx1"/>
                        </w14:solidFill>
                      </w14:textFill>
                    </w:rPr>
                    <w:t>，2座污泥库共用1套，</w:t>
                  </w:r>
                  <w:r>
                    <w:rPr>
                      <w:color w:val="000000" w:themeColor="text1"/>
                      <w:sz w:val="21"/>
                      <w:szCs w:val="21"/>
                      <w:highlight w:val="none"/>
                      <w14:textFill>
                        <w14:solidFill>
                          <w14:schemeClr w14:val="tx1"/>
                        </w14:solidFill>
                      </w14:textFill>
                    </w:rPr>
                    <w:t>隧道窑停产时</w:t>
                  </w:r>
                  <w:r>
                    <w:rPr>
                      <w:rFonts w:hint="eastAsia"/>
                      <w:color w:val="000000" w:themeColor="text1"/>
                      <w:sz w:val="21"/>
                      <w:szCs w:val="21"/>
                      <w:highlight w:val="none"/>
                      <w14:textFill>
                        <w14:solidFill>
                          <w14:schemeClr w14:val="tx1"/>
                        </w14:solidFill>
                      </w14:textFill>
                    </w:rPr>
                    <w:t>启用</w:t>
                  </w:r>
                </w:p>
              </w:tc>
            </w:tr>
          </w:tbl>
          <w:p w14:paraId="6051E36F">
            <w:pPr>
              <w:autoSpaceDE w:val="0"/>
              <w:autoSpaceDN w:val="0"/>
              <w:adjustRightInd w:val="0"/>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工程投资：项目总投资</w:t>
            </w:r>
            <w:r>
              <w:rPr>
                <w:rFonts w:hint="eastAsia"/>
                <w:color w:val="000000" w:themeColor="text1"/>
                <w:sz w:val="24"/>
                <w:highlight w:val="none"/>
                <w:lang w:val="en-US" w:eastAsia="zh-CN"/>
                <w14:textFill>
                  <w14:solidFill>
                    <w14:schemeClr w14:val="tx1"/>
                  </w14:solidFill>
                </w14:textFill>
              </w:rPr>
              <w:t>8000</w:t>
            </w:r>
            <w:r>
              <w:rPr>
                <w:rFonts w:hint="eastAsia"/>
                <w:color w:val="000000" w:themeColor="text1"/>
                <w:sz w:val="24"/>
                <w:highlight w:val="none"/>
                <w14:textFill>
                  <w14:solidFill>
                    <w14:schemeClr w14:val="tx1"/>
                  </w14:solidFill>
                </w14:textFill>
              </w:rPr>
              <w:t>万</w:t>
            </w:r>
            <w:r>
              <w:rPr>
                <w:color w:val="000000" w:themeColor="text1"/>
                <w:sz w:val="24"/>
                <w:highlight w:val="none"/>
                <w14:textFill>
                  <w14:solidFill>
                    <w14:schemeClr w14:val="tx1"/>
                  </w14:solidFill>
                </w14:textFill>
              </w:rPr>
              <w:t>元，环保投资为</w:t>
            </w:r>
            <w:r>
              <w:rPr>
                <w:rFonts w:hint="eastAsia"/>
                <w:color w:val="000000" w:themeColor="text1"/>
                <w:sz w:val="24"/>
                <w:highlight w:val="none"/>
                <w14:textFill>
                  <w14:solidFill>
                    <w14:schemeClr w14:val="tx1"/>
                  </w14:solidFill>
                </w14:textFill>
              </w:rPr>
              <w:t>98</w:t>
            </w:r>
            <w:r>
              <w:rPr>
                <w:color w:val="000000" w:themeColor="text1"/>
                <w:sz w:val="24"/>
                <w:highlight w:val="none"/>
                <w14:textFill>
                  <w14:solidFill>
                    <w14:schemeClr w14:val="tx1"/>
                  </w14:solidFill>
                </w14:textFill>
              </w:rPr>
              <w:t>万元，占总投资的</w:t>
            </w:r>
            <w:r>
              <w:rPr>
                <w:rFonts w:hint="eastAsia"/>
                <w:color w:val="000000" w:themeColor="text1"/>
                <w:sz w:val="24"/>
                <w:highlight w:val="none"/>
                <w:lang w:val="en-US" w:eastAsia="zh-CN"/>
                <w14:textFill>
                  <w14:solidFill>
                    <w14:schemeClr w14:val="tx1"/>
                  </w14:solidFill>
                </w14:textFill>
              </w:rPr>
              <w:t>1.225</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w:t>
            </w:r>
          </w:p>
          <w:p w14:paraId="69934003">
            <w:pPr>
              <w:autoSpaceDE w:val="0"/>
              <w:autoSpaceDN w:val="0"/>
              <w:adjustRightInd w:val="0"/>
              <w:spacing w:line="480" w:lineRule="exact"/>
              <w:ind w:firstLine="480" w:firstLineChars="200"/>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（5）</w:t>
            </w:r>
            <w:r>
              <w:rPr>
                <w:color w:val="000000" w:themeColor="text1"/>
                <w:sz w:val="24"/>
                <w:highlight w:val="none"/>
                <w14:textFill>
                  <w14:solidFill>
                    <w14:schemeClr w14:val="tx1"/>
                  </w14:solidFill>
                </w14:textFill>
              </w:rPr>
              <w:t>总图布置：</w:t>
            </w:r>
            <w:r>
              <w:rPr>
                <w:bCs/>
                <w:snapToGrid w:val="0"/>
                <w:color w:val="000000" w:themeColor="text1"/>
                <w:kern w:val="0"/>
                <w:sz w:val="24"/>
                <w:highlight w:val="none"/>
                <w14:textFill>
                  <w14:solidFill>
                    <w14:schemeClr w14:val="tx1"/>
                  </w14:solidFill>
                </w14:textFill>
              </w:rPr>
              <w:t>厂区大门位于</w:t>
            </w:r>
            <w:r>
              <w:rPr>
                <w:rFonts w:hint="eastAsia"/>
                <w:bCs/>
                <w:snapToGrid w:val="0"/>
                <w:color w:val="000000" w:themeColor="text1"/>
                <w:kern w:val="0"/>
                <w:sz w:val="24"/>
                <w:highlight w:val="none"/>
                <w14:textFill>
                  <w14:solidFill>
                    <w14:schemeClr w14:val="tx1"/>
                  </w14:solidFill>
                </w14:textFill>
              </w:rPr>
              <w:t>北侧</w:t>
            </w:r>
            <w:r>
              <w:rPr>
                <w:bCs/>
                <w:snapToGrid w:val="0"/>
                <w:color w:val="000000" w:themeColor="text1"/>
                <w:kern w:val="0"/>
                <w:sz w:val="24"/>
                <w:highlight w:val="none"/>
                <w14:textFill>
                  <w14:solidFill>
                    <w14:schemeClr w14:val="tx1"/>
                  </w14:solidFill>
                </w14:textFill>
              </w:rPr>
              <w:t>，本项目厂区内北部为门卫、磅房、办公楼，中部自北向南依次为脱硫车间、</w:t>
            </w:r>
            <w:r>
              <w:rPr>
                <w:rFonts w:hint="eastAsia"/>
                <w:bCs/>
                <w:snapToGrid w:val="0"/>
                <w:color w:val="000000" w:themeColor="text1"/>
                <w:kern w:val="0"/>
                <w:sz w:val="24"/>
                <w:highlight w:val="none"/>
                <w14:textFill>
                  <w14:solidFill>
                    <w14:schemeClr w14:val="tx1"/>
                  </w14:solidFill>
                </w14:textFill>
              </w:rPr>
              <w:t>焙烧</w:t>
            </w:r>
            <w:r>
              <w:rPr>
                <w:bCs/>
                <w:snapToGrid w:val="0"/>
                <w:color w:val="000000" w:themeColor="text1"/>
                <w:kern w:val="0"/>
                <w:sz w:val="24"/>
                <w:highlight w:val="none"/>
                <w14:textFill>
                  <w14:solidFill>
                    <w14:schemeClr w14:val="tx1"/>
                  </w14:solidFill>
                </w14:textFill>
              </w:rPr>
              <w:t>烘干车间、制坯车间、陈化库、破碎车间、原料库，南部东侧为晾晒场和成品堆场。</w:t>
            </w:r>
            <w:r>
              <w:rPr>
                <w:color w:val="000000" w:themeColor="text1"/>
                <w:sz w:val="24"/>
                <w:highlight w:val="none"/>
                <w14:textFill>
                  <w14:solidFill>
                    <w14:schemeClr w14:val="tx1"/>
                  </w14:solidFill>
                </w14:textFill>
              </w:rPr>
              <w:t>平面布置</w:t>
            </w:r>
            <w:r>
              <w:rPr>
                <w:rFonts w:hint="eastAsia"/>
                <w:color w:val="000000" w:themeColor="text1"/>
                <w:sz w:val="24"/>
                <w:highlight w:val="none"/>
                <w14:textFill>
                  <w14:solidFill>
                    <w14:schemeClr w14:val="tx1"/>
                  </w14:solidFill>
                </w14:textFill>
              </w:rPr>
              <w:t>及周边关系</w:t>
            </w:r>
            <w:r>
              <w:rPr>
                <w:color w:val="000000" w:themeColor="text1"/>
                <w:sz w:val="24"/>
                <w:highlight w:val="none"/>
                <w14:textFill>
                  <w14:solidFill>
                    <w14:schemeClr w14:val="tx1"/>
                  </w14:solidFill>
                </w14:textFill>
              </w:rPr>
              <w:t>见附图</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w:t>
            </w:r>
          </w:p>
          <w:p w14:paraId="3D55B8D9">
            <w:pPr>
              <w:autoSpaceDE w:val="0"/>
              <w:autoSpaceDN w:val="0"/>
              <w:adjustRightInd w:val="0"/>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（6）建设地点：项目位于</w:t>
            </w:r>
            <w:r>
              <w:rPr>
                <w:color w:val="000000" w:themeColor="text1"/>
                <w:sz w:val="24"/>
                <w:highlight w:val="none"/>
                <w14:textFill>
                  <w14:solidFill>
                    <w14:schemeClr w14:val="tx1"/>
                  </w14:solidFill>
                </w14:textFill>
              </w:rPr>
              <w:t>河北省唐山市滦州市响嘡街道田疃村西北</w:t>
            </w:r>
            <w:r>
              <w:rPr>
                <w:rFonts w:hint="eastAsia"/>
                <w:color w:val="000000" w:themeColor="text1"/>
                <w:sz w:val="24"/>
                <w:highlight w:val="none"/>
                <w14:textFill>
                  <w14:solidFill>
                    <w14:schemeClr w14:val="tx1"/>
                  </w14:solidFill>
                </w14:textFill>
              </w:rPr>
              <w:t>侧</w:t>
            </w:r>
            <w:r>
              <w:rPr>
                <w:color w:val="000000" w:themeColor="text1"/>
                <w:sz w:val="24"/>
                <w:highlight w:val="none"/>
                <w14:textFill>
                  <w14:solidFill>
                    <w14:schemeClr w14:val="tx1"/>
                  </w14:solidFill>
                </w14:textFill>
              </w:rPr>
              <w:t>滦县翼翔新型建材有限公司院内，</w:t>
            </w:r>
            <w:r>
              <w:rPr>
                <w:rFonts w:hint="eastAsia"/>
                <w:color w:val="000000" w:themeColor="text1"/>
                <w:sz w:val="24"/>
                <w:highlight w:val="none"/>
                <w14:textFill>
                  <w14:solidFill>
                    <w14:schemeClr w14:val="tx1"/>
                  </w14:solidFill>
                </w14:textFill>
              </w:rPr>
              <w:t>项目中心坐标为N39°39'53.960"，E118°44'41.272"。</w:t>
            </w:r>
            <w:r>
              <w:rPr>
                <w:color w:val="000000" w:themeColor="text1"/>
                <w:sz w:val="24"/>
                <w:highlight w:val="none"/>
                <w14:textFill>
                  <w14:solidFill>
                    <w14:schemeClr w14:val="tx1"/>
                  </w14:solidFill>
                </w14:textFill>
              </w:rPr>
              <w:t>厂区西侧为滦县翼翔新型建材有限公司加气块分公司；南侧、东侧为空地；北侧为司家营选厂道路。距离项目最近的环境敏感点为东南侧90m处的田疃村。本项目评价范围内无饮用水水源地保护区、自然保护区、风景名胜区、生态功能保护区、文物保护地等法律、法规规定的环境敏感区。</w:t>
            </w:r>
          </w:p>
          <w:p w14:paraId="255AD59F">
            <w:pPr>
              <w:autoSpaceDE w:val="0"/>
              <w:autoSpaceDN w:val="0"/>
              <w:adjustRightInd w:val="0"/>
              <w:spacing w:line="40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w:t>
            </w:r>
            <w:r>
              <w:rPr>
                <w:b/>
                <w:color w:val="000000" w:themeColor="text1"/>
                <w:sz w:val="24"/>
                <w:highlight w:val="none"/>
                <w14:textFill>
                  <w14:solidFill>
                    <w14:schemeClr w14:val="tx1"/>
                  </w14:solidFill>
                </w14:textFill>
              </w:rPr>
              <w:t>、平衡情况</w:t>
            </w:r>
          </w:p>
          <w:p w14:paraId="6C5F4B68">
            <w:pPr>
              <w:autoSpaceDE w:val="0"/>
              <w:autoSpaceDN w:val="0"/>
              <w:adjustRightInd w:val="0"/>
              <w:spacing w:line="400" w:lineRule="exact"/>
              <w:ind w:firstLine="480" w:firstLineChars="200"/>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物料平衡</w:t>
            </w:r>
          </w:p>
          <w:p w14:paraId="02DBB408">
            <w:pPr>
              <w:autoSpaceDE w:val="0"/>
              <w:autoSpaceDN w:val="0"/>
              <w:spacing w:line="320" w:lineRule="exact"/>
              <w:ind w:firstLine="1200" w:firstLineChars="50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w:t>
            </w:r>
            <w:r>
              <w:rPr>
                <w:rFonts w:hint="eastAsia" w:ascii="黑体" w:hAnsi="黑体" w:eastAsia="黑体"/>
                <w:color w:val="000000" w:themeColor="text1"/>
                <w:sz w:val="24"/>
                <w:highlight w:val="none"/>
                <w:lang w:val="en-US" w:eastAsia="zh-CN"/>
                <w14:textFill>
                  <w14:solidFill>
                    <w14:schemeClr w14:val="tx1"/>
                  </w14:solidFill>
                </w14:textFill>
              </w:rPr>
              <w:t>20</w:t>
            </w:r>
            <w:r>
              <w:rPr>
                <w:rFonts w:hint="eastAsia" w:ascii="黑体" w:hAnsi="黑体" w:eastAsia="黑体"/>
                <w:color w:val="000000" w:themeColor="text1"/>
                <w:sz w:val="24"/>
                <w:highlight w:val="none"/>
                <w14:textFill>
                  <w14:solidFill>
                    <w14:schemeClr w14:val="tx1"/>
                  </w14:solidFill>
                </w14:textFill>
              </w:rPr>
              <w:t xml:space="preserve">              现有工程</w:t>
            </w:r>
            <w:r>
              <w:rPr>
                <w:rFonts w:ascii="黑体" w:hAnsi="黑体" w:eastAsia="黑体"/>
                <w:color w:val="000000" w:themeColor="text1"/>
                <w:sz w:val="24"/>
                <w:highlight w:val="none"/>
                <w14:textFill>
                  <w14:solidFill>
                    <w14:schemeClr w14:val="tx1"/>
                  </w14:solidFill>
                </w14:textFill>
              </w:rPr>
              <w:t>物料平衡</w:t>
            </w:r>
          </w:p>
          <w:tbl>
            <w:tblPr>
              <w:tblStyle w:val="24"/>
              <w:tblW w:w="86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2080"/>
              <w:gridCol w:w="1047"/>
              <w:gridCol w:w="1646"/>
              <w:gridCol w:w="1986"/>
            </w:tblGrid>
            <w:tr w14:paraId="0A9889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288" w:type="pct"/>
                  <w:gridSpan w:val="2"/>
                  <w:vAlign w:val="center"/>
                </w:tcPr>
                <w:p w14:paraId="4E71C0A2">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进入</w:t>
                  </w:r>
                </w:p>
              </w:tc>
              <w:tc>
                <w:tcPr>
                  <w:tcW w:w="2712" w:type="pct"/>
                  <w:gridSpan w:val="3"/>
                  <w:vAlign w:val="center"/>
                </w:tcPr>
                <w:p w14:paraId="6C6594DE">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支出</w:t>
                  </w:r>
                </w:p>
              </w:tc>
            </w:tr>
            <w:tr w14:paraId="5DF9B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052BC3BD">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项目</w:t>
                  </w:r>
                </w:p>
              </w:tc>
              <w:tc>
                <w:tcPr>
                  <w:tcW w:w="1206" w:type="pct"/>
                  <w:vAlign w:val="center"/>
                </w:tcPr>
                <w:p w14:paraId="33FEBC6E">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进入量（t/a）</w:t>
                  </w:r>
                </w:p>
              </w:tc>
              <w:tc>
                <w:tcPr>
                  <w:tcW w:w="1561" w:type="pct"/>
                  <w:gridSpan w:val="2"/>
                  <w:vAlign w:val="center"/>
                </w:tcPr>
                <w:p w14:paraId="4BE9858D">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项目</w:t>
                  </w:r>
                </w:p>
              </w:tc>
              <w:tc>
                <w:tcPr>
                  <w:tcW w:w="1151" w:type="pct"/>
                  <w:vAlign w:val="center"/>
                </w:tcPr>
                <w:p w14:paraId="75FA2614">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支出量（t/a）</w:t>
                  </w:r>
                </w:p>
              </w:tc>
            </w:tr>
            <w:tr w14:paraId="5A6C2B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0BD14DCD">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煤矸石</w:t>
                  </w:r>
                </w:p>
              </w:tc>
              <w:tc>
                <w:tcPr>
                  <w:tcW w:w="1206" w:type="pct"/>
                  <w:vAlign w:val="center"/>
                </w:tcPr>
                <w:p w14:paraId="1F164D6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68610</w:t>
                  </w:r>
                </w:p>
              </w:tc>
              <w:tc>
                <w:tcPr>
                  <w:tcW w:w="1561" w:type="pct"/>
                  <w:gridSpan w:val="2"/>
                  <w:vAlign w:val="center"/>
                </w:tcPr>
                <w:p w14:paraId="1E0D832A">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成品砖</w:t>
                  </w:r>
                </w:p>
              </w:tc>
              <w:tc>
                <w:tcPr>
                  <w:tcW w:w="1151" w:type="pct"/>
                  <w:vAlign w:val="center"/>
                </w:tcPr>
                <w:p w14:paraId="41722534">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160000</w:t>
                  </w:r>
                </w:p>
              </w:tc>
            </w:tr>
            <w:tr w14:paraId="6AB66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0BE85C32">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煤矸石带入水</w:t>
                  </w:r>
                </w:p>
              </w:tc>
              <w:tc>
                <w:tcPr>
                  <w:tcW w:w="1206" w:type="pct"/>
                  <w:vAlign w:val="center"/>
                </w:tcPr>
                <w:p w14:paraId="09E42972">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1390</w:t>
                  </w:r>
                </w:p>
              </w:tc>
              <w:tc>
                <w:tcPr>
                  <w:tcW w:w="1561" w:type="pct"/>
                  <w:gridSpan w:val="2"/>
                  <w:vAlign w:val="center"/>
                </w:tcPr>
                <w:p w14:paraId="7A7E7994">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除尘灰</w:t>
                  </w:r>
                </w:p>
              </w:tc>
              <w:tc>
                <w:tcPr>
                  <w:tcW w:w="1151" w:type="pct"/>
                  <w:vAlign w:val="center"/>
                </w:tcPr>
                <w:p w14:paraId="39C17DE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96.228</w:t>
                  </w:r>
                </w:p>
              </w:tc>
            </w:tr>
            <w:tr w14:paraId="6552CB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74FCD09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页岩</w:t>
                  </w:r>
                </w:p>
              </w:tc>
              <w:tc>
                <w:tcPr>
                  <w:tcW w:w="1206" w:type="pct"/>
                  <w:vAlign w:val="center"/>
                </w:tcPr>
                <w:p w14:paraId="17862C4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73301.76</w:t>
                  </w:r>
                </w:p>
              </w:tc>
              <w:tc>
                <w:tcPr>
                  <w:tcW w:w="1561" w:type="pct"/>
                  <w:gridSpan w:val="2"/>
                  <w:vAlign w:val="center"/>
                </w:tcPr>
                <w:p w14:paraId="3B8D98C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废砖坯</w:t>
                  </w:r>
                </w:p>
              </w:tc>
              <w:tc>
                <w:tcPr>
                  <w:tcW w:w="1151" w:type="pct"/>
                  <w:vAlign w:val="center"/>
                </w:tcPr>
                <w:p w14:paraId="4C09F35E">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700</w:t>
                  </w:r>
                </w:p>
              </w:tc>
            </w:tr>
            <w:tr w14:paraId="196537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018C1520">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页岩带入水</w:t>
                  </w:r>
                </w:p>
              </w:tc>
              <w:tc>
                <w:tcPr>
                  <w:tcW w:w="1206" w:type="pct"/>
                  <w:vAlign w:val="center"/>
                </w:tcPr>
                <w:p w14:paraId="013EFD08">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8508.24</w:t>
                  </w:r>
                </w:p>
              </w:tc>
              <w:tc>
                <w:tcPr>
                  <w:tcW w:w="1561" w:type="pct"/>
                  <w:gridSpan w:val="2"/>
                  <w:vAlign w:val="center"/>
                </w:tcPr>
                <w:p w14:paraId="23CDDA4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废砖</w:t>
                  </w:r>
                </w:p>
              </w:tc>
              <w:tc>
                <w:tcPr>
                  <w:tcW w:w="1151" w:type="pct"/>
                  <w:vAlign w:val="center"/>
                </w:tcPr>
                <w:p w14:paraId="5D506174">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200</w:t>
                  </w:r>
                </w:p>
              </w:tc>
            </w:tr>
            <w:tr w14:paraId="0632F1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1D2B101F">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剥岩废料</w:t>
                  </w:r>
                </w:p>
              </w:tc>
              <w:tc>
                <w:tcPr>
                  <w:tcW w:w="1206" w:type="pct"/>
                  <w:vAlign w:val="center"/>
                </w:tcPr>
                <w:p w14:paraId="392E82A8">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8750</w:t>
                  </w:r>
                </w:p>
              </w:tc>
              <w:tc>
                <w:tcPr>
                  <w:tcW w:w="1561" w:type="pct"/>
                  <w:gridSpan w:val="2"/>
                  <w:vAlign w:val="center"/>
                </w:tcPr>
                <w:p w14:paraId="15A7E1C4">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脱硫石膏</w:t>
                  </w:r>
                </w:p>
              </w:tc>
              <w:tc>
                <w:tcPr>
                  <w:tcW w:w="1151" w:type="pct"/>
                  <w:vAlign w:val="center"/>
                </w:tcPr>
                <w:p w14:paraId="48A03FED">
                  <w:pPr>
                    <w:widowControl/>
                    <w:spacing w:line="220" w:lineRule="exact"/>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239</w:t>
                  </w:r>
                </w:p>
              </w:tc>
            </w:tr>
            <w:tr w14:paraId="3E1ED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7F563773">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干基污泥</w:t>
                  </w:r>
                </w:p>
              </w:tc>
              <w:tc>
                <w:tcPr>
                  <w:tcW w:w="1206" w:type="pct"/>
                  <w:vAlign w:val="center"/>
                </w:tcPr>
                <w:p w14:paraId="7E0F3FF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14440</w:t>
                  </w:r>
                </w:p>
              </w:tc>
              <w:tc>
                <w:tcPr>
                  <w:tcW w:w="1561" w:type="pct"/>
                  <w:gridSpan w:val="2"/>
                  <w:vAlign w:val="center"/>
                </w:tcPr>
                <w:p w14:paraId="1D251E23">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除尘灰浆</w:t>
                  </w:r>
                </w:p>
              </w:tc>
              <w:tc>
                <w:tcPr>
                  <w:tcW w:w="1151" w:type="pct"/>
                  <w:vAlign w:val="center"/>
                </w:tcPr>
                <w:p w14:paraId="6EA442A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33.373</w:t>
                  </w:r>
                </w:p>
              </w:tc>
            </w:tr>
            <w:tr w14:paraId="29704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2D82512F">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污泥带入水</w:t>
                  </w:r>
                </w:p>
              </w:tc>
              <w:tc>
                <w:tcPr>
                  <w:tcW w:w="1206" w:type="pct"/>
                  <w:vAlign w:val="center"/>
                </w:tcPr>
                <w:p w14:paraId="4DE0455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23860</w:t>
                  </w:r>
                </w:p>
              </w:tc>
              <w:tc>
                <w:tcPr>
                  <w:tcW w:w="607" w:type="pct"/>
                  <w:vMerge w:val="restart"/>
                  <w:vAlign w:val="center"/>
                </w:tcPr>
                <w:p w14:paraId="13BFA902">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有组织</w:t>
                  </w:r>
                  <w:r>
                    <w:rPr>
                      <w:rFonts w:hint="eastAsia"/>
                      <w:color w:val="000000" w:themeColor="text1"/>
                      <w:kern w:val="0"/>
                      <w:sz w:val="18"/>
                      <w:szCs w:val="18"/>
                      <w:highlight w:val="none"/>
                      <w14:textFill>
                        <w14:solidFill>
                          <w14:schemeClr w14:val="tx1"/>
                        </w14:solidFill>
                      </w14:textFill>
                    </w:rPr>
                    <w:t>排放</w:t>
                  </w:r>
                </w:p>
              </w:tc>
              <w:tc>
                <w:tcPr>
                  <w:tcW w:w="954" w:type="pct"/>
                  <w:vAlign w:val="center"/>
                </w:tcPr>
                <w:p w14:paraId="2B92BF61">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颗粒物排放量</w:t>
                  </w:r>
                </w:p>
              </w:tc>
              <w:tc>
                <w:tcPr>
                  <w:tcW w:w="1151" w:type="pct"/>
                  <w:vAlign w:val="center"/>
                </w:tcPr>
                <w:p w14:paraId="257E6F81">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3.87</w:t>
                  </w:r>
                  <w:r>
                    <w:rPr>
                      <w:rFonts w:hint="eastAsia"/>
                      <w:color w:val="000000" w:themeColor="text1"/>
                      <w:kern w:val="0"/>
                      <w:sz w:val="18"/>
                      <w:szCs w:val="18"/>
                      <w:highlight w:val="none"/>
                      <w14:textFill>
                        <w14:solidFill>
                          <w14:schemeClr w14:val="tx1"/>
                        </w14:solidFill>
                      </w14:textFill>
                    </w:rPr>
                    <w:t>4</w:t>
                  </w:r>
                </w:p>
              </w:tc>
            </w:tr>
            <w:tr w14:paraId="182094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438E18B6">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新鲜水</w:t>
                  </w:r>
                </w:p>
              </w:tc>
              <w:tc>
                <w:tcPr>
                  <w:tcW w:w="1206" w:type="pct"/>
                  <w:vAlign w:val="center"/>
                </w:tcPr>
                <w:p w14:paraId="63C04C18">
                  <w:pPr>
                    <w:widowControl/>
                    <w:spacing w:line="220" w:lineRule="exact"/>
                    <w:ind w:left="-105" w:leftChars="-50" w:right="-105" w:rightChars="-50"/>
                    <w:jc w:val="center"/>
                    <w:rPr>
                      <w:rFonts w:hint="eastAsia" w:eastAsia="宋体"/>
                      <w:color w:val="000000" w:themeColor="text1"/>
                      <w:kern w:val="0"/>
                      <w:sz w:val="18"/>
                      <w:szCs w:val="18"/>
                      <w:highlight w:val="none"/>
                      <w:lang w:eastAsia="zh-CN"/>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147</w:t>
                  </w:r>
                  <w:r>
                    <w:rPr>
                      <w:rFonts w:hint="eastAsia"/>
                      <w:color w:val="000000" w:themeColor="text1"/>
                      <w:kern w:val="0"/>
                      <w:sz w:val="18"/>
                      <w:szCs w:val="18"/>
                      <w:highlight w:val="none"/>
                      <w:lang w:val="en-US" w:eastAsia="zh-CN"/>
                      <w14:textFill>
                        <w14:solidFill>
                          <w14:schemeClr w14:val="tx1"/>
                        </w14:solidFill>
                      </w14:textFill>
                    </w:rPr>
                    <w:t>6</w:t>
                  </w:r>
                </w:p>
              </w:tc>
              <w:tc>
                <w:tcPr>
                  <w:tcW w:w="607" w:type="pct"/>
                  <w:vMerge w:val="continue"/>
                  <w:vAlign w:val="center"/>
                </w:tcPr>
                <w:p w14:paraId="25D0D705">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3F518DB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二氧化硫排放量</w:t>
                  </w:r>
                </w:p>
              </w:tc>
              <w:tc>
                <w:tcPr>
                  <w:tcW w:w="1151" w:type="pct"/>
                  <w:vAlign w:val="center"/>
                </w:tcPr>
                <w:p w14:paraId="743BF7B7">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15.357</w:t>
                  </w:r>
                </w:p>
              </w:tc>
            </w:tr>
            <w:tr w14:paraId="136714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37D0A446">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石灰</w:t>
                  </w:r>
                </w:p>
              </w:tc>
              <w:tc>
                <w:tcPr>
                  <w:tcW w:w="1206" w:type="pct"/>
                  <w:vAlign w:val="center"/>
                </w:tcPr>
                <w:p w14:paraId="11363AFE">
                  <w:pPr>
                    <w:widowControl/>
                    <w:spacing w:line="220" w:lineRule="exact"/>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90</w:t>
                  </w:r>
                </w:p>
              </w:tc>
              <w:tc>
                <w:tcPr>
                  <w:tcW w:w="607" w:type="pct"/>
                  <w:vMerge w:val="continue"/>
                  <w:vAlign w:val="center"/>
                </w:tcPr>
                <w:p w14:paraId="0A239634">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44754DCD">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氮氧化物排放量</w:t>
                  </w:r>
                </w:p>
              </w:tc>
              <w:tc>
                <w:tcPr>
                  <w:tcW w:w="1151" w:type="pct"/>
                  <w:vAlign w:val="center"/>
                </w:tcPr>
                <w:p w14:paraId="1C898B8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47.127</w:t>
                  </w:r>
                </w:p>
              </w:tc>
            </w:tr>
            <w:tr w14:paraId="431E79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045EBD73">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脱硝氧化剂</w:t>
                  </w:r>
                </w:p>
              </w:tc>
              <w:tc>
                <w:tcPr>
                  <w:tcW w:w="1206" w:type="pct"/>
                  <w:vAlign w:val="center"/>
                </w:tcPr>
                <w:p w14:paraId="7AEBBD7E">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2</w:t>
                  </w:r>
                </w:p>
              </w:tc>
              <w:tc>
                <w:tcPr>
                  <w:tcW w:w="607" w:type="pct"/>
                  <w:vMerge w:val="continue"/>
                  <w:vAlign w:val="center"/>
                </w:tcPr>
                <w:p w14:paraId="58EE604A">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7027DEE1">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氟化物排放量</w:t>
                  </w:r>
                </w:p>
              </w:tc>
              <w:tc>
                <w:tcPr>
                  <w:tcW w:w="1151" w:type="pct"/>
                  <w:vAlign w:val="center"/>
                </w:tcPr>
                <w:p w14:paraId="597E3E01">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1.793</w:t>
                  </w:r>
                </w:p>
              </w:tc>
            </w:tr>
            <w:tr w14:paraId="448728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67101F8A">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0EFD0E0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607" w:type="pct"/>
                  <w:vMerge w:val="continue"/>
                  <w:vAlign w:val="center"/>
                </w:tcPr>
                <w:p w14:paraId="2D4800C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27E78AAD">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氯化氢</w:t>
                  </w:r>
                </w:p>
              </w:tc>
              <w:tc>
                <w:tcPr>
                  <w:tcW w:w="1151" w:type="pct"/>
                  <w:vAlign w:val="center"/>
                </w:tcPr>
                <w:p w14:paraId="254E54D8">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0.032</w:t>
                  </w:r>
                </w:p>
              </w:tc>
            </w:tr>
            <w:tr w14:paraId="78936B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5E8F5B9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14CCEBF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607" w:type="pct"/>
                  <w:vAlign w:val="center"/>
                </w:tcPr>
                <w:p w14:paraId="004472B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无组织排放</w:t>
                  </w:r>
                </w:p>
              </w:tc>
              <w:tc>
                <w:tcPr>
                  <w:tcW w:w="954" w:type="pct"/>
                  <w:vAlign w:val="center"/>
                </w:tcPr>
                <w:p w14:paraId="188F80D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颗粒物</w:t>
                  </w:r>
                </w:p>
              </w:tc>
              <w:tc>
                <w:tcPr>
                  <w:tcW w:w="1151" w:type="pct"/>
                  <w:vAlign w:val="center"/>
                </w:tcPr>
                <w:p w14:paraId="70A296C7">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0.317</w:t>
                  </w:r>
                </w:p>
              </w:tc>
            </w:tr>
            <w:tr w14:paraId="00B2F9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4EAA77BD">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14ADF101">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561" w:type="pct"/>
                  <w:gridSpan w:val="2"/>
                  <w:vAlign w:val="center"/>
                </w:tcPr>
                <w:p w14:paraId="2BA3D17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水蒸气损耗</w:t>
                  </w:r>
                </w:p>
              </w:tc>
              <w:tc>
                <w:tcPr>
                  <w:tcW w:w="1151" w:type="pct"/>
                  <w:vAlign w:val="center"/>
                </w:tcPr>
                <w:p w14:paraId="61DE0E16">
                  <w:pPr>
                    <w:widowControl/>
                    <w:spacing w:line="220" w:lineRule="exact"/>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20390.609</w:t>
                  </w:r>
                </w:p>
              </w:tc>
            </w:tr>
            <w:tr w14:paraId="5CC4D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7B9279B3">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49F17440">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561" w:type="pct"/>
                  <w:gridSpan w:val="2"/>
                  <w:vAlign w:val="center"/>
                </w:tcPr>
                <w:p w14:paraId="1B7B212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成品砖含水量</w:t>
                  </w:r>
                </w:p>
              </w:tc>
              <w:tc>
                <w:tcPr>
                  <w:tcW w:w="1151" w:type="pct"/>
                  <w:vAlign w:val="center"/>
                </w:tcPr>
                <w:p w14:paraId="7DB2B0BA">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140.8</w:t>
                  </w:r>
                </w:p>
              </w:tc>
            </w:tr>
            <w:tr w14:paraId="7A7B42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5B003A71">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1DCF7ED6">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561" w:type="pct"/>
                  <w:gridSpan w:val="2"/>
                  <w:vAlign w:val="center"/>
                </w:tcPr>
                <w:p w14:paraId="2CB789FA">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污泥存放损耗水量</w:t>
                  </w:r>
                </w:p>
              </w:tc>
              <w:tc>
                <w:tcPr>
                  <w:tcW w:w="1151" w:type="pct"/>
                  <w:vAlign w:val="center"/>
                </w:tcPr>
                <w:p w14:paraId="6FDD80C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14233.34</w:t>
                  </w:r>
                </w:p>
              </w:tc>
            </w:tr>
            <w:tr w14:paraId="25A70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7A6AA3B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41CA7FF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561" w:type="pct"/>
                  <w:gridSpan w:val="2"/>
                  <w:vAlign w:val="center"/>
                </w:tcPr>
                <w:p w14:paraId="4867747B">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煤矸石烧失量</w:t>
                  </w:r>
                </w:p>
              </w:tc>
              <w:tc>
                <w:tcPr>
                  <w:tcW w:w="1151" w:type="pct"/>
                  <w:vAlign w:val="center"/>
                </w:tcPr>
                <w:p w14:paraId="60D98640">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2892.62</w:t>
                  </w:r>
                </w:p>
              </w:tc>
            </w:tr>
            <w:tr w14:paraId="1CBE20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660ED496">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12EC120C">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p>
              </w:tc>
              <w:tc>
                <w:tcPr>
                  <w:tcW w:w="1561" w:type="pct"/>
                  <w:gridSpan w:val="2"/>
                  <w:vAlign w:val="center"/>
                </w:tcPr>
                <w:p w14:paraId="1C84A163">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干基污泥</w:t>
                  </w:r>
                  <w:r>
                    <w:rPr>
                      <w:color w:val="000000" w:themeColor="text1"/>
                      <w:kern w:val="0"/>
                      <w:sz w:val="18"/>
                      <w:szCs w:val="18"/>
                      <w:highlight w:val="none"/>
                      <w14:textFill>
                        <w14:solidFill>
                          <w14:schemeClr w14:val="tx1"/>
                        </w14:solidFill>
                      </w14:textFill>
                    </w:rPr>
                    <w:t>烧失量</w:t>
                  </w:r>
                </w:p>
              </w:tc>
              <w:tc>
                <w:tcPr>
                  <w:tcW w:w="1151" w:type="pct"/>
                  <w:vAlign w:val="center"/>
                </w:tcPr>
                <w:p w14:paraId="3B2F7146">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1433.53</w:t>
                  </w:r>
                </w:p>
              </w:tc>
            </w:tr>
            <w:tr w14:paraId="0A402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2" w:type="pct"/>
                  <w:vAlign w:val="center"/>
                </w:tcPr>
                <w:p w14:paraId="7437B250">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1206" w:type="pct"/>
                  <w:vAlign w:val="center"/>
                </w:tcPr>
                <w:p w14:paraId="5F23680E">
                  <w:pPr>
                    <w:widowControl/>
                    <w:spacing w:line="220" w:lineRule="exact"/>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200</w:t>
                  </w:r>
                  <w:r>
                    <w:rPr>
                      <w:rFonts w:hint="eastAsia"/>
                      <w:color w:val="000000" w:themeColor="text1"/>
                      <w:kern w:val="0"/>
                      <w:sz w:val="18"/>
                      <w:szCs w:val="18"/>
                      <w:highlight w:val="none"/>
                      <w:lang w:val="en-US" w:eastAsia="zh-CN"/>
                      <w14:textFill>
                        <w14:solidFill>
                          <w14:schemeClr w14:val="tx1"/>
                        </w14:solidFill>
                      </w14:textFill>
                    </w:rPr>
                    <w:t>428</w:t>
                  </w:r>
                </w:p>
              </w:tc>
              <w:tc>
                <w:tcPr>
                  <w:tcW w:w="1561" w:type="pct"/>
                  <w:gridSpan w:val="2"/>
                  <w:vAlign w:val="center"/>
                </w:tcPr>
                <w:p w14:paraId="5D88AE09">
                  <w:pPr>
                    <w:widowControl/>
                    <w:spacing w:line="220" w:lineRule="exact"/>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1151" w:type="pct"/>
                  <w:vAlign w:val="center"/>
                </w:tcPr>
                <w:p w14:paraId="385D3DDA">
                  <w:pPr>
                    <w:widowControl/>
                    <w:spacing w:line="220" w:lineRule="exact"/>
                    <w:ind w:left="-105" w:leftChars="-50" w:right="-105" w:rightChars="-50"/>
                    <w:jc w:val="center"/>
                    <w:rPr>
                      <w:rFonts w:hint="default"/>
                      <w:color w:val="000000" w:themeColor="text1"/>
                      <w:kern w:val="0"/>
                      <w:sz w:val="18"/>
                      <w:szCs w:val="18"/>
                      <w:highlight w:val="none"/>
                      <w:lang w:val="en-US"/>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200</w:t>
                  </w:r>
                  <w:r>
                    <w:rPr>
                      <w:rFonts w:hint="eastAsia"/>
                      <w:color w:val="000000" w:themeColor="text1"/>
                      <w:kern w:val="0"/>
                      <w:sz w:val="18"/>
                      <w:szCs w:val="18"/>
                      <w:highlight w:val="none"/>
                      <w:lang w:val="en-US" w:eastAsia="zh-CN"/>
                      <w14:textFill>
                        <w14:solidFill>
                          <w14:schemeClr w14:val="tx1"/>
                        </w14:solidFill>
                      </w14:textFill>
                    </w:rPr>
                    <w:t>428</w:t>
                  </w:r>
                </w:p>
              </w:tc>
            </w:tr>
          </w:tbl>
          <w:p w14:paraId="5A6BD4E8">
            <w:pPr>
              <w:autoSpaceDE w:val="0"/>
              <w:autoSpaceDN w:val="0"/>
              <w:spacing w:line="480" w:lineRule="exact"/>
              <w:ind w:firstLine="1200" w:firstLineChars="50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w:t>
            </w:r>
            <w:r>
              <w:rPr>
                <w:rFonts w:hint="eastAsia" w:ascii="黑体" w:hAnsi="黑体" w:eastAsia="黑体"/>
                <w:color w:val="000000" w:themeColor="text1"/>
                <w:sz w:val="24"/>
                <w:highlight w:val="none"/>
                <w:lang w:val="en-US" w:eastAsia="zh-CN"/>
                <w14:textFill>
                  <w14:solidFill>
                    <w14:schemeClr w14:val="tx1"/>
                  </w14:solidFill>
                </w14:textFill>
              </w:rPr>
              <w:t>21</w:t>
            </w:r>
            <w:r>
              <w:rPr>
                <w:rFonts w:hint="eastAsia" w:ascii="黑体" w:hAnsi="黑体" w:eastAsia="黑体"/>
                <w:color w:val="000000" w:themeColor="text1"/>
                <w:sz w:val="24"/>
                <w:highlight w:val="none"/>
                <w14:textFill>
                  <w14:solidFill>
                    <w14:schemeClr w14:val="tx1"/>
                  </w14:solidFill>
                </w14:textFill>
              </w:rPr>
              <w:t xml:space="preserve">               本项目</w:t>
            </w:r>
            <w:r>
              <w:rPr>
                <w:rFonts w:ascii="黑体" w:hAnsi="黑体" w:eastAsia="黑体"/>
                <w:color w:val="000000" w:themeColor="text1"/>
                <w:sz w:val="24"/>
                <w:highlight w:val="none"/>
                <w14:textFill>
                  <w14:solidFill>
                    <w14:schemeClr w14:val="tx1"/>
                  </w14:solidFill>
                </w14:textFill>
              </w:rPr>
              <w:t>物料平衡</w:t>
            </w:r>
          </w:p>
          <w:tbl>
            <w:tblPr>
              <w:tblStyle w:val="24"/>
              <w:tblW w:w="491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2082"/>
              <w:gridCol w:w="1045"/>
              <w:gridCol w:w="1647"/>
              <w:gridCol w:w="1985"/>
            </w:tblGrid>
            <w:tr w14:paraId="4002A2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288" w:type="pct"/>
                  <w:gridSpan w:val="2"/>
                  <w:vAlign w:val="center"/>
                </w:tcPr>
                <w:p w14:paraId="7043AD5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进入</w:t>
                  </w:r>
                </w:p>
              </w:tc>
              <w:tc>
                <w:tcPr>
                  <w:tcW w:w="2711" w:type="pct"/>
                  <w:gridSpan w:val="3"/>
                  <w:vAlign w:val="center"/>
                </w:tcPr>
                <w:p w14:paraId="073B909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支出</w:t>
                  </w:r>
                </w:p>
              </w:tc>
            </w:tr>
            <w:tr w14:paraId="059DC8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1FF9099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项目</w:t>
                  </w:r>
                </w:p>
              </w:tc>
              <w:tc>
                <w:tcPr>
                  <w:tcW w:w="1206" w:type="pct"/>
                  <w:vAlign w:val="center"/>
                </w:tcPr>
                <w:p w14:paraId="463FECD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进入量（t/a）</w:t>
                  </w:r>
                </w:p>
              </w:tc>
              <w:tc>
                <w:tcPr>
                  <w:tcW w:w="1560" w:type="pct"/>
                  <w:gridSpan w:val="2"/>
                  <w:vAlign w:val="center"/>
                </w:tcPr>
                <w:p w14:paraId="39766EAA">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项目</w:t>
                  </w:r>
                </w:p>
              </w:tc>
              <w:tc>
                <w:tcPr>
                  <w:tcW w:w="1150" w:type="pct"/>
                  <w:vAlign w:val="center"/>
                </w:tcPr>
                <w:p w14:paraId="2FFDC67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支出量（t/a）</w:t>
                  </w:r>
                </w:p>
              </w:tc>
            </w:tr>
            <w:tr w14:paraId="7A0405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4EBEC4B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煤矸石</w:t>
                  </w:r>
                </w:p>
              </w:tc>
              <w:tc>
                <w:tcPr>
                  <w:tcW w:w="1206" w:type="pct"/>
                  <w:vAlign w:val="center"/>
                </w:tcPr>
                <w:p w14:paraId="45B92861">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282240</w:t>
                  </w:r>
                </w:p>
              </w:tc>
              <w:tc>
                <w:tcPr>
                  <w:tcW w:w="1560" w:type="pct"/>
                  <w:gridSpan w:val="2"/>
                  <w:vAlign w:val="center"/>
                </w:tcPr>
                <w:p w14:paraId="41BC3082">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成品砖</w:t>
                  </w:r>
                </w:p>
              </w:tc>
              <w:tc>
                <w:tcPr>
                  <w:tcW w:w="1150" w:type="pct"/>
                  <w:vAlign w:val="center"/>
                </w:tcPr>
                <w:p w14:paraId="16F987BB">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1002875</w:t>
                  </w:r>
                </w:p>
              </w:tc>
            </w:tr>
            <w:tr w14:paraId="308438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2D51EAEC">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煤矸石带入水</w:t>
                  </w:r>
                </w:p>
              </w:tc>
              <w:tc>
                <w:tcPr>
                  <w:tcW w:w="1206" w:type="pct"/>
                  <w:vAlign w:val="center"/>
                </w:tcPr>
                <w:p w14:paraId="2C140D00">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5760</w:t>
                  </w:r>
                </w:p>
              </w:tc>
              <w:tc>
                <w:tcPr>
                  <w:tcW w:w="1560" w:type="pct"/>
                  <w:gridSpan w:val="2"/>
                  <w:vAlign w:val="center"/>
                </w:tcPr>
                <w:p w14:paraId="2F9F7DE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除尘灰</w:t>
                  </w:r>
                </w:p>
              </w:tc>
              <w:tc>
                <w:tcPr>
                  <w:tcW w:w="1150" w:type="pct"/>
                  <w:vAlign w:val="center"/>
                </w:tcPr>
                <w:p w14:paraId="1BEEDD90">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45.94</w:t>
                  </w:r>
                </w:p>
              </w:tc>
            </w:tr>
            <w:tr w14:paraId="36EAF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26A8ABE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页岩</w:t>
                  </w:r>
                </w:p>
              </w:tc>
              <w:tc>
                <w:tcPr>
                  <w:tcW w:w="1206" w:type="pct"/>
                  <w:vAlign w:val="center"/>
                </w:tcPr>
                <w:p w14:paraId="509C8B46">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86016</w:t>
                  </w:r>
                </w:p>
              </w:tc>
              <w:tc>
                <w:tcPr>
                  <w:tcW w:w="1560" w:type="pct"/>
                  <w:gridSpan w:val="2"/>
                  <w:vAlign w:val="center"/>
                </w:tcPr>
                <w:p w14:paraId="258EA75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废砖坯</w:t>
                  </w:r>
                </w:p>
              </w:tc>
              <w:tc>
                <w:tcPr>
                  <w:tcW w:w="1150" w:type="pct"/>
                  <w:vAlign w:val="center"/>
                </w:tcPr>
                <w:p w14:paraId="7FFD7C2F">
                  <w:pPr>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48</w:t>
                  </w:r>
                  <w:r>
                    <w:rPr>
                      <w:color w:val="000000" w:themeColor="text1"/>
                      <w:kern w:val="0"/>
                      <w:sz w:val="18"/>
                      <w:szCs w:val="18"/>
                      <w:highlight w:val="none"/>
                      <w14:textFill>
                        <w14:solidFill>
                          <w14:schemeClr w14:val="tx1"/>
                        </w14:solidFill>
                      </w14:textFill>
                    </w:rPr>
                    <w:t>00</w:t>
                  </w:r>
                </w:p>
              </w:tc>
            </w:tr>
            <w:tr w14:paraId="5E427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30A4E7E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页岩</w:t>
                  </w:r>
                  <w:r>
                    <w:rPr>
                      <w:rFonts w:hint="eastAsia"/>
                      <w:color w:val="000000" w:themeColor="text1"/>
                      <w:kern w:val="0"/>
                      <w:sz w:val="18"/>
                      <w:szCs w:val="18"/>
                      <w:highlight w:val="none"/>
                      <w14:textFill>
                        <w14:solidFill>
                          <w14:schemeClr w14:val="tx1"/>
                        </w14:solidFill>
                      </w14:textFill>
                    </w:rPr>
                    <w:t>带入水</w:t>
                  </w:r>
                </w:p>
              </w:tc>
              <w:tc>
                <w:tcPr>
                  <w:tcW w:w="1206" w:type="pct"/>
                  <w:vAlign w:val="center"/>
                </w:tcPr>
                <w:p w14:paraId="11D128B6">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9984</w:t>
                  </w:r>
                </w:p>
              </w:tc>
              <w:tc>
                <w:tcPr>
                  <w:tcW w:w="1560" w:type="pct"/>
                  <w:gridSpan w:val="2"/>
                  <w:vAlign w:val="center"/>
                </w:tcPr>
                <w:p w14:paraId="6E4F287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废砖</w:t>
                  </w:r>
                </w:p>
              </w:tc>
              <w:tc>
                <w:tcPr>
                  <w:tcW w:w="1150" w:type="pct"/>
                  <w:vAlign w:val="center"/>
                </w:tcPr>
                <w:p w14:paraId="3D41E4B3">
                  <w:pPr>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18</w:t>
                  </w:r>
                  <w:r>
                    <w:rPr>
                      <w:color w:val="000000" w:themeColor="text1"/>
                      <w:kern w:val="0"/>
                      <w:sz w:val="18"/>
                      <w:szCs w:val="18"/>
                      <w:highlight w:val="none"/>
                      <w14:textFill>
                        <w14:solidFill>
                          <w14:schemeClr w14:val="tx1"/>
                        </w14:solidFill>
                      </w14:textFill>
                    </w:rPr>
                    <w:t>00</w:t>
                  </w:r>
                </w:p>
              </w:tc>
            </w:tr>
            <w:tr w14:paraId="36289A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2A3339A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剥岩废料</w:t>
                  </w:r>
                </w:p>
              </w:tc>
              <w:tc>
                <w:tcPr>
                  <w:tcW w:w="1206" w:type="pct"/>
                  <w:vAlign w:val="center"/>
                </w:tcPr>
                <w:p w14:paraId="0B0F9DC9">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36</w:t>
                  </w:r>
                  <w:r>
                    <w:rPr>
                      <w:rFonts w:hint="eastAsia"/>
                      <w:color w:val="000000" w:themeColor="text1"/>
                      <w:kern w:val="0"/>
                      <w:sz w:val="18"/>
                      <w:szCs w:val="18"/>
                      <w:highlight w:val="none"/>
                      <w14:textFill>
                        <w14:solidFill>
                          <w14:schemeClr w14:val="tx1"/>
                        </w14:solidFill>
                      </w14:textFill>
                    </w:rPr>
                    <w:t>000</w:t>
                  </w:r>
                </w:p>
              </w:tc>
              <w:tc>
                <w:tcPr>
                  <w:tcW w:w="1560" w:type="pct"/>
                  <w:gridSpan w:val="2"/>
                  <w:vAlign w:val="center"/>
                </w:tcPr>
                <w:p w14:paraId="5A085C57">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脱硫石膏</w:t>
                  </w:r>
                </w:p>
              </w:tc>
              <w:tc>
                <w:tcPr>
                  <w:tcW w:w="1150" w:type="pct"/>
                  <w:vAlign w:val="center"/>
                </w:tcPr>
                <w:p w14:paraId="1F730B48">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1410</w:t>
                  </w:r>
                </w:p>
              </w:tc>
            </w:tr>
            <w:tr w14:paraId="25063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06F596FF">
                  <w:pPr>
                    <w:widowControl/>
                    <w:ind w:left="-105" w:leftChars="-50" w:right="-105" w:rightChars="-50"/>
                    <w:jc w:val="center"/>
                    <w:rPr>
                      <w:rFonts w:hint="eastAsia" w:eastAsia="宋体"/>
                      <w:color w:val="000000" w:themeColor="text1"/>
                      <w:kern w:val="0"/>
                      <w:sz w:val="18"/>
                      <w:szCs w:val="18"/>
                      <w:highlight w:val="none"/>
                      <w:lang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工业</w:t>
                  </w:r>
                  <w:r>
                    <w:rPr>
                      <w:rFonts w:hint="eastAsia"/>
                      <w:color w:val="000000" w:themeColor="text1"/>
                      <w:kern w:val="0"/>
                      <w:sz w:val="18"/>
                      <w:szCs w:val="18"/>
                      <w:highlight w:val="none"/>
                      <w14:textFill>
                        <w14:solidFill>
                          <w14:schemeClr w14:val="tx1"/>
                        </w14:solidFill>
                      </w14:textFill>
                    </w:rPr>
                    <w:t>污泥</w:t>
                  </w:r>
                  <w:r>
                    <w:rPr>
                      <w:rFonts w:hint="eastAsia"/>
                      <w:color w:val="000000" w:themeColor="text1"/>
                      <w:kern w:val="0"/>
                      <w:sz w:val="18"/>
                      <w:szCs w:val="18"/>
                      <w:highlight w:val="none"/>
                      <w:lang w:eastAsia="zh-CN"/>
                      <w14:textFill>
                        <w14:solidFill>
                          <w14:schemeClr w14:val="tx1"/>
                        </w14:solidFill>
                      </w14:textFill>
                    </w:rPr>
                    <w:t>（</w:t>
                  </w:r>
                  <w:r>
                    <w:rPr>
                      <w:rFonts w:hint="eastAsia"/>
                      <w:color w:val="000000" w:themeColor="text1"/>
                      <w:kern w:val="0"/>
                      <w:sz w:val="18"/>
                      <w:szCs w:val="18"/>
                      <w:highlight w:val="none"/>
                      <w14:textFill>
                        <w14:solidFill>
                          <w14:schemeClr w14:val="tx1"/>
                        </w14:solidFill>
                      </w14:textFill>
                    </w:rPr>
                    <w:t>干基</w:t>
                  </w:r>
                  <w:r>
                    <w:rPr>
                      <w:rFonts w:hint="eastAsia"/>
                      <w:color w:val="000000" w:themeColor="text1"/>
                      <w:kern w:val="0"/>
                      <w:sz w:val="18"/>
                      <w:szCs w:val="18"/>
                      <w:highlight w:val="none"/>
                      <w:lang w:eastAsia="zh-CN"/>
                      <w14:textFill>
                        <w14:solidFill>
                          <w14:schemeClr w14:val="tx1"/>
                        </w14:solidFill>
                      </w14:textFill>
                    </w:rPr>
                    <w:t>）</w:t>
                  </w:r>
                </w:p>
              </w:tc>
              <w:tc>
                <w:tcPr>
                  <w:tcW w:w="1206" w:type="pct"/>
                  <w:vAlign w:val="center"/>
                </w:tcPr>
                <w:p w14:paraId="5551AE11">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43543.5</w:t>
                  </w:r>
                </w:p>
              </w:tc>
              <w:tc>
                <w:tcPr>
                  <w:tcW w:w="1560" w:type="pct"/>
                  <w:gridSpan w:val="2"/>
                  <w:vAlign w:val="center"/>
                </w:tcPr>
                <w:p w14:paraId="0ED50020">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除尘灰浆</w:t>
                  </w:r>
                </w:p>
              </w:tc>
              <w:tc>
                <w:tcPr>
                  <w:tcW w:w="1150" w:type="pct"/>
                  <w:vAlign w:val="center"/>
                </w:tcPr>
                <w:p w14:paraId="385FA72B">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198.28</w:t>
                  </w:r>
                </w:p>
              </w:tc>
            </w:tr>
            <w:tr w14:paraId="7576F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4ACEB32C">
                  <w:pPr>
                    <w:widowControl/>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工业</w:t>
                  </w:r>
                  <w:r>
                    <w:rPr>
                      <w:rFonts w:hint="eastAsia"/>
                      <w:color w:val="000000" w:themeColor="text1"/>
                      <w:kern w:val="0"/>
                      <w:sz w:val="18"/>
                      <w:szCs w:val="18"/>
                      <w:highlight w:val="none"/>
                      <w14:textFill>
                        <w14:solidFill>
                          <w14:schemeClr w14:val="tx1"/>
                        </w14:solidFill>
                      </w14:textFill>
                    </w:rPr>
                    <w:t>污泥</w:t>
                  </w:r>
                  <w:r>
                    <w:rPr>
                      <w:rFonts w:hint="eastAsia"/>
                      <w:color w:val="000000" w:themeColor="text1"/>
                      <w:kern w:val="0"/>
                      <w:sz w:val="18"/>
                      <w:szCs w:val="18"/>
                      <w:highlight w:val="none"/>
                      <w:lang w:val="en-US" w:eastAsia="zh-CN"/>
                      <w14:textFill>
                        <w14:solidFill>
                          <w14:schemeClr w14:val="tx1"/>
                        </w14:solidFill>
                      </w14:textFill>
                    </w:rPr>
                    <w:t>含</w:t>
                  </w:r>
                  <w:r>
                    <w:rPr>
                      <w:rFonts w:hint="eastAsia"/>
                      <w:color w:val="000000" w:themeColor="text1"/>
                      <w:kern w:val="0"/>
                      <w:sz w:val="18"/>
                      <w:szCs w:val="18"/>
                      <w:highlight w:val="none"/>
                      <w14:textFill>
                        <w14:solidFill>
                          <w14:schemeClr w14:val="tx1"/>
                        </w14:solidFill>
                      </w14:textFill>
                    </w:rPr>
                    <w:t>水</w:t>
                  </w:r>
                </w:p>
              </w:tc>
              <w:tc>
                <w:tcPr>
                  <w:tcW w:w="1206" w:type="pct"/>
                  <w:shd w:val="clear" w:color="auto" w:fill="auto"/>
                  <w:vAlign w:val="center"/>
                </w:tcPr>
                <w:p w14:paraId="515D7183">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71956.5</w:t>
                  </w:r>
                </w:p>
              </w:tc>
              <w:tc>
                <w:tcPr>
                  <w:tcW w:w="605" w:type="pct"/>
                  <w:vMerge w:val="restart"/>
                  <w:vAlign w:val="center"/>
                </w:tcPr>
                <w:p w14:paraId="0945CC13">
                  <w:pPr>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有组织</w:t>
                  </w:r>
                  <w:r>
                    <w:rPr>
                      <w:rFonts w:hint="eastAsia"/>
                      <w:color w:val="000000" w:themeColor="text1"/>
                      <w:kern w:val="0"/>
                      <w:sz w:val="18"/>
                      <w:szCs w:val="18"/>
                      <w:highlight w:val="none"/>
                      <w14:textFill>
                        <w14:solidFill>
                          <w14:schemeClr w14:val="tx1"/>
                        </w14:solidFill>
                      </w14:textFill>
                    </w:rPr>
                    <w:t>排放</w:t>
                  </w:r>
                </w:p>
              </w:tc>
              <w:tc>
                <w:tcPr>
                  <w:tcW w:w="954" w:type="pct"/>
                  <w:vAlign w:val="center"/>
                </w:tcPr>
                <w:p w14:paraId="067FD2B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颗粒物排放量</w:t>
                  </w:r>
                </w:p>
              </w:tc>
              <w:tc>
                <w:tcPr>
                  <w:tcW w:w="1150" w:type="pct"/>
                  <w:vAlign w:val="center"/>
                </w:tcPr>
                <w:p w14:paraId="0EA9D3F4">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10.4255</w:t>
                  </w:r>
                </w:p>
              </w:tc>
            </w:tr>
            <w:tr w14:paraId="3C56D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25F2FA2B">
                  <w:pPr>
                    <w:widowControl/>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生活</w:t>
                  </w:r>
                  <w:r>
                    <w:rPr>
                      <w:rFonts w:hint="eastAsia"/>
                      <w:color w:val="000000" w:themeColor="text1"/>
                      <w:kern w:val="0"/>
                      <w:sz w:val="18"/>
                      <w:szCs w:val="18"/>
                      <w:highlight w:val="none"/>
                      <w14:textFill>
                        <w14:solidFill>
                          <w14:schemeClr w14:val="tx1"/>
                        </w14:solidFill>
                      </w14:textFill>
                    </w:rPr>
                    <w:t>污泥</w:t>
                  </w:r>
                  <w:r>
                    <w:rPr>
                      <w:rFonts w:hint="eastAsia"/>
                      <w:color w:val="000000" w:themeColor="text1"/>
                      <w:kern w:val="0"/>
                      <w:sz w:val="18"/>
                      <w:szCs w:val="18"/>
                      <w:highlight w:val="none"/>
                      <w:lang w:eastAsia="zh-CN"/>
                      <w14:textFill>
                        <w14:solidFill>
                          <w14:schemeClr w14:val="tx1"/>
                        </w14:solidFill>
                      </w14:textFill>
                    </w:rPr>
                    <w:t>（</w:t>
                  </w:r>
                  <w:r>
                    <w:rPr>
                      <w:rFonts w:hint="eastAsia"/>
                      <w:color w:val="000000" w:themeColor="text1"/>
                      <w:kern w:val="0"/>
                      <w:sz w:val="18"/>
                      <w:szCs w:val="18"/>
                      <w:highlight w:val="none"/>
                      <w14:textFill>
                        <w14:solidFill>
                          <w14:schemeClr w14:val="tx1"/>
                        </w14:solidFill>
                      </w14:textFill>
                    </w:rPr>
                    <w:t>干基</w:t>
                  </w:r>
                  <w:r>
                    <w:rPr>
                      <w:rFonts w:hint="eastAsia"/>
                      <w:color w:val="000000" w:themeColor="text1"/>
                      <w:kern w:val="0"/>
                      <w:sz w:val="18"/>
                      <w:szCs w:val="18"/>
                      <w:highlight w:val="none"/>
                      <w:lang w:eastAsia="zh-CN"/>
                      <w14:textFill>
                        <w14:solidFill>
                          <w14:schemeClr w14:val="tx1"/>
                        </w14:solidFill>
                      </w14:textFill>
                    </w:rPr>
                    <w:t>）</w:t>
                  </w:r>
                </w:p>
              </w:tc>
              <w:tc>
                <w:tcPr>
                  <w:tcW w:w="1206" w:type="pct"/>
                  <w:shd w:val="clear" w:color="auto" w:fill="auto"/>
                  <w:vAlign w:val="center"/>
                </w:tcPr>
                <w:p w14:paraId="03E16C37">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26730</w:t>
                  </w:r>
                </w:p>
              </w:tc>
              <w:tc>
                <w:tcPr>
                  <w:tcW w:w="605" w:type="pct"/>
                  <w:vMerge w:val="continue"/>
                  <w:vAlign w:val="center"/>
                </w:tcPr>
                <w:p w14:paraId="42767333">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6DB0992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二氧化硫排放量</w:t>
                  </w:r>
                </w:p>
              </w:tc>
              <w:tc>
                <w:tcPr>
                  <w:tcW w:w="1150" w:type="pct"/>
                  <w:vAlign w:val="center"/>
                </w:tcPr>
                <w:p w14:paraId="0D08D4DB">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17.81</w:t>
                  </w:r>
                </w:p>
              </w:tc>
            </w:tr>
            <w:tr w14:paraId="765F8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4A4EE412">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生活</w:t>
                  </w:r>
                  <w:r>
                    <w:rPr>
                      <w:rFonts w:hint="eastAsia"/>
                      <w:color w:val="000000" w:themeColor="text1"/>
                      <w:kern w:val="0"/>
                      <w:sz w:val="18"/>
                      <w:szCs w:val="18"/>
                      <w:highlight w:val="none"/>
                      <w14:textFill>
                        <w14:solidFill>
                          <w14:schemeClr w14:val="tx1"/>
                        </w14:solidFill>
                      </w14:textFill>
                    </w:rPr>
                    <w:t>污泥</w:t>
                  </w:r>
                  <w:r>
                    <w:rPr>
                      <w:rFonts w:hint="eastAsia"/>
                      <w:color w:val="000000" w:themeColor="text1"/>
                      <w:kern w:val="0"/>
                      <w:sz w:val="18"/>
                      <w:szCs w:val="18"/>
                      <w:highlight w:val="none"/>
                      <w:lang w:val="en-US" w:eastAsia="zh-CN"/>
                      <w14:textFill>
                        <w14:solidFill>
                          <w14:schemeClr w14:val="tx1"/>
                        </w14:solidFill>
                      </w14:textFill>
                    </w:rPr>
                    <w:t>含</w:t>
                  </w:r>
                  <w:r>
                    <w:rPr>
                      <w:rFonts w:hint="eastAsia"/>
                      <w:color w:val="000000" w:themeColor="text1"/>
                      <w:kern w:val="0"/>
                      <w:sz w:val="18"/>
                      <w:szCs w:val="18"/>
                      <w:highlight w:val="none"/>
                      <w14:textFill>
                        <w14:solidFill>
                          <w14:schemeClr w14:val="tx1"/>
                        </w14:solidFill>
                      </w14:textFill>
                    </w:rPr>
                    <w:t>水</w:t>
                  </w:r>
                </w:p>
              </w:tc>
              <w:tc>
                <w:tcPr>
                  <w:tcW w:w="1206" w:type="pct"/>
                  <w:shd w:val="clear" w:color="auto" w:fill="auto"/>
                  <w:vAlign w:val="center"/>
                </w:tcPr>
                <w:p w14:paraId="555886E4">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39270</w:t>
                  </w:r>
                </w:p>
              </w:tc>
              <w:tc>
                <w:tcPr>
                  <w:tcW w:w="605" w:type="pct"/>
                  <w:vMerge w:val="continue"/>
                  <w:vAlign w:val="center"/>
                </w:tcPr>
                <w:p w14:paraId="1559B66A">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593CA4A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氮氧化物排放量</w:t>
                  </w:r>
                </w:p>
              </w:tc>
              <w:tc>
                <w:tcPr>
                  <w:tcW w:w="1150" w:type="pct"/>
                  <w:vAlign w:val="center"/>
                </w:tcPr>
                <w:p w14:paraId="2897DA02">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33.3</w:t>
                  </w:r>
                </w:p>
              </w:tc>
            </w:tr>
            <w:tr w14:paraId="51538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4B8ABA0B">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干排淤泥</w:t>
                  </w:r>
                </w:p>
              </w:tc>
              <w:tc>
                <w:tcPr>
                  <w:tcW w:w="1206" w:type="pct"/>
                  <w:shd w:val="clear" w:color="auto" w:fill="auto"/>
                  <w:vAlign w:val="center"/>
                </w:tcPr>
                <w:p w14:paraId="41D6D7C6">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4488</w:t>
                  </w:r>
                  <w:r>
                    <w:rPr>
                      <w:rFonts w:hint="eastAsia"/>
                      <w:color w:val="000000" w:themeColor="text1"/>
                      <w:kern w:val="0"/>
                      <w:sz w:val="18"/>
                      <w:szCs w:val="18"/>
                      <w:highlight w:val="none"/>
                      <w14:textFill>
                        <w14:solidFill>
                          <w14:schemeClr w14:val="tx1"/>
                        </w14:solidFill>
                      </w14:textFill>
                    </w:rPr>
                    <w:t>00</w:t>
                  </w:r>
                </w:p>
              </w:tc>
              <w:tc>
                <w:tcPr>
                  <w:tcW w:w="605" w:type="pct"/>
                  <w:vMerge w:val="continue"/>
                  <w:vAlign w:val="center"/>
                </w:tcPr>
                <w:p w14:paraId="692A19BC">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4FB9D1C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氟化物排放量</w:t>
                  </w:r>
                </w:p>
              </w:tc>
              <w:tc>
                <w:tcPr>
                  <w:tcW w:w="1150" w:type="pct"/>
                  <w:vAlign w:val="center"/>
                </w:tcPr>
                <w:p w14:paraId="1D5497A7">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w:t>
                  </w:r>
                  <w:r>
                    <w:rPr>
                      <w:rFonts w:hint="eastAsia"/>
                      <w:color w:val="000000" w:themeColor="text1"/>
                      <w:kern w:val="0"/>
                      <w:sz w:val="18"/>
                      <w:szCs w:val="18"/>
                      <w:highlight w:val="none"/>
                      <w:lang w:val="en-US" w:eastAsia="zh-CN"/>
                      <w14:textFill>
                        <w14:solidFill>
                          <w14:schemeClr w14:val="tx1"/>
                        </w14:solidFill>
                      </w14:textFill>
                    </w:rPr>
                    <w:t>1536</w:t>
                  </w:r>
                </w:p>
              </w:tc>
            </w:tr>
            <w:tr w14:paraId="3861DE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662F5BBC">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干排淤泥带入水</w:t>
                  </w:r>
                </w:p>
              </w:tc>
              <w:tc>
                <w:tcPr>
                  <w:tcW w:w="1206" w:type="pct"/>
                  <w:shd w:val="clear" w:color="auto" w:fill="auto"/>
                  <w:vAlign w:val="center"/>
                </w:tcPr>
                <w:p w14:paraId="6724B13A">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792</w:t>
                  </w:r>
                  <w:r>
                    <w:rPr>
                      <w:rFonts w:hint="eastAsia"/>
                      <w:color w:val="000000" w:themeColor="text1"/>
                      <w:kern w:val="0"/>
                      <w:sz w:val="18"/>
                      <w:szCs w:val="18"/>
                      <w:highlight w:val="none"/>
                      <w14:textFill>
                        <w14:solidFill>
                          <w14:schemeClr w14:val="tx1"/>
                        </w14:solidFill>
                      </w14:textFill>
                    </w:rPr>
                    <w:t>00</w:t>
                  </w:r>
                </w:p>
              </w:tc>
              <w:tc>
                <w:tcPr>
                  <w:tcW w:w="605" w:type="pct"/>
                  <w:vMerge w:val="continue"/>
                  <w:vAlign w:val="center"/>
                </w:tcPr>
                <w:p w14:paraId="046E7235">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954" w:type="pct"/>
                  <w:vAlign w:val="center"/>
                </w:tcPr>
                <w:p w14:paraId="3FBC20C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氯化氢</w:t>
                  </w:r>
                </w:p>
              </w:tc>
              <w:tc>
                <w:tcPr>
                  <w:tcW w:w="1150" w:type="pct"/>
                  <w:vAlign w:val="center"/>
                </w:tcPr>
                <w:p w14:paraId="7E747C51">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0.104</w:t>
                  </w:r>
                </w:p>
              </w:tc>
            </w:tr>
            <w:tr w14:paraId="5573E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2F309F66">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炉渣</w:t>
                  </w:r>
                </w:p>
              </w:tc>
              <w:tc>
                <w:tcPr>
                  <w:tcW w:w="1206" w:type="pct"/>
                  <w:shd w:val="clear" w:color="auto" w:fill="auto"/>
                  <w:vAlign w:val="center"/>
                </w:tcPr>
                <w:p w14:paraId="76A6C81B">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1678</w:t>
                  </w:r>
                  <w:r>
                    <w:rPr>
                      <w:rFonts w:hint="eastAsia"/>
                      <w:color w:val="000000" w:themeColor="text1"/>
                      <w:kern w:val="0"/>
                      <w:sz w:val="18"/>
                      <w:szCs w:val="18"/>
                      <w:highlight w:val="none"/>
                      <w14:textFill>
                        <w14:solidFill>
                          <w14:schemeClr w14:val="tx1"/>
                        </w14:solidFill>
                      </w14:textFill>
                    </w:rPr>
                    <w:t>50</w:t>
                  </w:r>
                </w:p>
              </w:tc>
              <w:tc>
                <w:tcPr>
                  <w:tcW w:w="605" w:type="pct"/>
                  <w:vAlign w:val="center"/>
                </w:tcPr>
                <w:p w14:paraId="3CBA4567">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无组织排放</w:t>
                  </w:r>
                </w:p>
              </w:tc>
              <w:tc>
                <w:tcPr>
                  <w:tcW w:w="954" w:type="pct"/>
                  <w:vAlign w:val="center"/>
                </w:tcPr>
                <w:p w14:paraId="56985AE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颗粒物</w:t>
                  </w:r>
                </w:p>
              </w:tc>
              <w:tc>
                <w:tcPr>
                  <w:tcW w:w="1150" w:type="pct"/>
                  <w:vAlign w:val="center"/>
                </w:tcPr>
                <w:p w14:paraId="06465281">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0.0</w:t>
                  </w:r>
                  <w:r>
                    <w:rPr>
                      <w:rFonts w:hint="eastAsia"/>
                      <w:color w:val="000000" w:themeColor="text1"/>
                      <w:kern w:val="0"/>
                      <w:sz w:val="18"/>
                      <w:szCs w:val="18"/>
                      <w:highlight w:val="none"/>
                      <w:lang w:val="en-US" w:eastAsia="zh-CN"/>
                      <w14:textFill>
                        <w14:solidFill>
                          <w14:schemeClr w14:val="tx1"/>
                        </w14:solidFill>
                      </w14:textFill>
                    </w:rPr>
                    <w:t>25</w:t>
                  </w:r>
                </w:p>
              </w:tc>
            </w:tr>
            <w:tr w14:paraId="298B8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4D939DBA">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炉渣带入水</w:t>
                  </w:r>
                </w:p>
              </w:tc>
              <w:tc>
                <w:tcPr>
                  <w:tcW w:w="1206" w:type="pct"/>
                  <w:shd w:val="clear" w:color="auto" w:fill="auto"/>
                  <w:vAlign w:val="center"/>
                </w:tcPr>
                <w:p w14:paraId="7EBF985B">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57150</w:t>
                  </w:r>
                </w:p>
              </w:tc>
              <w:tc>
                <w:tcPr>
                  <w:tcW w:w="1560" w:type="pct"/>
                  <w:gridSpan w:val="2"/>
                  <w:vAlign w:val="center"/>
                </w:tcPr>
                <w:p w14:paraId="21E7544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颗粒物</w:t>
                  </w:r>
                  <w:r>
                    <w:rPr>
                      <w:rFonts w:hint="eastAsia"/>
                      <w:color w:val="000000" w:themeColor="text1"/>
                      <w:kern w:val="0"/>
                      <w:sz w:val="18"/>
                      <w:szCs w:val="18"/>
                      <w:highlight w:val="none"/>
                      <w14:textFill>
                        <w14:solidFill>
                          <w14:schemeClr w14:val="tx1"/>
                        </w14:solidFill>
                      </w14:textFill>
                    </w:rPr>
                    <w:t>沉降</w:t>
                  </w:r>
                </w:p>
              </w:tc>
              <w:tc>
                <w:tcPr>
                  <w:tcW w:w="1150" w:type="pct"/>
                  <w:vAlign w:val="center"/>
                </w:tcPr>
                <w:p w14:paraId="71780FB0">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2.442</w:t>
                  </w:r>
                </w:p>
              </w:tc>
            </w:tr>
            <w:tr w14:paraId="309C5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1D42CEC7">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新鲜水</w:t>
                  </w:r>
                </w:p>
              </w:tc>
              <w:tc>
                <w:tcPr>
                  <w:tcW w:w="1206" w:type="pct"/>
                  <w:shd w:val="clear" w:color="auto" w:fill="auto"/>
                  <w:vAlign w:val="center"/>
                </w:tcPr>
                <w:p w14:paraId="6E1EEA57">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2475</w:t>
                  </w:r>
                </w:p>
              </w:tc>
              <w:tc>
                <w:tcPr>
                  <w:tcW w:w="1560" w:type="pct"/>
                  <w:gridSpan w:val="2"/>
                  <w:vAlign w:val="center"/>
                </w:tcPr>
                <w:p w14:paraId="7BCE8BE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水蒸气损耗</w:t>
                  </w:r>
                </w:p>
              </w:tc>
              <w:tc>
                <w:tcPr>
                  <w:tcW w:w="1150" w:type="pct"/>
                  <w:shd w:val="clear" w:color="auto" w:fill="auto"/>
                  <w:vAlign w:val="bottom"/>
                </w:tcPr>
                <w:p w14:paraId="3AD08E15">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202062.3</w:t>
                  </w:r>
                </w:p>
              </w:tc>
            </w:tr>
            <w:tr w14:paraId="19BD4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2395C79F">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color w:val="000000" w:themeColor="text1"/>
                      <w:kern w:val="0"/>
                      <w:sz w:val="18"/>
                      <w:szCs w:val="18"/>
                      <w:highlight w:val="none"/>
                      <w14:textFill>
                        <w14:solidFill>
                          <w14:schemeClr w14:val="tx1"/>
                        </w14:solidFill>
                      </w14:textFill>
                    </w:rPr>
                    <w:t>石灰</w:t>
                  </w:r>
                </w:p>
              </w:tc>
              <w:tc>
                <w:tcPr>
                  <w:tcW w:w="1206" w:type="pct"/>
                  <w:shd w:val="clear" w:color="auto" w:fill="auto"/>
                  <w:vAlign w:val="center"/>
                </w:tcPr>
                <w:p w14:paraId="30CDD32F">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530</w:t>
                  </w:r>
                </w:p>
              </w:tc>
              <w:tc>
                <w:tcPr>
                  <w:tcW w:w="1560" w:type="pct"/>
                  <w:gridSpan w:val="2"/>
                  <w:vAlign w:val="center"/>
                </w:tcPr>
                <w:p w14:paraId="2E19606D">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成品砖含水量</w:t>
                  </w:r>
                </w:p>
              </w:tc>
              <w:tc>
                <w:tcPr>
                  <w:tcW w:w="1150" w:type="pct"/>
                  <w:vAlign w:val="center"/>
                </w:tcPr>
                <w:p w14:paraId="14D7C15D">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882.5</w:t>
                  </w:r>
                </w:p>
              </w:tc>
            </w:tr>
            <w:tr w14:paraId="72B81A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shd w:val="clear" w:color="auto" w:fill="auto"/>
                  <w:vAlign w:val="center"/>
                </w:tcPr>
                <w:p w14:paraId="111ADCDA">
                  <w:pPr>
                    <w:widowControl/>
                    <w:ind w:left="-105" w:leftChars="-50" w:right="-105" w:rightChars="-50"/>
                    <w:jc w:val="center"/>
                    <w:rPr>
                      <w:rFonts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color w:val="000000" w:themeColor="text1"/>
                      <w:kern w:val="0"/>
                      <w:sz w:val="18"/>
                      <w:szCs w:val="18"/>
                      <w:highlight w:val="none"/>
                      <w14:textFill>
                        <w14:solidFill>
                          <w14:schemeClr w14:val="tx1"/>
                        </w14:solidFill>
                      </w14:textFill>
                    </w:rPr>
                    <w:t>脱硝剂</w:t>
                  </w:r>
                </w:p>
              </w:tc>
              <w:tc>
                <w:tcPr>
                  <w:tcW w:w="1206" w:type="pct"/>
                  <w:shd w:val="clear" w:color="auto" w:fill="auto"/>
                  <w:vAlign w:val="center"/>
                </w:tcPr>
                <w:p w14:paraId="01E7ABD5">
                  <w:pPr>
                    <w:widowControl/>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bidi="ar-SA"/>
                      <w14:textFill>
                        <w14:solidFill>
                          <w14:schemeClr w14:val="tx1"/>
                        </w14:solidFill>
                      </w14:textFill>
                    </w:rPr>
                    <w:t>60</w:t>
                  </w:r>
                </w:p>
              </w:tc>
              <w:tc>
                <w:tcPr>
                  <w:tcW w:w="1560" w:type="pct"/>
                  <w:gridSpan w:val="2"/>
                  <w:vAlign w:val="center"/>
                </w:tcPr>
                <w:p w14:paraId="53D343F4">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污泥存放损耗水量</w:t>
                  </w:r>
                </w:p>
              </w:tc>
              <w:tc>
                <w:tcPr>
                  <w:tcW w:w="1150" w:type="pct"/>
                  <w:vAlign w:val="center"/>
                </w:tcPr>
                <w:p w14:paraId="461ADBC6">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62840</w:t>
                  </w:r>
                </w:p>
              </w:tc>
            </w:tr>
            <w:tr w14:paraId="7D4D2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6FF399F1">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084C4B4A">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560" w:type="pct"/>
                  <w:gridSpan w:val="2"/>
                  <w:vAlign w:val="center"/>
                </w:tcPr>
                <w:p w14:paraId="15B9388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煤矸石烧失量</w:t>
                  </w:r>
                </w:p>
              </w:tc>
              <w:tc>
                <w:tcPr>
                  <w:tcW w:w="1150" w:type="pct"/>
                  <w:vAlign w:val="center"/>
                </w:tcPr>
                <w:p w14:paraId="422C1E2C">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11899.24</w:t>
                  </w:r>
                </w:p>
              </w:tc>
            </w:tr>
            <w:tr w14:paraId="4F1E4C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52003110">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61962484">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560" w:type="pct"/>
                  <w:gridSpan w:val="2"/>
                  <w:vAlign w:val="center"/>
                </w:tcPr>
                <w:p w14:paraId="6CFD4BAD">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干基污泥</w:t>
                  </w:r>
                  <w:r>
                    <w:rPr>
                      <w:color w:val="000000" w:themeColor="text1"/>
                      <w:kern w:val="0"/>
                      <w:sz w:val="18"/>
                      <w:szCs w:val="18"/>
                      <w:highlight w:val="none"/>
                      <w14:textFill>
                        <w14:solidFill>
                          <w14:schemeClr w14:val="tx1"/>
                        </w14:solidFill>
                      </w14:textFill>
                    </w:rPr>
                    <w:t>烧失量</w:t>
                  </w:r>
                </w:p>
              </w:tc>
              <w:tc>
                <w:tcPr>
                  <w:tcW w:w="1150" w:type="pct"/>
                  <w:vAlign w:val="center"/>
                </w:tcPr>
                <w:p w14:paraId="74C67A17">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16485</w:t>
                  </w:r>
                </w:p>
              </w:tc>
            </w:tr>
            <w:tr w14:paraId="4D56DD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5FEB8616">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737744DE">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560" w:type="pct"/>
                  <w:gridSpan w:val="2"/>
                  <w:vAlign w:val="center"/>
                </w:tcPr>
                <w:p w14:paraId="2511A5A2">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干排淤泥烧失量</w:t>
                  </w:r>
                </w:p>
              </w:tc>
              <w:tc>
                <w:tcPr>
                  <w:tcW w:w="1150" w:type="pct"/>
                  <w:shd w:val="clear" w:color="auto" w:fill="auto"/>
                  <w:vAlign w:val="bottom"/>
                </w:tcPr>
                <w:p w14:paraId="21DD6C56">
                  <w:pPr>
                    <w:jc w:val="center"/>
                    <w:rPr>
                      <w:rFonts w:hint="default" w:ascii="等线" w:hAnsi="等线" w:eastAsia="等线" w:cs="等线"/>
                      <w:i w:val="0"/>
                      <w:iCs w:val="0"/>
                      <w:color w:val="000000"/>
                      <w:kern w:val="2"/>
                      <w:sz w:val="22"/>
                      <w:szCs w:val="22"/>
                      <w:highlight w:val="none"/>
                      <w:u w:val="none"/>
                      <w:lang w:val="en-US" w:eastAsia="zh-CN" w:bidi="ar-SA"/>
                    </w:rPr>
                  </w:pPr>
                  <w:r>
                    <w:rPr>
                      <w:rFonts w:hint="eastAsia"/>
                      <w:color w:val="000000" w:themeColor="text1"/>
                      <w:kern w:val="0"/>
                      <w:sz w:val="18"/>
                      <w:szCs w:val="18"/>
                      <w:highlight w:val="none"/>
                      <w:lang w:val="en-US" w:eastAsia="zh-CN"/>
                      <w14:textFill>
                        <w14:solidFill>
                          <w14:schemeClr w14:val="tx1"/>
                        </w14:solidFill>
                      </w14:textFill>
                    </w:rPr>
                    <w:t>48845.4799</w:t>
                  </w:r>
                </w:p>
              </w:tc>
            </w:tr>
            <w:tr w14:paraId="1FB5A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31FBCAB5">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206" w:type="pct"/>
                  <w:vAlign w:val="center"/>
                </w:tcPr>
                <w:p w14:paraId="47DC7D43">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560" w:type="pct"/>
                  <w:gridSpan w:val="2"/>
                  <w:vAlign w:val="center"/>
                </w:tcPr>
                <w:p w14:paraId="3610B256">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炉渣烧失量</w:t>
                  </w:r>
                </w:p>
              </w:tc>
              <w:tc>
                <w:tcPr>
                  <w:tcW w:w="1150" w:type="pct"/>
                  <w:vAlign w:val="center"/>
                </w:tcPr>
                <w:p w14:paraId="23D86868">
                  <w:pPr>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3357</w:t>
                  </w:r>
                </w:p>
              </w:tc>
            </w:tr>
            <w:tr w14:paraId="4AA9B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1" w:type="pct"/>
                  <w:vAlign w:val="center"/>
                </w:tcPr>
                <w:p w14:paraId="0FA6BDF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1206" w:type="pct"/>
                  <w:vAlign w:val="center"/>
                </w:tcPr>
                <w:p w14:paraId="429B9A1A">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1357565</w:t>
                  </w:r>
                </w:p>
              </w:tc>
              <w:tc>
                <w:tcPr>
                  <w:tcW w:w="1560" w:type="pct"/>
                  <w:gridSpan w:val="2"/>
                  <w:vAlign w:val="center"/>
                </w:tcPr>
                <w:p w14:paraId="3FE08D8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1150" w:type="pct"/>
                  <w:shd w:val="clear" w:color="auto" w:fill="auto"/>
                  <w:vAlign w:val="bottom"/>
                </w:tcPr>
                <w:p w14:paraId="24EB51E6">
                  <w:pPr>
                    <w:widowControl/>
                    <w:ind w:left="-105" w:leftChars="-50" w:right="-105" w:rightChars="-50"/>
                    <w:jc w:val="center"/>
                    <w:rPr>
                      <w:rFonts w:hint="eastAsia"/>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1357565</w:t>
                  </w:r>
                </w:p>
              </w:tc>
            </w:tr>
          </w:tbl>
          <w:p w14:paraId="28CACCBB">
            <w:pPr>
              <w:autoSpaceDE w:val="0"/>
              <w:autoSpaceDN w:val="0"/>
              <w:adjustRightInd w:val="0"/>
              <w:spacing w:line="480" w:lineRule="exact"/>
              <w:ind w:firstLine="480" w:firstLineChars="200"/>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硫平衡</w:t>
            </w:r>
          </w:p>
          <w:p w14:paraId="051D15FE">
            <w:pPr>
              <w:autoSpaceDE w:val="0"/>
              <w:autoSpaceDN w:val="0"/>
              <w:spacing w:line="480" w:lineRule="exact"/>
              <w:ind w:firstLine="1200" w:firstLineChars="500"/>
              <w:rPr>
                <w:b/>
                <w:color w:val="000000" w:themeColor="text1"/>
                <w:szCs w:val="21"/>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表2-2</w:t>
            </w:r>
            <w:r>
              <w:rPr>
                <w:rFonts w:hint="eastAsia" w:ascii="黑体" w:hAnsi="黑体" w:eastAsia="黑体"/>
                <w:color w:val="000000" w:themeColor="text1"/>
                <w:sz w:val="24"/>
                <w:highlight w:val="none"/>
                <w:lang w:val="en-US" w:eastAsia="zh-CN"/>
                <w14:textFill>
                  <w14:solidFill>
                    <w14:schemeClr w14:val="tx1"/>
                  </w14:solidFill>
                </w14:textFill>
              </w:rPr>
              <w:t>2</w:t>
            </w:r>
            <w:r>
              <w:rPr>
                <w:rFonts w:hint="eastAsia" w:ascii="黑体" w:hAnsi="黑体" w:eastAsia="黑体"/>
                <w:color w:val="000000" w:themeColor="text1"/>
                <w:sz w:val="24"/>
                <w:highlight w:val="none"/>
                <w14:textFill>
                  <w14:solidFill>
                    <w14:schemeClr w14:val="tx1"/>
                  </w14:solidFill>
                </w14:textFill>
              </w:rPr>
              <w:t xml:space="preserve">              现有工程</w:t>
            </w:r>
            <w:r>
              <w:rPr>
                <w:rFonts w:ascii="黑体" w:hAnsi="黑体" w:eastAsia="黑体"/>
                <w:color w:val="000000" w:themeColor="text1"/>
                <w:sz w:val="24"/>
                <w:highlight w:val="none"/>
                <w14:textFill>
                  <w14:solidFill>
                    <w14:schemeClr w14:val="tx1"/>
                  </w14:solidFill>
                </w14:textFill>
              </w:rPr>
              <w:t>硫平衡</w:t>
            </w:r>
          </w:p>
          <w:tbl>
            <w:tblPr>
              <w:tblStyle w:val="24"/>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85"/>
              <w:gridCol w:w="1080"/>
              <w:gridCol w:w="1198"/>
              <w:gridCol w:w="1180"/>
              <w:gridCol w:w="945"/>
              <w:gridCol w:w="1240"/>
              <w:gridCol w:w="1007"/>
              <w:gridCol w:w="1033"/>
            </w:tblGrid>
            <w:tr w14:paraId="251C281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591" w:type="pct"/>
                  <w:gridSpan w:val="4"/>
                  <w:tcBorders>
                    <w:top w:val="single" w:color="000000" w:sz="12" w:space="0"/>
                    <w:tl2br w:val="nil"/>
                    <w:tr2bl w:val="nil"/>
                  </w:tcBorders>
                  <w:shd w:val="clear" w:color="auto" w:fill="auto"/>
                  <w:noWrap/>
                  <w:tcMar>
                    <w:top w:w="0" w:type="dxa"/>
                    <w:left w:w="51" w:type="dxa"/>
                    <w:bottom w:w="0" w:type="dxa"/>
                    <w:right w:w="51" w:type="dxa"/>
                  </w:tcMar>
                  <w:vAlign w:val="center"/>
                </w:tcPr>
                <w:p w14:paraId="3CF2EE4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来源</w:t>
                  </w:r>
                </w:p>
              </w:tc>
              <w:tc>
                <w:tcPr>
                  <w:tcW w:w="2409" w:type="pct"/>
                  <w:gridSpan w:val="4"/>
                  <w:tcBorders>
                    <w:top w:val="single" w:color="000000" w:sz="12" w:space="0"/>
                    <w:tl2br w:val="nil"/>
                    <w:tr2bl w:val="nil"/>
                  </w:tcBorders>
                  <w:shd w:val="clear" w:color="auto" w:fill="auto"/>
                  <w:noWrap/>
                  <w:tcMar>
                    <w:top w:w="0" w:type="dxa"/>
                    <w:left w:w="51" w:type="dxa"/>
                    <w:bottom w:w="0" w:type="dxa"/>
                    <w:right w:w="51" w:type="dxa"/>
                  </w:tcMar>
                  <w:vAlign w:val="center"/>
                </w:tcPr>
                <w:p w14:paraId="2CD4FCD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去向</w:t>
                  </w:r>
                </w:p>
              </w:tc>
            </w:tr>
            <w:tr w14:paraId="1E89F5C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33AE527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物料</w:t>
                  </w:r>
                </w:p>
              </w:tc>
              <w:tc>
                <w:tcPr>
                  <w:tcW w:w="616" w:type="pct"/>
                  <w:tcBorders>
                    <w:tl2br w:val="nil"/>
                    <w:tr2bl w:val="nil"/>
                  </w:tcBorders>
                  <w:shd w:val="clear" w:color="auto" w:fill="auto"/>
                  <w:noWrap/>
                  <w:tcMar>
                    <w:top w:w="0" w:type="dxa"/>
                    <w:left w:w="51" w:type="dxa"/>
                    <w:bottom w:w="0" w:type="dxa"/>
                    <w:right w:w="51" w:type="dxa"/>
                  </w:tcMar>
                  <w:vAlign w:val="center"/>
                </w:tcPr>
                <w:p w14:paraId="3CB342C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年用量（t/a）</w:t>
                  </w:r>
                </w:p>
              </w:tc>
              <w:tc>
                <w:tcPr>
                  <w:tcW w:w="683" w:type="pct"/>
                  <w:tcBorders>
                    <w:tl2br w:val="nil"/>
                    <w:tr2bl w:val="nil"/>
                  </w:tcBorders>
                  <w:shd w:val="clear" w:color="auto" w:fill="auto"/>
                  <w:noWrap/>
                  <w:tcMar>
                    <w:top w:w="0" w:type="dxa"/>
                    <w:left w:w="51" w:type="dxa"/>
                    <w:bottom w:w="0" w:type="dxa"/>
                    <w:right w:w="51" w:type="dxa"/>
                  </w:tcMar>
                  <w:vAlign w:val="center"/>
                </w:tcPr>
                <w:p w14:paraId="3C3D529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含硫量</w:t>
                  </w:r>
                </w:p>
              </w:tc>
              <w:tc>
                <w:tcPr>
                  <w:tcW w:w="672" w:type="pct"/>
                  <w:tcBorders>
                    <w:tl2br w:val="nil"/>
                    <w:tr2bl w:val="nil"/>
                  </w:tcBorders>
                  <w:shd w:val="clear" w:color="auto" w:fill="auto"/>
                  <w:noWrap/>
                  <w:tcMar>
                    <w:top w:w="0" w:type="dxa"/>
                    <w:left w:w="51" w:type="dxa"/>
                    <w:bottom w:w="0" w:type="dxa"/>
                    <w:right w:w="51" w:type="dxa"/>
                  </w:tcMar>
                  <w:vAlign w:val="center"/>
                </w:tcPr>
                <w:p w14:paraId="09C98A3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含硫量（t/a）</w:t>
                  </w:r>
                </w:p>
              </w:tc>
              <w:tc>
                <w:tcPr>
                  <w:tcW w:w="539" w:type="pct"/>
                  <w:tcBorders>
                    <w:tl2br w:val="nil"/>
                    <w:tr2bl w:val="nil"/>
                  </w:tcBorders>
                  <w:shd w:val="clear" w:color="auto" w:fill="auto"/>
                  <w:noWrap/>
                  <w:tcMar>
                    <w:top w:w="0" w:type="dxa"/>
                    <w:left w:w="51" w:type="dxa"/>
                    <w:bottom w:w="0" w:type="dxa"/>
                    <w:right w:w="51" w:type="dxa"/>
                  </w:tcMar>
                  <w:vAlign w:val="center"/>
                </w:tcPr>
                <w:p w14:paraId="770A88B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物料</w:t>
                  </w:r>
                </w:p>
              </w:tc>
              <w:tc>
                <w:tcPr>
                  <w:tcW w:w="707" w:type="pct"/>
                  <w:tcBorders>
                    <w:tl2br w:val="nil"/>
                    <w:tr2bl w:val="nil"/>
                  </w:tcBorders>
                  <w:shd w:val="clear" w:color="auto" w:fill="auto"/>
                  <w:noWrap/>
                  <w:tcMar>
                    <w:top w:w="0" w:type="dxa"/>
                    <w:left w:w="51" w:type="dxa"/>
                    <w:bottom w:w="0" w:type="dxa"/>
                    <w:right w:w="51" w:type="dxa"/>
                  </w:tcMar>
                  <w:vAlign w:val="center"/>
                </w:tcPr>
                <w:p w14:paraId="1CCBEC9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年产生量（t/a)</w:t>
                  </w:r>
                </w:p>
              </w:tc>
              <w:tc>
                <w:tcPr>
                  <w:tcW w:w="574" w:type="pct"/>
                  <w:tcBorders>
                    <w:tl2br w:val="nil"/>
                    <w:tr2bl w:val="nil"/>
                  </w:tcBorders>
                  <w:shd w:val="clear" w:color="auto" w:fill="auto"/>
                  <w:noWrap/>
                  <w:tcMar>
                    <w:top w:w="0" w:type="dxa"/>
                    <w:left w:w="51" w:type="dxa"/>
                    <w:bottom w:w="0" w:type="dxa"/>
                    <w:right w:w="51" w:type="dxa"/>
                  </w:tcMar>
                  <w:vAlign w:val="center"/>
                </w:tcPr>
                <w:p w14:paraId="2FBF4D28">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含硫率</w:t>
                  </w:r>
                </w:p>
              </w:tc>
              <w:tc>
                <w:tcPr>
                  <w:tcW w:w="589" w:type="pct"/>
                  <w:tcBorders>
                    <w:tl2br w:val="nil"/>
                    <w:tr2bl w:val="nil"/>
                  </w:tcBorders>
                  <w:shd w:val="clear" w:color="auto" w:fill="auto"/>
                  <w:noWrap/>
                  <w:tcMar>
                    <w:top w:w="0" w:type="dxa"/>
                    <w:left w:w="51" w:type="dxa"/>
                    <w:bottom w:w="0" w:type="dxa"/>
                    <w:right w:w="51" w:type="dxa"/>
                  </w:tcMar>
                  <w:vAlign w:val="center"/>
                </w:tcPr>
                <w:p w14:paraId="1A194E98">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含硫量（t/a)</w:t>
                  </w:r>
                </w:p>
              </w:tc>
            </w:tr>
            <w:tr w14:paraId="54F0542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40267E37">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煤矸石</w:t>
                  </w:r>
                </w:p>
              </w:tc>
              <w:tc>
                <w:tcPr>
                  <w:tcW w:w="616" w:type="pct"/>
                  <w:tcBorders>
                    <w:tl2br w:val="nil"/>
                    <w:tr2bl w:val="nil"/>
                  </w:tcBorders>
                  <w:shd w:val="clear" w:color="auto" w:fill="auto"/>
                  <w:noWrap/>
                  <w:tcMar>
                    <w:top w:w="0" w:type="dxa"/>
                    <w:left w:w="51" w:type="dxa"/>
                    <w:bottom w:w="0" w:type="dxa"/>
                    <w:right w:w="51" w:type="dxa"/>
                  </w:tcMar>
                  <w:vAlign w:val="center"/>
                </w:tcPr>
                <w:p w14:paraId="5750FDC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70000</w:t>
                  </w:r>
                </w:p>
              </w:tc>
              <w:tc>
                <w:tcPr>
                  <w:tcW w:w="683" w:type="pct"/>
                  <w:tcBorders>
                    <w:tl2br w:val="nil"/>
                    <w:tr2bl w:val="nil"/>
                  </w:tcBorders>
                  <w:shd w:val="clear" w:color="auto" w:fill="auto"/>
                  <w:noWrap/>
                  <w:tcMar>
                    <w:top w:w="0" w:type="dxa"/>
                    <w:left w:w="51" w:type="dxa"/>
                    <w:bottom w:w="0" w:type="dxa"/>
                    <w:right w:w="51" w:type="dxa"/>
                  </w:tcMar>
                  <w:vAlign w:val="center"/>
                </w:tcPr>
                <w:p w14:paraId="052BB77C">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0.15</w:t>
                  </w:r>
                  <w:r>
                    <w:rPr>
                      <w:color w:val="000000" w:themeColor="text1"/>
                      <w:kern w:val="0"/>
                      <w:sz w:val="18"/>
                      <w:szCs w:val="18"/>
                      <w:highlight w:val="none"/>
                      <w14:textFill>
                        <w14:solidFill>
                          <w14:schemeClr w14:val="tx1"/>
                        </w14:solidFill>
                      </w14:textFill>
                    </w:rPr>
                    <w:t>%</w:t>
                  </w:r>
                </w:p>
              </w:tc>
              <w:tc>
                <w:tcPr>
                  <w:tcW w:w="672" w:type="pct"/>
                  <w:tcBorders>
                    <w:tl2br w:val="nil"/>
                    <w:tr2bl w:val="nil"/>
                  </w:tcBorders>
                  <w:shd w:val="clear" w:color="auto" w:fill="auto"/>
                  <w:noWrap/>
                  <w:tcMar>
                    <w:top w:w="0" w:type="dxa"/>
                    <w:left w:w="51" w:type="dxa"/>
                    <w:bottom w:w="0" w:type="dxa"/>
                    <w:right w:w="51" w:type="dxa"/>
                  </w:tcMar>
                  <w:vAlign w:val="center"/>
                </w:tcPr>
                <w:p w14:paraId="5C26D4DC">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105</w:t>
                  </w:r>
                </w:p>
              </w:tc>
              <w:tc>
                <w:tcPr>
                  <w:tcW w:w="539" w:type="pct"/>
                  <w:tcBorders>
                    <w:tl2br w:val="nil"/>
                    <w:tr2bl w:val="nil"/>
                  </w:tcBorders>
                  <w:shd w:val="clear" w:color="auto" w:fill="auto"/>
                  <w:noWrap/>
                  <w:tcMar>
                    <w:top w:w="0" w:type="dxa"/>
                    <w:left w:w="51" w:type="dxa"/>
                    <w:bottom w:w="0" w:type="dxa"/>
                    <w:right w:w="51" w:type="dxa"/>
                  </w:tcMar>
                  <w:vAlign w:val="center"/>
                </w:tcPr>
                <w:p w14:paraId="35DC44D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成品砖</w:t>
                  </w:r>
                </w:p>
              </w:tc>
              <w:tc>
                <w:tcPr>
                  <w:tcW w:w="707" w:type="pct"/>
                  <w:tcBorders>
                    <w:tl2br w:val="nil"/>
                    <w:tr2bl w:val="nil"/>
                  </w:tcBorders>
                  <w:shd w:val="clear" w:color="auto" w:fill="auto"/>
                  <w:noWrap/>
                  <w:tcMar>
                    <w:top w:w="0" w:type="dxa"/>
                    <w:left w:w="51" w:type="dxa"/>
                    <w:bottom w:w="0" w:type="dxa"/>
                    <w:right w:w="51" w:type="dxa"/>
                  </w:tcMar>
                  <w:vAlign w:val="center"/>
                </w:tcPr>
                <w:p w14:paraId="0091E9F2">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16</w:t>
                  </w:r>
                  <w:r>
                    <w:rPr>
                      <w:rFonts w:hint="eastAsia"/>
                      <w:color w:val="000000" w:themeColor="text1"/>
                      <w:kern w:val="0"/>
                      <w:sz w:val="18"/>
                      <w:szCs w:val="18"/>
                      <w:highlight w:val="none"/>
                      <w14:textFill>
                        <w14:solidFill>
                          <w14:schemeClr w14:val="tx1"/>
                        </w14:solidFill>
                      </w14:textFill>
                    </w:rPr>
                    <w:t>0000</w:t>
                  </w:r>
                </w:p>
              </w:tc>
              <w:tc>
                <w:tcPr>
                  <w:tcW w:w="574" w:type="pct"/>
                  <w:tcBorders>
                    <w:tl2br w:val="nil"/>
                    <w:tr2bl w:val="nil"/>
                  </w:tcBorders>
                  <w:shd w:val="clear" w:color="auto" w:fill="auto"/>
                  <w:noWrap/>
                  <w:tcMar>
                    <w:top w:w="0" w:type="dxa"/>
                    <w:left w:w="51" w:type="dxa"/>
                    <w:bottom w:w="0" w:type="dxa"/>
                    <w:right w:w="51" w:type="dxa"/>
                  </w:tcMar>
                  <w:vAlign w:val="center"/>
                </w:tcPr>
                <w:p w14:paraId="79B943A2">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0.0</w:t>
                  </w:r>
                  <w:r>
                    <w:rPr>
                      <w:rFonts w:hint="eastAsia"/>
                      <w:color w:val="000000" w:themeColor="text1"/>
                      <w:kern w:val="0"/>
                      <w:sz w:val="18"/>
                      <w:szCs w:val="18"/>
                      <w:highlight w:val="none"/>
                      <w:lang w:val="en-US" w:eastAsia="zh-CN"/>
                      <w14:textFill>
                        <w14:solidFill>
                          <w14:schemeClr w14:val="tx1"/>
                        </w14:solidFill>
                      </w14:textFill>
                    </w:rPr>
                    <w:t>75</w:t>
                  </w:r>
                  <w:r>
                    <w:rPr>
                      <w:color w:val="000000" w:themeColor="text1"/>
                      <w:kern w:val="0"/>
                      <w:sz w:val="18"/>
                      <w:szCs w:val="18"/>
                      <w:highlight w:val="none"/>
                      <w14:textFill>
                        <w14:solidFill>
                          <w14:schemeClr w14:val="tx1"/>
                        </w14:solidFill>
                      </w14:textFill>
                    </w:rPr>
                    <w:t>%</w:t>
                  </w:r>
                </w:p>
              </w:tc>
              <w:tc>
                <w:tcPr>
                  <w:tcW w:w="589" w:type="pct"/>
                  <w:tcBorders>
                    <w:tl2br w:val="nil"/>
                    <w:tr2bl w:val="nil"/>
                  </w:tcBorders>
                  <w:shd w:val="clear" w:color="auto" w:fill="auto"/>
                  <w:noWrap/>
                  <w:tcMar>
                    <w:top w:w="0" w:type="dxa"/>
                    <w:left w:w="51" w:type="dxa"/>
                    <w:bottom w:w="0" w:type="dxa"/>
                    <w:right w:w="51" w:type="dxa"/>
                  </w:tcMar>
                  <w:vAlign w:val="center"/>
                </w:tcPr>
                <w:p w14:paraId="5EDF4B54">
                  <w:pPr>
                    <w:widowControl/>
                    <w:tabs>
                      <w:tab w:val="left" w:pos="528"/>
                    </w:tabs>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119.53</w:t>
                  </w:r>
                </w:p>
              </w:tc>
            </w:tr>
            <w:tr w14:paraId="5BB1805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0CC2D97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工业污泥</w:t>
                  </w:r>
                </w:p>
              </w:tc>
              <w:tc>
                <w:tcPr>
                  <w:tcW w:w="616" w:type="pct"/>
                  <w:tcBorders>
                    <w:tl2br w:val="nil"/>
                    <w:tr2bl w:val="nil"/>
                  </w:tcBorders>
                  <w:shd w:val="clear" w:color="auto" w:fill="auto"/>
                  <w:noWrap/>
                  <w:tcMar>
                    <w:top w:w="0" w:type="dxa"/>
                    <w:left w:w="51" w:type="dxa"/>
                    <w:bottom w:w="0" w:type="dxa"/>
                    <w:right w:w="51" w:type="dxa"/>
                  </w:tcMar>
                  <w:vAlign w:val="center"/>
                </w:tcPr>
                <w:p w14:paraId="5EACDA0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38300</w:t>
                  </w:r>
                </w:p>
              </w:tc>
              <w:tc>
                <w:tcPr>
                  <w:tcW w:w="683" w:type="pct"/>
                  <w:tcBorders>
                    <w:tl2br w:val="nil"/>
                    <w:tr2bl w:val="nil"/>
                  </w:tcBorders>
                  <w:shd w:val="clear" w:color="auto" w:fill="auto"/>
                  <w:noWrap/>
                  <w:tcMar>
                    <w:top w:w="0" w:type="dxa"/>
                    <w:left w:w="51" w:type="dxa"/>
                    <w:bottom w:w="0" w:type="dxa"/>
                    <w:right w:w="51" w:type="dxa"/>
                  </w:tcMar>
                  <w:vAlign w:val="center"/>
                </w:tcPr>
                <w:p w14:paraId="53F05923">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633.8</w:t>
                  </w:r>
                  <w:r>
                    <w:rPr>
                      <w:color w:val="000000" w:themeColor="text1"/>
                      <w:kern w:val="0"/>
                      <w:sz w:val="18"/>
                      <w:szCs w:val="18"/>
                      <w:highlight w:val="none"/>
                      <w14:textFill>
                        <w14:solidFill>
                          <w14:schemeClr w14:val="tx1"/>
                        </w14:solidFill>
                      </w14:textFill>
                    </w:rPr>
                    <w:t>mg/</w:t>
                  </w:r>
                  <w:r>
                    <w:rPr>
                      <w:rFonts w:hint="eastAsia"/>
                      <w:color w:val="000000" w:themeColor="text1"/>
                      <w:kern w:val="0"/>
                      <w:sz w:val="18"/>
                      <w:szCs w:val="18"/>
                      <w:highlight w:val="none"/>
                      <w14:textFill>
                        <w14:solidFill>
                          <w14:schemeClr w14:val="tx1"/>
                        </w14:solidFill>
                      </w14:textFill>
                    </w:rPr>
                    <w:t>kg</w:t>
                  </w:r>
                </w:p>
              </w:tc>
              <w:tc>
                <w:tcPr>
                  <w:tcW w:w="672" w:type="pct"/>
                  <w:tcBorders>
                    <w:tl2br w:val="nil"/>
                    <w:tr2bl w:val="nil"/>
                  </w:tcBorders>
                  <w:shd w:val="clear" w:color="auto" w:fill="auto"/>
                  <w:noWrap/>
                  <w:tcMar>
                    <w:top w:w="0" w:type="dxa"/>
                    <w:left w:w="51" w:type="dxa"/>
                    <w:bottom w:w="0" w:type="dxa"/>
                    <w:right w:w="51" w:type="dxa"/>
                  </w:tcMar>
                  <w:vAlign w:val="center"/>
                </w:tcPr>
                <w:p w14:paraId="7C399A61">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24.274</w:t>
                  </w:r>
                </w:p>
              </w:tc>
              <w:tc>
                <w:tcPr>
                  <w:tcW w:w="539" w:type="pct"/>
                  <w:tcBorders>
                    <w:tl2br w:val="nil"/>
                    <w:tr2bl w:val="nil"/>
                  </w:tcBorders>
                  <w:shd w:val="clear" w:color="auto" w:fill="auto"/>
                  <w:noWrap/>
                  <w:tcMar>
                    <w:top w:w="0" w:type="dxa"/>
                    <w:left w:w="51" w:type="dxa"/>
                    <w:bottom w:w="0" w:type="dxa"/>
                    <w:right w:w="51" w:type="dxa"/>
                  </w:tcMar>
                  <w:vAlign w:val="center"/>
                </w:tcPr>
                <w:p w14:paraId="5744C9A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废气</w:t>
                  </w:r>
                </w:p>
                <w:p w14:paraId="3D74649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（SO</w:t>
                  </w:r>
                  <w:r>
                    <w:rPr>
                      <w:color w:val="000000" w:themeColor="text1"/>
                      <w:kern w:val="0"/>
                      <w:sz w:val="18"/>
                      <w:szCs w:val="18"/>
                      <w:highlight w:val="none"/>
                      <w:vertAlign w:val="subscript"/>
                      <w14:textFill>
                        <w14:solidFill>
                          <w14:schemeClr w14:val="tx1"/>
                        </w14:solidFill>
                      </w14:textFill>
                    </w:rPr>
                    <w:t>2</w:t>
                  </w:r>
                  <w:r>
                    <w:rPr>
                      <w:color w:val="000000" w:themeColor="text1"/>
                      <w:kern w:val="0"/>
                      <w:sz w:val="18"/>
                      <w:szCs w:val="18"/>
                      <w:highlight w:val="none"/>
                      <w14:textFill>
                        <w14:solidFill>
                          <w14:schemeClr w14:val="tx1"/>
                        </w14:solidFill>
                      </w14:textFill>
                    </w:rPr>
                    <w:t>）</w:t>
                  </w:r>
                </w:p>
              </w:tc>
              <w:tc>
                <w:tcPr>
                  <w:tcW w:w="707" w:type="pct"/>
                  <w:tcBorders>
                    <w:tl2br w:val="nil"/>
                    <w:tr2bl w:val="nil"/>
                  </w:tcBorders>
                  <w:shd w:val="clear" w:color="auto" w:fill="auto"/>
                  <w:noWrap/>
                  <w:tcMar>
                    <w:top w:w="0" w:type="dxa"/>
                    <w:left w:w="51" w:type="dxa"/>
                    <w:bottom w:w="0" w:type="dxa"/>
                    <w:right w:w="51" w:type="dxa"/>
                  </w:tcMar>
                  <w:vAlign w:val="center"/>
                </w:tcPr>
                <w:p w14:paraId="4FF676F1">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15.357</w:t>
                  </w:r>
                </w:p>
              </w:tc>
              <w:tc>
                <w:tcPr>
                  <w:tcW w:w="574" w:type="pct"/>
                  <w:tcBorders>
                    <w:tl2br w:val="nil"/>
                    <w:tr2bl w:val="nil"/>
                  </w:tcBorders>
                  <w:shd w:val="clear" w:color="auto" w:fill="auto"/>
                  <w:noWrap/>
                  <w:tcMar>
                    <w:top w:w="0" w:type="dxa"/>
                    <w:left w:w="51" w:type="dxa"/>
                    <w:bottom w:w="0" w:type="dxa"/>
                    <w:right w:w="51" w:type="dxa"/>
                  </w:tcMar>
                  <w:vAlign w:val="center"/>
                </w:tcPr>
                <w:p w14:paraId="0E61FC37">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50%</w:t>
                  </w:r>
                </w:p>
              </w:tc>
              <w:tc>
                <w:tcPr>
                  <w:tcW w:w="589" w:type="pct"/>
                  <w:tcBorders>
                    <w:tl2br w:val="nil"/>
                    <w:tr2bl w:val="nil"/>
                  </w:tcBorders>
                  <w:shd w:val="clear" w:color="auto" w:fill="auto"/>
                  <w:noWrap/>
                  <w:tcMar>
                    <w:top w:w="0" w:type="dxa"/>
                    <w:left w:w="51" w:type="dxa"/>
                    <w:bottom w:w="0" w:type="dxa"/>
                    <w:right w:w="51" w:type="dxa"/>
                  </w:tcMar>
                  <w:vAlign w:val="center"/>
                </w:tcPr>
                <w:p w14:paraId="05F97F5D">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7.68</w:t>
                  </w:r>
                </w:p>
              </w:tc>
            </w:tr>
            <w:tr w14:paraId="4B3A875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77F5659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页岩</w:t>
                  </w:r>
                </w:p>
              </w:tc>
              <w:tc>
                <w:tcPr>
                  <w:tcW w:w="616" w:type="pct"/>
                  <w:tcBorders>
                    <w:tl2br w:val="nil"/>
                    <w:tr2bl w:val="nil"/>
                  </w:tcBorders>
                  <w:shd w:val="clear" w:color="auto" w:fill="auto"/>
                  <w:noWrap/>
                  <w:tcMar>
                    <w:top w:w="0" w:type="dxa"/>
                    <w:left w:w="51" w:type="dxa"/>
                    <w:bottom w:w="0" w:type="dxa"/>
                    <w:right w:w="51" w:type="dxa"/>
                  </w:tcMar>
                  <w:vAlign w:val="center"/>
                </w:tcPr>
                <w:p w14:paraId="1FE9DD6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81810</w:t>
                  </w:r>
                </w:p>
              </w:tc>
              <w:tc>
                <w:tcPr>
                  <w:tcW w:w="683" w:type="pct"/>
                  <w:tcBorders>
                    <w:tl2br w:val="nil"/>
                    <w:tr2bl w:val="nil"/>
                  </w:tcBorders>
                  <w:shd w:val="clear" w:color="auto" w:fill="auto"/>
                  <w:noWrap/>
                  <w:tcMar>
                    <w:top w:w="0" w:type="dxa"/>
                    <w:left w:w="51" w:type="dxa"/>
                    <w:bottom w:w="0" w:type="dxa"/>
                    <w:right w:w="51" w:type="dxa"/>
                  </w:tcMar>
                  <w:vAlign w:val="center"/>
                </w:tcPr>
                <w:p w14:paraId="47C89D5B">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0.06</w:t>
                  </w:r>
                  <w:r>
                    <w:rPr>
                      <w:color w:val="000000" w:themeColor="text1"/>
                      <w:kern w:val="0"/>
                      <w:sz w:val="18"/>
                      <w:szCs w:val="18"/>
                      <w:highlight w:val="none"/>
                      <w14:textFill>
                        <w14:solidFill>
                          <w14:schemeClr w14:val="tx1"/>
                        </w14:solidFill>
                      </w14:textFill>
                    </w:rPr>
                    <w:t>%</w:t>
                  </w:r>
                </w:p>
              </w:tc>
              <w:tc>
                <w:tcPr>
                  <w:tcW w:w="672" w:type="pct"/>
                  <w:tcBorders>
                    <w:tl2br w:val="nil"/>
                    <w:tr2bl w:val="nil"/>
                  </w:tcBorders>
                  <w:shd w:val="clear" w:color="auto" w:fill="auto"/>
                  <w:noWrap/>
                  <w:tcMar>
                    <w:top w:w="0" w:type="dxa"/>
                    <w:left w:w="51" w:type="dxa"/>
                    <w:bottom w:w="0" w:type="dxa"/>
                    <w:right w:w="51" w:type="dxa"/>
                  </w:tcMar>
                  <w:vAlign w:val="center"/>
                </w:tcPr>
                <w:p w14:paraId="2F3C0DED">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49.086</w:t>
                  </w:r>
                </w:p>
              </w:tc>
              <w:tc>
                <w:tcPr>
                  <w:tcW w:w="539" w:type="pct"/>
                  <w:tcBorders>
                    <w:tl2br w:val="nil"/>
                    <w:tr2bl w:val="nil"/>
                  </w:tcBorders>
                  <w:shd w:val="clear" w:color="auto" w:fill="auto"/>
                  <w:noWrap/>
                  <w:tcMar>
                    <w:top w:w="0" w:type="dxa"/>
                    <w:left w:w="51" w:type="dxa"/>
                    <w:bottom w:w="0" w:type="dxa"/>
                    <w:right w:w="51" w:type="dxa"/>
                  </w:tcMar>
                  <w:vAlign w:val="center"/>
                </w:tcPr>
                <w:p w14:paraId="66C046C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脱硫石膏</w:t>
                  </w:r>
                </w:p>
              </w:tc>
              <w:tc>
                <w:tcPr>
                  <w:tcW w:w="707" w:type="pct"/>
                  <w:tcBorders>
                    <w:tl2br w:val="nil"/>
                    <w:tr2bl w:val="nil"/>
                  </w:tcBorders>
                  <w:shd w:val="clear" w:color="auto" w:fill="auto"/>
                  <w:noWrap/>
                  <w:tcMar>
                    <w:top w:w="0" w:type="dxa"/>
                    <w:left w:w="51" w:type="dxa"/>
                    <w:bottom w:w="0" w:type="dxa"/>
                    <w:right w:w="51" w:type="dxa"/>
                  </w:tcMar>
                  <w:vAlign w:val="center"/>
                </w:tcPr>
                <w:p w14:paraId="397CA262">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239</w:t>
                  </w:r>
                </w:p>
              </w:tc>
              <w:tc>
                <w:tcPr>
                  <w:tcW w:w="574" w:type="pct"/>
                  <w:tcBorders>
                    <w:tl2br w:val="nil"/>
                    <w:tr2bl w:val="nil"/>
                  </w:tcBorders>
                  <w:shd w:val="clear" w:color="auto" w:fill="auto"/>
                  <w:noWrap/>
                  <w:tcMar>
                    <w:top w:w="0" w:type="dxa"/>
                    <w:left w:w="51" w:type="dxa"/>
                    <w:bottom w:w="0" w:type="dxa"/>
                    <w:right w:w="51" w:type="dxa"/>
                  </w:tcMar>
                  <w:vAlign w:val="center"/>
                </w:tcPr>
                <w:p w14:paraId="6B994AFF">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21.4</w:t>
                  </w:r>
                  <w:r>
                    <w:rPr>
                      <w:color w:val="000000" w:themeColor="text1"/>
                      <w:kern w:val="0"/>
                      <w:sz w:val="18"/>
                      <w:szCs w:val="18"/>
                      <w:highlight w:val="none"/>
                      <w14:textFill>
                        <w14:solidFill>
                          <w14:schemeClr w14:val="tx1"/>
                        </w14:solidFill>
                      </w14:textFill>
                    </w:rPr>
                    <w:t>%</w:t>
                  </w:r>
                </w:p>
              </w:tc>
              <w:tc>
                <w:tcPr>
                  <w:tcW w:w="589" w:type="pct"/>
                  <w:tcBorders>
                    <w:tl2br w:val="nil"/>
                    <w:tr2bl w:val="nil"/>
                  </w:tcBorders>
                  <w:shd w:val="clear" w:color="auto" w:fill="auto"/>
                  <w:noWrap/>
                  <w:tcMar>
                    <w:top w:w="0" w:type="dxa"/>
                    <w:left w:w="51" w:type="dxa"/>
                    <w:bottom w:w="0" w:type="dxa"/>
                    <w:right w:w="51" w:type="dxa"/>
                  </w:tcMar>
                  <w:vAlign w:val="center"/>
                </w:tcPr>
                <w:p w14:paraId="4BE4AEE5">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51.15</w:t>
                  </w:r>
                </w:p>
              </w:tc>
            </w:tr>
            <w:tr w14:paraId="628A987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15F7DFB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天然气</w:t>
                  </w:r>
                </w:p>
              </w:tc>
              <w:tc>
                <w:tcPr>
                  <w:tcW w:w="616" w:type="pct"/>
                  <w:tcBorders>
                    <w:tl2br w:val="nil"/>
                    <w:tr2bl w:val="nil"/>
                  </w:tcBorders>
                  <w:shd w:val="clear" w:color="auto" w:fill="auto"/>
                  <w:noWrap/>
                  <w:tcMar>
                    <w:top w:w="0" w:type="dxa"/>
                    <w:left w:w="51" w:type="dxa"/>
                    <w:bottom w:w="0" w:type="dxa"/>
                    <w:right w:w="51" w:type="dxa"/>
                  </w:tcMar>
                  <w:vAlign w:val="center"/>
                </w:tcPr>
                <w:p w14:paraId="43E3FE5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10m</w:t>
                  </w:r>
                  <w:r>
                    <w:rPr>
                      <w:color w:val="000000" w:themeColor="text1"/>
                      <w:kern w:val="0"/>
                      <w:sz w:val="18"/>
                      <w:szCs w:val="18"/>
                      <w:highlight w:val="none"/>
                      <w:vertAlign w:val="superscript"/>
                      <w14:textFill>
                        <w14:solidFill>
                          <w14:schemeClr w14:val="tx1"/>
                        </w14:solidFill>
                      </w14:textFill>
                    </w:rPr>
                    <w:t>3</w:t>
                  </w:r>
                </w:p>
              </w:tc>
              <w:tc>
                <w:tcPr>
                  <w:tcW w:w="683" w:type="pct"/>
                  <w:tcBorders>
                    <w:tl2br w:val="nil"/>
                    <w:tr2bl w:val="nil"/>
                  </w:tcBorders>
                  <w:shd w:val="clear" w:color="auto" w:fill="auto"/>
                  <w:noWrap/>
                  <w:tcMar>
                    <w:top w:w="0" w:type="dxa"/>
                    <w:left w:w="51" w:type="dxa"/>
                    <w:bottom w:w="0" w:type="dxa"/>
                    <w:right w:w="51" w:type="dxa"/>
                  </w:tcMar>
                  <w:vAlign w:val="center"/>
                </w:tcPr>
                <w:p w14:paraId="4C5E4C6E">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20</w:t>
                  </w:r>
                  <w:r>
                    <w:rPr>
                      <w:color w:val="000000" w:themeColor="text1"/>
                      <w:kern w:val="0"/>
                      <w:sz w:val="18"/>
                      <w:szCs w:val="18"/>
                      <w:highlight w:val="none"/>
                      <w14:textFill>
                        <w14:solidFill>
                          <w14:schemeClr w14:val="tx1"/>
                        </w14:solidFill>
                      </w14:textFill>
                    </w:rPr>
                    <w:t>mg/m</w:t>
                  </w:r>
                  <w:r>
                    <w:rPr>
                      <w:color w:val="000000" w:themeColor="text1"/>
                      <w:kern w:val="0"/>
                      <w:sz w:val="18"/>
                      <w:szCs w:val="18"/>
                      <w:highlight w:val="none"/>
                      <w:vertAlign w:val="superscript"/>
                      <w14:textFill>
                        <w14:solidFill>
                          <w14:schemeClr w14:val="tx1"/>
                        </w14:solidFill>
                      </w14:textFill>
                    </w:rPr>
                    <w:t>3</w:t>
                  </w:r>
                </w:p>
              </w:tc>
              <w:tc>
                <w:tcPr>
                  <w:tcW w:w="672" w:type="pct"/>
                  <w:tcBorders>
                    <w:tl2br w:val="nil"/>
                    <w:tr2bl w:val="nil"/>
                  </w:tcBorders>
                  <w:shd w:val="clear" w:color="auto" w:fill="auto"/>
                  <w:noWrap/>
                  <w:tcMar>
                    <w:top w:w="0" w:type="dxa"/>
                    <w:left w:w="51" w:type="dxa"/>
                    <w:bottom w:w="0" w:type="dxa"/>
                    <w:right w:w="51" w:type="dxa"/>
                  </w:tcMar>
                  <w:vAlign w:val="center"/>
                </w:tcPr>
                <w:p w14:paraId="02E0E9B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0.000000</w:t>
                  </w:r>
                  <w:r>
                    <w:rPr>
                      <w:rFonts w:hint="eastAsia"/>
                      <w:color w:val="000000" w:themeColor="text1"/>
                      <w:kern w:val="0"/>
                      <w:sz w:val="18"/>
                      <w:szCs w:val="18"/>
                      <w:highlight w:val="none"/>
                      <w14:textFill>
                        <w14:solidFill>
                          <w14:schemeClr w14:val="tx1"/>
                        </w14:solidFill>
                      </w14:textFill>
                    </w:rPr>
                    <w:t>2</w:t>
                  </w:r>
                </w:p>
              </w:tc>
              <w:tc>
                <w:tcPr>
                  <w:tcW w:w="539" w:type="pct"/>
                  <w:tcBorders>
                    <w:tl2br w:val="nil"/>
                    <w:tr2bl w:val="nil"/>
                  </w:tcBorders>
                  <w:shd w:val="clear" w:color="auto" w:fill="auto"/>
                  <w:noWrap/>
                  <w:tcMar>
                    <w:top w:w="0" w:type="dxa"/>
                    <w:left w:w="51" w:type="dxa"/>
                    <w:bottom w:w="0" w:type="dxa"/>
                    <w:right w:w="51" w:type="dxa"/>
                  </w:tcMar>
                  <w:vAlign w:val="center"/>
                </w:tcPr>
                <w:p w14:paraId="76216FA8">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707" w:type="pct"/>
                  <w:tcBorders>
                    <w:tl2br w:val="nil"/>
                    <w:tr2bl w:val="nil"/>
                  </w:tcBorders>
                  <w:shd w:val="clear" w:color="auto" w:fill="auto"/>
                  <w:noWrap/>
                  <w:tcMar>
                    <w:top w:w="0" w:type="dxa"/>
                    <w:left w:w="51" w:type="dxa"/>
                    <w:bottom w:w="0" w:type="dxa"/>
                    <w:right w:w="51" w:type="dxa"/>
                  </w:tcMar>
                  <w:vAlign w:val="center"/>
                </w:tcPr>
                <w:p w14:paraId="442C98CA">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74" w:type="pct"/>
                  <w:tcBorders>
                    <w:tl2br w:val="nil"/>
                    <w:tr2bl w:val="nil"/>
                  </w:tcBorders>
                  <w:shd w:val="clear" w:color="auto" w:fill="auto"/>
                  <w:noWrap/>
                  <w:tcMar>
                    <w:top w:w="0" w:type="dxa"/>
                    <w:left w:w="51" w:type="dxa"/>
                    <w:bottom w:w="0" w:type="dxa"/>
                    <w:right w:w="51" w:type="dxa"/>
                  </w:tcMar>
                  <w:vAlign w:val="center"/>
                </w:tcPr>
                <w:p w14:paraId="77174A84">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89" w:type="pct"/>
                  <w:tcBorders>
                    <w:tl2br w:val="nil"/>
                    <w:tr2bl w:val="nil"/>
                  </w:tcBorders>
                  <w:shd w:val="clear" w:color="auto" w:fill="auto"/>
                  <w:noWrap/>
                  <w:tcMar>
                    <w:top w:w="0" w:type="dxa"/>
                    <w:left w:w="51" w:type="dxa"/>
                    <w:bottom w:w="0" w:type="dxa"/>
                    <w:right w:w="51" w:type="dxa"/>
                  </w:tcMar>
                  <w:vAlign w:val="center"/>
                </w:tcPr>
                <w:p w14:paraId="368462B0">
                  <w:pPr>
                    <w:widowControl/>
                    <w:ind w:left="-105" w:leftChars="-50" w:right="-105" w:rightChars="-50"/>
                    <w:jc w:val="center"/>
                    <w:rPr>
                      <w:color w:val="000000" w:themeColor="text1"/>
                      <w:kern w:val="0"/>
                      <w:sz w:val="18"/>
                      <w:szCs w:val="18"/>
                      <w:highlight w:val="none"/>
                      <w14:textFill>
                        <w14:solidFill>
                          <w14:schemeClr w14:val="tx1"/>
                        </w14:solidFill>
                      </w14:textFill>
                    </w:rPr>
                  </w:pPr>
                </w:p>
              </w:tc>
            </w:tr>
            <w:tr w14:paraId="3632347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1B14FB9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616"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61E74469">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683"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3581306F">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672"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5929F775">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178.36</w:t>
                  </w:r>
                </w:p>
              </w:tc>
              <w:tc>
                <w:tcPr>
                  <w:tcW w:w="539"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1A3D428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707"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0B79793E">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74"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063D739A">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89"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172B2C19">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178.36</w:t>
                  </w:r>
                </w:p>
              </w:tc>
            </w:tr>
          </w:tbl>
          <w:p w14:paraId="38DC6B51">
            <w:pPr>
              <w:autoSpaceDE w:val="0"/>
              <w:autoSpaceDN w:val="0"/>
              <w:spacing w:line="480" w:lineRule="exact"/>
              <w:ind w:firstLine="1200" w:firstLineChars="500"/>
              <w:rPr>
                <w:b/>
                <w:color w:val="000000" w:themeColor="text1"/>
                <w:szCs w:val="21"/>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表2-2</w:t>
            </w:r>
            <w:r>
              <w:rPr>
                <w:rFonts w:hint="eastAsia" w:ascii="黑体" w:hAnsi="黑体" w:eastAsia="黑体"/>
                <w:color w:val="000000" w:themeColor="text1"/>
                <w:sz w:val="24"/>
                <w:highlight w:val="none"/>
                <w:lang w:val="en-US" w:eastAsia="zh-CN"/>
                <w14:textFill>
                  <w14:solidFill>
                    <w14:schemeClr w14:val="tx1"/>
                  </w14:solidFill>
                </w14:textFill>
              </w:rPr>
              <w:t>3</w:t>
            </w:r>
            <w:r>
              <w:rPr>
                <w:rFonts w:hint="eastAsia" w:ascii="黑体" w:hAnsi="黑体" w:eastAsia="黑体"/>
                <w:color w:val="000000" w:themeColor="text1"/>
                <w:sz w:val="24"/>
                <w:highlight w:val="none"/>
                <w14:textFill>
                  <w14:solidFill>
                    <w14:schemeClr w14:val="tx1"/>
                  </w14:solidFill>
                </w14:textFill>
              </w:rPr>
              <w:t xml:space="preserve">               本项目</w:t>
            </w:r>
            <w:r>
              <w:rPr>
                <w:rFonts w:ascii="黑体" w:hAnsi="黑体" w:eastAsia="黑体"/>
                <w:color w:val="000000" w:themeColor="text1"/>
                <w:sz w:val="24"/>
                <w:highlight w:val="none"/>
                <w14:textFill>
                  <w14:solidFill>
                    <w14:schemeClr w14:val="tx1"/>
                  </w14:solidFill>
                </w14:textFill>
              </w:rPr>
              <w:t>硫平衡</w:t>
            </w:r>
          </w:p>
          <w:tbl>
            <w:tblPr>
              <w:tblStyle w:val="24"/>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85"/>
              <w:gridCol w:w="1080"/>
              <w:gridCol w:w="1198"/>
              <w:gridCol w:w="1180"/>
              <w:gridCol w:w="945"/>
              <w:gridCol w:w="1240"/>
              <w:gridCol w:w="1007"/>
              <w:gridCol w:w="1033"/>
            </w:tblGrid>
            <w:tr w14:paraId="3F7C41C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591" w:type="pct"/>
                  <w:gridSpan w:val="4"/>
                  <w:tcBorders>
                    <w:top w:val="single" w:color="000000" w:sz="12" w:space="0"/>
                    <w:tl2br w:val="nil"/>
                    <w:tr2bl w:val="nil"/>
                  </w:tcBorders>
                  <w:shd w:val="clear" w:color="auto" w:fill="auto"/>
                  <w:noWrap/>
                  <w:tcMar>
                    <w:top w:w="0" w:type="dxa"/>
                    <w:left w:w="51" w:type="dxa"/>
                    <w:bottom w:w="0" w:type="dxa"/>
                    <w:right w:w="51" w:type="dxa"/>
                  </w:tcMar>
                  <w:vAlign w:val="center"/>
                </w:tcPr>
                <w:p w14:paraId="30F67750">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来源</w:t>
                  </w:r>
                </w:p>
              </w:tc>
              <w:tc>
                <w:tcPr>
                  <w:tcW w:w="2409" w:type="pct"/>
                  <w:gridSpan w:val="4"/>
                  <w:tcBorders>
                    <w:top w:val="single" w:color="000000" w:sz="12" w:space="0"/>
                    <w:tl2br w:val="nil"/>
                    <w:tr2bl w:val="nil"/>
                  </w:tcBorders>
                  <w:shd w:val="clear" w:color="auto" w:fill="auto"/>
                  <w:noWrap/>
                  <w:tcMar>
                    <w:top w:w="0" w:type="dxa"/>
                    <w:left w:w="51" w:type="dxa"/>
                    <w:bottom w:w="0" w:type="dxa"/>
                    <w:right w:w="51" w:type="dxa"/>
                  </w:tcMar>
                  <w:vAlign w:val="center"/>
                </w:tcPr>
                <w:p w14:paraId="3B6181C6">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去向</w:t>
                  </w:r>
                </w:p>
              </w:tc>
            </w:tr>
            <w:tr w14:paraId="37AEF26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6DBAB85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物料</w:t>
                  </w:r>
                </w:p>
              </w:tc>
              <w:tc>
                <w:tcPr>
                  <w:tcW w:w="616" w:type="pct"/>
                  <w:tcBorders>
                    <w:tl2br w:val="nil"/>
                    <w:tr2bl w:val="nil"/>
                  </w:tcBorders>
                  <w:shd w:val="clear" w:color="auto" w:fill="auto"/>
                  <w:noWrap/>
                  <w:tcMar>
                    <w:top w:w="0" w:type="dxa"/>
                    <w:left w:w="51" w:type="dxa"/>
                    <w:bottom w:w="0" w:type="dxa"/>
                    <w:right w:w="51" w:type="dxa"/>
                  </w:tcMar>
                  <w:vAlign w:val="center"/>
                </w:tcPr>
                <w:p w14:paraId="2D637880">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年用量（t/a）</w:t>
                  </w:r>
                </w:p>
              </w:tc>
              <w:tc>
                <w:tcPr>
                  <w:tcW w:w="683" w:type="pct"/>
                  <w:tcBorders>
                    <w:tl2br w:val="nil"/>
                    <w:tr2bl w:val="nil"/>
                  </w:tcBorders>
                  <w:shd w:val="clear" w:color="auto" w:fill="auto"/>
                  <w:noWrap/>
                  <w:tcMar>
                    <w:top w:w="0" w:type="dxa"/>
                    <w:left w:w="51" w:type="dxa"/>
                    <w:bottom w:w="0" w:type="dxa"/>
                    <w:right w:w="51" w:type="dxa"/>
                  </w:tcMar>
                  <w:vAlign w:val="center"/>
                </w:tcPr>
                <w:p w14:paraId="137D001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含硫量</w:t>
                  </w:r>
                </w:p>
              </w:tc>
              <w:tc>
                <w:tcPr>
                  <w:tcW w:w="673" w:type="pct"/>
                  <w:tcBorders>
                    <w:tl2br w:val="nil"/>
                    <w:tr2bl w:val="nil"/>
                  </w:tcBorders>
                  <w:shd w:val="clear" w:color="auto" w:fill="auto"/>
                  <w:noWrap/>
                  <w:tcMar>
                    <w:top w:w="0" w:type="dxa"/>
                    <w:left w:w="51" w:type="dxa"/>
                    <w:bottom w:w="0" w:type="dxa"/>
                    <w:right w:w="51" w:type="dxa"/>
                  </w:tcMar>
                  <w:vAlign w:val="center"/>
                </w:tcPr>
                <w:p w14:paraId="0C9754F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含硫量（t/a）</w:t>
                  </w:r>
                </w:p>
              </w:tc>
              <w:tc>
                <w:tcPr>
                  <w:tcW w:w="539" w:type="pct"/>
                  <w:tcBorders>
                    <w:tl2br w:val="nil"/>
                    <w:tr2bl w:val="nil"/>
                  </w:tcBorders>
                  <w:shd w:val="clear" w:color="auto" w:fill="auto"/>
                  <w:noWrap/>
                  <w:tcMar>
                    <w:top w:w="0" w:type="dxa"/>
                    <w:left w:w="51" w:type="dxa"/>
                    <w:bottom w:w="0" w:type="dxa"/>
                    <w:right w:w="51" w:type="dxa"/>
                  </w:tcMar>
                  <w:vAlign w:val="center"/>
                </w:tcPr>
                <w:p w14:paraId="411451E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物料</w:t>
                  </w:r>
                </w:p>
              </w:tc>
              <w:tc>
                <w:tcPr>
                  <w:tcW w:w="707" w:type="pct"/>
                  <w:tcBorders>
                    <w:tl2br w:val="nil"/>
                    <w:tr2bl w:val="nil"/>
                  </w:tcBorders>
                  <w:shd w:val="clear" w:color="auto" w:fill="auto"/>
                  <w:noWrap/>
                  <w:tcMar>
                    <w:top w:w="0" w:type="dxa"/>
                    <w:left w:w="51" w:type="dxa"/>
                    <w:bottom w:w="0" w:type="dxa"/>
                    <w:right w:w="51" w:type="dxa"/>
                  </w:tcMar>
                  <w:vAlign w:val="center"/>
                </w:tcPr>
                <w:p w14:paraId="17F9232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年产生量（t/a)</w:t>
                  </w:r>
                </w:p>
              </w:tc>
              <w:tc>
                <w:tcPr>
                  <w:tcW w:w="574" w:type="pct"/>
                  <w:tcBorders>
                    <w:tl2br w:val="nil"/>
                    <w:tr2bl w:val="nil"/>
                  </w:tcBorders>
                  <w:shd w:val="clear" w:color="auto" w:fill="auto"/>
                  <w:noWrap/>
                  <w:tcMar>
                    <w:top w:w="0" w:type="dxa"/>
                    <w:left w:w="51" w:type="dxa"/>
                    <w:bottom w:w="0" w:type="dxa"/>
                    <w:right w:w="51" w:type="dxa"/>
                  </w:tcMar>
                  <w:vAlign w:val="center"/>
                </w:tcPr>
                <w:p w14:paraId="4886E41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含硫率</w:t>
                  </w:r>
                </w:p>
              </w:tc>
              <w:tc>
                <w:tcPr>
                  <w:tcW w:w="589" w:type="pct"/>
                  <w:tcBorders>
                    <w:tl2br w:val="nil"/>
                    <w:tr2bl w:val="nil"/>
                  </w:tcBorders>
                  <w:shd w:val="clear" w:color="auto" w:fill="auto"/>
                  <w:noWrap/>
                  <w:tcMar>
                    <w:top w:w="0" w:type="dxa"/>
                    <w:left w:w="51" w:type="dxa"/>
                    <w:bottom w:w="0" w:type="dxa"/>
                    <w:right w:w="51" w:type="dxa"/>
                  </w:tcMar>
                  <w:vAlign w:val="center"/>
                </w:tcPr>
                <w:p w14:paraId="3E8649A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含硫量（t/a)</w:t>
                  </w:r>
                </w:p>
              </w:tc>
            </w:tr>
            <w:tr w14:paraId="2517268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6FFB1D10">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煤矸石</w:t>
                  </w:r>
                </w:p>
              </w:tc>
              <w:tc>
                <w:tcPr>
                  <w:tcW w:w="616" w:type="pct"/>
                  <w:tcBorders>
                    <w:tl2br w:val="nil"/>
                    <w:tr2bl w:val="nil"/>
                  </w:tcBorders>
                  <w:shd w:val="clear" w:color="auto" w:fill="auto"/>
                  <w:noWrap/>
                  <w:tcMar>
                    <w:top w:w="0" w:type="dxa"/>
                    <w:left w:w="51" w:type="dxa"/>
                    <w:bottom w:w="0" w:type="dxa"/>
                    <w:right w:w="51" w:type="dxa"/>
                  </w:tcMar>
                  <w:vAlign w:val="center"/>
                </w:tcPr>
                <w:p w14:paraId="139AF199">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288</w:t>
                  </w:r>
                  <w:r>
                    <w:rPr>
                      <w:rFonts w:hint="eastAsia"/>
                      <w:color w:val="000000" w:themeColor="text1"/>
                      <w:kern w:val="0"/>
                      <w:sz w:val="18"/>
                      <w:szCs w:val="18"/>
                      <w:highlight w:val="none"/>
                      <w14:textFill>
                        <w14:solidFill>
                          <w14:schemeClr w14:val="tx1"/>
                        </w14:solidFill>
                      </w14:textFill>
                    </w:rPr>
                    <w:t>000</w:t>
                  </w:r>
                </w:p>
              </w:tc>
              <w:tc>
                <w:tcPr>
                  <w:tcW w:w="683" w:type="pct"/>
                  <w:tcBorders>
                    <w:tl2br w:val="nil"/>
                    <w:tr2bl w:val="nil"/>
                  </w:tcBorders>
                  <w:shd w:val="clear" w:color="auto" w:fill="auto"/>
                  <w:noWrap/>
                  <w:tcMar>
                    <w:top w:w="0" w:type="dxa"/>
                    <w:left w:w="51" w:type="dxa"/>
                    <w:bottom w:w="0" w:type="dxa"/>
                    <w:right w:w="51" w:type="dxa"/>
                  </w:tcMar>
                  <w:vAlign w:val="center"/>
                </w:tcPr>
                <w:p w14:paraId="3E978393">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0.15</w:t>
                  </w:r>
                  <w:r>
                    <w:rPr>
                      <w:color w:val="000000" w:themeColor="text1"/>
                      <w:kern w:val="0"/>
                      <w:sz w:val="18"/>
                      <w:szCs w:val="18"/>
                      <w:highlight w:val="none"/>
                      <w14:textFill>
                        <w14:solidFill>
                          <w14:schemeClr w14:val="tx1"/>
                        </w14:solidFill>
                      </w14:textFill>
                    </w:rPr>
                    <w:t>%</w:t>
                  </w:r>
                </w:p>
              </w:tc>
              <w:tc>
                <w:tcPr>
                  <w:tcW w:w="673" w:type="pct"/>
                  <w:tcBorders>
                    <w:tl2br w:val="nil"/>
                    <w:tr2bl w:val="nil"/>
                  </w:tcBorders>
                  <w:shd w:val="clear" w:color="auto" w:fill="auto"/>
                  <w:noWrap/>
                  <w:tcMar>
                    <w:top w:w="0" w:type="dxa"/>
                    <w:left w:w="51" w:type="dxa"/>
                    <w:bottom w:w="0" w:type="dxa"/>
                    <w:right w:w="51" w:type="dxa"/>
                  </w:tcMar>
                  <w:vAlign w:val="center"/>
                </w:tcPr>
                <w:p w14:paraId="42458E1E">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432</w:t>
                  </w:r>
                </w:p>
              </w:tc>
              <w:tc>
                <w:tcPr>
                  <w:tcW w:w="539" w:type="pct"/>
                  <w:tcBorders>
                    <w:tl2br w:val="nil"/>
                    <w:tr2bl w:val="nil"/>
                  </w:tcBorders>
                  <w:shd w:val="clear" w:color="auto" w:fill="auto"/>
                  <w:noWrap/>
                  <w:tcMar>
                    <w:top w:w="0" w:type="dxa"/>
                    <w:left w:w="51" w:type="dxa"/>
                    <w:bottom w:w="0" w:type="dxa"/>
                    <w:right w:w="51" w:type="dxa"/>
                  </w:tcMar>
                  <w:vAlign w:val="center"/>
                </w:tcPr>
                <w:p w14:paraId="668FFF2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成品砖</w:t>
                  </w:r>
                </w:p>
              </w:tc>
              <w:tc>
                <w:tcPr>
                  <w:tcW w:w="707" w:type="pct"/>
                  <w:tcBorders>
                    <w:tl2br w:val="nil"/>
                    <w:tr2bl w:val="nil"/>
                  </w:tcBorders>
                  <w:shd w:val="clear" w:color="auto" w:fill="auto"/>
                  <w:noWrap/>
                  <w:tcMar>
                    <w:top w:w="0" w:type="dxa"/>
                    <w:left w:w="51" w:type="dxa"/>
                    <w:bottom w:w="0" w:type="dxa"/>
                    <w:right w:w="51" w:type="dxa"/>
                  </w:tcMar>
                  <w:vAlign w:val="center"/>
                </w:tcPr>
                <w:p w14:paraId="4F1ED190">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1002875</w:t>
                  </w:r>
                </w:p>
              </w:tc>
              <w:tc>
                <w:tcPr>
                  <w:tcW w:w="574" w:type="pct"/>
                  <w:tcBorders>
                    <w:tl2br w:val="nil"/>
                    <w:tr2bl w:val="nil"/>
                  </w:tcBorders>
                  <w:shd w:val="clear" w:color="auto" w:fill="auto"/>
                  <w:noWrap/>
                  <w:tcMar>
                    <w:top w:w="0" w:type="dxa"/>
                    <w:left w:w="51" w:type="dxa"/>
                    <w:bottom w:w="0" w:type="dxa"/>
                    <w:right w:w="51" w:type="dxa"/>
                  </w:tcMar>
                  <w:vAlign w:val="center"/>
                </w:tcPr>
                <w:p w14:paraId="10819504">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0.04</w:t>
                  </w:r>
                  <w:r>
                    <w:rPr>
                      <w:rFonts w:hint="eastAsia"/>
                      <w:color w:val="000000" w:themeColor="text1"/>
                      <w:kern w:val="0"/>
                      <w:sz w:val="18"/>
                      <w:szCs w:val="18"/>
                      <w:highlight w:val="none"/>
                      <w:lang w:val="en-US" w:eastAsia="zh-CN"/>
                      <w14:textFill>
                        <w14:solidFill>
                          <w14:schemeClr w14:val="tx1"/>
                        </w14:solidFill>
                      </w14:textFill>
                    </w:rPr>
                    <w:t>66</w:t>
                  </w:r>
                  <w:r>
                    <w:rPr>
                      <w:color w:val="000000" w:themeColor="text1"/>
                      <w:kern w:val="0"/>
                      <w:sz w:val="18"/>
                      <w:szCs w:val="18"/>
                      <w:highlight w:val="none"/>
                      <w14:textFill>
                        <w14:solidFill>
                          <w14:schemeClr w14:val="tx1"/>
                        </w14:solidFill>
                      </w14:textFill>
                    </w:rPr>
                    <w:t>%</w:t>
                  </w:r>
                </w:p>
              </w:tc>
              <w:tc>
                <w:tcPr>
                  <w:tcW w:w="589" w:type="pct"/>
                  <w:tcBorders>
                    <w:tl2br w:val="nil"/>
                    <w:tr2bl w:val="nil"/>
                  </w:tcBorders>
                  <w:shd w:val="clear" w:color="auto" w:fill="auto"/>
                  <w:noWrap/>
                  <w:tcMar>
                    <w:top w:w="0" w:type="dxa"/>
                    <w:left w:w="51" w:type="dxa"/>
                    <w:bottom w:w="0" w:type="dxa"/>
                    <w:right w:w="51" w:type="dxa"/>
                  </w:tcMar>
                  <w:vAlign w:val="center"/>
                </w:tcPr>
                <w:p w14:paraId="5D246F39">
                  <w:pPr>
                    <w:widowControl/>
                    <w:tabs>
                      <w:tab w:val="left" w:pos="528"/>
                    </w:tabs>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467.555</w:t>
                  </w:r>
                </w:p>
              </w:tc>
            </w:tr>
            <w:tr w14:paraId="2F38383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372BC556">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工业污泥</w:t>
                  </w:r>
                </w:p>
              </w:tc>
              <w:tc>
                <w:tcPr>
                  <w:tcW w:w="616" w:type="pct"/>
                  <w:tcBorders>
                    <w:tl2br w:val="nil"/>
                    <w:tr2bl w:val="nil"/>
                  </w:tcBorders>
                  <w:shd w:val="clear" w:color="auto" w:fill="auto"/>
                  <w:noWrap/>
                  <w:tcMar>
                    <w:top w:w="0" w:type="dxa"/>
                    <w:left w:w="51" w:type="dxa"/>
                    <w:bottom w:w="0" w:type="dxa"/>
                    <w:right w:w="51" w:type="dxa"/>
                  </w:tcMar>
                  <w:vAlign w:val="center"/>
                </w:tcPr>
                <w:p w14:paraId="3731F3F0">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115500</w:t>
                  </w:r>
                </w:p>
              </w:tc>
              <w:tc>
                <w:tcPr>
                  <w:tcW w:w="683" w:type="pct"/>
                  <w:tcBorders>
                    <w:tl2br w:val="nil"/>
                    <w:tr2bl w:val="nil"/>
                  </w:tcBorders>
                  <w:shd w:val="clear" w:color="auto" w:fill="auto"/>
                  <w:noWrap/>
                  <w:tcMar>
                    <w:top w:w="0" w:type="dxa"/>
                    <w:left w:w="51" w:type="dxa"/>
                    <w:bottom w:w="0" w:type="dxa"/>
                    <w:right w:w="51" w:type="dxa"/>
                  </w:tcMar>
                  <w:vAlign w:val="center"/>
                </w:tcPr>
                <w:p w14:paraId="7D925173">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633.8</w:t>
                  </w:r>
                  <w:r>
                    <w:rPr>
                      <w:color w:val="000000" w:themeColor="text1"/>
                      <w:kern w:val="0"/>
                      <w:sz w:val="18"/>
                      <w:szCs w:val="18"/>
                      <w:highlight w:val="none"/>
                      <w14:textFill>
                        <w14:solidFill>
                          <w14:schemeClr w14:val="tx1"/>
                        </w14:solidFill>
                      </w14:textFill>
                    </w:rPr>
                    <w:t>mg/</w:t>
                  </w:r>
                  <w:r>
                    <w:rPr>
                      <w:rFonts w:hint="eastAsia"/>
                      <w:color w:val="000000" w:themeColor="text1"/>
                      <w:kern w:val="0"/>
                      <w:sz w:val="18"/>
                      <w:szCs w:val="18"/>
                      <w:highlight w:val="none"/>
                      <w14:textFill>
                        <w14:solidFill>
                          <w14:schemeClr w14:val="tx1"/>
                        </w14:solidFill>
                      </w14:textFill>
                    </w:rPr>
                    <w:t>kg</w:t>
                  </w:r>
                </w:p>
              </w:tc>
              <w:tc>
                <w:tcPr>
                  <w:tcW w:w="673" w:type="pct"/>
                  <w:tcBorders>
                    <w:tl2br w:val="nil"/>
                    <w:tr2bl w:val="nil"/>
                  </w:tcBorders>
                  <w:shd w:val="clear" w:color="auto" w:fill="auto"/>
                  <w:noWrap/>
                  <w:tcMar>
                    <w:top w:w="0" w:type="dxa"/>
                    <w:left w:w="51" w:type="dxa"/>
                    <w:bottom w:w="0" w:type="dxa"/>
                    <w:right w:w="51" w:type="dxa"/>
                  </w:tcMar>
                  <w:vAlign w:val="center"/>
                </w:tcPr>
                <w:p w14:paraId="5D0CB98E">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73.2</w:t>
                  </w:r>
                </w:p>
              </w:tc>
              <w:tc>
                <w:tcPr>
                  <w:tcW w:w="539" w:type="pct"/>
                  <w:tcBorders>
                    <w:tl2br w:val="nil"/>
                    <w:tr2bl w:val="nil"/>
                  </w:tcBorders>
                  <w:shd w:val="clear" w:color="auto" w:fill="auto"/>
                  <w:noWrap/>
                  <w:tcMar>
                    <w:top w:w="0" w:type="dxa"/>
                    <w:left w:w="51" w:type="dxa"/>
                    <w:bottom w:w="0" w:type="dxa"/>
                    <w:right w:w="51" w:type="dxa"/>
                  </w:tcMar>
                  <w:vAlign w:val="center"/>
                </w:tcPr>
                <w:p w14:paraId="36FE52FA">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废气（SO</w:t>
                  </w:r>
                  <w:r>
                    <w:rPr>
                      <w:color w:val="000000" w:themeColor="text1"/>
                      <w:kern w:val="0"/>
                      <w:sz w:val="18"/>
                      <w:szCs w:val="18"/>
                      <w:highlight w:val="none"/>
                      <w:vertAlign w:val="subscript"/>
                      <w14:textFill>
                        <w14:solidFill>
                          <w14:schemeClr w14:val="tx1"/>
                        </w14:solidFill>
                      </w14:textFill>
                    </w:rPr>
                    <w:t>2</w:t>
                  </w:r>
                  <w:r>
                    <w:rPr>
                      <w:color w:val="000000" w:themeColor="text1"/>
                      <w:kern w:val="0"/>
                      <w:sz w:val="18"/>
                      <w:szCs w:val="18"/>
                      <w:highlight w:val="none"/>
                      <w14:textFill>
                        <w14:solidFill>
                          <w14:schemeClr w14:val="tx1"/>
                        </w14:solidFill>
                      </w14:textFill>
                    </w:rPr>
                    <w:t>）</w:t>
                  </w:r>
                </w:p>
              </w:tc>
              <w:tc>
                <w:tcPr>
                  <w:tcW w:w="707" w:type="pct"/>
                  <w:tcBorders>
                    <w:tl2br w:val="nil"/>
                    <w:tr2bl w:val="nil"/>
                  </w:tcBorders>
                  <w:shd w:val="clear" w:color="auto" w:fill="auto"/>
                  <w:noWrap/>
                  <w:tcMar>
                    <w:top w:w="0" w:type="dxa"/>
                    <w:left w:w="51" w:type="dxa"/>
                    <w:bottom w:w="0" w:type="dxa"/>
                    <w:right w:w="51" w:type="dxa"/>
                  </w:tcMar>
                  <w:vAlign w:val="center"/>
                </w:tcPr>
                <w:p w14:paraId="3F1855CA">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17.81</w:t>
                  </w:r>
                </w:p>
              </w:tc>
              <w:tc>
                <w:tcPr>
                  <w:tcW w:w="574" w:type="pct"/>
                  <w:tcBorders>
                    <w:tl2br w:val="nil"/>
                    <w:tr2bl w:val="nil"/>
                  </w:tcBorders>
                  <w:shd w:val="clear" w:color="auto" w:fill="auto"/>
                  <w:noWrap/>
                  <w:tcMar>
                    <w:top w:w="0" w:type="dxa"/>
                    <w:left w:w="51" w:type="dxa"/>
                    <w:bottom w:w="0" w:type="dxa"/>
                    <w:right w:w="51" w:type="dxa"/>
                  </w:tcMar>
                  <w:vAlign w:val="center"/>
                </w:tcPr>
                <w:p w14:paraId="67B7324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50%</w:t>
                  </w:r>
                </w:p>
              </w:tc>
              <w:tc>
                <w:tcPr>
                  <w:tcW w:w="589" w:type="pct"/>
                  <w:tcBorders>
                    <w:tl2br w:val="nil"/>
                    <w:tr2bl w:val="nil"/>
                  </w:tcBorders>
                  <w:shd w:val="clear" w:color="auto" w:fill="auto"/>
                  <w:noWrap/>
                  <w:tcMar>
                    <w:top w:w="0" w:type="dxa"/>
                    <w:left w:w="51" w:type="dxa"/>
                    <w:bottom w:w="0" w:type="dxa"/>
                    <w:right w:w="51" w:type="dxa"/>
                  </w:tcMar>
                  <w:vAlign w:val="center"/>
                </w:tcPr>
                <w:p w14:paraId="656D974F">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8.905</w:t>
                  </w:r>
                </w:p>
              </w:tc>
            </w:tr>
            <w:tr w14:paraId="5615C4B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17537DB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页岩</w:t>
                  </w:r>
                </w:p>
              </w:tc>
              <w:tc>
                <w:tcPr>
                  <w:tcW w:w="616" w:type="pct"/>
                  <w:tcBorders>
                    <w:tl2br w:val="nil"/>
                    <w:tr2bl w:val="nil"/>
                  </w:tcBorders>
                  <w:shd w:val="clear" w:color="auto" w:fill="auto"/>
                  <w:noWrap/>
                  <w:tcMar>
                    <w:top w:w="0" w:type="dxa"/>
                    <w:left w:w="51" w:type="dxa"/>
                    <w:bottom w:w="0" w:type="dxa"/>
                    <w:right w:w="51" w:type="dxa"/>
                  </w:tcMar>
                  <w:vAlign w:val="center"/>
                </w:tcPr>
                <w:p w14:paraId="1DD46648">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96</w:t>
                  </w:r>
                  <w:r>
                    <w:rPr>
                      <w:rFonts w:hint="eastAsia"/>
                      <w:color w:val="000000" w:themeColor="text1"/>
                      <w:kern w:val="0"/>
                      <w:sz w:val="18"/>
                      <w:szCs w:val="18"/>
                      <w:highlight w:val="none"/>
                      <w14:textFill>
                        <w14:solidFill>
                          <w14:schemeClr w14:val="tx1"/>
                        </w14:solidFill>
                      </w14:textFill>
                    </w:rPr>
                    <w:t>000</w:t>
                  </w:r>
                </w:p>
              </w:tc>
              <w:tc>
                <w:tcPr>
                  <w:tcW w:w="683" w:type="pct"/>
                  <w:tcBorders>
                    <w:tl2br w:val="nil"/>
                    <w:tr2bl w:val="nil"/>
                  </w:tcBorders>
                  <w:shd w:val="clear" w:color="auto" w:fill="auto"/>
                  <w:noWrap/>
                  <w:tcMar>
                    <w:top w:w="0" w:type="dxa"/>
                    <w:left w:w="51" w:type="dxa"/>
                    <w:bottom w:w="0" w:type="dxa"/>
                    <w:right w:w="51" w:type="dxa"/>
                  </w:tcMar>
                  <w:vAlign w:val="center"/>
                </w:tcPr>
                <w:p w14:paraId="0B51BC15">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0.05</w:t>
                  </w:r>
                  <w:r>
                    <w:rPr>
                      <w:color w:val="000000" w:themeColor="text1"/>
                      <w:kern w:val="0"/>
                      <w:sz w:val="18"/>
                      <w:szCs w:val="18"/>
                      <w:highlight w:val="none"/>
                      <w14:textFill>
                        <w14:solidFill>
                          <w14:schemeClr w14:val="tx1"/>
                        </w14:solidFill>
                      </w14:textFill>
                    </w:rPr>
                    <w:t>%</w:t>
                  </w:r>
                </w:p>
              </w:tc>
              <w:tc>
                <w:tcPr>
                  <w:tcW w:w="673" w:type="pct"/>
                  <w:tcBorders>
                    <w:tl2br w:val="nil"/>
                    <w:tr2bl w:val="nil"/>
                  </w:tcBorders>
                  <w:shd w:val="clear" w:color="auto" w:fill="auto"/>
                  <w:noWrap/>
                  <w:tcMar>
                    <w:top w:w="0" w:type="dxa"/>
                    <w:left w:w="51" w:type="dxa"/>
                    <w:bottom w:w="0" w:type="dxa"/>
                    <w:right w:w="51" w:type="dxa"/>
                  </w:tcMar>
                  <w:vAlign w:val="center"/>
                </w:tcPr>
                <w:p w14:paraId="4B127591">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48</w:t>
                  </w:r>
                </w:p>
              </w:tc>
              <w:tc>
                <w:tcPr>
                  <w:tcW w:w="539" w:type="pct"/>
                  <w:tcBorders>
                    <w:tl2br w:val="nil"/>
                    <w:tr2bl w:val="nil"/>
                  </w:tcBorders>
                  <w:shd w:val="clear" w:color="auto" w:fill="auto"/>
                  <w:noWrap/>
                  <w:tcMar>
                    <w:top w:w="0" w:type="dxa"/>
                    <w:left w:w="51" w:type="dxa"/>
                    <w:bottom w:w="0" w:type="dxa"/>
                    <w:right w:w="51" w:type="dxa"/>
                  </w:tcMar>
                  <w:vAlign w:val="center"/>
                </w:tcPr>
                <w:p w14:paraId="0D35852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脱硫石膏</w:t>
                  </w:r>
                </w:p>
              </w:tc>
              <w:tc>
                <w:tcPr>
                  <w:tcW w:w="707" w:type="pct"/>
                  <w:tcBorders>
                    <w:tl2br w:val="nil"/>
                    <w:tr2bl w:val="nil"/>
                  </w:tcBorders>
                  <w:shd w:val="clear" w:color="auto" w:fill="auto"/>
                  <w:noWrap/>
                  <w:tcMar>
                    <w:top w:w="0" w:type="dxa"/>
                    <w:left w:w="51" w:type="dxa"/>
                    <w:bottom w:w="0" w:type="dxa"/>
                    <w:right w:w="51" w:type="dxa"/>
                  </w:tcMar>
                  <w:vAlign w:val="center"/>
                </w:tcPr>
                <w:p w14:paraId="2B8BF2E1">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1410</w:t>
                  </w:r>
                </w:p>
              </w:tc>
              <w:tc>
                <w:tcPr>
                  <w:tcW w:w="574" w:type="pct"/>
                  <w:tcBorders>
                    <w:tl2br w:val="nil"/>
                    <w:tr2bl w:val="nil"/>
                  </w:tcBorders>
                  <w:shd w:val="clear" w:color="auto" w:fill="auto"/>
                  <w:noWrap/>
                  <w:tcMar>
                    <w:top w:w="0" w:type="dxa"/>
                    <w:left w:w="51" w:type="dxa"/>
                    <w:bottom w:w="0" w:type="dxa"/>
                    <w:right w:w="51" w:type="dxa"/>
                  </w:tcMar>
                  <w:vAlign w:val="center"/>
                </w:tcPr>
                <w:p w14:paraId="2ED63FC3">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21.4</w:t>
                  </w:r>
                  <w:r>
                    <w:rPr>
                      <w:color w:val="000000" w:themeColor="text1"/>
                      <w:kern w:val="0"/>
                      <w:sz w:val="18"/>
                      <w:szCs w:val="18"/>
                      <w:highlight w:val="none"/>
                      <w14:textFill>
                        <w14:solidFill>
                          <w14:schemeClr w14:val="tx1"/>
                        </w14:solidFill>
                      </w14:textFill>
                    </w:rPr>
                    <w:t>%</w:t>
                  </w:r>
                </w:p>
              </w:tc>
              <w:tc>
                <w:tcPr>
                  <w:tcW w:w="589" w:type="pct"/>
                  <w:tcBorders>
                    <w:tl2br w:val="nil"/>
                    <w:tr2bl w:val="nil"/>
                  </w:tcBorders>
                  <w:shd w:val="clear" w:color="auto" w:fill="auto"/>
                  <w:noWrap/>
                  <w:tcMar>
                    <w:top w:w="0" w:type="dxa"/>
                    <w:left w:w="51" w:type="dxa"/>
                    <w:bottom w:w="0" w:type="dxa"/>
                    <w:right w:w="51" w:type="dxa"/>
                  </w:tcMar>
                  <w:vAlign w:val="center"/>
                </w:tcPr>
                <w:p w14:paraId="5155FD4D">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301.74</w:t>
                  </w:r>
                </w:p>
              </w:tc>
            </w:tr>
            <w:tr w14:paraId="73852FE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6AF61FA7">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炉渣</w:t>
                  </w:r>
                </w:p>
              </w:tc>
              <w:tc>
                <w:tcPr>
                  <w:tcW w:w="616" w:type="pct"/>
                  <w:tcBorders>
                    <w:tl2br w:val="nil"/>
                    <w:tr2bl w:val="nil"/>
                  </w:tcBorders>
                  <w:shd w:val="clear" w:color="auto" w:fill="auto"/>
                  <w:noWrap/>
                  <w:tcMar>
                    <w:top w:w="0" w:type="dxa"/>
                    <w:left w:w="51" w:type="dxa"/>
                    <w:bottom w:w="0" w:type="dxa"/>
                    <w:right w:w="51" w:type="dxa"/>
                  </w:tcMar>
                  <w:vAlign w:val="center"/>
                </w:tcPr>
                <w:p w14:paraId="1B704D93">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2250</w:t>
                  </w:r>
                  <w:r>
                    <w:rPr>
                      <w:rFonts w:hint="eastAsia"/>
                      <w:color w:val="000000" w:themeColor="text1"/>
                      <w:kern w:val="0"/>
                      <w:sz w:val="18"/>
                      <w:szCs w:val="18"/>
                      <w:highlight w:val="none"/>
                      <w14:textFill>
                        <w14:solidFill>
                          <w14:schemeClr w14:val="tx1"/>
                        </w14:solidFill>
                      </w14:textFill>
                    </w:rPr>
                    <w:t>00</w:t>
                  </w:r>
                </w:p>
              </w:tc>
              <w:tc>
                <w:tcPr>
                  <w:tcW w:w="683" w:type="pct"/>
                  <w:tcBorders>
                    <w:tl2br w:val="nil"/>
                    <w:tr2bl w:val="nil"/>
                  </w:tcBorders>
                  <w:shd w:val="clear" w:color="auto" w:fill="auto"/>
                  <w:noWrap/>
                  <w:tcMar>
                    <w:top w:w="0" w:type="dxa"/>
                    <w:left w:w="51" w:type="dxa"/>
                    <w:bottom w:w="0" w:type="dxa"/>
                    <w:right w:w="51" w:type="dxa"/>
                  </w:tcMar>
                  <w:vAlign w:val="center"/>
                </w:tcPr>
                <w:p w14:paraId="117087B2">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0.1%</w:t>
                  </w:r>
                </w:p>
              </w:tc>
              <w:tc>
                <w:tcPr>
                  <w:tcW w:w="673" w:type="pct"/>
                  <w:tcBorders>
                    <w:tl2br w:val="nil"/>
                    <w:tr2bl w:val="nil"/>
                  </w:tcBorders>
                  <w:shd w:val="clear" w:color="auto" w:fill="auto"/>
                  <w:noWrap/>
                  <w:tcMar>
                    <w:top w:w="0" w:type="dxa"/>
                    <w:left w:w="51" w:type="dxa"/>
                    <w:bottom w:w="0" w:type="dxa"/>
                    <w:right w:w="51" w:type="dxa"/>
                  </w:tcMar>
                  <w:vAlign w:val="center"/>
                </w:tcPr>
                <w:p w14:paraId="3228B6E9">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225</w:t>
                  </w:r>
                </w:p>
              </w:tc>
              <w:tc>
                <w:tcPr>
                  <w:tcW w:w="539" w:type="pct"/>
                  <w:tcBorders>
                    <w:tl2br w:val="nil"/>
                    <w:tr2bl w:val="nil"/>
                  </w:tcBorders>
                  <w:shd w:val="clear" w:color="auto" w:fill="auto"/>
                  <w:noWrap/>
                  <w:tcMar>
                    <w:top w:w="0" w:type="dxa"/>
                    <w:left w:w="51" w:type="dxa"/>
                    <w:bottom w:w="0" w:type="dxa"/>
                    <w:right w:w="51" w:type="dxa"/>
                  </w:tcMar>
                  <w:vAlign w:val="center"/>
                </w:tcPr>
                <w:p w14:paraId="1151AA49">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707" w:type="pct"/>
                  <w:tcBorders>
                    <w:tl2br w:val="nil"/>
                    <w:tr2bl w:val="nil"/>
                  </w:tcBorders>
                  <w:shd w:val="clear" w:color="auto" w:fill="auto"/>
                  <w:noWrap/>
                  <w:tcMar>
                    <w:top w:w="0" w:type="dxa"/>
                    <w:left w:w="51" w:type="dxa"/>
                    <w:bottom w:w="0" w:type="dxa"/>
                    <w:right w:w="51" w:type="dxa"/>
                  </w:tcMar>
                  <w:vAlign w:val="center"/>
                </w:tcPr>
                <w:p w14:paraId="34320842">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74" w:type="pct"/>
                  <w:tcBorders>
                    <w:tl2br w:val="nil"/>
                    <w:tr2bl w:val="nil"/>
                  </w:tcBorders>
                  <w:shd w:val="clear" w:color="auto" w:fill="auto"/>
                  <w:noWrap/>
                  <w:tcMar>
                    <w:top w:w="0" w:type="dxa"/>
                    <w:left w:w="51" w:type="dxa"/>
                    <w:bottom w:w="0" w:type="dxa"/>
                    <w:right w:w="51" w:type="dxa"/>
                  </w:tcMar>
                  <w:vAlign w:val="center"/>
                </w:tcPr>
                <w:p w14:paraId="5BF5C909">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89" w:type="pct"/>
                  <w:tcBorders>
                    <w:tl2br w:val="nil"/>
                    <w:tr2bl w:val="nil"/>
                  </w:tcBorders>
                  <w:shd w:val="clear" w:color="auto" w:fill="auto"/>
                  <w:noWrap/>
                  <w:tcMar>
                    <w:top w:w="0" w:type="dxa"/>
                    <w:left w:w="51" w:type="dxa"/>
                    <w:bottom w:w="0" w:type="dxa"/>
                    <w:right w:w="51" w:type="dxa"/>
                  </w:tcMar>
                  <w:vAlign w:val="center"/>
                </w:tcPr>
                <w:p w14:paraId="27ACF8B0">
                  <w:pPr>
                    <w:widowControl/>
                    <w:ind w:left="-105" w:leftChars="-50" w:right="-105" w:rightChars="-50"/>
                    <w:jc w:val="center"/>
                    <w:rPr>
                      <w:color w:val="000000" w:themeColor="text1"/>
                      <w:kern w:val="0"/>
                      <w:sz w:val="18"/>
                      <w:szCs w:val="18"/>
                      <w:highlight w:val="none"/>
                      <w14:textFill>
                        <w14:solidFill>
                          <w14:schemeClr w14:val="tx1"/>
                        </w14:solidFill>
                      </w14:textFill>
                    </w:rPr>
                  </w:pPr>
                </w:p>
              </w:tc>
            </w:tr>
            <w:tr w14:paraId="3C49B51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tl2br w:val="nil"/>
                    <w:tr2bl w:val="nil"/>
                  </w:tcBorders>
                  <w:shd w:val="clear" w:color="auto" w:fill="auto"/>
                  <w:noWrap/>
                  <w:tcMar>
                    <w:top w:w="0" w:type="dxa"/>
                    <w:left w:w="51" w:type="dxa"/>
                    <w:bottom w:w="0" w:type="dxa"/>
                    <w:right w:w="51" w:type="dxa"/>
                  </w:tcMar>
                  <w:vAlign w:val="center"/>
                </w:tcPr>
                <w:p w14:paraId="282078C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天然气</w:t>
                  </w:r>
                </w:p>
              </w:tc>
              <w:tc>
                <w:tcPr>
                  <w:tcW w:w="616" w:type="pct"/>
                  <w:tcBorders>
                    <w:tl2br w:val="nil"/>
                    <w:tr2bl w:val="nil"/>
                  </w:tcBorders>
                  <w:shd w:val="clear" w:color="auto" w:fill="auto"/>
                  <w:noWrap/>
                  <w:tcMar>
                    <w:top w:w="0" w:type="dxa"/>
                    <w:left w:w="51" w:type="dxa"/>
                    <w:bottom w:w="0" w:type="dxa"/>
                    <w:right w:w="51" w:type="dxa"/>
                  </w:tcMar>
                  <w:vAlign w:val="center"/>
                </w:tcPr>
                <w:p w14:paraId="1EC2211A">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3</w:t>
                  </w:r>
                  <w:r>
                    <w:rPr>
                      <w:color w:val="000000" w:themeColor="text1"/>
                      <w:kern w:val="0"/>
                      <w:sz w:val="18"/>
                      <w:szCs w:val="18"/>
                      <w:highlight w:val="none"/>
                      <w14:textFill>
                        <w14:solidFill>
                          <w14:schemeClr w14:val="tx1"/>
                        </w14:solidFill>
                      </w14:textFill>
                    </w:rPr>
                    <w:t>0m</w:t>
                  </w:r>
                  <w:r>
                    <w:rPr>
                      <w:color w:val="000000" w:themeColor="text1"/>
                      <w:kern w:val="0"/>
                      <w:sz w:val="18"/>
                      <w:szCs w:val="18"/>
                      <w:highlight w:val="none"/>
                      <w:vertAlign w:val="superscript"/>
                      <w14:textFill>
                        <w14:solidFill>
                          <w14:schemeClr w14:val="tx1"/>
                        </w14:solidFill>
                      </w14:textFill>
                    </w:rPr>
                    <w:t>3</w:t>
                  </w:r>
                </w:p>
              </w:tc>
              <w:tc>
                <w:tcPr>
                  <w:tcW w:w="683" w:type="pct"/>
                  <w:tcBorders>
                    <w:tl2br w:val="nil"/>
                    <w:tr2bl w:val="nil"/>
                  </w:tcBorders>
                  <w:shd w:val="clear" w:color="auto" w:fill="auto"/>
                  <w:noWrap/>
                  <w:tcMar>
                    <w:top w:w="0" w:type="dxa"/>
                    <w:left w:w="51" w:type="dxa"/>
                    <w:bottom w:w="0" w:type="dxa"/>
                    <w:right w:w="51" w:type="dxa"/>
                  </w:tcMar>
                  <w:vAlign w:val="center"/>
                </w:tcPr>
                <w:p w14:paraId="731459B3">
                  <w:pPr>
                    <w:widowControl/>
                    <w:ind w:left="-105" w:leftChars="-50" w:right="-105" w:rightChars="-50"/>
                    <w:jc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20</w:t>
                  </w:r>
                  <w:r>
                    <w:rPr>
                      <w:color w:val="000000" w:themeColor="text1"/>
                      <w:kern w:val="0"/>
                      <w:sz w:val="18"/>
                      <w:szCs w:val="18"/>
                      <w:highlight w:val="none"/>
                      <w14:textFill>
                        <w14:solidFill>
                          <w14:schemeClr w14:val="tx1"/>
                        </w14:solidFill>
                      </w14:textFill>
                    </w:rPr>
                    <w:t>mg/m</w:t>
                  </w:r>
                  <w:r>
                    <w:rPr>
                      <w:color w:val="000000" w:themeColor="text1"/>
                      <w:kern w:val="0"/>
                      <w:sz w:val="18"/>
                      <w:szCs w:val="18"/>
                      <w:highlight w:val="none"/>
                      <w:vertAlign w:val="superscript"/>
                      <w14:textFill>
                        <w14:solidFill>
                          <w14:schemeClr w14:val="tx1"/>
                        </w14:solidFill>
                      </w14:textFill>
                    </w:rPr>
                    <w:t>3</w:t>
                  </w:r>
                </w:p>
              </w:tc>
              <w:tc>
                <w:tcPr>
                  <w:tcW w:w="673" w:type="pct"/>
                  <w:tcBorders>
                    <w:tl2br w:val="nil"/>
                    <w:tr2bl w:val="nil"/>
                  </w:tcBorders>
                  <w:shd w:val="clear" w:color="auto" w:fill="auto"/>
                  <w:noWrap/>
                  <w:tcMar>
                    <w:top w:w="0" w:type="dxa"/>
                    <w:left w:w="51" w:type="dxa"/>
                    <w:bottom w:w="0" w:type="dxa"/>
                    <w:right w:w="51" w:type="dxa"/>
                  </w:tcMar>
                  <w:vAlign w:val="center"/>
                </w:tcPr>
                <w:p w14:paraId="244A65C1">
                  <w:pPr>
                    <w:widowControl/>
                    <w:ind w:left="-105" w:leftChars="-50" w:right="-105" w:rightChars="-50"/>
                    <w:jc w:val="center"/>
                    <w:rPr>
                      <w:rFonts w:hint="eastAsia" w:eastAsia="宋体"/>
                      <w:color w:val="000000" w:themeColor="text1"/>
                      <w:kern w:val="0"/>
                      <w:sz w:val="18"/>
                      <w:szCs w:val="18"/>
                      <w:highlight w:val="none"/>
                      <w:lang w:eastAsia="zh-CN"/>
                      <w14:textFill>
                        <w14:solidFill>
                          <w14:schemeClr w14:val="tx1"/>
                        </w14:solidFill>
                      </w14:textFill>
                    </w:rPr>
                  </w:pPr>
                  <w:r>
                    <w:rPr>
                      <w:color w:val="000000" w:themeColor="text1"/>
                      <w:kern w:val="0"/>
                      <w:sz w:val="18"/>
                      <w:szCs w:val="18"/>
                      <w:highlight w:val="none"/>
                      <w14:textFill>
                        <w14:solidFill>
                          <w14:schemeClr w14:val="tx1"/>
                        </w14:solidFill>
                      </w14:textFill>
                    </w:rPr>
                    <w:t>0.000000</w:t>
                  </w:r>
                  <w:r>
                    <w:rPr>
                      <w:rFonts w:hint="eastAsia"/>
                      <w:color w:val="000000" w:themeColor="text1"/>
                      <w:kern w:val="0"/>
                      <w:sz w:val="18"/>
                      <w:szCs w:val="18"/>
                      <w:highlight w:val="none"/>
                      <w:lang w:val="en-US" w:eastAsia="zh-CN"/>
                      <w14:textFill>
                        <w14:solidFill>
                          <w14:schemeClr w14:val="tx1"/>
                        </w14:solidFill>
                      </w14:textFill>
                    </w:rPr>
                    <w:t>6</w:t>
                  </w:r>
                </w:p>
              </w:tc>
              <w:tc>
                <w:tcPr>
                  <w:tcW w:w="539" w:type="pct"/>
                  <w:tcBorders>
                    <w:tl2br w:val="nil"/>
                    <w:tr2bl w:val="nil"/>
                  </w:tcBorders>
                  <w:shd w:val="clear" w:color="auto" w:fill="auto"/>
                  <w:noWrap/>
                  <w:tcMar>
                    <w:top w:w="0" w:type="dxa"/>
                    <w:left w:w="51" w:type="dxa"/>
                    <w:bottom w:w="0" w:type="dxa"/>
                    <w:right w:w="51" w:type="dxa"/>
                  </w:tcMar>
                  <w:vAlign w:val="center"/>
                </w:tcPr>
                <w:p w14:paraId="357307B7">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707" w:type="pct"/>
                  <w:tcBorders>
                    <w:tl2br w:val="nil"/>
                    <w:tr2bl w:val="nil"/>
                  </w:tcBorders>
                  <w:shd w:val="clear" w:color="auto" w:fill="auto"/>
                  <w:noWrap/>
                  <w:tcMar>
                    <w:top w:w="0" w:type="dxa"/>
                    <w:left w:w="51" w:type="dxa"/>
                    <w:bottom w:w="0" w:type="dxa"/>
                    <w:right w:w="51" w:type="dxa"/>
                  </w:tcMar>
                  <w:vAlign w:val="center"/>
                </w:tcPr>
                <w:p w14:paraId="02C63494">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74" w:type="pct"/>
                  <w:tcBorders>
                    <w:tl2br w:val="nil"/>
                    <w:tr2bl w:val="nil"/>
                  </w:tcBorders>
                  <w:shd w:val="clear" w:color="auto" w:fill="auto"/>
                  <w:noWrap/>
                  <w:tcMar>
                    <w:top w:w="0" w:type="dxa"/>
                    <w:left w:w="51" w:type="dxa"/>
                    <w:bottom w:w="0" w:type="dxa"/>
                    <w:right w:w="51" w:type="dxa"/>
                  </w:tcMar>
                  <w:vAlign w:val="center"/>
                </w:tcPr>
                <w:p w14:paraId="079FE7E9">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89" w:type="pct"/>
                  <w:tcBorders>
                    <w:tl2br w:val="nil"/>
                    <w:tr2bl w:val="nil"/>
                  </w:tcBorders>
                  <w:shd w:val="clear" w:color="auto" w:fill="auto"/>
                  <w:noWrap/>
                  <w:tcMar>
                    <w:top w:w="0" w:type="dxa"/>
                    <w:left w:w="51" w:type="dxa"/>
                    <w:bottom w:w="0" w:type="dxa"/>
                    <w:right w:w="51" w:type="dxa"/>
                  </w:tcMar>
                  <w:vAlign w:val="center"/>
                </w:tcPr>
                <w:p w14:paraId="0401661C">
                  <w:pPr>
                    <w:widowControl/>
                    <w:ind w:left="-105" w:leftChars="-50" w:right="-105" w:rightChars="-50"/>
                    <w:jc w:val="center"/>
                    <w:rPr>
                      <w:color w:val="000000" w:themeColor="text1"/>
                      <w:kern w:val="0"/>
                      <w:sz w:val="18"/>
                      <w:szCs w:val="18"/>
                      <w:highlight w:val="none"/>
                      <w14:textFill>
                        <w14:solidFill>
                          <w14:schemeClr w14:val="tx1"/>
                        </w14:solidFill>
                      </w14:textFill>
                    </w:rPr>
                  </w:pPr>
                </w:p>
              </w:tc>
            </w:tr>
            <w:tr w14:paraId="03D3BB4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19"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61CC7360">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616"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1509E5A9">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683"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2345F942">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673"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50107718">
                  <w:pPr>
                    <w:widowControl/>
                    <w:ind w:left="-105" w:leftChars="-50" w:right="-105" w:rightChars="-50"/>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778.2</w:t>
                  </w:r>
                </w:p>
              </w:tc>
              <w:tc>
                <w:tcPr>
                  <w:tcW w:w="539"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47F2F08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合计</w:t>
                  </w:r>
                </w:p>
              </w:tc>
              <w:tc>
                <w:tcPr>
                  <w:tcW w:w="707"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0438EBB4">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74"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580D4789">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589" w:type="pct"/>
                  <w:tcBorders>
                    <w:bottom w:val="single" w:color="000000" w:sz="12" w:space="0"/>
                    <w:tl2br w:val="nil"/>
                    <w:tr2bl w:val="nil"/>
                  </w:tcBorders>
                  <w:shd w:val="clear" w:color="auto" w:fill="auto"/>
                  <w:noWrap/>
                  <w:tcMar>
                    <w:top w:w="0" w:type="dxa"/>
                    <w:left w:w="51" w:type="dxa"/>
                    <w:bottom w:w="0" w:type="dxa"/>
                    <w:right w:w="51" w:type="dxa"/>
                  </w:tcMar>
                  <w:vAlign w:val="center"/>
                </w:tcPr>
                <w:p w14:paraId="488FDBBF">
                  <w:pPr>
                    <w:widowControl/>
                    <w:ind w:left="-105" w:leftChars="-50" w:right="-105" w:rightChars="-50"/>
                    <w:jc w:val="center"/>
                    <w:rPr>
                      <w:rFonts w:hint="default"/>
                      <w:color w:val="000000" w:themeColor="text1"/>
                      <w:kern w:val="0"/>
                      <w:sz w:val="18"/>
                      <w:szCs w:val="18"/>
                      <w:highlight w:val="none"/>
                      <w:lang w:val="en-US"/>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778.2</w:t>
                  </w:r>
                </w:p>
              </w:tc>
            </w:tr>
          </w:tbl>
          <w:p w14:paraId="35E61D1D">
            <w:pPr>
              <w:autoSpaceDE w:val="0"/>
              <w:autoSpaceDN w:val="0"/>
              <w:adjustRightInd w:val="0"/>
              <w:spacing w:line="480" w:lineRule="exact"/>
              <w:ind w:firstLine="480" w:firstLineChars="200"/>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③</w:t>
            </w:r>
            <w:r>
              <w:rPr>
                <w:color w:val="000000" w:themeColor="text1"/>
                <w:sz w:val="24"/>
                <w:highlight w:val="none"/>
                <w14:textFill>
                  <w14:solidFill>
                    <w14:schemeClr w14:val="tx1"/>
                  </w14:solidFill>
                </w14:textFill>
              </w:rPr>
              <w:t>金属平衡</w:t>
            </w:r>
          </w:p>
          <w:p w14:paraId="124F3FC6">
            <w:pPr>
              <w:autoSpaceDE w:val="0"/>
              <w:autoSpaceDN w:val="0"/>
              <w:spacing w:line="480" w:lineRule="exact"/>
              <w:ind w:firstLine="1200" w:firstLineChars="500"/>
              <w:rPr>
                <w:b/>
                <w:color w:val="000000" w:themeColor="text1"/>
                <w:szCs w:val="21"/>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表2-2</w:t>
            </w:r>
            <w:r>
              <w:rPr>
                <w:rFonts w:hint="eastAsia" w:ascii="黑体" w:hAnsi="黑体" w:eastAsia="黑体"/>
                <w:color w:val="000000" w:themeColor="text1"/>
                <w:sz w:val="24"/>
                <w:highlight w:val="none"/>
                <w:lang w:val="en-US" w:eastAsia="zh-CN"/>
                <w14:textFill>
                  <w14:solidFill>
                    <w14:schemeClr w14:val="tx1"/>
                  </w14:solidFill>
                </w14:textFill>
              </w:rPr>
              <w:t>4</w:t>
            </w:r>
            <w:r>
              <w:rPr>
                <w:rFonts w:hint="eastAsia" w:ascii="黑体" w:hAnsi="黑体" w:eastAsia="黑体"/>
                <w:color w:val="000000" w:themeColor="text1"/>
                <w:sz w:val="24"/>
                <w:highlight w:val="none"/>
                <w14:textFill>
                  <w14:solidFill>
                    <w14:schemeClr w14:val="tx1"/>
                  </w14:solidFill>
                </w14:textFill>
              </w:rPr>
              <w:t xml:space="preserve">          现有工程</w:t>
            </w:r>
            <w:r>
              <w:rPr>
                <w:rFonts w:ascii="黑体" w:hAnsi="黑体" w:eastAsia="黑体"/>
                <w:color w:val="000000" w:themeColor="text1"/>
                <w:sz w:val="24"/>
                <w:highlight w:val="none"/>
                <w14:textFill>
                  <w14:solidFill>
                    <w14:schemeClr w14:val="tx1"/>
                  </w14:solidFill>
                </w14:textFill>
              </w:rPr>
              <w:t>重金属平衡表</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（单位：t/a）</w:t>
            </w:r>
          </w:p>
          <w:tbl>
            <w:tblPr>
              <w:tblStyle w:val="24"/>
              <w:tblW w:w="482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1701"/>
              <w:gridCol w:w="1701"/>
              <w:gridCol w:w="1701"/>
              <w:gridCol w:w="1425"/>
            </w:tblGrid>
            <w:tr w14:paraId="5787F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Merge w:val="restart"/>
                  <w:vAlign w:val="center"/>
                </w:tcPr>
                <w:p w14:paraId="295D525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重金属</w:t>
                  </w:r>
                </w:p>
              </w:tc>
              <w:tc>
                <w:tcPr>
                  <w:tcW w:w="1005" w:type="pct"/>
                  <w:vAlign w:val="center"/>
                </w:tcPr>
                <w:p w14:paraId="431FA77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进入</w:t>
                  </w:r>
                </w:p>
              </w:tc>
              <w:tc>
                <w:tcPr>
                  <w:tcW w:w="2851" w:type="pct"/>
                  <w:gridSpan w:val="3"/>
                  <w:vAlign w:val="center"/>
                </w:tcPr>
                <w:p w14:paraId="1C86B4D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产出</w:t>
                  </w:r>
                </w:p>
              </w:tc>
            </w:tr>
            <w:tr w14:paraId="0EEB6B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Merge w:val="continue"/>
                  <w:vAlign w:val="center"/>
                </w:tcPr>
                <w:p w14:paraId="2FFAE7CC">
                  <w:pPr>
                    <w:widowControl/>
                    <w:ind w:left="-105" w:leftChars="-50" w:right="-105" w:rightChars="-50"/>
                    <w:jc w:val="center"/>
                    <w:rPr>
                      <w:color w:val="000000" w:themeColor="text1"/>
                      <w:kern w:val="0"/>
                      <w:sz w:val="18"/>
                      <w:szCs w:val="18"/>
                      <w:highlight w:val="none"/>
                      <w14:textFill>
                        <w14:solidFill>
                          <w14:schemeClr w14:val="tx1"/>
                        </w14:solidFill>
                      </w14:textFill>
                    </w:rPr>
                  </w:pPr>
                </w:p>
              </w:tc>
              <w:tc>
                <w:tcPr>
                  <w:tcW w:w="1005" w:type="pct"/>
                  <w:vAlign w:val="center"/>
                </w:tcPr>
                <w:p w14:paraId="2ABC6DE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污泥带入</w:t>
                  </w:r>
                </w:p>
              </w:tc>
              <w:tc>
                <w:tcPr>
                  <w:tcW w:w="1005" w:type="pct"/>
                  <w:vAlign w:val="center"/>
                </w:tcPr>
                <w:p w14:paraId="2759F508">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固化在产品中</w:t>
                  </w:r>
                </w:p>
              </w:tc>
              <w:tc>
                <w:tcPr>
                  <w:tcW w:w="1005" w:type="pct"/>
                  <w:vAlign w:val="center"/>
                </w:tcPr>
                <w:p w14:paraId="6327756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进入收尘灰</w:t>
                  </w:r>
                </w:p>
              </w:tc>
              <w:tc>
                <w:tcPr>
                  <w:tcW w:w="841" w:type="pct"/>
                  <w:vAlign w:val="center"/>
                </w:tcPr>
                <w:p w14:paraId="52C1932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排放量</w:t>
                  </w:r>
                </w:p>
              </w:tc>
            </w:tr>
            <w:tr w14:paraId="0CE13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185F637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汞</w:t>
                  </w:r>
                </w:p>
              </w:tc>
              <w:tc>
                <w:tcPr>
                  <w:tcW w:w="1005" w:type="pct"/>
                  <w:vAlign w:val="center"/>
                </w:tcPr>
                <w:p w14:paraId="47A1872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0.00368</w:t>
                  </w:r>
                </w:p>
              </w:tc>
              <w:tc>
                <w:tcPr>
                  <w:tcW w:w="1005" w:type="pct"/>
                  <w:vAlign w:val="center"/>
                </w:tcPr>
                <w:p w14:paraId="224D2C46">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w:t>
                  </w:r>
                </w:p>
              </w:tc>
              <w:tc>
                <w:tcPr>
                  <w:tcW w:w="1005" w:type="pct"/>
                  <w:vAlign w:val="center"/>
                </w:tcPr>
                <w:p w14:paraId="6DE2FF58">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0.00338</w:t>
                  </w:r>
                </w:p>
              </w:tc>
              <w:tc>
                <w:tcPr>
                  <w:tcW w:w="841" w:type="pct"/>
                  <w:vAlign w:val="center"/>
                </w:tcPr>
                <w:p w14:paraId="00C9B2E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0.00029</w:t>
                  </w:r>
                </w:p>
              </w:tc>
            </w:tr>
            <w:tr w14:paraId="0F38AA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06B8C50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镉</w:t>
                  </w:r>
                </w:p>
              </w:tc>
              <w:tc>
                <w:tcPr>
                  <w:tcW w:w="1005" w:type="pct"/>
                  <w:vAlign w:val="center"/>
                </w:tcPr>
                <w:p w14:paraId="0023811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0.0115</w:t>
                  </w:r>
                </w:p>
              </w:tc>
              <w:tc>
                <w:tcPr>
                  <w:tcW w:w="1005" w:type="pct"/>
                  <w:vAlign w:val="center"/>
                </w:tcPr>
                <w:p w14:paraId="00D2C25A">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0.0103</w:t>
                  </w:r>
                </w:p>
              </w:tc>
              <w:tc>
                <w:tcPr>
                  <w:tcW w:w="1005" w:type="pct"/>
                  <w:vAlign w:val="center"/>
                </w:tcPr>
                <w:p w14:paraId="78C2626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0.0011</w:t>
                  </w:r>
                </w:p>
              </w:tc>
              <w:tc>
                <w:tcPr>
                  <w:tcW w:w="841" w:type="pct"/>
                  <w:vAlign w:val="center"/>
                </w:tcPr>
                <w:p w14:paraId="5DB75AB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0.0001</w:t>
                  </w:r>
                </w:p>
              </w:tc>
            </w:tr>
            <w:tr w14:paraId="5CF2A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25A03C4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砷</w:t>
                  </w:r>
                </w:p>
              </w:tc>
              <w:tc>
                <w:tcPr>
                  <w:tcW w:w="1005" w:type="pct"/>
                  <w:vAlign w:val="center"/>
                </w:tcPr>
                <w:p w14:paraId="045B26E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0.2030</w:t>
                  </w:r>
                </w:p>
              </w:tc>
              <w:tc>
                <w:tcPr>
                  <w:tcW w:w="1005" w:type="pct"/>
                  <w:vAlign w:val="center"/>
                </w:tcPr>
                <w:p w14:paraId="49AA6DD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0.1827</w:t>
                  </w:r>
                </w:p>
              </w:tc>
              <w:tc>
                <w:tcPr>
                  <w:tcW w:w="1005" w:type="pct"/>
                  <w:vAlign w:val="center"/>
                </w:tcPr>
                <w:p w14:paraId="2695B6F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0.0187</w:t>
                  </w:r>
                </w:p>
              </w:tc>
              <w:tc>
                <w:tcPr>
                  <w:tcW w:w="841" w:type="pct"/>
                  <w:vAlign w:val="center"/>
                </w:tcPr>
                <w:p w14:paraId="432237C6">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0.0016</w:t>
                  </w:r>
                </w:p>
              </w:tc>
            </w:tr>
            <w:tr w14:paraId="3C150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6335547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铅</w:t>
                  </w:r>
                </w:p>
              </w:tc>
              <w:tc>
                <w:tcPr>
                  <w:tcW w:w="1005" w:type="pct"/>
                  <w:vAlign w:val="center"/>
                </w:tcPr>
                <w:p w14:paraId="4EE4A92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0.2604</w:t>
                  </w:r>
                </w:p>
              </w:tc>
              <w:tc>
                <w:tcPr>
                  <w:tcW w:w="1005" w:type="pct"/>
                  <w:vAlign w:val="center"/>
                </w:tcPr>
                <w:p w14:paraId="4806FAA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0.2344</w:t>
                  </w:r>
                </w:p>
              </w:tc>
              <w:tc>
                <w:tcPr>
                  <w:tcW w:w="1005" w:type="pct"/>
                  <w:vAlign w:val="center"/>
                </w:tcPr>
                <w:p w14:paraId="7D23C3F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0.0240</w:t>
                  </w:r>
                </w:p>
              </w:tc>
              <w:tc>
                <w:tcPr>
                  <w:tcW w:w="841" w:type="pct"/>
                  <w:vAlign w:val="center"/>
                </w:tcPr>
                <w:p w14:paraId="16E3B93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0.0021</w:t>
                  </w:r>
                </w:p>
              </w:tc>
            </w:tr>
            <w:tr w14:paraId="0681F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5843B60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钴</w:t>
                  </w:r>
                </w:p>
              </w:tc>
              <w:tc>
                <w:tcPr>
                  <w:tcW w:w="1005" w:type="pct"/>
                  <w:vAlign w:val="center"/>
                </w:tcPr>
                <w:p w14:paraId="286CB19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0.6205</w:t>
                  </w:r>
                </w:p>
              </w:tc>
              <w:tc>
                <w:tcPr>
                  <w:tcW w:w="1005" w:type="pct"/>
                  <w:vAlign w:val="center"/>
                </w:tcPr>
                <w:p w14:paraId="650FEB5B">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0.5584</w:t>
                  </w:r>
                </w:p>
              </w:tc>
              <w:tc>
                <w:tcPr>
                  <w:tcW w:w="1005" w:type="pct"/>
                  <w:vAlign w:val="center"/>
                </w:tcPr>
                <w:p w14:paraId="5A4DA25D">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0.0571</w:t>
                  </w:r>
                </w:p>
              </w:tc>
              <w:tc>
                <w:tcPr>
                  <w:tcW w:w="841" w:type="pct"/>
                  <w:vAlign w:val="center"/>
                </w:tcPr>
                <w:p w14:paraId="0C2ADFC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0.0050</w:t>
                  </w:r>
                </w:p>
              </w:tc>
            </w:tr>
            <w:tr w14:paraId="782A4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440F8756">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铜</w:t>
                  </w:r>
                </w:p>
              </w:tc>
              <w:tc>
                <w:tcPr>
                  <w:tcW w:w="1005" w:type="pct"/>
                  <w:vAlign w:val="center"/>
                </w:tcPr>
                <w:p w14:paraId="5FC625F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0.3753</w:t>
                  </w:r>
                </w:p>
              </w:tc>
              <w:tc>
                <w:tcPr>
                  <w:tcW w:w="1005" w:type="pct"/>
                  <w:vAlign w:val="center"/>
                </w:tcPr>
                <w:p w14:paraId="5A34A6B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0.3378</w:t>
                  </w:r>
                </w:p>
              </w:tc>
              <w:tc>
                <w:tcPr>
                  <w:tcW w:w="1005" w:type="pct"/>
                  <w:vAlign w:val="center"/>
                </w:tcPr>
                <w:p w14:paraId="2DCE520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0.0345</w:t>
                  </w:r>
                </w:p>
              </w:tc>
              <w:tc>
                <w:tcPr>
                  <w:tcW w:w="841" w:type="pct"/>
                  <w:vAlign w:val="center"/>
                </w:tcPr>
                <w:p w14:paraId="00A7AD45">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0.0030</w:t>
                  </w:r>
                </w:p>
              </w:tc>
            </w:tr>
            <w:tr w14:paraId="6B617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609C5CCA">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镍</w:t>
                  </w:r>
                </w:p>
              </w:tc>
              <w:tc>
                <w:tcPr>
                  <w:tcW w:w="1005" w:type="pct"/>
                  <w:vAlign w:val="center"/>
                </w:tcPr>
                <w:p w14:paraId="558C69C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0.4519</w:t>
                  </w:r>
                </w:p>
              </w:tc>
              <w:tc>
                <w:tcPr>
                  <w:tcW w:w="1005" w:type="pct"/>
                  <w:vAlign w:val="center"/>
                </w:tcPr>
                <w:p w14:paraId="35092460">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0.4067</w:t>
                  </w:r>
                </w:p>
              </w:tc>
              <w:tc>
                <w:tcPr>
                  <w:tcW w:w="1005" w:type="pct"/>
                  <w:vAlign w:val="center"/>
                </w:tcPr>
                <w:p w14:paraId="55C3766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0.0416</w:t>
                  </w:r>
                </w:p>
              </w:tc>
              <w:tc>
                <w:tcPr>
                  <w:tcW w:w="841" w:type="pct"/>
                  <w:vAlign w:val="center"/>
                </w:tcPr>
                <w:p w14:paraId="4BA0C241">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0.0036</w:t>
                  </w:r>
                </w:p>
              </w:tc>
            </w:tr>
            <w:tr w14:paraId="47D5CC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793E8FB8">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汞及其化合物</w:t>
                  </w:r>
                </w:p>
              </w:tc>
              <w:tc>
                <w:tcPr>
                  <w:tcW w:w="1005" w:type="pct"/>
                  <w:vAlign w:val="center"/>
                </w:tcPr>
                <w:p w14:paraId="6DC1CA78">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0.00368</w:t>
                  </w:r>
                </w:p>
              </w:tc>
              <w:tc>
                <w:tcPr>
                  <w:tcW w:w="1005" w:type="pct"/>
                  <w:vAlign w:val="center"/>
                </w:tcPr>
                <w:p w14:paraId="66C1D759">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w:t>
                  </w:r>
                </w:p>
              </w:tc>
              <w:tc>
                <w:tcPr>
                  <w:tcW w:w="1005" w:type="pct"/>
                  <w:vAlign w:val="center"/>
                </w:tcPr>
                <w:p w14:paraId="2C8B5774">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0.00338</w:t>
                  </w:r>
                </w:p>
              </w:tc>
              <w:tc>
                <w:tcPr>
                  <w:tcW w:w="841" w:type="pct"/>
                  <w:vAlign w:val="center"/>
                </w:tcPr>
                <w:p w14:paraId="0DC7A22A">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0.00029</w:t>
                  </w:r>
                </w:p>
              </w:tc>
            </w:tr>
            <w:tr w14:paraId="0A566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797CCD7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镉及其化合物</w:t>
                  </w:r>
                </w:p>
              </w:tc>
              <w:tc>
                <w:tcPr>
                  <w:tcW w:w="1005" w:type="pct"/>
                  <w:vAlign w:val="center"/>
                </w:tcPr>
                <w:p w14:paraId="4CA6A2B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0.0115</w:t>
                  </w:r>
                </w:p>
              </w:tc>
              <w:tc>
                <w:tcPr>
                  <w:tcW w:w="1005" w:type="pct"/>
                  <w:vAlign w:val="center"/>
                </w:tcPr>
                <w:p w14:paraId="0E83D46E">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0.0103</w:t>
                  </w:r>
                </w:p>
              </w:tc>
              <w:tc>
                <w:tcPr>
                  <w:tcW w:w="1005" w:type="pct"/>
                  <w:vAlign w:val="center"/>
                </w:tcPr>
                <w:p w14:paraId="51CDE807">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0.0011</w:t>
                  </w:r>
                </w:p>
              </w:tc>
              <w:tc>
                <w:tcPr>
                  <w:tcW w:w="841" w:type="pct"/>
                  <w:vAlign w:val="center"/>
                </w:tcPr>
                <w:p w14:paraId="381D108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0.0001</w:t>
                  </w:r>
                </w:p>
              </w:tc>
            </w:tr>
            <w:tr w14:paraId="37209B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44" w:type="pct"/>
                  <w:vAlign w:val="center"/>
                </w:tcPr>
                <w:p w14:paraId="021C8C9F">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砷、铅、钴、铜、镍及其化合物（As+Pb+Co+Cu+Ni计）</w:t>
                  </w:r>
                </w:p>
              </w:tc>
              <w:tc>
                <w:tcPr>
                  <w:tcW w:w="1005" w:type="pct"/>
                  <w:vAlign w:val="center"/>
                </w:tcPr>
                <w:p w14:paraId="69D7523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1.9112</w:t>
                  </w:r>
                </w:p>
              </w:tc>
              <w:tc>
                <w:tcPr>
                  <w:tcW w:w="1005" w:type="pct"/>
                  <w:vAlign w:val="center"/>
                </w:tcPr>
                <w:p w14:paraId="3DE33972">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1.7201</w:t>
                  </w:r>
                </w:p>
              </w:tc>
              <w:tc>
                <w:tcPr>
                  <w:tcW w:w="1005" w:type="pct"/>
                  <w:vAlign w:val="center"/>
                </w:tcPr>
                <w:p w14:paraId="752CD093">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0.1758</w:t>
                  </w:r>
                </w:p>
              </w:tc>
              <w:tc>
                <w:tcPr>
                  <w:tcW w:w="841" w:type="pct"/>
                  <w:vAlign w:val="center"/>
                </w:tcPr>
                <w:p w14:paraId="393A8D4C">
                  <w:pPr>
                    <w:widowControl/>
                    <w:ind w:left="-105" w:leftChars="-50" w:right="-105" w:rightChars="-50"/>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0.0153</w:t>
                  </w:r>
                </w:p>
              </w:tc>
            </w:tr>
          </w:tbl>
          <w:p w14:paraId="0FDC5E48">
            <w:pPr>
              <w:autoSpaceDE w:val="0"/>
              <w:autoSpaceDN w:val="0"/>
              <w:adjustRightInd w:val="0"/>
              <w:spacing w:line="480" w:lineRule="exact"/>
              <w:ind w:firstLine="1080" w:firstLineChars="45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表2-2</w:t>
            </w:r>
            <w:r>
              <w:rPr>
                <w:rFonts w:hint="eastAsia" w:ascii="黑体" w:hAnsi="黑体" w:eastAsia="黑体"/>
                <w:color w:val="000000" w:themeColor="text1"/>
                <w:sz w:val="24"/>
                <w:highlight w:val="none"/>
                <w:lang w:val="en-US" w:eastAsia="zh-CN"/>
                <w14:textFill>
                  <w14:solidFill>
                    <w14:schemeClr w14:val="tx1"/>
                  </w14:solidFill>
                </w14:textFill>
              </w:rPr>
              <w:t>5</w:t>
            </w:r>
            <w:r>
              <w:rPr>
                <w:rFonts w:hint="eastAsia" w:ascii="黑体" w:hAnsi="黑体" w:eastAsia="黑体"/>
                <w:color w:val="000000" w:themeColor="text1"/>
                <w:sz w:val="24"/>
                <w:highlight w:val="none"/>
                <w14:textFill>
                  <w14:solidFill>
                    <w14:schemeClr w14:val="tx1"/>
                  </w14:solidFill>
                </w14:textFill>
              </w:rPr>
              <w:t xml:space="preserve">              本项目</w:t>
            </w:r>
            <w:r>
              <w:rPr>
                <w:rFonts w:ascii="黑体" w:hAnsi="黑体" w:eastAsia="黑体"/>
                <w:color w:val="000000" w:themeColor="text1"/>
                <w:sz w:val="24"/>
                <w:highlight w:val="none"/>
                <w14:textFill>
                  <w14:solidFill>
                    <w14:schemeClr w14:val="tx1"/>
                  </w14:solidFill>
                </w14:textFill>
              </w:rPr>
              <w:t>重金属平衡表</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（单位：t/a）</w:t>
            </w:r>
          </w:p>
          <w:tbl>
            <w:tblPr>
              <w:tblStyle w:val="24"/>
              <w:tblW w:w="478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1648"/>
              <w:gridCol w:w="1645"/>
              <w:gridCol w:w="1509"/>
              <w:gridCol w:w="1481"/>
            </w:tblGrid>
            <w:tr w14:paraId="7E0BC0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Merge w:val="restart"/>
                  <w:vAlign w:val="center"/>
                </w:tcPr>
                <w:p w14:paraId="4DB0B0C0">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重金属</w:t>
                  </w:r>
                </w:p>
              </w:tc>
              <w:tc>
                <w:tcPr>
                  <w:tcW w:w="982" w:type="pct"/>
                  <w:vAlign w:val="center"/>
                </w:tcPr>
                <w:p w14:paraId="16B32282">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进入</w:t>
                  </w:r>
                </w:p>
              </w:tc>
              <w:tc>
                <w:tcPr>
                  <w:tcW w:w="2761" w:type="pct"/>
                  <w:gridSpan w:val="3"/>
                  <w:vAlign w:val="center"/>
                </w:tcPr>
                <w:p w14:paraId="5C41B80E">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产出</w:t>
                  </w:r>
                </w:p>
              </w:tc>
            </w:tr>
            <w:tr w14:paraId="34358F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Merge w:val="continue"/>
                  <w:vAlign w:val="center"/>
                </w:tcPr>
                <w:p w14:paraId="14542359">
                  <w:pPr>
                    <w:pStyle w:val="22"/>
                    <w:spacing w:after="0"/>
                    <w:ind w:firstLine="0" w:firstLineChars="0"/>
                    <w:jc w:val="center"/>
                    <w:rPr>
                      <w:color w:val="000000" w:themeColor="text1"/>
                      <w:szCs w:val="18"/>
                      <w:highlight w:val="none"/>
                      <w14:textFill>
                        <w14:solidFill>
                          <w14:schemeClr w14:val="tx1"/>
                        </w14:solidFill>
                      </w14:textFill>
                    </w:rPr>
                  </w:pPr>
                </w:p>
              </w:tc>
              <w:tc>
                <w:tcPr>
                  <w:tcW w:w="982" w:type="pct"/>
                  <w:vAlign w:val="center"/>
                </w:tcPr>
                <w:p w14:paraId="6FB4A0F6">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污泥带入</w:t>
                  </w:r>
                </w:p>
              </w:tc>
              <w:tc>
                <w:tcPr>
                  <w:tcW w:w="980" w:type="pct"/>
                  <w:vAlign w:val="center"/>
                </w:tcPr>
                <w:p w14:paraId="5ED7E5E0">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固化在产品中</w:t>
                  </w:r>
                </w:p>
              </w:tc>
              <w:tc>
                <w:tcPr>
                  <w:tcW w:w="899" w:type="pct"/>
                  <w:vAlign w:val="center"/>
                </w:tcPr>
                <w:p w14:paraId="53455011">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进入收尘灰</w:t>
                  </w:r>
                </w:p>
              </w:tc>
              <w:tc>
                <w:tcPr>
                  <w:tcW w:w="882" w:type="pct"/>
                  <w:vAlign w:val="center"/>
                </w:tcPr>
                <w:p w14:paraId="61C59CBB">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排放量</w:t>
                  </w:r>
                </w:p>
              </w:tc>
            </w:tr>
            <w:tr w14:paraId="7ED194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52B8BD2D">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汞</w:t>
                  </w:r>
                </w:p>
              </w:tc>
              <w:tc>
                <w:tcPr>
                  <w:tcW w:w="982" w:type="pct"/>
                  <w:vAlign w:val="center"/>
                </w:tcPr>
                <w:p w14:paraId="14B2D68B">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0.8678</w:t>
                  </w:r>
                </w:p>
              </w:tc>
              <w:tc>
                <w:tcPr>
                  <w:tcW w:w="980" w:type="pct"/>
                  <w:vAlign w:val="center"/>
                </w:tcPr>
                <w:p w14:paraId="48E8EC58">
                  <w:pPr>
                    <w:pStyle w:val="22"/>
                    <w:spacing w:after="0"/>
                    <w:ind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899" w:type="pct"/>
                  <w:vAlign w:val="center"/>
                </w:tcPr>
                <w:p w14:paraId="5C648187">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0.8244</w:t>
                  </w:r>
                </w:p>
              </w:tc>
              <w:tc>
                <w:tcPr>
                  <w:tcW w:w="882" w:type="pct"/>
                  <w:vAlign w:val="center"/>
                </w:tcPr>
                <w:p w14:paraId="201F52FD">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434</w:t>
                  </w:r>
                </w:p>
              </w:tc>
            </w:tr>
            <w:tr w14:paraId="3990AA4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5501E438">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镉</w:t>
                  </w:r>
                </w:p>
              </w:tc>
              <w:tc>
                <w:tcPr>
                  <w:tcW w:w="982" w:type="pct"/>
                  <w:vAlign w:val="center"/>
                </w:tcPr>
                <w:p w14:paraId="2180A75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0.659</w:t>
                  </w:r>
                </w:p>
              </w:tc>
              <w:tc>
                <w:tcPr>
                  <w:tcW w:w="980" w:type="pct"/>
                  <w:vAlign w:val="center"/>
                </w:tcPr>
                <w:p w14:paraId="424A84C7">
                  <w:pPr>
                    <w:pStyle w:val="22"/>
                    <w:spacing w:after="0"/>
                    <w:ind w:firstLine="0" w:firstLineChars="0"/>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0.5931</w:t>
                  </w:r>
                </w:p>
              </w:tc>
              <w:tc>
                <w:tcPr>
                  <w:tcW w:w="899" w:type="pct"/>
                  <w:vAlign w:val="center"/>
                </w:tcPr>
                <w:p w14:paraId="3E0280B4">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0.0626</w:t>
                  </w:r>
                </w:p>
              </w:tc>
              <w:tc>
                <w:tcPr>
                  <w:tcW w:w="882" w:type="pct"/>
                  <w:vAlign w:val="center"/>
                </w:tcPr>
                <w:p w14:paraId="47BBAEA0">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33</w:t>
                  </w:r>
                </w:p>
              </w:tc>
            </w:tr>
            <w:tr w14:paraId="41EA98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36589398">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砷</w:t>
                  </w:r>
                </w:p>
              </w:tc>
              <w:tc>
                <w:tcPr>
                  <w:tcW w:w="982" w:type="pct"/>
                  <w:vAlign w:val="center"/>
                </w:tcPr>
                <w:p w14:paraId="6A2FC714">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1.6206</w:t>
                  </w:r>
                </w:p>
              </w:tc>
              <w:tc>
                <w:tcPr>
                  <w:tcW w:w="980" w:type="pct"/>
                  <w:vAlign w:val="center"/>
                </w:tcPr>
                <w:p w14:paraId="0613E088">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1.4585</w:t>
                  </w:r>
                </w:p>
              </w:tc>
              <w:tc>
                <w:tcPr>
                  <w:tcW w:w="899" w:type="pct"/>
                  <w:vAlign w:val="center"/>
                </w:tcPr>
                <w:p w14:paraId="31C4252D">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0.1540</w:t>
                  </w:r>
                </w:p>
              </w:tc>
              <w:tc>
                <w:tcPr>
                  <w:tcW w:w="882" w:type="pct"/>
                  <w:vAlign w:val="center"/>
                </w:tcPr>
                <w:p w14:paraId="71DBCFD4">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81</w:t>
                  </w:r>
                </w:p>
              </w:tc>
            </w:tr>
            <w:tr w14:paraId="3253AB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31B4350A">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铅</w:t>
                  </w:r>
                </w:p>
              </w:tc>
              <w:tc>
                <w:tcPr>
                  <w:tcW w:w="982" w:type="pct"/>
                  <w:vAlign w:val="center"/>
                </w:tcPr>
                <w:p w14:paraId="1936CA54">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16.8234</w:t>
                  </w:r>
                </w:p>
              </w:tc>
              <w:tc>
                <w:tcPr>
                  <w:tcW w:w="980" w:type="pct"/>
                  <w:vAlign w:val="center"/>
                </w:tcPr>
                <w:p w14:paraId="055FFA92">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15.1411</w:t>
                  </w:r>
                </w:p>
              </w:tc>
              <w:tc>
                <w:tcPr>
                  <w:tcW w:w="899" w:type="pct"/>
                  <w:vAlign w:val="center"/>
                </w:tcPr>
                <w:p w14:paraId="4DA4F4BA">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1.5982</w:t>
                  </w:r>
                </w:p>
              </w:tc>
              <w:tc>
                <w:tcPr>
                  <w:tcW w:w="882" w:type="pct"/>
                  <w:vAlign w:val="center"/>
                </w:tcPr>
                <w:p w14:paraId="3CA7E39D">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841</w:t>
                  </w:r>
                </w:p>
              </w:tc>
            </w:tr>
            <w:tr w14:paraId="320592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43B4ADDB">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钴</w:t>
                  </w:r>
                </w:p>
              </w:tc>
              <w:tc>
                <w:tcPr>
                  <w:tcW w:w="982" w:type="pct"/>
                  <w:vAlign w:val="center"/>
                </w:tcPr>
                <w:p w14:paraId="04B28C7E">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1.8711</w:t>
                  </w:r>
                </w:p>
              </w:tc>
              <w:tc>
                <w:tcPr>
                  <w:tcW w:w="980" w:type="pct"/>
                  <w:vAlign w:val="center"/>
                </w:tcPr>
                <w:p w14:paraId="1F725631">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1.6840</w:t>
                  </w:r>
                </w:p>
              </w:tc>
              <w:tc>
                <w:tcPr>
                  <w:tcW w:w="899" w:type="pct"/>
                  <w:vAlign w:val="center"/>
                </w:tcPr>
                <w:p w14:paraId="6229487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0.1777</w:t>
                  </w:r>
                </w:p>
              </w:tc>
              <w:tc>
                <w:tcPr>
                  <w:tcW w:w="882" w:type="pct"/>
                  <w:vAlign w:val="center"/>
                </w:tcPr>
                <w:p w14:paraId="2167FAAC">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0.0094</w:t>
                  </w:r>
                </w:p>
              </w:tc>
            </w:tr>
            <w:tr w14:paraId="776FFB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7A889E1C">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铜</w:t>
                  </w:r>
                </w:p>
              </w:tc>
              <w:tc>
                <w:tcPr>
                  <w:tcW w:w="982" w:type="pct"/>
                  <w:vAlign w:val="center"/>
                </w:tcPr>
                <w:p w14:paraId="7E6C83E8">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8.3919</w:t>
                  </w:r>
                </w:p>
              </w:tc>
              <w:tc>
                <w:tcPr>
                  <w:tcW w:w="980" w:type="pct"/>
                  <w:vAlign w:val="center"/>
                </w:tcPr>
                <w:p w14:paraId="04BF2793">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7.5527</w:t>
                  </w:r>
                </w:p>
              </w:tc>
              <w:tc>
                <w:tcPr>
                  <w:tcW w:w="899" w:type="pct"/>
                  <w:vAlign w:val="center"/>
                </w:tcPr>
                <w:p w14:paraId="16E55BB6">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0.7972</w:t>
                  </w:r>
                </w:p>
              </w:tc>
              <w:tc>
                <w:tcPr>
                  <w:tcW w:w="882" w:type="pct"/>
                  <w:vAlign w:val="center"/>
                </w:tcPr>
                <w:p w14:paraId="3261E0A2">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420</w:t>
                  </w:r>
                </w:p>
              </w:tc>
            </w:tr>
            <w:tr w14:paraId="3F3DC8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5E33DF9A">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镍</w:t>
                  </w:r>
                </w:p>
              </w:tc>
              <w:tc>
                <w:tcPr>
                  <w:tcW w:w="982" w:type="pct"/>
                  <w:vAlign w:val="center"/>
                </w:tcPr>
                <w:p w14:paraId="043D3FE3">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8.7549</w:t>
                  </w:r>
                </w:p>
              </w:tc>
              <w:tc>
                <w:tcPr>
                  <w:tcW w:w="980" w:type="pct"/>
                  <w:vAlign w:val="center"/>
                </w:tcPr>
                <w:p w14:paraId="4946A3C1">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7.8794</w:t>
                  </w:r>
                </w:p>
              </w:tc>
              <w:tc>
                <w:tcPr>
                  <w:tcW w:w="899" w:type="pct"/>
                  <w:vAlign w:val="center"/>
                </w:tcPr>
                <w:p w14:paraId="749A318B">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0.8317</w:t>
                  </w:r>
                </w:p>
              </w:tc>
              <w:tc>
                <w:tcPr>
                  <w:tcW w:w="882" w:type="pct"/>
                  <w:vAlign w:val="center"/>
                </w:tcPr>
                <w:p w14:paraId="462509F2">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438</w:t>
                  </w:r>
                </w:p>
              </w:tc>
            </w:tr>
            <w:tr w14:paraId="3D947C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3FF5F731">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汞及其化合物</w:t>
                  </w:r>
                </w:p>
              </w:tc>
              <w:tc>
                <w:tcPr>
                  <w:tcW w:w="1648" w:type="dxa"/>
                  <w:vAlign w:val="center"/>
                </w:tcPr>
                <w:p w14:paraId="74D6D9CE">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0.8678</w:t>
                  </w:r>
                </w:p>
              </w:tc>
              <w:tc>
                <w:tcPr>
                  <w:tcW w:w="1645" w:type="dxa"/>
                  <w:vAlign w:val="center"/>
                </w:tcPr>
                <w:p w14:paraId="2ADBFA07">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509" w:type="dxa"/>
                  <w:vAlign w:val="center"/>
                </w:tcPr>
                <w:p w14:paraId="1A7BB7E4">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0.8244</w:t>
                  </w:r>
                </w:p>
              </w:tc>
              <w:tc>
                <w:tcPr>
                  <w:tcW w:w="1481" w:type="dxa"/>
                  <w:vAlign w:val="center"/>
                </w:tcPr>
                <w:p w14:paraId="635CFA64">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434</w:t>
                  </w:r>
                </w:p>
              </w:tc>
            </w:tr>
            <w:tr w14:paraId="4DEB53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0AE180ED">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镉及其化合物</w:t>
                  </w:r>
                </w:p>
              </w:tc>
              <w:tc>
                <w:tcPr>
                  <w:tcW w:w="1648" w:type="dxa"/>
                  <w:vAlign w:val="center"/>
                </w:tcPr>
                <w:p w14:paraId="515605B0">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0.659</w:t>
                  </w:r>
                </w:p>
              </w:tc>
              <w:tc>
                <w:tcPr>
                  <w:tcW w:w="1645" w:type="dxa"/>
                  <w:vAlign w:val="center"/>
                </w:tcPr>
                <w:p w14:paraId="097B6BDB">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0.5931</w:t>
                  </w:r>
                </w:p>
              </w:tc>
              <w:tc>
                <w:tcPr>
                  <w:tcW w:w="1509" w:type="dxa"/>
                  <w:vAlign w:val="center"/>
                </w:tcPr>
                <w:p w14:paraId="783845E3">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0.0626</w:t>
                  </w:r>
                </w:p>
              </w:tc>
              <w:tc>
                <w:tcPr>
                  <w:tcW w:w="1481" w:type="dxa"/>
                  <w:vAlign w:val="center"/>
                </w:tcPr>
                <w:p w14:paraId="38B9010C">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33</w:t>
                  </w:r>
                </w:p>
              </w:tc>
            </w:tr>
            <w:tr w14:paraId="1CA544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798F49CA">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砷、铅、钴、铜、镍及其化合物（As+Pb+Co+Cu+Ni计）</w:t>
                  </w:r>
                </w:p>
              </w:tc>
              <w:tc>
                <w:tcPr>
                  <w:tcW w:w="982" w:type="pct"/>
                  <w:vAlign w:val="center"/>
                </w:tcPr>
                <w:p w14:paraId="2A3B9E93">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37.4619</w:t>
                  </w:r>
                </w:p>
              </w:tc>
              <w:tc>
                <w:tcPr>
                  <w:tcW w:w="1661" w:type="dxa"/>
                  <w:vAlign w:val="center"/>
                </w:tcPr>
                <w:p w14:paraId="271EDB91">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33.7157</w:t>
                  </w:r>
                </w:p>
              </w:tc>
              <w:tc>
                <w:tcPr>
                  <w:tcW w:w="1523" w:type="dxa"/>
                  <w:vAlign w:val="center"/>
                </w:tcPr>
                <w:p w14:paraId="4931B382">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3.5588</w:t>
                  </w:r>
                </w:p>
              </w:tc>
              <w:tc>
                <w:tcPr>
                  <w:tcW w:w="1495" w:type="dxa"/>
                  <w:vAlign w:val="center"/>
                </w:tcPr>
                <w:p w14:paraId="448B72F9">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0.1874</w:t>
                  </w:r>
                </w:p>
              </w:tc>
            </w:tr>
          </w:tbl>
          <w:p w14:paraId="6C6888C0">
            <w:pPr>
              <w:pStyle w:val="48"/>
              <w:spacing w:line="480" w:lineRule="exact"/>
              <w:rPr>
                <w:rFonts w:ascii="Times New Roman"/>
                <w:b/>
                <w:color w:val="000000" w:themeColor="text1"/>
                <w:highlight w:val="none"/>
                <w14:textFill>
                  <w14:solidFill>
                    <w14:schemeClr w14:val="tx1"/>
                  </w14:solidFill>
                </w14:textFill>
              </w:rPr>
            </w:pPr>
            <w:r>
              <w:rPr>
                <w:rFonts w:hint="eastAsia" w:ascii="Times New Roman"/>
                <w:b/>
                <w:color w:val="000000" w:themeColor="text1"/>
                <w:highlight w:val="none"/>
                <w14:textFill>
                  <w14:solidFill>
                    <w14:schemeClr w14:val="tx1"/>
                  </w14:solidFill>
                </w14:textFill>
              </w:rPr>
              <w:t>5、给排水</w:t>
            </w:r>
          </w:p>
          <w:p w14:paraId="07BB05D5">
            <w:pPr>
              <w:pStyle w:val="10"/>
              <w:spacing w:line="480" w:lineRule="exact"/>
              <w:ind w:left="0" w:leftChars="0" w:right="0" w:rightChars="0" w:firstLine="466" w:firstLineChars="200"/>
              <w:rPr>
                <w:b/>
                <w:color w:val="000000" w:themeColor="text1"/>
                <w:spacing w:val="-4"/>
                <w:sz w:val="24"/>
                <w:highlight w:val="none"/>
                <w14:textFill>
                  <w14:solidFill>
                    <w14:schemeClr w14:val="tx1"/>
                  </w14:solidFill>
                </w14:textFill>
              </w:rPr>
            </w:pPr>
            <w:r>
              <w:rPr>
                <w:rFonts w:hint="eastAsia"/>
                <w:b/>
                <w:color w:val="000000" w:themeColor="text1"/>
                <w:spacing w:val="-4"/>
                <w:sz w:val="24"/>
                <w:highlight w:val="none"/>
                <w14:textFill>
                  <w14:solidFill>
                    <w14:schemeClr w14:val="tx1"/>
                  </w14:solidFill>
                </w14:textFill>
              </w:rPr>
              <w:t>现有工程：</w:t>
            </w:r>
          </w:p>
          <w:p w14:paraId="0D3A067C">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给水</w:t>
            </w:r>
          </w:p>
          <w:p w14:paraId="644E3B61">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项目用水</w:t>
            </w:r>
            <w:r>
              <w:rPr>
                <w:rFonts w:hint="eastAsia"/>
                <w:color w:val="000000" w:themeColor="text1"/>
                <w:spacing w:val="-4"/>
                <w:sz w:val="24"/>
                <w:highlight w:val="none"/>
                <w14:textFill>
                  <w14:solidFill>
                    <w14:schemeClr w14:val="tx1"/>
                  </w14:solidFill>
                </w14:textFill>
              </w:rPr>
              <w:t>来自</w:t>
            </w:r>
            <w:r>
              <w:rPr>
                <w:color w:val="000000" w:themeColor="text1"/>
                <w:spacing w:val="-4"/>
                <w:sz w:val="24"/>
                <w:highlight w:val="none"/>
                <w14:textFill>
                  <w14:solidFill>
                    <w14:schemeClr w14:val="tx1"/>
                  </w14:solidFill>
                </w14:textFill>
              </w:rPr>
              <w:t>厂区自备井，水源为地下水，企业已取得取水许可证。</w:t>
            </w:r>
          </w:p>
          <w:p w14:paraId="08404493">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（1）生活用水</w:t>
            </w:r>
          </w:p>
          <w:p w14:paraId="735B6A0B">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全厂</w:t>
            </w:r>
            <w:r>
              <w:rPr>
                <w:color w:val="000000" w:themeColor="text1"/>
                <w:spacing w:val="-4"/>
                <w:sz w:val="24"/>
                <w:highlight w:val="none"/>
                <w14:textFill>
                  <w14:solidFill>
                    <w14:schemeClr w14:val="tx1"/>
                  </w14:solidFill>
                </w14:textFill>
              </w:rPr>
              <w:t>劳动定员</w:t>
            </w:r>
            <w:r>
              <w:rPr>
                <w:rFonts w:hint="eastAsia"/>
                <w:color w:val="000000" w:themeColor="text1"/>
                <w:spacing w:val="-4"/>
                <w:sz w:val="24"/>
                <w:highlight w:val="none"/>
                <w14:textFill>
                  <w14:solidFill>
                    <w14:schemeClr w14:val="tx1"/>
                  </w14:solidFill>
                </w14:textFill>
              </w:rPr>
              <w:t>80人</w:t>
            </w:r>
            <w:r>
              <w:rPr>
                <w:color w:val="000000" w:themeColor="text1"/>
                <w:spacing w:val="-4"/>
                <w:sz w:val="24"/>
                <w:highlight w:val="none"/>
                <w14:textFill>
                  <w14:solidFill>
                    <w14:schemeClr w14:val="tx1"/>
                  </w14:solidFill>
                </w14:textFill>
              </w:rPr>
              <w:t>，厂区不设食堂及洗浴设施，宿舍仅供员工倒班休息，设置防渗旱厕，生活用水主要为职工盥洗用水，用水量为1.6m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/d，480m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p>
          <w:p w14:paraId="4F53140B">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（2）生产用水</w:t>
            </w:r>
          </w:p>
          <w:p w14:paraId="2E4CE40E">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生产用水主要包括：生产过程制砖工艺用水、抑尘用水、设备清洗水、脱硫用水</w:t>
            </w:r>
            <w:r>
              <w:rPr>
                <w:rFonts w:hint="eastAsia"/>
                <w:color w:val="000000" w:themeColor="text1"/>
                <w:spacing w:val="-4"/>
                <w:sz w:val="24"/>
                <w:highlight w:val="none"/>
                <w14:textFill>
                  <w14:solidFill>
                    <w14:schemeClr w14:val="tx1"/>
                  </w14:solidFill>
                </w14:textFill>
              </w:rPr>
              <w:t>、洗车平台用水。</w:t>
            </w:r>
          </w:p>
          <w:p w14:paraId="1B25EF90">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①</w:t>
            </w:r>
            <w:r>
              <w:rPr>
                <w:color w:val="000000" w:themeColor="text1"/>
                <w:spacing w:val="-4"/>
                <w:sz w:val="24"/>
                <w:highlight w:val="none"/>
                <w14:textFill>
                  <w14:solidFill>
                    <w14:schemeClr w14:val="tx1"/>
                  </w14:solidFill>
                </w14:textFill>
              </w:rPr>
              <w:t>生产过程制砖工艺用水</w:t>
            </w:r>
          </w:p>
          <w:p w14:paraId="3E0C6A9C">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煤矸石带入水量为4.63</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，1390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a。页岩带入水量为28.36</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，8508.24</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w:t>
            </w:r>
            <w:r>
              <w:rPr>
                <w:color w:val="000000" w:themeColor="text1"/>
                <w:spacing w:val="-4"/>
                <w:sz w:val="24"/>
                <w:highlight w:val="none"/>
                <w14:textFill>
                  <w14:solidFill>
                    <w14:schemeClr w14:val="tx1"/>
                  </w14:solidFill>
                </w14:textFill>
              </w:rPr>
              <w:t>工业污泥</w:t>
            </w:r>
            <w:r>
              <w:rPr>
                <w:rFonts w:hint="eastAsia"/>
                <w:color w:val="000000" w:themeColor="text1"/>
                <w:spacing w:val="-4"/>
                <w:sz w:val="24"/>
                <w:highlight w:val="none"/>
                <w14:textFill>
                  <w14:solidFill>
                    <w14:schemeClr w14:val="tx1"/>
                  </w14:solidFill>
                </w14:textFill>
              </w:rPr>
              <w:t>等一般工业固废</w:t>
            </w:r>
            <w:r>
              <w:rPr>
                <w:color w:val="000000" w:themeColor="text1"/>
                <w:spacing w:val="-4"/>
                <w:sz w:val="24"/>
                <w:highlight w:val="none"/>
                <w14:textFill>
                  <w14:solidFill>
                    <w14:schemeClr w14:val="tx1"/>
                  </w14:solidFill>
                </w14:textFill>
              </w:rPr>
              <w:t>年用量为38300t/a，含水率为62.3%，污泥在运输过程</w:t>
            </w:r>
            <w:r>
              <w:rPr>
                <w:rFonts w:hint="eastAsia"/>
                <w:color w:val="000000" w:themeColor="text1"/>
                <w:spacing w:val="-4"/>
                <w:sz w:val="24"/>
                <w:highlight w:val="none"/>
                <w14:textFill>
                  <w14:solidFill>
                    <w14:schemeClr w14:val="tx1"/>
                  </w14:solidFill>
                </w14:textFill>
              </w:rPr>
              <w:t>及存储过程</w:t>
            </w:r>
            <w:r>
              <w:rPr>
                <w:color w:val="000000" w:themeColor="text1"/>
                <w:spacing w:val="-4"/>
                <w:sz w:val="24"/>
                <w:highlight w:val="none"/>
                <w14:textFill>
                  <w14:solidFill>
                    <w14:schemeClr w14:val="tx1"/>
                  </w14:solidFill>
                </w14:textFill>
              </w:rPr>
              <w:t>中会损耗一部分水量，经上料</w:t>
            </w:r>
            <w:r>
              <w:rPr>
                <w:rFonts w:hint="eastAsia"/>
                <w:color w:val="000000" w:themeColor="text1"/>
                <w:spacing w:val="-4"/>
                <w:sz w:val="24"/>
                <w:highlight w:val="none"/>
                <w14:textFill>
                  <w14:solidFill>
                    <w14:schemeClr w14:val="tx1"/>
                  </w14:solidFill>
                </w14:textFill>
              </w:rPr>
              <w:t>皮带直接</w:t>
            </w:r>
            <w:r>
              <w:rPr>
                <w:color w:val="000000" w:themeColor="text1"/>
                <w:spacing w:val="-4"/>
                <w:sz w:val="24"/>
                <w:highlight w:val="none"/>
                <w14:textFill>
                  <w14:solidFill>
                    <w14:schemeClr w14:val="tx1"/>
                  </w14:solidFill>
                </w14:textFill>
              </w:rPr>
              <w:t>输送至搅拌机内，工业污泥</w:t>
            </w:r>
            <w:r>
              <w:rPr>
                <w:rFonts w:hint="eastAsia"/>
                <w:color w:val="000000" w:themeColor="text1"/>
                <w:spacing w:val="-4"/>
                <w:sz w:val="24"/>
                <w:highlight w:val="none"/>
                <w14:textFill>
                  <w14:solidFill>
                    <w14:schemeClr w14:val="tx1"/>
                  </w14:solidFill>
                </w14:textFill>
              </w:rPr>
              <w:t>等一般工业固废</w:t>
            </w:r>
            <w:r>
              <w:rPr>
                <w:color w:val="000000" w:themeColor="text1"/>
                <w:spacing w:val="-4"/>
                <w:sz w:val="24"/>
                <w:highlight w:val="none"/>
                <w14:textFill>
                  <w14:solidFill>
                    <w14:schemeClr w14:val="tx1"/>
                  </w14:solidFill>
                </w14:textFill>
              </w:rPr>
              <w:t>带入的水量约</w:t>
            </w:r>
            <w:r>
              <w:rPr>
                <w:rFonts w:hint="eastAsia"/>
                <w:color w:val="000000" w:themeColor="text1"/>
                <w:spacing w:val="-4"/>
                <w:sz w:val="24"/>
                <w:highlight w:val="none"/>
                <w14:textFill>
                  <w14:solidFill>
                    <w14:schemeClr w14:val="tx1"/>
                  </w14:solidFill>
                </w14:textFill>
              </w:rPr>
              <w:t>32.09</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，9626.67</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。为达到砖坯成型时含水率的要求，</w:t>
            </w:r>
            <w:r>
              <w:rPr>
                <w:color w:val="000000" w:themeColor="text1"/>
                <w:spacing w:val="-4"/>
                <w:sz w:val="24"/>
                <w:highlight w:val="none"/>
                <w14:textFill>
                  <w14:solidFill>
                    <w14:schemeClr w14:val="tx1"/>
                  </w14:solidFill>
                </w14:textFill>
              </w:rPr>
              <w:t>制砖工艺过程中</w:t>
            </w:r>
            <w:r>
              <w:rPr>
                <w:rFonts w:hint="eastAsia"/>
                <w:color w:val="000000" w:themeColor="text1"/>
                <w:spacing w:val="-4"/>
                <w:sz w:val="24"/>
                <w:highlight w:val="none"/>
                <w14:textFill>
                  <w14:solidFill>
                    <w14:schemeClr w14:val="tx1"/>
                  </w14:solidFill>
                </w14:textFill>
              </w:rPr>
              <w:t>另</w:t>
            </w:r>
            <w:r>
              <w:rPr>
                <w:color w:val="000000" w:themeColor="text1"/>
                <w:spacing w:val="-4"/>
                <w:sz w:val="24"/>
                <w:highlight w:val="none"/>
                <w14:textFill>
                  <w14:solidFill>
                    <w14:schemeClr w14:val="tx1"/>
                  </w14:solidFill>
                </w14:textFill>
              </w:rPr>
              <w:t>需加入</w:t>
            </w:r>
            <w:r>
              <w:rPr>
                <w:rFonts w:hint="eastAsia"/>
                <w:color w:val="000000" w:themeColor="text1"/>
                <w:spacing w:val="-4"/>
                <w:sz w:val="24"/>
                <w:highlight w:val="none"/>
                <w14:textFill>
                  <w14:solidFill>
                    <w14:schemeClr w14:val="tx1"/>
                  </w14:solidFill>
                </w14:textFill>
              </w:rPr>
              <w:t>新鲜水</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新鲜水</w:t>
            </w:r>
            <w:r>
              <w:rPr>
                <w:color w:val="000000" w:themeColor="text1"/>
                <w:spacing w:val="-4"/>
                <w:sz w:val="24"/>
                <w:highlight w:val="none"/>
                <w14:textFill>
                  <w14:solidFill>
                    <w14:schemeClr w14:val="tx1"/>
                  </w14:solidFill>
                </w14:textFill>
              </w:rPr>
              <w:t>用水量为</w:t>
            </w:r>
            <w:r>
              <w:rPr>
                <w:rFonts w:hint="eastAsia"/>
                <w:color w:val="000000" w:themeColor="text1"/>
                <w:spacing w:val="-4"/>
                <w:sz w:val="24"/>
                <w:highlight w:val="none"/>
                <w14:textFill>
                  <w14:solidFill>
                    <w14:schemeClr w14:val="tx1"/>
                  </w14:solidFill>
                </w14:textFill>
              </w:rPr>
              <w:t>4.92</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1475.59</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/a，生产用水随原料进入毛坯砖中，</w:t>
            </w:r>
            <w:r>
              <w:rPr>
                <w:rFonts w:hint="eastAsia"/>
                <w:color w:val="000000" w:themeColor="text1"/>
                <w:spacing w:val="-4"/>
                <w:sz w:val="24"/>
                <w:highlight w:val="none"/>
                <w14:textFill>
                  <w14:solidFill>
                    <w14:schemeClr w14:val="tx1"/>
                  </w14:solidFill>
                </w14:textFill>
              </w:rPr>
              <w:t>大部分</w:t>
            </w:r>
            <w:r>
              <w:rPr>
                <w:color w:val="000000" w:themeColor="text1"/>
                <w:spacing w:val="-4"/>
                <w:sz w:val="24"/>
                <w:highlight w:val="none"/>
                <w14:textFill>
                  <w14:solidFill>
                    <w14:schemeClr w14:val="tx1"/>
                  </w14:solidFill>
                </w14:textFill>
              </w:rPr>
              <w:t>在干燥室、焙烧窑中被</w:t>
            </w:r>
            <w:r>
              <w:rPr>
                <w:rFonts w:hint="eastAsia"/>
                <w:color w:val="000000" w:themeColor="text1"/>
                <w:spacing w:val="-4"/>
                <w:sz w:val="24"/>
                <w:highlight w:val="none"/>
                <w14:textFill>
                  <w14:solidFill>
                    <w14:schemeClr w14:val="tx1"/>
                  </w14:solidFill>
                </w14:textFill>
              </w:rPr>
              <w:t>蒸发损耗，极少部分进入成品砖中</w:t>
            </w:r>
            <w:r>
              <w:rPr>
                <w:color w:val="000000" w:themeColor="text1"/>
                <w:spacing w:val="-4"/>
                <w:sz w:val="24"/>
                <w:highlight w:val="none"/>
                <w14:textFill>
                  <w14:solidFill>
                    <w14:schemeClr w14:val="tx1"/>
                  </w14:solidFill>
                </w14:textFill>
              </w:rPr>
              <w:t>。</w:t>
            </w:r>
          </w:p>
          <w:p w14:paraId="6FE3C87C">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②</w:t>
            </w:r>
            <w:r>
              <w:rPr>
                <w:color w:val="000000" w:themeColor="text1"/>
                <w:spacing w:val="-4"/>
                <w:sz w:val="24"/>
                <w:highlight w:val="none"/>
                <w14:textFill>
                  <w14:solidFill>
                    <w14:schemeClr w14:val="tx1"/>
                  </w14:solidFill>
                </w14:textFill>
              </w:rPr>
              <w:t>抑尘用水</w:t>
            </w:r>
          </w:p>
          <w:p w14:paraId="09C37327">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页岩</w:t>
            </w:r>
            <w:r>
              <w:rPr>
                <w:rFonts w:hint="eastAsia"/>
                <w:color w:val="000000" w:themeColor="text1"/>
                <w:spacing w:val="-4"/>
                <w:sz w:val="24"/>
                <w:highlight w:val="none"/>
                <w14:textFill>
                  <w14:solidFill>
                    <w14:schemeClr w14:val="tx1"/>
                  </w14:solidFill>
                </w14:textFill>
              </w:rPr>
              <w:t>、</w:t>
            </w:r>
            <w:r>
              <w:rPr>
                <w:color w:val="000000" w:themeColor="text1"/>
                <w:spacing w:val="-4"/>
                <w:sz w:val="24"/>
                <w:highlight w:val="none"/>
                <w14:textFill>
                  <w14:solidFill>
                    <w14:schemeClr w14:val="tx1"/>
                  </w14:solidFill>
                </w14:textFill>
              </w:rPr>
              <w:t>煤矸石破碎工段</w:t>
            </w:r>
            <w:r>
              <w:rPr>
                <w:rFonts w:hint="eastAsia"/>
                <w:color w:val="000000" w:themeColor="text1"/>
                <w:spacing w:val="-4"/>
                <w:sz w:val="24"/>
                <w:highlight w:val="none"/>
                <w14:textFill>
                  <w14:solidFill>
                    <w14:schemeClr w14:val="tx1"/>
                  </w14:solidFill>
                </w14:textFill>
              </w:rPr>
              <w:t>利用</w:t>
            </w:r>
            <w:r>
              <w:rPr>
                <w:color w:val="000000" w:themeColor="text1"/>
                <w:spacing w:val="-4"/>
                <w:sz w:val="24"/>
                <w:highlight w:val="none"/>
                <w14:textFill>
                  <w14:solidFill>
                    <w14:schemeClr w14:val="tx1"/>
                  </w14:solidFill>
                </w14:textFill>
              </w:rPr>
              <w:t>喷淋设施进行喷淋抑尘，喷淋用水量为4.6m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/d，1380m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/a，其中20%挥发，80%水分约1104m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/a进入</w:t>
            </w:r>
            <w:r>
              <w:rPr>
                <w:rFonts w:hint="eastAsia"/>
                <w:color w:val="000000" w:themeColor="text1"/>
                <w:spacing w:val="-4"/>
                <w:sz w:val="24"/>
                <w:highlight w:val="none"/>
                <w14:textFill>
                  <w14:solidFill>
                    <w14:schemeClr w14:val="tx1"/>
                  </w14:solidFill>
                </w14:textFill>
              </w:rPr>
              <w:t>砖坯</w:t>
            </w:r>
            <w:r>
              <w:rPr>
                <w:color w:val="000000" w:themeColor="text1"/>
                <w:spacing w:val="-4"/>
                <w:sz w:val="24"/>
                <w:highlight w:val="none"/>
                <w14:textFill>
                  <w14:solidFill>
                    <w14:schemeClr w14:val="tx1"/>
                  </w14:solidFill>
                </w14:textFill>
              </w:rPr>
              <w:t>，在干燥室、焙烧窑中被加热变成蒸汽进入大气中。</w:t>
            </w:r>
          </w:p>
          <w:p w14:paraId="47C42F67">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③</w:t>
            </w:r>
            <w:r>
              <w:rPr>
                <w:color w:val="000000" w:themeColor="text1"/>
                <w:spacing w:val="-4"/>
                <w:sz w:val="24"/>
                <w:highlight w:val="none"/>
                <w14:textFill>
                  <w14:solidFill>
                    <w14:schemeClr w14:val="tx1"/>
                  </w14:solidFill>
                </w14:textFill>
              </w:rPr>
              <w:t>设备清洗水</w:t>
            </w:r>
          </w:p>
          <w:p w14:paraId="6DC16AF1">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设备清洗用水约12m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/次（每个月清洗一次）年用水量144m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0.48</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w:t>
            </w:r>
            <w:r>
              <w:rPr>
                <w:color w:val="000000" w:themeColor="text1"/>
                <w:spacing w:val="-4"/>
                <w:sz w:val="24"/>
                <w:highlight w:val="none"/>
                <w14:textFill>
                  <w14:solidFill>
                    <w14:schemeClr w14:val="tx1"/>
                  </w14:solidFill>
                </w14:textFill>
              </w:rPr>
              <w:t>设备清洗废水主要污染因子为SS，经收集后沉淀回用于设备清洗，不外排。</w:t>
            </w:r>
          </w:p>
          <w:p w14:paraId="695CC2E1">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④</w:t>
            </w:r>
            <w:r>
              <w:rPr>
                <w:color w:val="000000" w:themeColor="text1"/>
                <w:spacing w:val="-4"/>
                <w:sz w:val="24"/>
                <w:highlight w:val="none"/>
                <w14:textFill>
                  <w14:solidFill>
                    <w14:schemeClr w14:val="tx1"/>
                  </w14:solidFill>
                </w14:textFill>
              </w:rPr>
              <w:t>脱硫用水</w:t>
            </w:r>
          </w:p>
          <w:p w14:paraId="2641C3A6">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隧道窑废气</w:t>
            </w:r>
            <w:r>
              <w:rPr>
                <w:rFonts w:hint="eastAsia"/>
                <w:color w:val="000000" w:themeColor="text1"/>
                <w:spacing w:val="-4"/>
                <w:sz w:val="24"/>
                <w:highlight w:val="none"/>
                <w14:textFill>
                  <w14:solidFill>
                    <w14:schemeClr w14:val="tx1"/>
                  </w14:solidFill>
                </w14:textFill>
              </w:rPr>
              <w:t>使用</w:t>
            </w:r>
            <w:r>
              <w:rPr>
                <w:color w:val="000000" w:themeColor="text1"/>
                <w:spacing w:val="-4"/>
                <w:sz w:val="24"/>
                <w:highlight w:val="none"/>
                <w14:textFill>
                  <w14:solidFill>
                    <w14:schemeClr w14:val="tx1"/>
                  </w14:solidFill>
                </w14:textFill>
              </w:rPr>
              <w:t>石灰-石膏法脱硫，石灰-石膏法脱硫用水量约5600m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/a，其中补充新水16m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/d，4800m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/a，循环水量为800m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/a，无废水外排。</w:t>
            </w:r>
          </w:p>
          <w:p w14:paraId="1181EB72">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⑤</w:t>
            </w:r>
            <w:r>
              <w:rPr>
                <w:color w:val="000000" w:themeColor="text1"/>
                <w:spacing w:val="-4"/>
                <w:sz w:val="24"/>
                <w:highlight w:val="none"/>
                <w14:textFill>
                  <w14:solidFill>
                    <w14:schemeClr w14:val="tx1"/>
                  </w14:solidFill>
                </w14:textFill>
              </w:rPr>
              <w:t>洗车平台用水</w:t>
            </w:r>
          </w:p>
          <w:p w14:paraId="3E9278F9">
            <w:pPr>
              <w:pStyle w:val="10"/>
              <w:spacing w:line="48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为保证运输车辆不带泥上路，厂区</w:t>
            </w:r>
            <w:r>
              <w:rPr>
                <w:rFonts w:hint="eastAsia"/>
                <w:color w:val="000000" w:themeColor="text1"/>
                <w:spacing w:val="-4"/>
                <w:sz w:val="24"/>
                <w:highlight w:val="none"/>
                <w14:textFill>
                  <w14:solidFill>
                    <w14:schemeClr w14:val="tx1"/>
                  </w14:solidFill>
                </w14:textFill>
              </w:rPr>
              <w:t>出</w:t>
            </w:r>
            <w:r>
              <w:rPr>
                <w:color w:val="000000" w:themeColor="text1"/>
                <w:spacing w:val="-4"/>
                <w:sz w:val="24"/>
                <w:highlight w:val="none"/>
                <w14:textFill>
                  <w14:solidFill>
                    <w14:schemeClr w14:val="tx1"/>
                  </w14:solidFill>
                </w14:textFill>
              </w:rPr>
              <w:t>入口处设置洗车平台，</w:t>
            </w:r>
            <w:r>
              <w:rPr>
                <w:rFonts w:hint="eastAsia"/>
                <w:color w:val="000000" w:themeColor="text1"/>
                <w:spacing w:val="-4"/>
                <w:sz w:val="24"/>
                <w:highlight w:val="none"/>
                <w14:textFill>
                  <w14:solidFill>
                    <w14:schemeClr w14:val="tx1"/>
                  </w14:solidFill>
                </w14:textFill>
              </w:rPr>
              <w:t>将会产生洗车平台用水。</w:t>
            </w:r>
            <w:r>
              <w:rPr>
                <w:color w:val="000000" w:themeColor="text1"/>
                <w:spacing w:val="-4"/>
                <w:sz w:val="24"/>
                <w:highlight w:val="none"/>
                <w14:textFill>
                  <w14:solidFill>
                    <w14:schemeClr w14:val="tx1"/>
                  </w14:solidFill>
                </w14:textFill>
              </w:rPr>
              <w:t>煤矸石、页岩</w:t>
            </w:r>
            <w:r>
              <w:rPr>
                <w:rFonts w:hint="eastAsia"/>
                <w:color w:val="000000" w:themeColor="text1"/>
                <w:spacing w:val="-4"/>
                <w:sz w:val="24"/>
                <w:highlight w:val="none"/>
                <w14:textFill>
                  <w14:solidFill>
                    <w14:schemeClr w14:val="tx1"/>
                  </w14:solidFill>
                </w14:textFill>
              </w:rPr>
              <w:t>、剥岩废料、工业污泥等一般工业固废等</w:t>
            </w:r>
            <w:r>
              <w:rPr>
                <w:color w:val="000000" w:themeColor="text1"/>
                <w:spacing w:val="-4"/>
                <w:sz w:val="24"/>
                <w:highlight w:val="none"/>
                <w14:textFill>
                  <w14:solidFill>
                    <w14:schemeClr w14:val="tx1"/>
                  </w14:solidFill>
                </w14:textFill>
              </w:rPr>
              <w:t>原料总用量为</w:t>
            </w:r>
            <w:r>
              <w:rPr>
                <w:rFonts w:hint="eastAsia"/>
                <w:color w:val="000000" w:themeColor="text1"/>
                <w:spacing w:val="-4"/>
                <w:sz w:val="24"/>
                <w:highlight w:val="none"/>
                <w14:textFill>
                  <w14:solidFill>
                    <w14:schemeClr w14:val="tx1"/>
                  </w14:solidFill>
                </w14:textFill>
              </w:rPr>
              <w:t>198860</w:t>
            </w:r>
            <w:r>
              <w:rPr>
                <w:color w:val="000000" w:themeColor="text1"/>
                <w:spacing w:val="-4"/>
                <w:sz w:val="24"/>
                <w:highlight w:val="none"/>
                <w14:textFill>
                  <w14:solidFill>
                    <w14:schemeClr w14:val="tx1"/>
                  </w14:solidFill>
                </w14:textFill>
              </w:rPr>
              <w:t>t/a，采用载重20吨的汽车进行运输，每天运输</w:t>
            </w:r>
            <w:r>
              <w:rPr>
                <w:rFonts w:hint="eastAsia"/>
                <w:color w:val="000000" w:themeColor="text1"/>
                <w:spacing w:val="-4"/>
                <w:sz w:val="24"/>
                <w:highlight w:val="none"/>
                <w14:textFill>
                  <w14:solidFill>
                    <w14:schemeClr w14:val="tx1"/>
                  </w14:solidFill>
                </w14:textFill>
              </w:rPr>
              <w:t>34</w:t>
            </w:r>
            <w:r>
              <w:rPr>
                <w:color w:val="000000" w:themeColor="text1"/>
                <w:spacing w:val="-4"/>
                <w:sz w:val="24"/>
                <w:highlight w:val="none"/>
                <w14:textFill>
                  <w14:solidFill>
                    <w14:schemeClr w14:val="tx1"/>
                  </w14:solidFill>
                </w14:textFill>
              </w:rPr>
              <w:t>辆/次，运输车辆清洗用水按50L/辆·次计，则车辆清洗用水约为</w:t>
            </w:r>
            <w:r>
              <w:rPr>
                <w:rFonts w:hint="eastAsia"/>
                <w:color w:val="000000" w:themeColor="text1"/>
                <w:spacing w:val="-4"/>
                <w:sz w:val="24"/>
                <w:highlight w:val="none"/>
                <w14:textFill>
                  <w14:solidFill>
                    <w14:schemeClr w14:val="tx1"/>
                  </w14:solidFill>
                </w14:textFill>
              </w:rPr>
              <w:t>1.7</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510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p>
          <w:p w14:paraId="6B106006">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（2）排水</w:t>
            </w:r>
          </w:p>
          <w:p w14:paraId="1665EC78">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①</w:t>
            </w:r>
            <w:r>
              <w:rPr>
                <w:color w:val="000000" w:themeColor="text1"/>
                <w:spacing w:val="-4"/>
                <w:sz w:val="24"/>
                <w:highlight w:val="none"/>
                <w14:textFill>
                  <w14:solidFill>
                    <w14:schemeClr w14:val="tx1"/>
                  </w14:solidFill>
                </w14:textFill>
              </w:rPr>
              <w:t>生活污水</w:t>
            </w:r>
          </w:p>
          <w:p w14:paraId="0B396BB4">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职工生活污水主要为盥洗废水，生活污水产生量按照用水量的80%计，则生活污水产生量为1.28m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/d，384m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/a，水质简单，产生量小，全部用于厂区内泼洒抑尘，不外排。</w:t>
            </w:r>
          </w:p>
          <w:p w14:paraId="54197C97">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②</w:t>
            </w:r>
            <w:r>
              <w:rPr>
                <w:color w:val="000000" w:themeColor="text1"/>
                <w:spacing w:val="-4"/>
                <w:sz w:val="24"/>
                <w:highlight w:val="none"/>
                <w14:textFill>
                  <w14:solidFill>
                    <w14:schemeClr w14:val="tx1"/>
                  </w14:solidFill>
                </w14:textFill>
              </w:rPr>
              <w:t>生产废水</w:t>
            </w:r>
          </w:p>
          <w:p w14:paraId="63F5EEE6">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生产过程制砖工艺用水随原料进入毛坯砖中，</w:t>
            </w:r>
            <w:r>
              <w:rPr>
                <w:rFonts w:hint="eastAsia"/>
                <w:color w:val="000000" w:themeColor="text1"/>
                <w:spacing w:val="-4"/>
                <w:sz w:val="24"/>
                <w:highlight w:val="none"/>
                <w14:textFill>
                  <w14:solidFill>
                    <w14:schemeClr w14:val="tx1"/>
                  </w14:solidFill>
                </w14:textFill>
              </w:rPr>
              <w:t>大部分</w:t>
            </w:r>
            <w:r>
              <w:rPr>
                <w:color w:val="000000" w:themeColor="text1"/>
                <w:spacing w:val="-4"/>
                <w:sz w:val="24"/>
                <w:highlight w:val="none"/>
                <w14:textFill>
                  <w14:solidFill>
                    <w14:schemeClr w14:val="tx1"/>
                  </w14:solidFill>
                </w14:textFill>
              </w:rPr>
              <w:t>在干燥室、焙烧窑中被</w:t>
            </w:r>
            <w:r>
              <w:rPr>
                <w:rFonts w:hint="eastAsia"/>
                <w:color w:val="000000" w:themeColor="text1"/>
                <w:spacing w:val="-4"/>
                <w:sz w:val="24"/>
                <w:highlight w:val="none"/>
                <w14:textFill>
                  <w14:solidFill>
                    <w14:schemeClr w14:val="tx1"/>
                  </w14:solidFill>
                </w14:textFill>
              </w:rPr>
              <w:t>蒸发损耗，极少部分进入成品砖中，</w:t>
            </w:r>
            <w:r>
              <w:rPr>
                <w:color w:val="000000" w:themeColor="text1"/>
                <w:spacing w:val="-4"/>
                <w:sz w:val="24"/>
                <w:highlight w:val="none"/>
                <w14:textFill>
                  <w14:solidFill>
                    <w14:schemeClr w14:val="tx1"/>
                  </w14:solidFill>
                </w14:textFill>
              </w:rPr>
              <w:t>无废水产生；抑尘用水</w:t>
            </w:r>
            <w:r>
              <w:rPr>
                <w:rFonts w:hint="eastAsia"/>
                <w:color w:val="000000" w:themeColor="text1"/>
                <w:spacing w:val="-4"/>
                <w:sz w:val="24"/>
                <w:highlight w:val="none"/>
                <w14:textFill>
                  <w14:solidFill>
                    <w14:schemeClr w14:val="tx1"/>
                  </w14:solidFill>
                </w14:textFill>
              </w:rPr>
              <w:t>进入</w:t>
            </w:r>
            <w:r>
              <w:rPr>
                <w:color w:val="000000" w:themeColor="text1"/>
                <w:spacing w:val="-4"/>
                <w:sz w:val="24"/>
                <w:highlight w:val="none"/>
                <w14:textFill>
                  <w14:solidFill>
                    <w14:schemeClr w14:val="tx1"/>
                  </w14:solidFill>
                </w14:textFill>
              </w:rPr>
              <w:t>毛坯砖中，在干燥室、焙烧窑中被</w:t>
            </w:r>
            <w:r>
              <w:rPr>
                <w:rFonts w:hint="eastAsia"/>
                <w:color w:val="000000" w:themeColor="text1"/>
                <w:spacing w:val="-4"/>
                <w:sz w:val="24"/>
                <w:highlight w:val="none"/>
                <w14:textFill>
                  <w14:solidFill>
                    <w14:schemeClr w14:val="tx1"/>
                  </w14:solidFill>
                </w14:textFill>
              </w:rPr>
              <w:t>蒸发损耗</w:t>
            </w:r>
            <w:r>
              <w:rPr>
                <w:color w:val="000000" w:themeColor="text1"/>
                <w:spacing w:val="-4"/>
                <w:sz w:val="24"/>
                <w:highlight w:val="none"/>
                <w14:textFill>
                  <w14:solidFill>
                    <w14:schemeClr w14:val="tx1"/>
                  </w14:solidFill>
                </w14:textFill>
              </w:rPr>
              <w:t>，无废水产生；设备清洗废水经沉淀后循环使用，不外排；洗车平台用水经沉淀后循环使用，不外排；烟气脱硫除尘设施用水循环利用，定期补充清</w:t>
            </w:r>
            <w:r>
              <w:rPr>
                <w:rFonts w:hint="eastAsia"/>
                <w:color w:val="000000" w:themeColor="text1"/>
                <w:spacing w:val="-4"/>
                <w:sz w:val="24"/>
                <w:highlight w:val="none"/>
                <w14:textFill>
                  <w14:solidFill>
                    <w14:schemeClr w14:val="tx1"/>
                  </w14:solidFill>
                </w14:textFill>
              </w:rPr>
              <w:t>新水</w:t>
            </w:r>
            <w:r>
              <w:rPr>
                <w:color w:val="000000" w:themeColor="text1"/>
                <w:spacing w:val="-4"/>
                <w:sz w:val="24"/>
                <w:highlight w:val="none"/>
                <w14:textFill>
                  <w14:solidFill>
                    <w14:schemeClr w14:val="tx1"/>
                  </w14:solidFill>
                </w14:textFill>
              </w:rPr>
              <w:t>，无废水外排。</w:t>
            </w:r>
          </w:p>
          <w:p w14:paraId="540F93C7">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现有工程</w:t>
            </w:r>
            <w:r>
              <w:rPr>
                <w:color w:val="000000" w:themeColor="text1"/>
                <w:spacing w:val="-4"/>
                <w:sz w:val="24"/>
                <w:highlight w:val="none"/>
                <w14:textFill>
                  <w14:solidFill>
                    <w14:schemeClr w14:val="tx1"/>
                  </w14:solidFill>
                </w14:textFill>
              </w:rPr>
              <w:t>无废水外排。</w:t>
            </w:r>
          </w:p>
          <w:p w14:paraId="57C9DFAD">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drawing>
                <wp:anchor distT="0" distB="0" distL="114300" distR="114300" simplePos="0" relativeHeight="251659264" behindDoc="0" locked="0" layoutInCell="1" allowOverlap="1">
                  <wp:simplePos x="0" y="0"/>
                  <wp:positionH relativeFrom="column">
                    <wp:posOffset>384810</wp:posOffset>
                  </wp:positionH>
                  <wp:positionV relativeFrom="paragraph">
                    <wp:posOffset>86995</wp:posOffset>
                  </wp:positionV>
                  <wp:extent cx="5048250" cy="5314950"/>
                  <wp:effectExtent l="19050" t="0" r="0" b="0"/>
                  <wp:wrapNone/>
                  <wp:docPr id="6" name="图片 5" descr="微信图片_20250208093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微信图片_20250208093439.png"/>
                          <pic:cNvPicPr>
                            <a:picLocks noChangeAspect="1"/>
                          </pic:cNvPicPr>
                        </pic:nvPicPr>
                        <pic:blipFill>
                          <a:blip r:embed="rId11"/>
                          <a:stretch>
                            <a:fillRect/>
                          </a:stretch>
                        </pic:blipFill>
                        <pic:spPr>
                          <a:xfrm>
                            <a:off x="0" y="0"/>
                            <a:ext cx="5048250" cy="5314950"/>
                          </a:xfrm>
                          <a:prstGeom prst="rect">
                            <a:avLst/>
                          </a:prstGeom>
                        </pic:spPr>
                      </pic:pic>
                    </a:graphicData>
                  </a:graphic>
                </wp:anchor>
              </w:drawing>
            </w:r>
          </w:p>
          <w:p w14:paraId="60C59B00">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70047CA9">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674EA3E5">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450013D5">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009A67E9">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272F27E5">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02DE2C22">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06AAC98C">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05C6A27B">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38794F11">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5BBA4901">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0C3C8E52">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43D7A6D6">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2C6D3078">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5AEFD788">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793208A2">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5AD7EE9D">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p>
          <w:p w14:paraId="59FFC9BE">
            <w:pPr>
              <w:spacing w:line="48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2-1</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现有工程</w:t>
            </w:r>
            <w:r>
              <w:rPr>
                <w:b/>
                <w:color w:val="000000" w:themeColor="text1"/>
                <w:sz w:val="24"/>
                <w:highlight w:val="none"/>
                <w14:textFill>
                  <w14:solidFill>
                    <w14:schemeClr w14:val="tx1"/>
                  </w14:solidFill>
                </w14:textFill>
              </w:rPr>
              <w:t>水平衡图    单位m</w:t>
            </w:r>
            <w:r>
              <w:rPr>
                <w:b/>
                <w:color w:val="000000" w:themeColor="text1"/>
                <w:sz w:val="24"/>
                <w:highlight w:val="none"/>
                <w:vertAlign w:val="superscript"/>
                <w14:textFill>
                  <w14:solidFill>
                    <w14:schemeClr w14:val="tx1"/>
                  </w14:solidFill>
                </w14:textFill>
              </w:rPr>
              <w:t>3</w:t>
            </w:r>
            <w:r>
              <w:rPr>
                <w:b/>
                <w:color w:val="000000" w:themeColor="text1"/>
                <w:sz w:val="24"/>
                <w:highlight w:val="none"/>
                <w14:textFill>
                  <w14:solidFill>
                    <w14:schemeClr w14:val="tx1"/>
                  </w14:solidFill>
                </w14:textFill>
              </w:rPr>
              <w:t>/d</w:t>
            </w:r>
          </w:p>
          <w:p w14:paraId="46760D8F">
            <w:pPr>
              <w:autoSpaceDE w:val="0"/>
              <w:autoSpaceDN w:val="0"/>
              <w:spacing w:line="480" w:lineRule="exact"/>
              <w:ind w:firstLine="1080" w:firstLineChars="45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表2-2</w:t>
            </w:r>
            <w:r>
              <w:rPr>
                <w:rFonts w:hint="eastAsia" w:ascii="黑体" w:hAnsi="黑体" w:eastAsia="黑体"/>
                <w:color w:val="000000" w:themeColor="text1"/>
                <w:sz w:val="24"/>
                <w:highlight w:val="none"/>
                <w:lang w:val="en-US" w:eastAsia="zh-CN"/>
                <w14:textFill>
                  <w14:solidFill>
                    <w14:schemeClr w14:val="tx1"/>
                  </w14:solidFill>
                </w14:textFill>
              </w:rPr>
              <w:t>6</w:t>
            </w:r>
            <w:r>
              <w:rPr>
                <w:rFonts w:hint="eastAsia" w:ascii="黑体" w:hAnsi="黑体" w:eastAsia="黑体"/>
                <w:color w:val="000000" w:themeColor="text1"/>
                <w:sz w:val="24"/>
                <w:highlight w:val="none"/>
                <w14:textFill>
                  <w14:solidFill>
                    <w14:schemeClr w14:val="tx1"/>
                  </w14:solidFill>
                </w14:textFill>
              </w:rPr>
              <w:t xml:space="preserve">            现有工程</w:t>
            </w:r>
            <w:r>
              <w:rPr>
                <w:rFonts w:ascii="黑体" w:hAnsi="黑体" w:eastAsia="黑体"/>
                <w:color w:val="000000" w:themeColor="text1"/>
                <w:sz w:val="24"/>
                <w:highlight w:val="none"/>
                <w14:textFill>
                  <w14:solidFill>
                    <w14:schemeClr w14:val="tx1"/>
                  </w14:solidFill>
                </w14:textFill>
              </w:rPr>
              <w:t xml:space="preserve">水平衡一览表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单位：m</w:t>
            </w:r>
            <w:r>
              <w:rPr>
                <w:rFonts w:ascii="黑体" w:hAnsi="黑体" w:eastAsia="黑体"/>
                <w:color w:val="000000" w:themeColor="text1"/>
                <w:sz w:val="24"/>
                <w:highlight w:val="none"/>
                <w:vertAlign w:val="superscript"/>
                <w14:textFill>
                  <w14:solidFill>
                    <w14:schemeClr w14:val="tx1"/>
                  </w14:solidFill>
                </w14:textFill>
              </w:rPr>
              <w:t>3</w:t>
            </w:r>
            <w:r>
              <w:rPr>
                <w:rFonts w:ascii="黑体" w:hAnsi="黑体" w:eastAsia="黑体"/>
                <w:color w:val="000000" w:themeColor="text1"/>
                <w:sz w:val="24"/>
                <w:highlight w:val="none"/>
                <w14:textFill>
                  <w14:solidFill>
                    <w14:schemeClr w14:val="tx1"/>
                  </w14:solidFill>
                </w14:textFill>
              </w:rPr>
              <w:t>/d</w:t>
            </w:r>
          </w:p>
          <w:tbl>
            <w:tblPr>
              <w:tblStyle w:val="24"/>
              <w:tblW w:w="499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22"/>
              <w:gridCol w:w="852"/>
              <w:gridCol w:w="810"/>
              <w:gridCol w:w="975"/>
              <w:gridCol w:w="901"/>
              <w:gridCol w:w="956"/>
              <w:gridCol w:w="901"/>
              <w:gridCol w:w="967"/>
              <w:gridCol w:w="1577"/>
            </w:tblGrid>
            <w:tr w14:paraId="75B2F6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5FF21A6A">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项目</w:t>
                  </w:r>
                </w:p>
              </w:tc>
              <w:tc>
                <w:tcPr>
                  <w:tcW w:w="486" w:type="pct"/>
                  <w:vAlign w:val="center"/>
                </w:tcPr>
                <w:p w14:paraId="726F82FE">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总用水量</w:t>
                  </w:r>
                </w:p>
              </w:tc>
              <w:tc>
                <w:tcPr>
                  <w:tcW w:w="462" w:type="pct"/>
                  <w:vAlign w:val="center"/>
                </w:tcPr>
                <w:p w14:paraId="0CAF61D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新水量</w:t>
                  </w:r>
                </w:p>
              </w:tc>
              <w:tc>
                <w:tcPr>
                  <w:tcW w:w="556" w:type="pct"/>
                  <w:vAlign w:val="center"/>
                </w:tcPr>
                <w:p w14:paraId="767DB5DC">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原料带入水量</w:t>
                  </w:r>
                </w:p>
              </w:tc>
              <w:tc>
                <w:tcPr>
                  <w:tcW w:w="514" w:type="pct"/>
                  <w:vAlign w:val="center"/>
                </w:tcPr>
                <w:p w14:paraId="29C86979">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循环利用水量</w:t>
                  </w:r>
                </w:p>
              </w:tc>
              <w:tc>
                <w:tcPr>
                  <w:tcW w:w="545" w:type="pct"/>
                  <w:vAlign w:val="center"/>
                </w:tcPr>
                <w:p w14:paraId="24A13122">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损耗量</w:t>
                  </w:r>
                </w:p>
              </w:tc>
              <w:tc>
                <w:tcPr>
                  <w:tcW w:w="514" w:type="pct"/>
                  <w:vAlign w:val="center"/>
                </w:tcPr>
                <w:p w14:paraId="1ABE37F1">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废水产</w:t>
                  </w:r>
                </w:p>
                <w:p w14:paraId="746C6A9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生量</w:t>
                  </w:r>
                </w:p>
              </w:tc>
              <w:tc>
                <w:tcPr>
                  <w:tcW w:w="551" w:type="pct"/>
                  <w:vAlign w:val="center"/>
                </w:tcPr>
                <w:p w14:paraId="15B11E5A">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进入成品砖量</w:t>
                  </w:r>
                </w:p>
              </w:tc>
              <w:tc>
                <w:tcPr>
                  <w:tcW w:w="899" w:type="pct"/>
                  <w:vAlign w:val="center"/>
                </w:tcPr>
                <w:p w14:paraId="13722D03">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去向</w:t>
                  </w:r>
                </w:p>
              </w:tc>
            </w:tr>
            <w:tr w14:paraId="175B5D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49105F53">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生活用水</w:t>
                  </w:r>
                </w:p>
              </w:tc>
              <w:tc>
                <w:tcPr>
                  <w:tcW w:w="486" w:type="pct"/>
                  <w:vAlign w:val="center"/>
                </w:tcPr>
                <w:p w14:paraId="57E130B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462" w:type="pct"/>
                  <w:vAlign w:val="center"/>
                </w:tcPr>
                <w:p w14:paraId="7E1A777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556" w:type="pct"/>
                  <w:vAlign w:val="center"/>
                </w:tcPr>
                <w:p w14:paraId="2CC23F44">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14" w:type="pct"/>
                  <w:vAlign w:val="center"/>
                </w:tcPr>
                <w:p w14:paraId="38B76A95">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45" w:type="pct"/>
                  <w:vAlign w:val="center"/>
                </w:tcPr>
                <w:p w14:paraId="53E02123">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0.32</w:t>
                  </w:r>
                </w:p>
              </w:tc>
              <w:tc>
                <w:tcPr>
                  <w:tcW w:w="514" w:type="pct"/>
                  <w:vAlign w:val="center"/>
                </w:tcPr>
                <w:p w14:paraId="6505C041">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1.28</w:t>
                  </w:r>
                </w:p>
              </w:tc>
              <w:tc>
                <w:tcPr>
                  <w:tcW w:w="551" w:type="pct"/>
                  <w:vAlign w:val="center"/>
                </w:tcPr>
                <w:p w14:paraId="76F6231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429" w:type="dxa"/>
                  <w:vAlign w:val="center"/>
                </w:tcPr>
                <w:p w14:paraId="3FB39812">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厂区泼洒抑尘</w:t>
                  </w:r>
                </w:p>
              </w:tc>
            </w:tr>
            <w:tr w14:paraId="7E5DD4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590216E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制砖工艺用水</w:t>
                  </w:r>
                </w:p>
              </w:tc>
              <w:tc>
                <w:tcPr>
                  <w:tcW w:w="486" w:type="pct"/>
                  <w:vAlign w:val="center"/>
                </w:tcPr>
                <w:p w14:paraId="67194EE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117.44</w:t>
                  </w:r>
                </w:p>
              </w:tc>
              <w:tc>
                <w:tcPr>
                  <w:tcW w:w="462" w:type="pct"/>
                  <w:vAlign w:val="center"/>
                </w:tcPr>
                <w:p w14:paraId="72D9F43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4.92</w:t>
                  </w:r>
                </w:p>
              </w:tc>
              <w:tc>
                <w:tcPr>
                  <w:tcW w:w="556" w:type="pct"/>
                  <w:vAlign w:val="center"/>
                </w:tcPr>
                <w:p w14:paraId="159BEDA4">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112.52</w:t>
                  </w:r>
                </w:p>
              </w:tc>
              <w:tc>
                <w:tcPr>
                  <w:tcW w:w="514" w:type="pct"/>
                  <w:vAlign w:val="center"/>
                </w:tcPr>
                <w:p w14:paraId="6C70841F">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45" w:type="pct"/>
                  <w:vAlign w:val="center"/>
                </w:tcPr>
                <w:p w14:paraId="5EEDD3F6">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117.379</w:t>
                  </w:r>
                </w:p>
              </w:tc>
              <w:tc>
                <w:tcPr>
                  <w:tcW w:w="514" w:type="pct"/>
                  <w:vAlign w:val="center"/>
                </w:tcPr>
                <w:p w14:paraId="69836BD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51" w:type="pct"/>
                  <w:vAlign w:val="center"/>
                </w:tcPr>
                <w:p w14:paraId="229D0290">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0.061</w:t>
                  </w:r>
                </w:p>
              </w:tc>
              <w:tc>
                <w:tcPr>
                  <w:tcW w:w="1429" w:type="dxa"/>
                  <w:vAlign w:val="center"/>
                </w:tcPr>
                <w:p w14:paraId="66E02AE3">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进入毛坯砖中，大部分</w:t>
                  </w:r>
                  <w:r>
                    <w:rPr>
                      <w:color w:val="000000" w:themeColor="text1"/>
                      <w:sz w:val="18"/>
                      <w:szCs w:val="18"/>
                      <w:highlight w:val="none"/>
                      <w14:textFill>
                        <w14:solidFill>
                          <w14:schemeClr w14:val="tx1"/>
                        </w14:solidFill>
                      </w14:textFill>
                    </w:rPr>
                    <w:t>在干燥室、焙烧窑中被</w:t>
                  </w:r>
                  <w:r>
                    <w:rPr>
                      <w:rFonts w:hint="eastAsia"/>
                      <w:color w:val="000000" w:themeColor="text1"/>
                      <w:sz w:val="18"/>
                      <w:szCs w:val="18"/>
                      <w:highlight w:val="none"/>
                      <w14:textFill>
                        <w14:solidFill>
                          <w14:schemeClr w14:val="tx1"/>
                        </w14:solidFill>
                      </w14:textFill>
                    </w:rPr>
                    <w:t>蒸发损耗，极少部分进入成品砖中</w:t>
                  </w:r>
                </w:p>
              </w:tc>
            </w:tr>
            <w:tr w14:paraId="51F8B1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0BB16B2D">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抑尘用水</w:t>
                  </w:r>
                </w:p>
              </w:tc>
              <w:tc>
                <w:tcPr>
                  <w:tcW w:w="486" w:type="pct"/>
                  <w:vAlign w:val="center"/>
                </w:tcPr>
                <w:p w14:paraId="0DF7516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4.6</w:t>
                  </w:r>
                </w:p>
              </w:tc>
              <w:tc>
                <w:tcPr>
                  <w:tcW w:w="462" w:type="pct"/>
                  <w:vAlign w:val="center"/>
                </w:tcPr>
                <w:p w14:paraId="7D930CDF">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4.6</w:t>
                  </w:r>
                </w:p>
              </w:tc>
              <w:tc>
                <w:tcPr>
                  <w:tcW w:w="556" w:type="pct"/>
                  <w:vAlign w:val="center"/>
                </w:tcPr>
                <w:p w14:paraId="30D03119">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14" w:type="pct"/>
                  <w:vAlign w:val="center"/>
                </w:tcPr>
                <w:p w14:paraId="33B64F92">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45" w:type="pct"/>
                  <w:vAlign w:val="center"/>
                </w:tcPr>
                <w:p w14:paraId="330F8ED9">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4.6</w:t>
                  </w:r>
                </w:p>
              </w:tc>
              <w:tc>
                <w:tcPr>
                  <w:tcW w:w="514" w:type="pct"/>
                  <w:vAlign w:val="center"/>
                </w:tcPr>
                <w:p w14:paraId="25710F2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51" w:type="pct"/>
                  <w:vAlign w:val="center"/>
                </w:tcPr>
                <w:p w14:paraId="2584E83F">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429" w:type="dxa"/>
                  <w:vAlign w:val="center"/>
                </w:tcPr>
                <w:p w14:paraId="5492725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进入毛坯砖中，在</w:t>
                  </w:r>
                  <w:r>
                    <w:rPr>
                      <w:color w:val="000000" w:themeColor="text1"/>
                      <w:sz w:val="18"/>
                      <w:szCs w:val="18"/>
                      <w:highlight w:val="none"/>
                      <w14:textFill>
                        <w14:solidFill>
                          <w14:schemeClr w14:val="tx1"/>
                        </w14:solidFill>
                      </w14:textFill>
                    </w:rPr>
                    <w:t>干燥室、焙烧窑中被</w:t>
                  </w:r>
                  <w:r>
                    <w:rPr>
                      <w:rFonts w:hint="eastAsia"/>
                      <w:color w:val="000000" w:themeColor="text1"/>
                      <w:sz w:val="18"/>
                      <w:szCs w:val="18"/>
                      <w:highlight w:val="none"/>
                      <w14:textFill>
                        <w14:solidFill>
                          <w14:schemeClr w14:val="tx1"/>
                        </w14:solidFill>
                      </w14:textFill>
                    </w:rPr>
                    <w:t>蒸发损耗</w:t>
                  </w:r>
                </w:p>
              </w:tc>
            </w:tr>
            <w:tr w14:paraId="507904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4B1A4A04">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设备清洗用水</w:t>
                  </w:r>
                </w:p>
              </w:tc>
              <w:tc>
                <w:tcPr>
                  <w:tcW w:w="486" w:type="pct"/>
                  <w:vAlign w:val="center"/>
                </w:tcPr>
                <w:p w14:paraId="5BE0CA92">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0.48</w:t>
                  </w:r>
                </w:p>
              </w:tc>
              <w:tc>
                <w:tcPr>
                  <w:tcW w:w="462" w:type="pct"/>
                  <w:vAlign w:val="center"/>
                </w:tcPr>
                <w:p w14:paraId="6C3B8AB2">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0.08</w:t>
                  </w:r>
                </w:p>
              </w:tc>
              <w:tc>
                <w:tcPr>
                  <w:tcW w:w="556" w:type="pct"/>
                  <w:vAlign w:val="center"/>
                </w:tcPr>
                <w:p w14:paraId="5474B16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14" w:type="pct"/>
                  <w:vAlign w:val="center"/>
                </w:tcPr>
                <w:p w14:paraId="13C0B40D">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0.4</w:t>
                  </w:r>
                </w:p>
              </w:tc>
              <w:tc>
                <w:tcPr>
                  <w:tcW w:w="545" w:type="pct"/>
                  <w:vAlign w:val="center"/>
                </w:tcPr>
                <w:p w14:paraId="4E28DE19">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0.08</w:t>
                  </w:r>
                </w:p>
              </w:tc>
              <w:tc>
                <w:tcPr>
                  <w:tcW w:w="514" w:type="pct"/>
                  <w:vAlign w:val="center"/>
                </w:tcPr>
                <w:p w14:paraId="72CB4040">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51" w:type="pct"/>
                  <w:vAlign w:val="center"/>
                </w:tcPr>
                <w:p w14:paraId="62000E6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429" w:type="dxa"/>
                  <w:vAlign w:val="center"/>
                </w:tcPr>
                <w:p w14:paraId="00BDC89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经沉淀后，循环使用</w:t>
                  </w:r>
                </w:p>
              </w:tc>
            </w:tr>
            <w:tr w14:paraId="1D94E8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4D4A8EA9">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脱硫用水</w:t>
                  </w:r>
                </w:p>
              </w:tc>
              <w:tc>
                <w:tcPr>
                  <w:tcW w:w="486" w:type="pct"/>
                  <w:vAlign w:val="center"/>
                </w:tcPr>
                <w:p w14:paraId="661B577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18.67</w:t>
                  </w:r>
                </w:p>
              </w:tc>
              <w:tc>
                <w:tcPr>
                  <w:tcW w:w="462" w:type="pct"/>
                  <w:vAlign w:val="center"/>
                </w:tcPr>
                <w:p w14:paraId="7019E1D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556" w:type="pct"/>
                  <w:vAlign w:val="center"/>
                </w:tcPr>
                <w:p w14:paraId="76E039A7">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14" w:type="pct"/>
                  <w:vAlign w:val="center"/>
                </w:tcPr>
                <w:p w14:paraId="6390D5AF">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2.67</w:t>
                  </w:r>
                </w:p>
              </w:tc>
              <w:tc>
                <w:tcPr>
                  <w:tcW w:w="545" w:type="pct"/>
                  <w:vAlign w:val="center"/>
                </w:tcPr>
                <w:p w14:paraId="2B6CCC6E">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514" w:type="pct"/>
                  <w:vAlign w:val="center"/>
                </w:tcPr>
                <w:p w14:paraId="4137067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51" w:type="pct"/>
                  <w:vAlign w:val="center"/>
                </w:tcPr>
                <w:p w14:paraId="7836442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429" w:type="dxa"/>
                  <w:vAlign w:val="center"/>
                </w:tcPr>
                <w:p w14:paraId="53A0754E">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经沉淀后，循环使用</w:t>
                  </w:r>
                </w:p>
              </w:tc>
            </w:tr>
            <w:tr w14:paraId="60E1C3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08AA2FDF">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洗车平台用水</w:t>
                  </w:r>
                </w:p>
              </w:tc>
              <w:tc>
                <w:tcPr>
                  <w:tcW w:w="486" w:type="pct"/>
                  <w:vAlign w:val="center"/>
                </w:tcPr>
                <w:p w14:paraId="36FAEB0A">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1.7</w:t>
                  </w:r>
                </w:p>
              </w:tc>
              <w:tc>
                <w:tcPr>
                  <w:tcW w:w="462" w:type="pct"/>
                  <w:vAlign w:val="center"/>
                </w:tcPr>
                <w:p w14:paraId="719DE043">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0.5</w:t>
                  </w:r>
                </w:p>
              </w:tc>
              <w:tc>
                <w:tcPr>
                  <w:tcW w:w="556" w:type="pct"/>
                  <w:vAlign w:val="center"/>
                </w:tcPr>
                <w:p w14:paraId="27F0E894">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14" w:type="pct"/>
                  <w:vAlign w:val="center"/>
                </w:tcPr>
                <w:p w14:paraId="2DBF79C2">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1.2</w:t>
                  </w:r>
                </w:p>
              </w:tc>
              <w:tc>
                <w:tcPr>
                  <w:tcW w:w="545" w:type="pct"/>
                  <w:vAlign w:val="center"/>
                </w:tcPr>
                <w:p w14:paraId="012CB275">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0.5</w:t>
                  </w:r>
                </w:p>
              </w:tc>
              <w:tc>
                <w:tcPr>
                  <w:tcW w:w="514" w:type="pct"/>
                  <w:vAlign w:val="center"/>
                </w:tcPr>
                <w:p w14:paraId="524C1C7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551" w:type="pct"/>
                  <w:vAlign w:val="center"/>
                </w:tcPr>
                <w:p w14:paraId="66491015">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429" w:type="dxa"/>
                  <w:vAlign w:val="center"/>
                </w:tcPr>
                <w:p w14:paraId="0CCBEDC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经沉淀后，循环使用</w:t>
                  </w:r>
                </w:p>
              </w:tc>
            </w:tr>
            <w:tr w14:paraId="3B89F5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69" w:type="pct"/>
                  <w:vAlign w:val="center"/>
                </w:tcPr>
                <w:p w14:paraId="060B6EEA">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合计</w:t>
                  </w:r>
                </w:p>
              </w:tc>
              <w:tc>
                <w:tcPr>
                  <w:tcW w:w="486" w:type="pct"/>
                  <w:vAlign w:val="center"/>
                </w:tcPr>
                <w:p w14:paraId="0DF25B1D">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144.49</w:t>
                  </w:r>
                </w:p>
              </w:tc>
              <w:tc>
                <w:tcPr>
                  <w:tcW w:w="462" w:type="pct"/>
                  <w:vAlign w:val="center"/>
                </w:tcPr>
                <w:p w14:paraId="0486E52C">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27.7</w:t>
                  </w:r>
                </w:p>
              </w:tc>
              <w:tc>
                <w:tcPr>
                  <w:tcW w:w="556" w:type="pct"/>
                  <w:vAlign w:val="center"/>
                </w:tcPr>
                <w:p w14:paraId="59BE20C8">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112.52</w:t>
                  </w:r>
                </w:p>
              </w:tc>
              <w:tc>
                <w:tcPr>
                  <w:tcW w:w="514" w:type="pct"/>
                  <w:vAlign w:val="center"/>
                </w:tcPr>
                <w:p w14:paraId="150B70FB">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4.27</w:t>
                  </w:r>
                </w:p>
              </w:tc>
              <w:tc>
                <w:tcPr>
                  <w:tcW w:w="545" w:type="pct"/>
                  <w:vAlign w:val="center"/>
                </w:tcPr>
                <w:p w14:paraId="7A3E3170">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138.879</w:t>
                  </w:r>
                </w:p>
              </w:tc>
              <w:tc>
                <w:tcPr>
                  <w:tcW w:w="514" w:type="pct"/>
                  <w:vAlign w:val="center"/>
                </w:tcPr>
                <w:p w14:paraId="4F9691B6">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1.28</w:t>
                  </w:r>
                </w:p>
              </w:tc>
              <w:tc>
                <w:tcPr>
                  <w:tcW w:w="551" w:type="pct"/>
                  <w:vAlign w:val="center"/>
                </w:tcPr>
                <w:p w14:paraId="6330AEFC">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0.061</w:t>
                  </w:r>
                </w:p>
              </w:tc>
              <w:tc>
                <w:tcPr>
                  <w:tcW w:w="899" w:type="pct"/>
                  <w:vAlign w:val="center"/>
                </w:tcPr>
                <w:p w14:paraId="0201B6D1">
                  <w:pPr>
                    <w:pStyle w:val="22"/>
                    <w:adjustRightInd w:val="0"/>
                    <w:spacing w:after="0" w:line="240" w:lineRule="auto"/>
                    <w:ind w:left="-105" w:leftChars="-50" w:right="-105" w:rightChars="-50"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bl>
          <w:p w14:paraId="678EBDC9">
            <w:pPr>
              <w:pStyle w:val="10"/>
              <w:spacing w:line="480" w:lineRule="exact"/>
              <w:ind w:left="0" w:leftChars="0" w:right="0" w:rightChars="0" w:firstLine="466" w:firstLineChars="200"/>
              <w:rPr>
                <w:b/>
                <w:color w:val="000000" w:themeColor="text1"/>
                <w:spacing w:val="-4"/>
                <w:sz w:val="24"/>
                <w:highlight w:val="none"/>
                <w14:textFill>
                  <w14:solidFill>
                    <w14:schemeClr w14:val="tx1"/>
                  </w14:solidFill>
                </w14:textFill>
              </w:rPr>
            </w:pPr>
            <w:r>
              <w:rPr>
                <w:rFonts w:hint="eastAsia"/>
                <w:b/>
                <w:color w:val="000000" w:themeColor="text1"/>
                <w:spacing w:val="-4"/>
                <w:sz w:val="24"/>
                <w:highlight w:val="none"/>
                <w14:textFill>
                  <w14:solidFill>
                    <w14:schemeClr w14:val="tx1"/>
                  </w14:solidFill>
                </w14:textFill>
              </w:rPr>
              <w:t>改扩建项目：</w:t>
            </w:r>
          </w:p>
          <w:p w14:paraId="41751A17">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（1）生活用水</w:t>
            </w:r>
          </w:p>
          <w:p w14:paraId="26A6D0E3">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本次改扩建不新增</w:t>
            </w:r>
            <w:r>
              <w:rPr>
                <w:color w:val="000000" w:themeColor="text1"/>
                <w:spacing w:val="-4"/>
                <w:sz w:val="24"/>
                <w:highlight w:val="none"/>
                <w14:textFill>
                  <w14:solidFill>
                    <w14:schemeClr w14:val="tx1"/>
                  </w14:solidFill>
                </w14:textFill>
              </w:rPr>
              <w:t>劳动定员，</w:t>
            </w:r>
            <w:r>
              <w:rPr>
                <w:rFonts w:hint="eastAsia"/>
                <w:color w:val="000000" w:themeColor="text1"/>
                <w:spacing w:val="-4"/>
                <w:sz w:val="24"/>
                <w:highlight w:val="none"/>
                <w14:textFill>
                  <w14:solidFill>
                    <w14:schemeClr w14:val="tx1"/>
                  </w14:solidFill>
                </w14:textFill>
              </w:rPr>
              <w:t>生活用水量528</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a</w:t>
            </w:r>
            <w:r>
              <w:rPr>
                <w:color w:val="000000" w:themeColor="text1"/>
                <w:spacing w:val="-4"/>
                <w:sz w:val="24"/>
                <w:highlight w:val="none"/>
                <w14:textFill>
                  <w14:solidFill>
                    <w14:schemeClr w14:val="tx1"/>
                  </w14:solidFill>
                </w14:textFill>
              </w:rPr>
              <w:t>。</w:t>
            </w:r>
          </w:p>
          <w:p w14:paraId="14F29D20">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（2）生产用水</w:t>
            </w:r>
          </w:p>
          <w:p w14:paraId="79CDA3DB">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生产用水主要包括生产过程制砖工艺用水、抑尘用水、设备清洗水、脱硫用水</w:t>
            </w:r>
            <w:r>
              <w:rPr>
                <w:rFonts w:hint="eastAsia"/>
                <w:color w:val="000000" w:themeColor="text1"/>
                <w:spacing w:val="-4"/>
                <w:sz w:val="24"/>
                <w:highlight w:val="none"/>
                <w14:textFill>
                  <w14:solidFill>
                    <w14:schemeClr w14:val="tx1"/>
                  </w14:solidFill>
                </w14:textFill>
              </w:rPr>
              <w:t>、洗车平台用水。</w:t>
            </w:r>
          </w:p>
          <w:p w14:paraId="6B0F114C">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①</w:t>
            </w:r>
            <w:r>
              <w:rPr>
                <w:color w:val="000000" w:themeColor="text1"/>
                <w:spacing w:val="-4"/>
                <w:sz w:val="24"/>
                <w:highlight w:val="none"/>
                <w14:textFill>
                  <w14:solidFill>
                    <w14:schemeClr w14:val="tx1"/>
                  </w14:solidFill>
                </w14:textFill>
              </w:rPr>
              <w:t>生产过程制砖工艺用水</w:t>
            </w:r>
          </w:p>
          <w:p w14:paraId="020F93BD">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改扩建后，煤矸石带入水量为</w:t>
            </w:r>
            <w:r>
              <w:rPr>
                <w:rFonts w:hint="eastAsia"/>
                <w:color w:val="000000" w:themeColor="text1"/>
                <w:spacing w:val="-4"/>
                <w:sz w:val="24"/>
                <w:highlight w:val="none"/>
                <w:lang w:val="en-US" w:eastAsia="zh-CN"/>
                <w14:textFill>
                  <w14:solidFill>
                    <w14:schemeClr w14:val="tx1"/>
                  </w14:solidFill>
                </w14:textFill>
              </w:rPr>
              <w:t>17.46</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576</w:t>
            </w:r>
            <w:r>
              <w:rPr>
                <w:rFonts w:hint="eastAsia"/>
                <w:color w:val="000000" w:themeColor="text1"/>
                <w:spacing w:val="-4"/>
                <w:sz w:val="24"/>
                <w:highlight w:val="none"/>
                <w14:textFill>
                  <w14:solidFill>
                    <w14:schemeClr w14:val="tx1"/>
                  </w14:solidFill>
                </w14:textFill>
              </w:rPr>
              <w:t>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a。页岩带入水量为</w:t>
            </w:r>
            <w:r>
              <w:rPr>
                <w:rFonts w:hint="eastAsia"/>
                <w:color w:val="000000" w:themeColor="text1"/>
                <w:spacing w:val="-4"/>
                <w:sz w:val="24"/>
                <w:highlight w:val="none"/>
                <w:lang w:val="en-US" w:eastAsia="zh-CN"/>
                <w14:textFill>
                  <w14:solidFill>
                    <w14:schemeClr w14:val="tx1"/>
                  </w14:solidFill>
                </w14:textFill>
              </w:rPr>
              <w:t>30.25</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9984</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w:t>
            </w:r>
            <w:r>
              <w:rPr>
                <w:color w:val="000000" w:themeColor="text1"/>
                <w:spacing w:val="-4"/>
                <w:sz w:val="24"/>
                <w:highlight w:val="none"/>
                <w14:textFill>
                  <w14:solidFill>
                    <w14:schemeClr w14:val="tx1"/>
                  </w14:solidFill>
                </w14:textFill>
              </w:rPr>
              <w:t>工业污泥</w:t>
            </w:r>
            <w:r>
              <w:rPr>
                <w:rFonts w:hint="eastAsia"/>
                <w:color w:val="000000" w:themeColor="text1"/>
                <w:spacing w:val="-4"/>
                <w:sz w:val="24"/>
                <w:highlight w:val="none"/>
                <w14:textFill>
                  <w14:solidFill>
                    <w14:schemeClr w14:val="tx1"/>
                  </w14:solidFill>
                </w14:textFill>
              </w:rPr>
              <w:t>和生活污泥</w:t>
            </w:r>
            <w:r>
              <w:rPr>
                <w:rFonts w:hint="eastAsia"/>
                <w:color w:val="000000" w:themeColor="text1"/>
                <w:spacing w:val="-4"/>
                <w:sz w:val="24"/>
                <w:highlight w:val="none"/>
                <w:lang w:eastAsia="zh-CN"/>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干排淤泥</w:t>
            </w:r>
            <w:r>
              <w:rPr>
                <w:color w:val="000000" w:themeColor="text1"/>
                <w:spacing w:val="-4"/>
                <w:sz w:val="24"/>
                <w:highlight w:val="none"/>
                <w14:textFill>
                  <w14:solidFill>
                    <w14:schemeClr w14:val="tx1"/>
                  </w14:solidFill>
                </w14:textFill>
              </w:rPr>
              <w:t>年用量</w:t>
            </w:r>
            <w:r>
              <w:rPr>
                <w:rFonts w:hint="eastAsia"/>
                <w:color w:val="000000" w:themeColor="text1"/>
                <w:spacing w:val="-4"/>
                <w:sz w:val="24"/>
                <w:highlight w:val="none"/>
                <w:lang w:val="en-US" w:eastAsia="zh-CN"/>
                <w14:textFill>
                  <w14:solidFill>
                    <w14:schemeClr w14:val="tx1"/>
                  </w14:solidFill>
                </w14:textFill>
              </w:rPr>
              <w:t>分别</w:t>
            </w:r>
            <w:r>
              <w:rPr>
                <w:color w:val="000000" w:themeColor="text1"/>
                <w:spacing w:val="-4"/>
                <w:sz w:val="24"/>
                <w:highlight w:val="none"/>
                <w14:textFill>
                  <w14:solidFill>
                    <w14:schemeClr w14:val="tx1"/>
                  </w14:solidFill>
                </w14:textFill>
              </w:rPr>
              <w:t>为</w:t>
            </w:r>
            <w:r>
              <w:rPr>
                <w:rFonts w:hint="eastAsia"/>
                <w:color w:val="000000" w:themeColor="text1"/>
                <w:spacing w:val="-4"/>
                <w:sz w:val="24"/>
                <w:highlight w:val="none"/>
                <w:lang w:val="en-US" w:eastAsia="zh-CN"/>
                <w14:textFill>
                  <w14:solidFill>
                    <w14:schemeClr w14:val="tx1"/>
                  </w14:solidFill>
                </w14:textFill>
              </w:rPr>
              <w:t>1155</w:t>
            </w:r>
            <w:r>
              <w:rPr>
                <w:rFonts w:hint="eastAsia"/>
                <w:color w:val="000000" w:themeColor="text1"/>
                <w:spacing w:val="-4"/>
                <w:sz w:val="24"/>
                <w:highlight w:val="none"/>
                <w14:textFill>
                  <w14:solidFill>
                    <w14:schemeClr w14:val="tx1"/>
                  </w14:solidFill>
                </w14:textFill>
              </w:rPr>
              <w:t>00</w:t>
            </w:r>
            <w:r>
              <w:rPr>
                <w:color w:val="000000" w:themeColor="text1"/>
                <w:spacing w:val="-4"/>
                <w:sz w:val="24"/>
                <w:highlight w:val="none"/>
                <w14:textFill>
                  <w14:solidFill>
                    <w14:schemeClr w14:val="tx1"/>
                  </w14:solidFill>
                </w14:textFill>
              </w:rPr>
              <w:t>t/a</w:t>
            </w:r>
            <w:r>
              <w:rPr>
                <w:rFonts w:hint="eastAsia"/>
                <w:color w:val="000000" w:themeColor="text1"/>
                <w:spacing w:val="-4"/>
                <w:sz w:val="24"/>
                <w:highlight w:val="none"/>
                <w:lang w:eastAsia="zh-CN"/>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660</w:t>
            </w:r>
            <w:r>
              <w:rPr>
                <w:rFonts w:hint="eastAsia"/>
                <w:color w:val="000000" w:themeColor="text1"/>
                <w:spacing w:val="-4"/>
                <w:sz w:val="24"/>
                <w:highlight w:val="none"/>
                <w14:textFill>
                  <w14:solidFill>
                    <w14:schemeClr w14:val="tx1"/>
                  </w14:solidFill>
                </w14:textFill>
              </w:rPr>
              <w:t>00</w:t>
            </w:r>
            <w:r>
              <w:rPr>
                <w:color w:val="000000" w:themeColor="text1"/>
                <w:spacing w:val="-4"/>
                <w:sz w:val="24"/>
                <w:highlight w:val="none"/>
                <w14:textFill>
                  <w14:solidFill>
                    <w14:schemeClr w14:val="tx1"/>
                  </w14:solidFill>
                </w14:textFill>
              </w:rPr>
              <w:t>t/a</w:t>
            </w:r>
            <w:r>
              <w:rPr>
                <w:rFonts w:hint="eastAsia"/>
                <w:color w:val="000000" w:themeColor="text1"/>
                <w:spacing w:val="-4"/>
                <w:sz w:val="24"/>
                <w:highlight w:val="none"/>
                <w:lang w:eastAsia="zh-CN"/>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5280</w:t>
            </w:r>
            <w:r>
              <w:rPr>
                <w:rFonts w:hint="eastAsia"/>
                <w:color w:val="000000" w:themeColor="text1"/>
                <w:spacing w:val="-4"/>
                <w:sz w:val="24"/>
                <w:highlight w:val="none"/>
                <w14:textFill>
                  <w14:solidFill>
                    <w14:schemeClr w14:val="tx1"/>
                  </w14:solidFill>
                </w14:textFill>
              </w:rPr>
              <w:t>00</w:t>
            </w:r>
            <w:r>
              <w:rPr>
                <w:color w:val="000000" w:themeColor="text1"/>
                <w:spacing w:val="-4"/>
                <w:sz w:val="24"/>
                <w:highlight w:val="none"/>
                <w14:textFill>
                  <w14:solidFill>
                    <w14:schemeClr w14:val="tx1"/>
                  </w14:solidFill>
                </w14:textFill>
              </w:rPr>
              <w:t>t/a，含水率</w:t>
            </w:r>
            <w:r>
              <w:rPr>
                <w:rFonts w:hint="eastAsia"/>
                <w:color w:val="000000" w:themeColor="text1"/>
                <w:spacing w:val="-4"/>
                <w:sz w:val="24"/>
                <w:highlight w:val="none"/>
                <w:lang w:val="en-US" w:eastAsia="zh-CN"/>
                <w14:textFill>
                  <w14:solidFill>
                    <w14:schemeClr w14:val="tx1"/>
                  </w14:solidFill>
                </w14:textFill>
              </w:rPr>
              <w:t>分别</w:t>
            </w:r>
            <w:r>
              <w:rPr>
                <w:color w:val="000000" w:themeColor="text1"/>
                <w:spacing w:val="-4"/>
                <w:sz w:val="24"/>
                <w:highlight w:val="none"/>
                <w14:textFill>
                  <w14:solidFill>
                    <w14:schemeClr w14:val="tx1"/>
                  </w14:solidFill>
                </w14:textFill>
              </w:rPr>
              <w:t>为62.3%</w:t>
            </w:r>
            <w:r>
              <w:rPr>
                <w:rFonts w:hint="eastAsia"/>
                <w:color w:val="000000" w:themeColor="text1"/>
                <w:spacing w:val="-4"/>
                <w:sz w:val="24"/>
                <w:highlight w:val="none"/>
                <w:lang w:eastAsia="zh-CN"/>
                <w14:textFill>
                  <w14:solidFill>
                    <w14:schemeClr w14:val="tx1"/>
                  </w14:solidFill>
                </w14:textFill>
              </w:rPr>
              <w:t>、</w:t>
            </w:r>
            <w:r>
              <w:rPr>
                <w:rFonts w:hint="eastAsia"/>
                <w:color w:val="000000" w:themeColor="text1"/>
                <w:spacing w:val="-4"/>
                <w:sz w:val="24"/>
                <w:highlight w:val="none"/>
                <w14:textFill>
                  <w14:solidFill>
                    <w14:schemeClr w14:val="tx1"/>
                  </w14:solidFill>
                </w14:textFill>
              </w:rPr>
              <w:t>59.5</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lang w:eastAsia="zh-CN"/>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1</w:t>
            </w:r>
            <w:r>
              <w:rPr>
                <w:rFonts w:hint="eastAsia"/>
                <w:color w:val="000000" w:themeColor="text1"/>
                <w:spacing w:val="-4"/>
                <w:sz w:val="24"/>
                <w:highlight w:val="none"/>
                <w14:textFill>
                  <w14:solidFill>
                    <w14:schemeClr w14:val="tx1"/>
                  </w14:solidFill>
                </w14:textFill>
              </w:rPr>
              <w:t>5</w:t>
            </w:r>
            <w:r>
              <w:rPr>
                <w:color w:val="000000" w:themeColor="text1"/>
                <w:spacing w:val="-4"/>
                <w:sz w:val="24"/>
                <w:highlight w:val="none"/>
                <w14:textFill>
                  <w14:solidFill>
                    <w14:schemeClr w14:val="tx1"/>
                  </w14:solidFill>
                </w14:textFill>
              </w:rPr>
              <w:t>%，污泥在运输过程</w:t>
            </w:r>
            <w:r>
              <w:rPr>
                <w:rFonts w:hint="eastAsia"/>
                <w:color w:val="000000" w:themeColor="text1"/>
                <w:spacing w:val="-4"/>
                <w:sz w:val="24"/>
                <w:highlight w:val="none"/>
                <w14:textFill>
                  <w14:solidFill>
                    <w14:schemeClr w14:val="tx1"/>
                  </w14:solidFill>
                </w14:textFill>
              </w:rPr>
              <w:t>及存储过程</w:t>
            </w:r>
            <w:r>
              <w:rPr>
                <w:color w:val="000000" w:themeColor="text1"/>
                <w:spacing w:val="-4"/>
                <w:sz w:val="24"/>
                <w:highlight w:val="none"/>
                <w14:textFill>
                  <w14:solidFill>
                    <w14:schemeClr w14:val="tx1"/>
                  </w14:solidFill>
                </w14:textFill>
              </w:rPr>
              <w:t>中会损耗一部分水量</w:t>
            </w:r>
            <w:r>
              <w:rPr>
                <w:rFonts w:hint="eastAsia"/>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按62840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lang w:val="en-US" w:eastAsia="zh-CN"/>
                <w14:textFill>
                  <w14:solidFill>
                    <w14:schemeClr w14:val="tx1"/>
                  </w14:solidFill>
                </w14:textFill>
              </w:rPr>
              <w:t>计</w:t>
            </w:r>
            <w:r>
              <w:rPr>
                <w:rFonts w:hint="eastAsia"/>
                <w:color w:val="000000" w:themeColor="text1"/>
                <w:spacing w:val="-4"/>
                <w:sz w:val="24"/>
                <w:highlight w:val="none"/>
                <w14:textFill>
                  <w14:solidFill>
                    <w14:schemeClr w14:val="tx1"/>
                  </w14:solidFill>
                </w14:textFill>
              </w:rPr>
              <w:t>）</w:t>
            </w:r>
            <w:r>
              <w:rPr>
                <w:color w:val="000000" w:themeColor="text1"/>
                <w:spacing w:val="-4"/>
                <w:sz w:val="24"/>
                <w:highlight w:val="none"/>
                <w14:textFill>
                  <w14:solidFill>
                    <w14:schemeClr w14:val="tx1"/>
                  </w14:solidFill>
                </w14:textFill>
              </w:rPr>
              <w:t>，经上料</w:t>
            </w:r>
            <w:r>
              <w:rPr>
                <w:rFonts w:hint="eastAsia"/>
                <w:color w:val="000000" w:themeColor="text1"/>
                <w:spacing w:val="-4"/>
                <w:sz w:val="24"/>
                <w:highlight w:val="none"/>
                <w14:textFill>
                  <w14:solidFill>
                    <w14:schemeClr w14:val="tx1"/>
                  </w14:solidFill>
                </w14:textFill>
              </w:rPr>
              <w:t>皮带直接</w:t>
            </w:r>
            <w:r>
              <w:rPr>
                <w:color w:val="000000" w:themeColor="text1"/>
                <w:spacing w:val="-4"/>
                <w:sz w:val="24"/>
                <w:highlight w:val="none"/>
                <w14:textFill>
                  <w14:solidFill>
                    <w14:schemeClr w14:val="tx1"/>
                  </w14:solidFill>
                </w14:textFill>
              </w:rPr>
              <w:t>输送至搅拌机内，污泥带入的水量约</w:t>
            </w:r>
            <w:r>
              <w:rPr>
                <w:rFonts w:hint="eastAsia"/>
                <w:color w:val="000000" w:themeColor="text1"/>
                <w:spacing w:val="-4"/>
                <w:sz w:val="24"/>
                <w:highlight w:val="none"/>
                <w:lang w:val="en-US" w:eastAsia="zh-CN"/>
                <w14:textFill>
                  <w14:solidFill>
                    <w14:schemeClr w14:val="tx1"/>
                  </w14:solidFill>
                </w14:textFill>
              </w:rPr>
              <w:t>386.6</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127586.5</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lang w:eastAsia="zh-CN"/>
                <w14:textFill>
                  <w14:solidFill>
                    <w14:schemeClr w14:val="tx1"/>
                  </w14:solidFill>
                </w14:textFill>
              </w:rPr>
              <w:t>；</w:t>
            </w:r>
            <w:r>
              <w:rPr>
                <w:rFonts w:hint="eastAsia"/>
                <w:color w:val="000000" w:themeColor="text1"/>
                <w:spacing w:val="-4"/>
                <w:sz w:val="24"/>
                <w:highlight w:val="none"/>
                <w14:textFill>
                  <w14:solidFill>
                    <w14:schemeClr w14:val="tx1"/>
                  </w14:solidFill>
                </w14:textFill>
              </w:rPr>
              <w:t>炉渣带入水为</w:t>
            </w:r>
            <w:r>
              <w:rPr>
                <w:rFonts w:hint="eastAsia"/>
                <w:color w:val="000000" w:themeColor="text1"/>
                <w:spacing w:val="-4"/>
                <w:sz w:val="24"/>
                <w:highlight w:val="none"/>
                <w:lang w:val="en-US" w:eastAsia="zh-CN"/>
                <w14:textFill>
                  <w14:solidFill>
                    <w14:schemeClr w14:val="tx1"/>
                  </w14:solidFill>
                </w14:textFill>
              </w:rPr>
              <w:t>173.2</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lang w:val="en-US" w:eastAsia="zh-CN"/>
                <w14:textFill>
                  <w14:solidFill>
                    <w14:schemeClr w14:val="tx1"/>
                  </w14:solidFill>
                </w14:textFill>
              </w:rPr>
              <w:t>571</w:t>
            </w:r>
            <w:r>
              <w:rPr>
                <w:rFonts w:hint="eastAsia"/>
                <w:color w:val="000000" w:themeColor="text1"/>
                <w:spacing w:val="-4"/>
                <w:sz w:val="24"/>
                <w:highlight w:val="none"/>
                <w14:textFill>
                  <w14:solidFill>
                    <w14:schemeClr w14:val="tx1"/>
                  </w14:solidFill>
                </w14:textFill>
              </w:rPr>
              <w:t>50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。原料贮存和转运过程中物料水分蒸发，为达到砖坯成型时含水率的要求，</w:t>
            </w:r>
            <w:r>
              <w:rPr>
                <w:color w:val="000000" w:themeColor="text1"/>
                <w:spacing w:val="-4"/>
                <w:sz w:val="24"/>
                <w:highlight w:val="none"/>
                <w14:textFill>
                  <w14:solidFill>
                    <w14:schemeClr w14:val="tx1"/>
                  </w14:solidFill>
                </w14:textFill>
              </w:rPr>
              <w:t>制砖工艺过程中</w:t>
            </w:r>
            <w:r>
              <w:rPr>
                <w:rFonts w:hint="eastAsia"/>
                <w:color w:val="000000" w:themeColor="text1"/>
                <w:spacing w:val="-4"/>
                <w:sz w:val="24"/>
                <w:highlight w:val="none"/>
                <w14:textFill>
                  <w14:solidFill>
                    <w14:schemeClr w14:val="tx1"/>
                  </w14:solidFill>
                </w14:textFill>
              </w:rPr>
              <w:t>根据需要</w:t>
            </w:r>
            <w:r>
              <w:rPr>
                <w:color w:val="000000" w:themeColor="text1"/>
                <w:spacing w:val="-4"/>
                <w:sz w:val="24"/>
                <w:highlight w:val="none"/>
                <w14:textFill>
                  <w14:solidFill>
                    <w14:schemeClr w14:val="tx1"/>
                  </w14:solidFill>
                </w14:textFill>
              </w:rPr>
              <w:t>加入</w:t>
            </w:r>
            <w:r>
              <w:rPr>
                <w:rFonts w:hint="eastAsia"/>
                <w:color w:val="000000" w:themeColor="text1"/>
                <w:spacing w:val="-4"/>
                <w:sz w:val="24"/>
                <w:highlight w:val="none"/>
                <w14:textFill>
                  <w14:solidFill>
                    <w14:schemeClr w14:val="tx1"/>
                  </w14:solidFill>
                </w14:textFill>
              </w:rPr>
              <w:t>新鲜水</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新鲜水</w:t>
            </w:r>
            <w:r>
              <w:rPr>
                <w:color w:val="000000" w:themeColor="text1"/>
                <w:spacing w:val="-4"/>
                <w:sz w:val="24"/>
                <w:highlight w:val="none"/>
                <w14:textFill>
                  <w14:solidFill>
                    <w14:schemeClr w14:val="tx1"/>
                  </w14:solidFill>
                </w14:textFill>
              </w:rPr>
              <w:t>用水量为</w:t>
            </w:r>
            <w:r>
              <w:rPr>
                <w:rFonts w:hint="eastAsia"/>
                <w:color w:val="000000" w:themeColor="text1"/>
                <w:spacing w:val="-4"/>
                <w:sz w:val="24"/>
                <w:highlight w:val="none"/>
                <w:lang w:val="en-US" w:eastAsia="zh-CN"/>
                <w14:textFill>
                  <w14:solidFill>
                    <w14:schemeClr w14:val="tx1"/>
                  </w14:solidFill>
                </w14:textFill>
              </w:rPr>
              <w:t>7</w:t>
            </w:r>
            <w:r>
              <w:rPr>
                <w:rFonts w:hint="eastAsia"/>
                <w:color w:val="000000" w:themeColor="text1"/>
                <w:spacing w:val="-4"/>
                <w:sz w:val="24"/>
                <w:highlight w:val="none"/>
                <w14:textFill>
                  <w14:solidFill>
                    <w14:schemeClr w14:val="tx1"/>
                  </w14:solidFill>
                </w14:textFill>
              </w:rPr>
              <w:t>.5</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lang w:val="en-US" w:eastAsia="zh-CN"/>
                <w14:textFill>
                  <w14:solidFill>
                    <w14:schemeClr w14:val="tx1"/>
                  </w14:solidFill>
                </w14:textFill>
              </w:rPr>
              <w:t>2475</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/a，生产用水随原料进入毛坯砖中，</w:t>
            </w:r>
            <w:r>
              <w:rPr>
                <w:rFonts w:hint="eastAsia"/>
                <w:color w:val="000000" w:themeColor="text1"/>
                <w:spacing w:val="-4"/>
                <w:sz w:val="24"/>
                <w:highlight w:val="none"/>
                <w14:textFill>
                  <w14:solidFill>
                    <w14:schemeClr w14:val="tx1"/>
                  </w14:solidFill>
                </w14:textFill>
              </w:rPr>
              <w:t>大部分</w:t>
            </w:r>
            <w:r>
              <w:rPr>
                <w:color w:val="000000" w:themeColor="text1"/>
                <w:spacing w:val="-4"/>
                <w:sz w:val="24"/>
                <w:highlight w:val="none"/>
                <w14:textFill>
                  <w14:solidFill>
                    <w14:schemeClr w14:val="tx1"/>
                  </w14:solidFill>
                </w14:textFill>
              </w:rPr>
              <w:t>在干燥室、焙烧窑中被</w:t>
            </w:r>
            <w:r>
              <w:rPr>
                <w:rFonts w:hint="eastAsia"/>
                <w:color w:val="000000" w:themeColor="text1"/>
                <w:spacing w:val="-4"/>
                <w:sz w:val="24"/>
                <w:highlight w:val="none"/>
                <w14:textFill>
                  <w14:solidFill>
                    <w14:schemeClr w14:val="tx1"/>
                  </w14:solidFill>
                </w14:textFill>
              </w:rPr>
              <w:t>蒸发损耗，极少部分进入成品砖中</w:t>
            </w:r>
            <w:r>
              <w:rPr>
                <w:color w:val="000000" w:themeColor="text1"/>
                <w:spacing w:val="-4"/>
                <w:sz w:val="24"/>
                <w:highlight w:val="none"/>
                <w14:textFill>
                  <w14:solidFill>
                    <w14:schemeClr w14:val="tx1"/>
                  </w14:solidFill>
                </w14:textFill>
              </w:rPr>
              <w:t>。</w:t>
            </w:r>
          </w:p>
          <w:p w14:paraId="200A0228">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②</w:t>
            </w:r>
            <w:r>
              <w:rPr>
                <w:color w:val="000000" w:themeColor="text1"/>
                <w:spacing w:val="-4"/>
                <w:sz w:val="24"/>
                <w:highlight w:val="none"/>
                <w14:textFill>
                  <w14:solidFill>
                    <w14:schemeClr w14:val="tx1"/>
                  </w14:solidFill>
                </w14:textFill>
              </w:rPr>
              <w:t>抑尘用水</w:t>
            </w:r>
          </w:p>
          <w:p w14:paraId="0F0264DC">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原料</w:t>
            </w:r>
            <w:r>
              <w:rPr>
                <w:color w:val="000000" w:themeColor="text1"/>
                <w:spacing w:val="-4"/>
                <w:sz w:val="24"/>
                <w:highlight w:val="none"/>
                <w14:textFill>
                  <w14:solidFill>
                    <w14:schemeClr w14:val="tx1"/>
                  </w14:solidFill>
                </w14:textFill>
              </w:rPr>
              <w:t>破碎工段喷淋用水量</w:t>
            </w:r>
            <w:r>
              <w:rPr>
                <w:rFonts w:hint="eastAsia"/>
                <w:color w:val="000000" w:themeColor="text1"/>
                <w:spacing w:val="-4"/>
                <w:sz w:val="24"/>
                <w:highlight w:val="none"/>
                <w:lang w:val="en-US" w:eastAsia="zh-CN"/>
                <w14:textFill>
                  <w14:solidFill>
                    <w14:schemeClr w14:val="tx1"/>
                  </w14:solidFill>
                </w14:textFill>
              </w:rPr>
              <w:t>9.2</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lang w:val="en-US" w:eastAsia="zh-CN"/>
                <w14:textFill>
                  <w14:solidFill>
                    <w14:schemeClr w14:val="tx1"/>
                  </w14:solidFill>
                </w14:textFill>
              </w:rPr>
              <w:t>3036</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约</w:t>
            </w:r>
            <w:r>
              <w:rPr>
                <w:color w:val="000000" w:themeColor="text1"/>
                <w:spacing w:val="-4"/>
                <w:sz w:val="24"/>
                <w:highlight w:val="none"/>
                <w14:textFill>
                  <w14:solidFill>
                    <w14:schemeClr w14:val="tx1"/>
                  </w14:solidFill>
                </w14:textFill>
              </w:rPr>
              <w:t>20%挥发，80%水分进入</w:t>
            </w:r>
            <w:r>
              <w:rPr>
                <w:rFonts w:hint="eastAsia"/>
                <w:color w:val="000000" w:themeColor="text1"/>
                <w:spacing w:val="-4"/>
                <w:sz w:val="24"/>
                <w:highlight w:val="none"/>
                <w14:textFill>
                  <w14:solidFill>
                    <w14:schemeClr w14:val="tx1"/>
                  </w14:solidFill>
                </w14:textFill>
              </w:rPr>
              <w:t>砖坯</w:t>
            </w:r>
            <w:r>
              <w:rPr>
                <w:color w:val="000000" w:themeColor="text1"/>
                <w:spacing w:val="-4"/>
                <w:sz w:val="24"/>
                <w:highlight w:val="none"/>
                <w14:textFill>
                  <w14:solidFill>
                    <w14:schemeClr w14:val="tx1"/>
                  </w14:solidFill>
                </w14:textFill>
              </w:rPr>
              <w:t>，在干燥室、焙烧窑中被加热变成蒸汽进入大气中。</w:t>
            </w:r>
          </w:p>
          <w:p w14:paraId="11DC7F0E">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③</w:t>
            </w:r>
            <w:r>
              <w:rPr>
                <w:color w:val="000000" w:themeColor="text1"/>
                <w:spacing w:val="-4"/>
                <w:sz w:val="24"/>
                <w:highlight w:val="none"/>
                <w14:textFill>
                  <w14:solidFill>
                    <w14:schemeClr w14:val="tx1"/>
                  </w14:solidFill>
                </w14:textFill>
              </w:rPr>
              <w:t>设备清洗水</w:t>
            </w:r>
          </w:p>
          <w:p w14:paraId="191D3FD8">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设备清洗</w:t>
            </w:r>
            <w:r>
              <w:rPr>
                <w:rFonts w:hint="eastAsia"/>
                <w:color w:val="000000" w:themeColor="text1"/>
                <w:spacing w:val="-4"/>
                <w:sz w:val="24"/>
                <w:highlight w:val="none"/>
                <w14:textFill>
                  <w14:solidFill>
                    <w14:schemeClr w14:val="tx1"/>
                  </w14:solidFill>
                </w14:textFill>
              </w:rPr>
              <w:t>频次不变，用水量0.48</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d，158.4</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，其中新水补充量约0.08</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w:t>
            </w:r>
            <w:r>
              <w:rPr>
                <w:rFonts w:hint="eastAsia"/>
                <w:color w:val="000000" w:themeColor="text1"/>
                <w:spacing w:val="-4"/>
                <w:sz w:val="24"/>
                <w:highlight w:val="none"/>
                <w14:textFill>
                  <w14:solidFill>
                    <w14:schemeClr w14:val="tx1"/>
                  </w14:solidFill>
                </w14:textFill>
              </w:rPr>
              <w:t>d。废水</w:t>
            </w:r>
            <w:r>
              <w:rPr>
                <w:color w:val="000000" w:themeColor="text1"/>
                <w:spacing w:val="-4"/>
                <w:sz w:val="24"/>
                <w:highlight w:val="none"/>
                <w14:textFill>
                  <w14:solidFill>
                    <w14:schemeClr w14:val="tx1"/>
                  </w14:solidFill>
                </w14:textFill>
              </w:rPr>
              <w:t>经收集后沉淀回用于设备清洗，不外排。</w:t>
            </w:r>
          </w:p>
          <w:p w14:paraId="059E7164">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④</w:t>
            </w:r>
            <w:r>
              <w:rPr>
                <w:color w:val="000000" w:themeColor="text1"/>
                <w:spacing w:val="-4"/>
                <w:sz w:val="24"/>
                <w:highlight w:val="none"/>
                <w14:textFill>
                  <w14:solidFill>
                    <w14:schemeClr w14:val="tx1"/>
                  </w14:solidFill>
                </w14:textFill>
              </w:rPr>
              <w:t>脱硫</w:t>
            </w:r>
            <w:r>
              <w:rPr>
                <w:rFonts w:hint="eastAsia"/>
                <w:color w:val="000000" w:themeColor="text1"/>
                <w:spacing w:val="-4"/>
                <w:sz w:val="24"/>
                <w:highlight w:val="none"/>
                <w14:textFill>
                  <w14:solidFill>
                    <w14:schemeClr w14:val="tx1"/>
                  </w14:solidFill>
                </w14:textFill>
              </w:rPr>
              <w:t>除尘</w:t>
            </w:r>
            <w:r>
              <w:rPr>
                <w:color w:val="000000" w:themeColor="text1"/>
                <w:spacing w:val="-4"/>
                <w:sz w:val="24"/>
                <w:highlight w:val="none"/>
                <w14:textFill>
                  <w14:solidFill>
                    <w14:schemeClr w14:val="tx1"/>
                  </w14:solidFill>
                </w14:textFill>
              </w:rPr>
              <w:t>用水</w:t>
            </w:r>
          </w:p>
          <w:p w14:paraId="691E4358">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隧道窑废气</w:t>
            </w:r>
            <w:r>
              <w:rPr>
                <w:rFonts w:hint="eastAsia"/>
                <w:color w:val="000000" w:themeColor="text1"/>
                <w:spacing w:val="-4"/>
                <w:sz w:val="24"/>
                <w:highlight w:val="none"/>
                <w14:textFill>
                  <w14:solidFill>
                    <w14:schemeClr w14:val="tx1"/>
                  </w14:solidFill>
                </w14:textFill>
              </w:rPr>
              <w:t>使用</w:t>
            </w:r>
            <w:r>
              <w:rPr>
                <w:color w:val="000000" w:themeColor="text1"/>
                <w:spacing w:val="-4"/>
                <w:sz w:val="24"/>
                <w:highlight w:val="none"/>
                <w14:textFill>
                  <w14:solidFill>
                    <w14:schemeClr w14:val="tx1"/>
                  </w14:solidFill>
                </w14:textFill>
              </w:rPr>
              <w:t>石灰-石膏法脱硫</w:t>
            </w:r>
            <w:r>
              <w:rPr>
                <w:rFonts w:hint="eastAsia"/>
                <w:color w:val="000000" w:themeColor="text1"/>
                <w:spacing w:val="-4"/>
                <w:sz w:val="24"/>
                <w:highlight w:val="none"/>
                <w14:textFill>
                  <w14:solidFill>
                    <w14:schemeClr w14:val="tx1"/>
                  </w14:solidFill>
                </w14:textFill>
              </w:rPr>
              <w:t>、湿式静电除尘</w:t>
            </w:r>
            <w:r>
              <w:rPr>
                <w:color w:val="000000" w:themeColor="text1"/>
                <w:spacing w:val="-4"/>
                <w:sz w:val="24"/>
                <w:highlight w:val="none"/>
                <w14:textFill>
                  <w14:solidFill>
                    <w14:schemeClr w14:val="tx1"/>
                  </w14:solidFill>
                </w14:textFill>
              </w:rPr>
              <w:t>，石灰-石膏法脱硫</w:t>
            </w:r>
            <w:r>
              <w:rPr>
                <w:rFonts w:hint="eastAsia"/>
                <w:color w:val="000000" w:themeColor="text1"/>
                <w:spacing w:val="-4"/>
                <w:sz w:val="24"/>
                <w:highlight w:val="none"/>
                <w14:textFill>
                  <w14:solidFill>
                    <w14:schemeClr w14:val="tx1"/>
                  </w14:solidFill>
                </w14:textFill>
              </w:rPr>
              <w:t>和湿式静电除尘</w:t>
            </w:r>
            <w:r>
              <w:rPr>
                <w:color w:val="000000" w:themeColor="text1"/>
                <w:spacing w:val="-4"/>
                <w:sz w:val="24"/>
                <w:highlight w:val="none"/>
                <w14:textFill>
                  <w14:solidFill>
                    <w14:schemeClr w14:val="tx1"/>
                  </w14:solidFill>
                </w14:textFill>
              </w:rPr>
              <w:t>用水量约</w:t>
            </w:r>
            <w:r>
              <w:rPr>
                <w:rFonts w:hint="eastAsia"/>
                <w:color w:val="000000" w:themeColor="text1"/>
                <w:spacing w:val="-4"/>
                <w:sz w:val="24"/>
                <w:highlight w:val="none"/>
                <w:lang w:val="en-US" w:eastAsia="zh-CN"/>
                <w14:textFill>
                  <w14:solidFill>
                    <w14:schemeClr w14:val="tx1"/>
                  </w14:solidFill>
                </w14:textFill>
              </w:rPr>
              <w:t>3828</w:t>
            </w:r>
            <w:r>
              <w:rPr>
                <w:color w:val="000000" w:themeColor="text1"/>
                <w:spacing w:val="-4"/>
                <w:sz w:val="24"/>
                <w:highlight w:val="none"/>
                <w14:textFill>
                  <w14:solidFill>
                    <w14:schemeClr w14:val="tx1"/>
                  </w14:solidFill>
                </w14:textFill>
              </w:rPr>
              <w:t>0m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/a，其中补充新水16m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14:textFill>
                  <w14:solidFill>
                    <w14:schemeClr w14:val="tx1"/>
                  </w14:solidFill>
                </w14:textFill>
              </w:rPr>
              <w:t>5280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/a，循环水量为</w:t>
            </w:r>
            <w:r>
              <w:rPr>
                <w:rFonts w:hint="eastAsia"/>
                <w:color w:val="000000" w:themeColor="text1"/>
                <w:spacing w:val="-4"/>
                <w:sz w:val="24"/>
                <w:highlight w:val="none"/>
                <w14:textFill>
                  <w14:solidFill>
                    <w14:schemeClr w14:val="tx1"/>
                  </w14:solidFill>
                </w14:textFill>
              </w:rPr>
              <w:t>33000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/a，无废水外排。</w:t>
            </w:r>
          </w:p>
          <w:p w14:paraId="5DEB83BD">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⑤</w:t>
            </w:r>
            <w:r>
              <w:rPr>
                <w:color w:val="000000" w:themeColor="text1"/>
                <w:spacing w:val="-4"/>
                <w:sz w:val="24"/>
                <w:highlight w:val="none"/>
                <w14:textFill>
                  <w14:solidFill>
                    <w14:schemeClr w14:val="tx1"/>
                  </w14:solidFill>
                </w14:textFill>
              </w:rPr>
              <w:t>洗车平台用水</w:t>
            </w:r>
          </w:p>
          <w:p w14:paraId="565D2F10">
            <w:pPr>
              <w:pStyle w:val="10"/>
              <w:spacing w:line="460" w:lineRule="exact"/>
              <w:ind w:left="0" w:leftChars="0" w:right="0" w:rightChars="0" w:firstLine="464" w:firstLineChars="200"/>
              <w:rPr>
                <w:b/>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改扩建后</w:t>
            </w:r>
            <w:r>
              <w:rPr>
                <w:color w:val="000000" w:themeColor="text1"/>
                <w:spacing w:val="-4"/>
                <w:sz w:val="24"/>
                <w:highlight w:val="none"/>
                <w14:textFill>
                  <w14:solidFill>
                    <w14:schemeClr w14:val="tx1"/>
                  </w14:solidFill>
                </w14:textFill>
              </w:rPr>
              <w:t>煤矸石、页岩</w:t>
            </w:r>
            <w:r>
              <w:rPr>
                <w:rFonts w:hint="eastAsia"/>
                <w:color w:val="000000" w:themeColor="text1"/>
                <w:spacing w:val="-4"/>
                <w:sz w:val="24"/>
                <w:highlight w:val="none"/>
                <w14:textFill>
                  <w14:solidFill>
                    <w14:schemeClr w14:val="tx1"/>
                  </w14:solidFill>
                </w14:textFill>
              </w:rPr>
              <w:t>、剥岩废料及一般工业固废等</w:t>
            </w:r>
            <w:r>
              <w:rPr>
                <w:color w:val="000000" w:themeColor="text1"/>
                <w:spacing w:val="-4"/>
                <w:sz w:val="24"/>
                <w:highlight w:val="none"/>
                <w14:textFill>
                  <w14:solidFill>
                    <w14:schemeClr w14:val="tx1"/>
                  </w14:solidFill>
                </w14:textFill>
              </w:rPr>
              <w:t>原料总用量为</w:t>
            </w:r>
            <w:r>
              <w:rPr>
                <w:rFonts w:hint="eastAsia"/>
                <w:color w:val="000000" w:themeColor="text1"/>
                <w:spacing w:val="-4"/>
                <w:sz w:val="24"/>
                <w:highlight w:val="none"/>
                <w:lang w:val="en-US" w:eastAsia="zh-CN"/>
                <w14:textFill>
                  <w14:solidFill>
                    <w14:schemeClr w14:val="tx1"/>
                  </w14:solidFill>
                </w14:textFill>
              </w:rPr>
              <w:t>13545</w:t>
            </w:r>
            <w:r>
              <w:rPr>
                <w:rFonts w:hint="eastAsia"/>
                <w:color w:val="000000" w:themeColor="text1"/>
                <w:spacing w:val="-4"/>
                <w:sz w:val="24"/>
                <w:highlight w:val="none"/>
                <w14:textFill>
                  <w14:solidFill>
                    <w14:schemeClr w14:val="tx1"/>
                  </w14:solidFill>
                </w14:textFill>
              </w:rPr>
              <w:t>00</w:t>
            </w:r>
            <w:r>
              <w:rPr>
                <w:color w:val="000000" w:themeColor="text1"/>
                <w:spacing w:val="-4"/>
                <w:sz w:val="24"/>
                <w:highlight w:val="none"/>
                <w14:textFill>
                  <w14:solidFill>
                    <w14:schemeClr w14:val="tx1"/>
                  </w14:solidFill>
                </w14:textFill>
              </w:rPr>
              <w:t>t/a，采用载重</w:t>
            </w:r>
            <w:r>
              <w:rPr>
                <w:rFonts w:hint="eastAsia"/>
                <w:color w:val="000000" w:themeColor="text1"/>
                <w:spacing w:val="-4"/>
                <w:sz w:val="24"/>
                <w:highlight w:val="none"/>
                <w:lang w:val="en-US" w:eastAsia="zh-CN"/>
                <w14:textFill>
                  <w14:solidFill>
                    <w14:schemeClr w14:val="tx1"/>
                  </w14:solidFill>
                </w14:textFill>
              </w:rPr>
              <w:t>3</w:t>
            </w:r>
            <w:r>
              <w:rPr>
                <w:rFonts w:hint="eastAsia"/>
                <w:color w:val="000000" w:themeColor="text1"/>
                <w:spacing w:val="-4"/>
                <w:sz w:val="24"/>
                <w:highlight w:val="none"/>
                <w14:textFill>
                  <w14:solidFill>
                    <w14:schemeClr w14:val="tx1"/>
                  </w14:solidFill>
                </w14:textFill>
              </w:rPr>
              <w:t>0</w:t>
            </w:r>
            <w:r>
              <w:rPr>
                <w:color w:val="000000" w:themeColor="text1"/>
                <w:spacing w:val="-4"/>
                <w:sz w:val="24"/>
                <w:highlight w:val="none"/>
                <w14:textFill>
                  <w14:solidFill>
                    <w14:schemeClr w14:val="tx1"/>
                  </w14:solidFill>
                </w14:textFill>
              </w:rPr>
              <w:t>吨的汽车进行运输，每天运输</w:t>
            </w:r>
            <w:r>
              <w:rPr>
                <w:rFonts w:hint="eastAsia"/>
                <w:color w:val="000000" w:themeColor="text1"/>
                <w:spacing w:val="-4"/>
                <w:sz w:val="24"/>
                <w:highlight w:val="none"/>
                <w:lang w:val="en-US" w:eastAsia="zh-CN"/>
                <w14:textFill>
                  <w14:solidFill>
                    <w14:schemeClr w14:val="tx1"/>
                  </w14:solidFill>
                </w14:textFill>
              </w:rPr>
              <w:t>137</w:t>
            </w:r>
            <w:r>
              <w:rPr>
                <w:color w:val="000000" w:themeColor="text1"/>
                <w:spacing w:val="-4"/>
                <w:sz w:val="24"/>
                <w:highlight w:val="none"/>
                <w14:textFill>
                  <w14:solidFill>
                    <w14:schemeClr w14:val="tx1"/>
                  </w14:solidFill>
                </w14:textFill>
              </w:rPr>
              <w:t>辆/次，运输车辆清洗用水按</w:t>
            </w:r>
            <w:r>
              <w:rPr>
                <w:rFonts w:hint="eastAsia"/>
                <w:color w:val="000000" w:themeColor="text1"/>
                <w:spacing w:val="-4"/>
                <w:sz w:val="24"/>
                <w:highlight w:val="none"/>
                <w14:textFill>
                  <w14:solidFill>
                    <w14:schemeClr w14:val="tx1"/>
                  </w14:solidFill>
                </w14:textFill>
              </w:rPr>
              <w:t>100</w:t>
            </w:r>
            <w:r>
              <w:rPr>
                <w:color w:val="000000" w:themeColor="text1"/>
                <w:spacing w:val="-4"/>
                <w:sz w:val="24"/>
                <w:highlight w:val="none"/>
                <w14:textFill>
                  <w14:solidFill>
                    <w14:schemeClr w14:val="tx1"/>
                  </w14:solidFill>
                </w14:textFill>
              </w:rPr>
              <w:t>L/辆·次计，则车辆清洗用水约为</w:t>
            </w:r>
            <w:r>
              <w:rPr>
                <w:rFonts w:hint="eastAsia"/>
                <w:color w:val="000000" w:themeColor="text1"/>
                <w:spacing w:val="-4"/>
                <w:sz w:val="24"/>
                <w:highlight w:val="none"/>
                <w:lang w:val="en-US" w:eastAsia="zh-CN"/>
                <w14:textFill>
                  <w14:solidFill>
                    <w14:schemeClr w14:val="tx1"/>
                  </w14:solidFill>
                </w14:textFill>
              </w:rPr>
              <w:t>13.7</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lang w:val="en-US" w:eastAsia="zh-CN"/>
                <w14:textFill>
                  <w14:solidFill>
                    <w14:schemeClr w14:val="tx1"/>
                  </w14:solidFill>
                </w14:textFill>
              </w:rPr>
              <w:t>4521</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其中补充水量为</w:t>
            </w:r>
            <w:r>
              <w:rPr>
                <w:rFonts w:hint="eastAsia"/>
                <w:color w:val="000000" w:themeColor="text1"/>
                <w:spacing w:val="-4"/>
                <w:sz w:val="24"/>
                <w:highlight w:val="none"/>
                <w:lang w:val="en-US" w:eastAsia="zh-CN"/>
                <w14:textFill>
                  <w14:solidFill>
                    <w14:schemeClr w14:val="tx1"/>
                  </w14:solidFill>
                </w14:textFill>
              </w:rPr>
              <w:t>2</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/d，</w:t>
            </w:r>
            <w:r>
              <w:rPr>
                <w:rFonts w:hint="eastAsia"/>
                <w:color w:val="000000" w:themeColor="text1"/>
                <w:spacing w:val="-4"/>
                <w:sz w:val="24"/>
                <w:highlight w:val="none"/>
                <w:lang w:val="en-US" w:eastAsia="zh-CN"/>
                <w14:textFill>
                  <w14:solidFill>
                    <w14:schemeClr w14:val="tx1"/>
                  </w14:solidFill>
                </w14:textFill>
              </w:rPr>
              <w:t>66</w:t>
            </w:r>
            <w:r>
              <w:rPr>
                <w:rFonts w:hint="eastAsia"/>
                <w:color w:val="000000" w:themeColor="text1"/>
                <w:spacing w:val="-4"/>
                <w:sz w:val="24"/>
                <w:highlight w:val="none"/>
                <w14:textFill>
                  <w14:solidFill>
                    <w14:schemeClr w14:val="tx1"/>
                  </w14:solidFill>
                </w14:textFill>
              </w:rPr>
              <w:t>0</w:t>
            </w:r>
            <w:r>
              <w:rPr>
                <w:color w:val="000000" w:themeColor="text1"/>
                <w:spacing w:val="-4"/>
                <w:sz w:val="24"/>
                <w:highlight w:val="none"/>
                <w14:textFill>
                  <w14:solidFill>
                    <w14:schemeClr w14:val="tx1"/>
                  </w14:solidFill>
                </w14:textFill>
              </w:rPr>
              <w:t>m</w:t>
            </w:r>
            <w:r>
              <w:rPr>
                <w:color w:val="000000" w:themeColor="text1"/>
                <w:spacing w:val="-4"/>
                <w:sz w:val="24"/>
                <w:highlight w:val="none"/>
                <w:vertAlign w:val="superscript"/>
                <w14:textFill>
                  <w14:solidFill>
                    <w14:schemeClr w14:val="tx1"/>
                  </w14:solidFill>
                </w14:textFill>
              </w:rPr>
              <w:t>3</w:t>
            </w:r>
            <w:r>
              <w:rPr>
                <w:color w:val="000000" w:themeColor="text1"/>
                <w:spacing w:val="-4"/>
                <w:sz w:val="24"/>
                <w:highlight w:val="none"/>
                <w14:textFill>
                  <w14:solidFill>
                    <w14:schemeClr w14:val="tx1"/>
                  </w14:solidFill>
                </w14:textFill>
              </w:rPr>
              <w:t>/a</w:t>
            </w:r>
            <w:r>
              <w:rPr>
                <w:rFonts w:hint="eastAsia"/>
                <w:color w:val="000000" w:themeColor="text1"/>
                <w:spacing w:val="-4"/>
                <w:sz w:val="24"/>
                <w:highlight w:val="none"/>
                <w14:textFill>
                  <w14:solidFill>
                    <w14:schemeClr w14:val="tx1"/>
                  </w14:solidFill>
                </w14:textFill>
              </w:rPr>
              <w:t>。</w:t>
            </w:r>
          </w:p>
          <w:p w14:paraId="36608E8C">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（2）排水</w:t>
            </w:r>
          </w:p>
          <w:p w14:paraId="42DECAEE">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ascii="宋体" w:hAnsi="宋体" w:cs="宋体"/>
                <w:color w:val="000000" w:themeColor="text1"/>
                <w:spacing w:val="-4"/>
                <w:sz w:val="24"/>
                <w:highlight w:val="none"/>
                <w14:textFill>
                  <w14:solidFill>
                    <w14:schemeClr w14:val="tx1"/>
                  </w14:solidFill>
                </w14:textFill>
              </w:rPr>
              <w:t>①</w:t>
            </w:r>
            <w:r>
              <w:rPr>
                <w:color w:val="000000" w:themeColor="text1"/>
                <w:spacing w:val="-4"/>
                <w:sz w:val="24"/>
                <w:highlight w:val="none"/>
                <w14:textFill>
                  <w14:solidFill>
                    <w14:schemeClr w14:val="tx1"/>
                  </w14:solidFill>
                </w14:textFill>
              </w:rPr>
              <w:t>生活污水</w:t>
            </w:r>
          </w:p>
          <w:p w14:paraId="16A98BEB">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职工生活污水全部用于厂区内泼洒抑尘，不外排。</w:t>
            </w:r>
          </w:p>
          <w:p w14:paraId="262706FA">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②</w:t>
            </w:r>
            <w:r>
              <w:rPr>
                <w:color w:val="000000" w:themeColor="text1"/>
                <w:spacing w:val="-4"/>
                <w:sz w:val="24"/>
                <w:highlight w:val="none"/>
                <w14:textFill>
                  <w14:solidFill>
                    <w14:schemeClr w14:val="tx1"/>
                  </w14:solidFill>
                </w14:textFill>
              </w:rPr>
              <w:t>生产废水</w:t>
            </w:r>
          </w:p>
          <w:p w14:paraId="1689C775">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生产过程制砖工艺用水随原料进入毛坯砖中，</w:t>
            </w:r>
            <w:r>
              <w:rPr>
                <w:rFonts w:hint="eastAsia"/>
                <w:color w:val="000000" w:themeColor="text1"/>
                <w:spacing w:val="-4"/>
                <w:sz w:val="24"/>
                <w:highlight w:val="none"/>
                <w14:textFill>
                  <w14:solidFill>
                    <w14:schemeClr w14:val="tx1"/>
                  </w14:solidFill>
                </w14:textFill>
              </w:rPr>
              <w:t>大部分</w:t>
            </w:r>
            <w:r>
              <w:rPr>
                <w:color w:val="000000" w:themeColor="text1"/>
                <w:spacing w:val="-4"/>
                <w:sz w:val="24"/>
                <w:highlight w:val="none"/>
                <w14:textFill>
                  <w14:solidFill>
                    <w14:schemeClr w14:val="tx1"/>
                  </w14:solidFill>
                </w14:textFill>
              </w:rPr>
              <w:t>在干燥室、焙烧窑中被</w:t>
            </w:r>
            <w:r>
              <w:rPr>
                <w:rFonts w:hint="eastAsia"/>
                <w:color w:val="000000" w:themeColor="text1"/>
                <w:spacing w:val="-4"/>
                <w:sz w:val="24"/>
                <w:highlight w:val="none"/>
                <w14:textFill>
                  <w14:solidFill>
                    <w14:schemeClr w14:val="tx1"/>
                  </w14:solidFill>
                </w14:textFill>
              </w:rPr>
              <w:t>蒸发损耗，极少部分进入成品砖中，</w:t>
            </w:r>
            <w:r>
              <w:rPr>
                <w:color w:val="000000" w:themeColor="text1"/>
                <w:spacing w:val="-4"/>
                <w:sz w:val="24"/>
                <w:highlight w:val="none"/>
                <w14:textFill>
                  <w14:solidFill>
                    <w14:schemeClr w14:val="tx1"/>
                  </w14:solidFill>
                </w14:textFill>
              </w:rPr>
              <w:t>无废水产生；抑尘用水</w:t>
            </w:r>
            <w:r>
              <w:rPr>
                <w:rFonts w:hint="eastAsia"/>
                <w:color w:val="000000" w:themeColor="text1"/>
                <w:spacing w:val="-4"/>
                <w:sz w:val="24"/>
                <w:highlight w:val="none"/>
                <w14:textFill>
                  <w14:solidFill>
                    <w14:schemeClr w14:val="tx1"/>
                  </w14:solidFill>
                </w14:textFill>
              </w:rPr>
              <w:t>进入</w:t>
            </w:r>
            <w:r>
              <w:rPr>
                <w:color w:val="000000" w:themeColor="text1"/>
                <w:spacing w:val="-4"/>
                <w:sz w:val="24"/>
                <w:highlight w:val="none"/>
                <w14:textFill>
                  <w14:solidFill>
                    <w14:schemeClr w14:val="tx1"/>
                  </w14:solidFill>
                </w14:textFill>
              </w:rPr>
              <w:t>毛坯砖中，在干燥室、焙烧窑中被</w:t>
            </w:r>
            <w:r>
              <w:rPr>
                <w:rFonts w:hint="eastAsia"/>
                <w:color w:val="000000" w:themeColor="text1"/>
                <w:spacing w:val="-4"/>
                <w:sz w:val="24"/>
                <w:highlight w:val="none"/>
                <w14:textFill>
                  <w14:solidFill>
                    <w14:schemeClr w14:val="tx1"/>
                  </w14:solidFill>
                </w14:textFill>
              </w:rPr>
              <w:t>蒸发损耗</w:t>
            </w:r>
            <w:r>
              <w:rPr>
                <w:color w:val="000000" w:themeColor="text1"/>
                <w:spacing w:val="-4"/>
                <w:sz w:val="24"/>
                <w:highlight w:val="none"/>
                <w14:textFill>
                  <w14:solidFill>
                    <w14:schemeClr w14:val="tx1"/>
                  </w14:solidFill>
                </w14:textFill>
              </w:rPr>
              <w:t>，无废水产生；设备清洗废水经沉淀后循环使用，不外排；洗车平台用水经沉淀后循环使用，不外排；烟气脱硫除尘设施用水循环利用，定期补充清</w:t>
            </w:r>
            <w:r>
              <w:rPr>
                <w:rFonts w:hint="eastAsia"/>
                <w:color w:val="000000" w:themeColor="text1"/>
                <w:spacing w:val="-4"/>
                <w:sz w:val="24"/>
                <w:highlight w:val="none"/>
                <w14:textFill>
                  <w14:solidFill>
                    <w14:schemeClr w14:val="tx1"/>
                  </w14:solidFill>
                </w14:textFill>
              </w:rPr>
              <w:t>新水</w:t>
            </w:r>
            <w:r>
              <w:rPr>
                <w:color w:val="000000" w:themeColor="text1"/>
                <w:spacing w:val="-4"/>
                <w:sz w:val="24"/>
                <w:highlight w:val="none"/>
                <w14:textFill>
                  <w14:solidFill>
                    <w14:schemeClr w14:val="tx1"/>
                  </w14:solidFill>
                </w14:textFill>
              </w:rPr>
              <w:t>，无废水外排。</w:t>
            </w:r>
          </w:p>
          <w:p w14:paraId="18934A79">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改扩建后全厂</w:t>
            </w:r>
            <w:r>
              <w:rPr>
                <w:color w:val="000000" w:themeColor="text1"/>
                <w:spacing w:val="-4"/>
                <w:sz w:val="24"/>
                <w:highlight w:val="none"/>
                <w14:textFill>
                  <w14:solidFill>
                    <w14:schemeClr w14:val="tx1"/>
                  </w14:solidFill>
                </w14:textFill>
              </w:rPr>
              <w:t>无</w:t>
            </w:r>
            <w:r>
              <w:rPr>
                <w:rFonts w:hint="eastAsia"/>
                <w:color w:val="000000" w:themeColor="text1"/>
                <w:spacing w:val="-4"/>
                <w:sz w:val="24"/>
                <w:highlight w:val="none"/>
                <w14:textFill>
                  <w14:solidFill>
                    <w14:schemeClr w14:val="tx1"/>
                  </w14:solidFill>
                </w14:textFill>
              </w:rPr>
              <w:t>生产、生活</w:t>
            </w:r>
            <w:r>
              <w:rPr>
                <w:color w:val="000000" w:themeColor="text1"/>
                <w:spacing w:val="-4"/>
                <w:sz w:val="24"/>
                <w:highlight w:val="none"/>
                <w14:textFill>
                  <w14:solidFill>
                    <w14:schemeClr w14:val="tx1"/>
                  </w14:solidFill>
                </w14:textFill>
              </w:rPr>
              <w:t>废水外排。</w:t>
            </w:r>
          </w:p>
          <w:p w14:paraId="09DA4851">
            <w:pPr>
              <w:autoSpaceDE w:val="0"/>
              <w:autoSpaceDN w:val="0"/>
              <w:spacing w:line="480" w:lineRule="exact"/>
              <w:ind w:firstLine="1080" w:firstLineChars="45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表2-2</w:t>
            </w:r>
            <w:r>
              <w:rPr>
                <w:rFonts w:hint="eastAsia" w:ascii="黑体" w:hAnsi="黑体" w:eastAsia="黑体"/>
                <w:color w:val="000000" w:themeColor="text1"/>
                <w:sz w:val="24"/>
                <w:highlight w:val="none"/>
                <w:lang w:val="en-US" w:eastAsia="zh-CN"/>
                <w14:textFill>
                  <w14:solidFill>
                    <w14:schemeClr w14:val="tx1"/>
                  </w14:solidFill>
                </w14:textFill>
              </w:rPr>
              <w:t>7</w:t>
            </w:r>
            <w:r>
              <w:rPr>
                <w:rFonts w:hint="eastAsia" w:ascii="黑体" w:hAnsi="黑体" w:eastAsia="黑体"/>
                <w:color w:val="000000" w:themeColor="text1"/>
                <w:sz w:val="24"/>
                <w:highlight w:val="none"/>
                <w14:textFill>
                  <w14:solidFill>
                    <w14:schemeClr w14:val="tx1"/>
                  </w14:solidFill>
                </w14:textFill>
              </w:rPr>
              <w:t xml:space="preserve">           改扩建后全厂</w:t>
            </w:r>
            <w:r>
              <w:rPr>
                <w:rFonts w:ascii="黑体" w:hAnsi="黑体" w:eastAsia="黑体"/>
                <w:color w:val="000000" w:themeColor="text1"/>
                <w:sz w:val="24"/>
                <w:highlight w:val="none"/>
                <w14:textFill>
                  <w14:solidFill>
                    <w14:schemeClr w14:val="tx1"/>
                  </w14:solidFill>
                </w14:textFill>
              </w:rPr>
              <w:t xml:space="preserve">水平衡一览表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单位：m</w:t>
            </w:r>
            <w:r>
              <w:rPr>
                <w:rFonts w:ascii="黑体" w:hAnsi="黑体" w:eastAsia="黑体"/>
                <w:color w:val="000000" w:themeColor="text1"/>
                <w:sz w:val="24"/>
                <w:highlight w:val="none"/>
                <w:vertAlign w:val="superscript"/>
                <w14:textFill>
                  <w14:solidFill>
                    <w14:schemeClr w14:val="tx1"/>
                  </w14:solidFill>
                </w14:textFill>
              </w:rPr>
              <w:t>3</w:t>
            </w:r>
            <w:r>
              <w:rPr>
                <w:rFonts w:ascii="黑体" w:hAnsi="黑体" w:eastAsia="黑体"/>
                <w:color w:val="000000" w:themeColor="text1"/>
                <w:sz w:val="24"/>
                <w:highlight w:val="none"/>
                <w14:textFill>
                  <w14:solidFill>
                    <w14:schemeClr w14:val="tx1"/>
                  </w14:solidFill>
                </w14:textFill>
              </w:rPr>
              <w:t>/d</w:t>
            </w:r>
          </w:p>
          <w:tbl>
            <w:tblPr>
              <w:tblStyle w:val="24"/>
              <w:tblW w:w="499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23"/>
              <w:gridCol w:w="853"/>
              <w:gridCol w:w="694"/>
              <w:gridCol w:w="850"/>
              <w:gridCol w:w="850"/>
              <w:gridCol w:w="850"/>
              <w:gridCol w:w="708"/>
              <w:gridCol w:w="852"/>
              <w:gridCol w:w="2281"/>
            </w:tblGrid>
            <w:tr w14:paraId="57422F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4944B49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项目</w:t>
                  </w:r>
                </w:p>
              </w:tc>
              <w:tc>
                <w:tcPr>
                  <w:tcW w:w="487" w:type="pct"/>
                  <w:vAlign w:val="center"/>
                </w:tcPr>
                <w:p w14:paraId="230A6203">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总用水量</w:t>
                  </w:r>
                </w:p>
              </w:tc>
              <w:tc>
                <w:tcPr>
                  <w:tcW w:w="396" w:type="pct"/>
                  <w:vAlign w:val="center"/>
                </w:tcPr>
                <w:p w14:paraId="03827F4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新水量</w:t>
                  </w:r>
                </w:p>
              </w:tc>
              <w:tc>
                <w:tcPr>
                  <w:tcW w:w="485" w:type="pct"/>
                  <w:vAlign w:val="center"/>
                </w:tcPr>
                <w:p w14:paraId="1CBF4A78">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原料带入水量</w:t>
                  </w:r>
                </w:p>
              </w:tc>
              <w:tc>
                <w:tcPr>
                  <w:tcW w:w="485" w:type="pct"/>
                  <w:vAlign w:val="center"/>
                </w:tcPr>
                <w:p w14:paraId="0552C65C">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循环利用水量</w:t>
                  </w:r>
                </w:p>
              </w:tc>
              <w:tc>
                <w:tcPr>
                  <w:tcW w:w="485" w:type="pct"/>
                  <w:vAlign w:val="center"/>
                </w:tcPr>
                <w:p w14:paraId="16337177">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损耗量</w:t>
                  </w:r>
                </w:p>
              </w:tc>
              <w:tc>
                <w:tcPr>
                  <w:tcW w:w="404" w:type="pct"/>
                  <w:vAlign w:val="center"/>
                </w:tcPr>
                <w:p w14:paraId="18FF4600">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废水产</w:t>
                  </w:r>
                </w:p>
                <w:p w14:paraId="48119AD7">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生量</w:t>
                  </w:r>
                </w:p>
              </w:tc>
              <w:tc>
                <w:tcPr>
                  <w:tcW w:w="486" w:type="pct"/>
                  <w:vAlign w:val="center"/>
                </w:tcPr>
                <w:p w14:paraId="79D53645">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进入成品砖量</w:t>
                  </w:r>
                </w:p>
              </w:tc>
              <w:tc>
                <w:tcPr>
                  <w:tcW w:w="1302" w:type="pct"/>
                  <w:vAlign w:val="center"/>
                </w:tcPr>
                <w:p w14:paraId="71D3E70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去向</w:t>
                  </w:r>
                </w:p>
              </w:tc>
            </w:tr>
            <w:tr w14:paraId="2D91C3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75D091F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生活用水</w:t>
                  </w:r>
                </w:p>
              </w:tc>
              <w:tc>
                <w:tcPr>
                  <w:tcW w:w="487" w:type="pct"/>
                  <w:vAlign w:val="center"/>
                </w:tcPr>
                <w:p w14:paraId="15689EF0">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396" w:type="pct"/>
                  <w:vAlign w:val="center"/>
                </w:tcPr>
                <w:p w14:paraId="4ED596B4">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485" w:type="pct"/>
                  <w:vAlign w:val="center"/>
                </w:tcPr>
                <w:p w14:paraId="19A07571">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4276E26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7969C4EB">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0.32</w:t>
                  </w:r>
                </w:p>
              </w:tc>
              <w:tc>
                <w:tcPr>
                  <w:tcW w:w="404" w:type="pct"/>
                  <w:vAlign w:val="center"/>
                </w:tcPr>
                <w:p w14:paraId="7A2AF80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1.28</w:t>
                  </w:r>
                </w:p>
              </w:tc>
              <w:tc>
                <w:tcPr>
                  <w:tcW w:w="486" w:type="pct"/>
                  <w:vAlign w:val="center"/>
                </w:tcPr>
                <w:p w14:paraId="515FC513">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302" w:type="pct"/>
                  <w:vAlign w:val="center"/>
                </w:tcPr>
                <w:p w14:paraId="1DE32D64">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厂区泼洒抑尘</w:t>
                  </w:r>
                </w:p>
              </w:tc>
            </w:tr>
            <w:tr w14:paraId="4B2A7F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6D87AE6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制砖工艺用水</w:t>
                  </w:r>
                </w:p>
              </w:tc>
              <w:tc>
                <w:tcPr>
                  <w:tcW w:w="487" w:type="pct"/>
                  <w:vAlign w:val="center"/>
                </w:tcPr>
                <w:p w14:paraId="2FD072F0">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614.98</w:t>
                  </w:r>
                </w:p>
              </w:tc>
              <w:tc>
                <w:tcPr>
                  <w:tcW w:w="396" w:type="pct"/>
                  <w:vAlign w:val="center"/>
                </w:tcPr>
                <w:p w14:paraId="3230C29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w:t>
                  </w:r>
                  <w:r>
                    <w:rPr>
                      <w:rFonts w:hint="eastAsia"/>
                      <w:color w:val="000000" w:themeColor="text1"/>
                      <w:sz w:val="18"/>
                      <w:szCs w:val="18"/>
                      <w:highlight w:val="none"/>
                      <w14:textFill>
                        <w14:solidFill>
                          <w14:schemeClr w14:val="tx1"/>
                        </w14:solidFill>
                      </w14:textFill>
                    </w:rPr>
                    <w:t>.5</w:t>
                  </w:r>
                </w:p>
              </w:tc>
              <w:tc>
                <w:tcPr>
                  <w:tcW w:w="485" w:type="pct"/>
                  <w:vAlign w:val="center"/>
                </w:tcPr>
                <w:p w14:paraId="707CF7C6">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607.48</w:t>
                  </w:r>
                </w:p>
              </w:tc>
              <w:tc>
                <w:tcPr>
                  <w:tcW w:w="485" w:type="pct"/>
                  <w:vAlign w:val="center"/>
                </w:tcPr>
                <w:p w14:paraId="10B701DF">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5EB53366">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612.31</w:t>
                  </w:r>
                </w:p>
              </w:tc>
              <w:tc>
                <w:tcPr>
                  <w:tcW w:w="404" w:type="pct"/>
                  <w:vAlign w:val="center"/>
                </w:tcPr>
                <w:p w14:paraId="0C577E52">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6" w:type="pct"/>
                  <w:vAlign w:val="center"/>
                </w:tcPr>
                <w:p w14:paraId="52015B6A">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2.67</w:t>
                  </w:r>
                </w:p>
              </w:tc>
              <w:tc>
                <w:tcPr>
                  <w:tcW w:w="1302" w:type="pct"/>
                  <w:vAlign w:val="center"/>
                </w:tcPr>
                <w:p w14:paraId="4D2F6D22">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进入毛坯砖中，大部分</w:t>
                  </w:r>
                  <w:r>
                    <w:rPr>
                      <w:color w:val="000000" w:themeColor="text1"/>
                      <w:sz w:val="18"/>
                      <w:szCs w:val="18"/>
                      <w:highlight w:val="none"/>
                      <w14:textFill>
                        <w14:solidFill>
                          <w14:schemeClr w14:val="tx1"/>
                        </w14:solidFill>
                      </w14:textFill>
                    </w:rPr>
                    <w:t>在干燥室、焙烧窑中被</w:t>
                  </w:r>
                  <w:r>
                    <w:rPr>
                      <w:rFonts w:hint="eastAsia"/>
                      <w:color w:val="000000" w:themeColor="text1"/>
                      <w:sz w:val="18"/>
                      <w:szCs w:val="18"/>
                      <w:highlight w:val="none"/>
                      <w14:textFill>
                        <w14:solidFill>
                          <w14:schemeClr w14:val="tx1"/>
                        </w14:solidFill>
                      </w14:textFill>
                    </w:rPr>
                    <w:t>蒸发损耗，极少部分进入成品砖中</w:t>
                  </w:r>
                </w:p>
              </w:tc>
            </w:tr>
            <w:tr w14:paraId="3E593A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40B82BB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抑尘用水</w:t>
                  </w:r>
                </w:p>
              </w:tc>
              <w:tc>
                <w:tcPr>
                  <w:tcW w:w="487" w:type="pct"/>
                  <w:vAlign w:val="center"/>
                </w:tcPr>
                <w:p w14:paraId="6853C249">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9.2</w:t>
                  </w:r>
                </w:p>
              </w:tc>
              <w:tc>
                <w:tcPr>
                  <w:tcW w:w="396" w:type="pct"/>
                  <w:vAlign w:val="center"/>
                </w:tcPr>
                <w:p w14:paraId="0ECF53A8">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9.2</w:t>
                  </w:r>
                </w:p>
              </w:tc>
              <w:tc>
                <w:tcPr>
                  <w:tcW w:w="485" w:type="pct"/>
                  <w:vAlign w:val="center"/>
                </w:tcPr>
                <w:p w14:paraId="728983DD">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69D71394">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1BDE4834">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9.2</w:t>
                  </w:r>
                </w:p>
              </w:tc>
              <w:tc>
                <w:tcPr>
                  <w:tcW w:w="404" w:type="pct"/>
                  <w:vAlign w:val="center"/>
                </w:tcPr>
                <w:p w14:paraId="261C11E3">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6" w:type="pct"/>
                  <w:vAlign w:val="center"/>
                </w:tcPr>
                <w:p w14:paraId="6A435B6A">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302" w:type="pct"/>
                  <w:vAlign w:val="center"/>
                </w:tcPr>
                <w:p w14:paraId="79BED5EB">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进入毛坯砖中，在</w:t>
                  </w:r>
                  <w:r>
                    <w:rPr>
                      <w:color w:val="000000" w:themeColor="text1"/>
                      <w:sz w:val="18"/>
                      <w:szCs w:val="18"/>
                      <w:highlight w:val="none"/>
                      <w14:textFill>
                        <w14:solidFill>
                          <w14:schemeClr w14:val="tx1"/>
                        </w14:solidFill>
                      </w14:textFill>
                    </w:rPr>
                    <w:t>干燥室、焙烧窑中被</w:t>
                  </w:r>
                  <w:r>
                    <w:rPr>
                      <w:rFonts w:hint="eastAsia"/>
                      <w:color w:val="000000" w:themeColor="text1"/>
                      <w:sz w:val="18"/>
                      <w:szCs w:val="18"/>
                      <w:highlight w:val="none"/>
                      <w14:textFill>
                        <w14:solidFill>
                          <w14:schemeClr w14:val="tx1"/>
                        </w14:solidFill>
                      </w14:textFill>
                    </w:rPr>
                    <w:t>蒸发损耗</w:t>
                  </w:r>
                </w:p>
              </w:tc>
            </w:tr>
            <w:tr w14:paraId="17F9DE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311E9384">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设备清洗用水</w:t>
                  </w:r>
                </w:p>
              </w:tc>
              <w:tc>
                <w:tcPr>
                  <w:tcW w:w="487" w:type="pct"/>
                  <w:vAlign w:val="center"/>
                </w:tcPr>
                <w:p w14:paraId="75CE2F13">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0.48</w:t>
                  </w:r>
                </w:p>
              </w:tc>
              <w:tc>
                <w:tcPr>
                  <w:tcW w:w="396" w:type="pct"/>
                  <w:vAlign w:val="center"/>
                </w:tcPr>
                <w:p w14:paraId="3C877C15">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0.08</w:t>
                  </w:r>
                </w:p>
              </w:tc>
              <w:tc>
                <w:tcPr>
                  <w:tcW w:w="485" w:type="pct"/>
                  <w:vAlign w:val="center"/>
                </w:tcPr>
                <w:p w14:paraId="1E2E67C3">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512DE574">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0.4</w:t>
                  </w:r>
                </w:p>
              </w:tc>
              <w:tc>
                <w:tcPr>
                  <w:tcW w:w="485" w:type="pct"/>
                  <w:vAlign w:val="center"/>
                </w:tcPr>
                <w:p w14:paraId="6773277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0.08</w:t>
                  </w:r>
                </w:p>
              </w:tc>
              <w:tc>
                <w:tcPr>
                  <w:tcW w:w="404" w:type="pct"/>
                  <w:vAlign w:val="center"/>
                </w:tcPr>
                <w:p w14:paraId="3ADEF3FB">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6" w:type="pct"/>
                  <w:vAlign w:val="center"/>
                </w:tcPr>
                <w:p w14:paraId="73978C61">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302" w:type="pct"/>
                  <w:vAlign w:val="center"/>
                </w:tcPr>
                <w:p w14:paraId="391E2E6F">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经沉淀后，循环使用</w:t>
                  </w:r>
                </w:p>
              </w:tc>
            </w:tr>
            <w:tr w14:paraId="529492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3B7736A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脱硫</w:t>
                  </w:r>
                  <w:r>
                    <w:rPr>
                      <w:rFonts w:hint="eastAsia"/>
                      <w:color w:val="000000" w:themeColor="text1"/>
                      <w:sz w:val="18"/>
                      <w:szCs w:val="18"/>
                      <w:highlight w:val="none"/>
                      <w14:textFill>
                        <w14:solidFill>
                          <w14:schemeClr w14:val="tx1"/>
                        </w14:solidFill>
                      </w14:textFill>
                    </w:rPr>
                    <w:t>除尘</w:t>
                  </w:r>
                  <w:r>
                    <w:rPr>
                      <w:color w:val="000000" w:themeColor="text1"/>
                      <w:sz w:val="18"/>
                      <w:szCs w:val="18"/>
                      <w:highlight w:val="none"/>
                      <w14:textFill>
                        <w14:solidFill>
                          <w14:schemeClr w14:val="tx1"/>
                        </w14:solidFill>
                      </w14:textFill>
                    </w:rPr>
                    <w:t>用水</w:t>
                  </w:r>
                </w:p>
              </w:tc>
              <w:tc>
                <w:tcPr>
                  <w:tcW w:w="487" w:type="pct"/>
                  <w:vAlign w:val="center"/>
                </w:tcPr>
                <w:p w14:paraId="1F901190">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116</w:t>
                  </w:r>
                </w:p>
              </w:tc>
              <w:tc>
                <w:tcPr>
                  <w:tcW w:w="396" w:type="pct"/>
                  <w:vAlign w:val="center"/>
                </w:tcPr>
                <w:p w14:paraId="01C42FE5">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485" w:type="pct"/>
                  <w:vAlign w:val="center"/>
                </w:tcPr>
                <w:p w14:paraId="68725FAC">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19BF7DF8">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100</w:t>
                  </w:r>
                </w:p>
              </w:tc>
              <w:tc>
                <w:tcPr>
                  <w:tcW w:w="485" w:type="pct"/>
                  <w:vAlign w:val="center"/>
                </w:tcPr>
                <w:p w14:paraId="17D0879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404" w:type="pct"/>
                  <w:vAlign w:val="center"/>
                </w:tcPr>
                <w:p w14:paraId="698BD97B">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6" w:type="pct"/>
                  <w:vAlign w:val="center"/>
                </w:tcPr>
                <w:p w14:paraId="1B3CF2DA">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302" w:type="pct"/>
                  <w:vAlign w:val="center"/>
                </w:tcPr>
                <w:p w14:paraId="481B670D">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经沉淀后，循环使用</w:t>
                  </w:r>
                </w:p>
              </w:tc>
            </w:tr>
            <w:tr w14:paraId="2D3F90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5EBCE159">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洗车平台用水</w:t>
                  </w:r>
                </w:p>
              </w:tc>
              <w:tc>
                <w:tcPr>
                  <w:tcW w:w="487" w:type="pct"/>
                  <w:vAlign w:val="center"/>
                </w:tcPr>
                <w:p w14:paraId="3861382E">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8.2</w:t>
                  </w:r>
                </w:p>
              </w:tc>
              <w:tc>
                <w:tcPr>
                  <w:tcW w:w="396" w:type="pct"/>
                  <w:vAlign w:val="center"/>
                </w:tcPr>
                <w:p w14:paraId="343632D9">
                  <w:pPr>
                    <w:pStyle w:val="22"/>
                    <w:adjustRightInd w:val="0"/>
                    <w:spacing w:after="0" w:line="240" w:lineRule="auto"/>
                    <w:ind w:left="-105" w:leftChars="-50" w:right="-105" w:rightChars="-50" w:firstLine="0" w:firstLineChars="0"/>
                    <w:jc w:val="center"/>
                    <w:rPr>
                      <w:rFonts w:hint="eastAsia" w:eastAsia="宋体"/>
                      <w:color w:val="000000" w:themeColor="text1"/>
                      <w:sz w:val="18"/>
                      <w:szCs w:val="18"/>
                      <w:highlight w:val="none"/>
                      <w:lang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w:t>
                  </w:r>
                </w:p>
              </w:tc>
              <w:tc>
                <w:tcPr>
                  <w:tcW w:w="485" w:type="pct"/>
                  <w:vAlign w:val="center"/>
                </w:tcPr>
                <w:p w14:paraId="78672277">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5" w:type="pct"/>
                  <w:vAlign w:val="center"/>
                </w:tcPr>
                <w:p w14:paraId="38C9620C">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6.2</w:t>
                  </w:r>
                </w:p>
              </w:tc>
              <w:tc>
                <w:tcPr>
                  <w:tcW w:w="485" w:type="pct"/>
                  <w:vAlign w:val="center"/>
                </w:tcPr>
                <w:p w14:paraId="12E265EB">
                  <w:pPr>
                    <w:pStyle w:val="22"/>
                    <w:adjustRightInd w:val="0"/>
                    <w:spacing w:after="0" w:line="240" w:lineRule="auto"/>
                    <w:ind w:left="-105" w:leftChars="-50" w:right="-105" w:rightChars="-50" w:firstLine="0" w:firstLineChars="0"/>
                    <w:jc w:val="center"/>
                    <w:rPr>
                      <w:rFonts w:hint="eastAsia" w:eastAsia="宋体"/>
                      <w:color w:val="000000" w:themeColor="text1"/>
                      <w:sz w:val="18"/>
                      <w:szCs w:val="18"/>
                      <w:highlight w:val="none"/>
                      <w:lang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w:t>
                  </w:r>
                </w:p>
              </w:tc>
              <w:tc>
                <w:tcPr>
                  <w:tcW w:w="404" w:type="pct"/>
                  <w:vAlign w:val="center"/>
                </w:tcPr>
                <w:p w14:paraId="61AD5FCA">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w:t>
                  </w:r>
                </w:p>
              </w:tc>
              <w:tc>
                <w:tcPr>
                  <w:tcW w:w="486" w:type="pct"/>
                  <w:vAlign w:val="center"/>
                </w:tcPr>
                <w:p w14:paraId="4B67FFF2">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302" w:type="pct"/>
                  <w:vAlign w:val="center"/>
                </w:tcPr>
                <w:p w14:paraId="6D87D0F1">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经沉淀后，循环使用</w:t>
                  </w:r>
                </w:p>
              </w:tc>
            </w:tr>
            <w:tr w14:paraId="5D9360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0" w:type="pct"/>
                  <w:vAlign w:val="center"/>
                </w:tcPr>
                <w:p w14:paraId="121F60F7">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合计</w:t>
                  </w:r>
                </w:p>
              </w:tc>
              <w:tc>
                <w:tcPr>
                  <w:tcW w:w="487" w:type="pct"/>
                  <w:vAlign w:val="center"/>
                </w:tcPr>
                <w:p w14:paraId="322C348D">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750.46</w:t>
                  </w:r>
                </w:p>
              </w:tc>
              <w:tc>
                <w:tcPr>
                  <w:tcW w:w="396" w:type="pct"/>
                  <w:vAlign w:val="center"/>
                </w:tcPr>
                <w:p w14:paraId="2BF8CCD3">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36.38</w:t>
                  </w:r>
                </w:p>
              </w:tc>
              <w:tc>
                <w:tcPr>
                  <w:tcW w:w="485" w:type="pct"/>
                  <w:vAlign w:val="center"/>
                </w:tcPr>
                <w:p w14:paraId="110D179F">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607.48</w:t>
                  </w:r>
                </w:p>
              </w:tc>
              <w:tc>
                <w:tcPr>
                  <w:tcW w:w="485" w:type="pct"/>
                  <w:vAlign w:val="center"/>
                </w:tcPr>
                <w:p w14:paraId="53A65C06">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106.6</w:t>
                  </w:r>
                </w:p>
              </w:tc>
              <w:tc>
                <w:tcPr>
                  <w:tcW w:w="485" w:type="pct"/>
                  <w:vAlign w:val="center"/>
                </w:tcPr>
                <w:p w14:paraId="1C3B8EDE">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639.91</w:t>
                  </w:r>
                </w:p>
              </w:tc>
              <w:tc>
                <w:tcPr>
                  <w:tcW w:w="404" w:type="pct"/>
                  <w:vAlign w:val="center"/>
                </w:tcPr>
                <w:p w14:paraId="1F7F23A4">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1.28</w:t>
                  </w:r>
                </w:p>
              </w:tc>
              <w:tc>
                <w:tcPr>
                  <w:tcW w:w="486" w:type="pct"/>
                  <w:vAlign w:val="center"/>
                </w:tcPr>
                <w:p w14:paraId="56B16531">
                  <w:pPr>
                    <w:pStyle w:val="22"/>
                    <w:adjustRightInd w:val="0"/>
                    <w:spacing w:after="0" w:line="240" w:lineRule="auto"/>
                    <w:ind w:left="-105" w:leftChars="-50" w:right="-105" w:rightChars="-50"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2.67</w:t>
                  </w:r>
                </w:p>
              </w:tc>
              <w:tc>
                <w:tcPr>
                  <w:tcW w:w="1302" w:type="pct"/>
                  <w:vAlign w:val="center"/>
                </w:tcPr>
                <w:p w14:paraId="7F6CFE16">
                  <w:pPr>
                    <w:pStyle w:val="22"/>
                    <w:adjustRightInd w:val="0"/>
                    <w:spacing w:after="0" w:line="240" w:lineRule="auto"/>
                    <w:ind w:left="-105" w:leftChars="-50" w:right="-105" w:rightChars="-50"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r>
          </w:tbl>
          <w:p w14:paraId="4F232D21">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p>
          <w:p w14:paraId="12C3E0C7">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p>
          <w:p w14:paraId="5D02D8C7">
            <w:pPr>
              <w:pStyle w:val="10"/>
              <w:spacing w:line="480" w:lineRule="exact"/>
              <w:ind w:left="0" w:leftChars="0" w:right="0" w:rightChars="0" w:firstLine="480" w:firstLineChars="200"/>
              <w:rPr>
                <w:color w:val="000000" w:themeColor="text1"/>
                <w:spacing w:val="-4"/>
                <w:sz w:val="24"/>
                <w:highlight w:val="none"/>
                <w14:textFill>
                  <w14:solidFill>
                    <w14:schemeClr w14:val="tx1"/>
                  </w14:solidFill>
                </w14:textFill>
              </w:rPr>
            </w:pPr>
            <w:r>
              <w:rPr>
                <w:color w:val="000000" w:themeColor="text1"/>
                <w:sz w:val="24"/>
                <w:highlight w:val="none"/>
                <w14:textFill>
                  <w14:solidFill>
                    <w14:schemeClr w14:val="tx1"/>
                  </w14:solidFill>
                </w14:textFill>
              </w:rPr>
              <mc:AlternateContent>
                <mc:Choice Requires="wps">
                  <w:drawing>
                    <wp:anchor distT="0" distB="0" distL="114300" distR="114300" simplePos="0" relativeHeight="251813888" behindDoc="0" locked="0" layoutInCell="1" allowOverlap="1">
                      <wp:simplePos x="0" y="0"/>
                      <wp:positionH relativeFrom="column">
                        <wp:posOffset>1416685</wp:posOffset>
                      </wp:positionH>
                      <wp:positionV relativeFrom="paragraph">
                        <wp:posOffset>180975</wp:posOffset>
                      </wp:positionV>
                      <wp:extent cx="1031240" cy="419100"/>
                      <wp:effectExtent l="0" t="0" r="0" b="0"/>
                      <wp:wrapNone/>
                      <wp:docPr id="158" name="文本框 451"/>
                      <wp:cNvGraphicFramePr/>
                      <a:graphic xmlns:a="http://schemas.openxmlformats.org/drawingml/2006/main">
                        <a:graphicData uri="http://schemas.microsoft.com/office/word/2010/wordprocessingShape">
                          <wps:wsp>
                            <wps:cNvSpPr txBox="1"/>
                            <wps:spPr>
                              <a:xfrm>
                                <a:off x="0" y="0"/>
                                <a:ext cx="1031240" cy="419100"/>
                              </a:xfrm>
                              <a:prstGeom prst="rect">
                                <a:avLst/>
                              </a:prstGeom>
                              <a:noFill/>
                              <a:ln>
                                <a:noFill/>
                              </a:ln>
                            </wps:spPr>
                            <wps:txbx>
                              <w:txbxContent>
                                <w:p w14:paraId="59A51992">
                                  <w:pPr>
                                    <w:ind w:left="404" w:hanging="404" w:hangingChars="200"/>
                                    <w:jc w:val="both"/>
                                    <w:rPr>
                                      <w:rFonts w:hint="default" w:eastAsia="宋体"/>
                                      <w:szCs w:val="21"/>
                                      <w:lang w:val="en-US" w:eastAsia="zh-CN"/>
                                    </w:rPr>
                                  </w:pPr>
                                  <w:r>
                                    <w:rPr>
                                      <w:color w:val="000000"/>
                                      <w:spacing w:val="-4"/>
                                      <w:szCs w:val="21"/>
                                    </w:rPr>
                                    <w:t>煤矸石带入</w:t>
                                  </w:r>
                                  <w:r>
                                    <w:rPr>
                                      <w:rFonts w:hint="eastAsia"/>
                                      <w:color w:val="000000"/>
                                      <w:spacing w:val="-4"/>
                                      <w:szCs w:val="21"/>
                                      <w:lang w:val="en-US" w:eastAsia="zh-CN"/>
                                    </w:rPr>
                                    <w:t>17.45</w:t>
                                  </w:r>
                                </w:p>
                              </w:txbxContent>
                            </wps:txbx>
                            <wps:bodyPr upright="1"/>
                          </wps:wsp>
                        </a:graphicData>
                      </a:graphic>
                    </wp:anchor>
                  </w:drawing>
                </mc:Choice>
                <mc:Fallback>
                  <w:pict>
                    <v:shape id="文本框 451" o:spid="_x0000_s1026" o:spt="202" type="#_x0000_t202" style="position:absolute;left:0pt;margin-left:111.55pt;margin-top:14.25pt;height:33pt;width:81.2pt;z-index:251813888;mso-width-relative:page;mso-height-relative:page;" filled="f" stroked="f" coordsize="21600,21600" o:gfxdata="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ZT5gHX&#10;AAAACQEAAA8AAAAAAAAAAQAgAAAAIgAAAGRycy9kb3ducmV2LnhtbFBLAQIUABQAAAAIAIdO4kBI&#10;bZCwrwEAAFIDAAAOAAAAAAAAAAEAIAAAACYBAABkcnMvZTJvRG9jLnhtbFBLBQYAAAAABgAGAFkB&#10;AABHBQAAAAA=&#10;">
                      <v:fill on="f" focussize="0,0"/>
                      <v:stroke on="f"/>
                      <v:imagedata o:title=""/>
                      <o:lock v:ext="edit" aspectratio="f"/>
                      <v:textbox>
                        <w:txbxContent>
                          <w:p w14:paraId="59A51992">
                            <w:pPr>
                              <w:ind w:left="404" w:hanging="404" w:hangingChars="200"/>
                              <w:jc w:val="both"/>
                              <w:rPr>
                                <w:rFonts w:hint="default" w:eastAsia="宋体"/>
                                <w:szCs w:val="21"/>
                                <w:lang w:val="en-US" w:eastAsia="zh-CN"/>
                              </w:rPr>
                            </w:pPr>
                            <w:r>
                              <w:rPr>
                                <w:color w:val="000000"/>
                                <w:spacing w:val="-4"/>
                                <w:szCs w:val="21"/>
                              </w:rPr>
                              <w:t>煤矸石带入</w:t>
                            </w:r>
                            <w:r>
                              <w:rPr>
                                <w:rFonts w:hint="eastAsia"/>
                                <w:color w:val="000000"/>
                                <w:spacing w:val="-4"/>
                                <w:szCs w:val="21"/>
                                <w:lang w:val="en-US" w:eastAsia="zh-CN"/>
                              </w:rPr>
                              <w:t>17.45</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16960" behindDoc="0" locked="0" layoutInCell="1" allowOverlap="1">
                      <wp:simplePos x="0" y="0"/>
                      <wp:positionH relativeFrom="column">
                        <wp:posOffset>2272030</wp:posOffset>
                      </wp:positionH>
                      <wp:positionV relativeFrom="paragraph">
                        <wp:posOffset>184785</wp:posOffset>
                      </wp:positionV>
                      <wp:extent cx="1689735" cy="480060"/>
                      <wp:effectExtent l="0" t="0" r="0" b="0"/>
                      <wp:wrapNone/>
                      <wp:docPr id="165" name="文本框 3510"/>
                      <wp:cNvGraphicFramePr/>
                      <a:graphic xmlns:a="http://schemas.openxmlformats.org/drawingml/2006/main">
                        <a:graphicData uri="http://schemas.microsoft.com/office/word/2010/wordprocessingShape">
                          <wps:wsp>
                            <wps:cNvSpPr txBox="1"/>
                            <wps:spPr>
                              <a:xfrm>
                                <a:off x="0" y="0"/>
                                <a:ext cx="1689735" cy="480060"/>
                              </a:xfrm>
                              <a:prstGeom prst="rect">
                                <a:avLst/>
                              </a:prstGeom>
                              <a:noFill/>
                              <a:ln>
                                <a:noFill/>
                              </a:ln>
                            </wps:spPr>
                            <wps:txbx>
                              <w:txbxContent>
                                <w:p w14:paraId="303C12C9">
                                  <w:pPr>
                                    <w:jc w:val="center"/>
                                    <w:rPr>
                                      <w:rFonts w:hint="default" w:eastAsia="宋体"/>
                                      <w:lang w:val="en-US" w:eastAsia="zh-CN"/>
                                    </w:rPr>
                                  </w:pPr>
                                  <w:r>
                                    <w:rPr>
                                      <w:rFonts w:hint="eastAsia"/>
                                      <w:lang w:val="en-US" w:eastAsia="zh-CN"/>
                                    </w:rPr>
                                    <w:t>污泥及干排淤泥</w:t>
                                  </w:r>
                                  <w:r>
                                    <w:t>带入</w:t>
                                  </w:r>
                                  <w:r>
                                    <w:rPr>
                                      <w:rFonts w:hint="eastAsia"/>
                                      <w:lang w:val="en-US" w:eastAsia="zh-CN"/>
                                    </w:rPr>
                                    <w:t>386.6</w:t>
                                  </w:r>
                                </w:p>
                              </w:txbxContent>
                            </wps:txbx>
                            <wps:bodyPr upright="1"/>
                          </wps:wsp>
                        </a:graphicData>
                      </a:graphic>
                    </wp:anchor>
                  </w:drawing>
                </mc:Choice>
                <mc:Fallback>
                  <w:pict>
                    <v:shape id="文本框 3510" o:spid="_x0000_s1026" o:spt="202" type="#_x0000_t202" style="position:absolute;left:0pt;margin-left:178.9pt;margin-top:14.55pt;height:37.8pt;width:133.05pt;z-index:251816960;mso-width-relative:page;mso-height-relative:page;" filled="f" stroked="f" coordsize="21600,21600" o:gfxdata="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l2H&#10;bNgAAAAKAQAADwAAAAAAAAABACAAAAAiAAAAZHJzL2Rvd25yZXYueG1sUEsBAhQAFAAAAAgAh07i&#10;QLESCMawAQAAUwMAAA4AAAAAAAAAAQAgAAAAJwEAAGRycy9lMm9Eb2MueG1sUEsFBgAAAAAGAAYA&#10;WQEAAEkFAAAAAA==&#10;">
                      <v:fill on="f" focussize="0,0"/>
                      <v:stroke on="f"/>
                      <v:imagedata o:title=""/>
                      <o:lock v:ext="edit" aspectratio="f"/>
                      <v:textbox>
                        <w:txbxContent>
                          <w:p w14:paraId="303C12C9">
                            <w:pPr>
                              <w:jc w:val="center"/>
                              <w:rPr>
                                <w:rFonts w:hint="default" w:eastAsia="宋体"/>
                                <w:lang w:val="en-US" w:eastAsia="zh-CN"/>
                              </w:rPr>
                            </w:pPr>
                            <w:r>
                              <w:rPr>
                                <w:rFonts w:hint="eastAsia"/>
                                <w:lang w:val="en-US" w:eastAsia="zh-CN"/>
                              </w:rPr>
                              <w:t>污泥及干排淤泥</w:t>
                            </w:r>
                            <w:r>
                              <w:t>带入</w:t>
                            </w:r>
                            <w:r>
                              <w:rPr>
                                <w:rFonts w:hint="eastAsia"/>
                                <w:lang w:val="en-US" w:eastAsia="zh-CN"/>
                              </w:rPr>
                              <w:t>386.6</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15936" behindDoc="0" locked="0" layoutInCell="1" allowOverlap="1">
                      <wp:simplePos x="0" y="0"/>
                      <wp:positionH relativeFrom="column">
                        <wp:posOffset>3902710</wp:posOffset>
                      </wp:positionH>
                      <wp:positionV relativeFrom="paragraph">
                        <wp:posOffset>193040</wp:posOffset>
                      </wp:positionV>
                      <wp:extent cx="1101725" cy="450850"/>
                      <wp:effectExtent l="0" t="0" r="0" b="0"/>
                      <wp:wrapNone/>
                      <wp:docPr id="164" name="文本框 3509"/>
                      <wp:cNvGraphicFramePr/>
                      <a:graphic xmlns:a="http://schemas.openxmlformats.org/drawingml/2006/main">
                        <a:graphicData uri="http://schemas.microsoft.com/office/word/2010/wordprocessingShape">
                          <wps:wsp>
                            <wps:cNvSpPr txBox="1"/>
                            <wps:spPr>
                              <a:xfrm>
                                <a:off x="0" y="0"/>
                                <a:ext cx="1101725" cy="450850"/>
                              </a:xfrm>
                              <a:prstGeom prst="rect">
                                <a:avLst/>
                              </a:prstGeom>
                              <a:noFill/>
                              <a:ln>
                                <a:noFill/>
                              </a:ln>
                            </wps:spPr>
                            <wps:txbx>
                              <w:txbxContent>
                                <w:p w14:paraId="1088A0FA">
                                  <w:pPr>
                                    <w:jc w:val="center"/>
                                    <w:rPr>
                                      <w:szCs w:val="21"/>
                                    </w:rPr>
                                  </w:pPr>
                                  <w:r>
                                    <w:rPr>
                                      <w:rFonts w:hint="eastAsia"/>
                                      <w:szCs w:val="21"/>
                                    </w:rPr>
                                    <w:t>炉渣</w:t>
                                  </w:r>
                                </w:p>
                                <w:p w14:paraId="496705BE">
                                  <w:pPr>
                                    <w:jc w:val="center"/>
                                    <w:rPr>
                                      <w:rFonts w:hint="default" w:eastAsia="宋体"/>
                                      <w:szCs w:val="21"/>
                                      <w:lang w:val="en-US" w:eastAsia="zh-CN"/>
                                    </w:rPr>
                                  </w:pPr>
                                  <w:r>
                                    <w:rPr>
                                      <w:szCs w:val="21"/>
                                    </w:rPr>
                                    <w:t>带入</w:t>
                                  </w:r>
                                  <w:r>
                                    <w:rPr>
                                      <w:rFonts w:hint="eastAsia"/>
                                      <w:szCs w:val="21"/>
                                      <w:lang w:val="en-US" w:eastAsia="zh-CN"/>
                                    </w:rPr>
                                    <w:t>173.18</w:t>
                                  </w:r>
                                </w:p>
                              </w:txbxContent>
                            </wps:txbx>
                            <wps:bodyPr upright="1"/>
                          </wps:wsp>
                        </a:graphicData>
                      </a:graphic>
                    </wp:anchor>
                  </w:drawing>
                </mc:Choice>
                <mc:Fallback>
                  <w:pict>
                    <v:shape id="文本框 3509" o:spid="_x0000_s1026" o:spt="202" type="#_x0000_t202" style="position:absolute;left:0pt;margin-left:307.3pt;margin-top:15.2pt;height:35.5pt;width:86.75pt;z-index:251815936;mso-width-relative:page;mso-height-relative:page;" filled="f" stroked="f" coordsize="21600,21600" o:gfxdata="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MkR6&#10;YNYAAAAKAQAADwAAAAAAAAABACAAAAAiAAAAZHJzL2Rvd25yZXYueG1sUEsBAhQAFAAAAAgAh07i&#10;QC1yIB6yAQAAUwMAAA4AAAAAAAAAAQAgAAAAJQEAAGRycy9lMm9Eb2MueG1sUEsFBgAAAAAGAAYA&#10;WQEAAEkFAAAAAA==&#10;">
                      <v:fill on="f" focussize="0,0"/>
                      <v:stroke on="f"/>
                      <v:imagedata o:title=""/>
                      <o:lock v:ext="edit" aspectratio="f"/>
                      <v:textbox>
                        <w:txbxContent>
                          <w:p w14:paraId="1088A0FA">
                            <w:pPr>
                              <w:jc w:val="center"/>
                              <w:rPr>
                                <w:szCs w:val="21"/>
                              </w:rPr>
                            </w:pPr>
                            <w:r>
                              <w:rPr>
                                <w:rFonts w:hint="eastAsia"/>
                                <w:szCs w:val="21"/>
                              </w:rPr>
                              <w:t>炉渣</w:t>
                            </w:r>
                          </w:p>
                          <w:p w14:paraId="496705BE">
                            <w:pPr>
                              <w:jc w:val="center"/>
                              <w:rPr>
                                <w:rFonts w:hint="default" w:eastAsia="宋体"/>
                                <w:szCs w:val="21"/>
                                <w:lang w:val="en-US" w:eastAsia="zh-CN"/>
                              </w:rPr>
                            </w:pPr>
                            <w:r>
                              <w:rPr>
                                <w:szCs w:val="21"/>
                              </w:rPr>
                              <w:t>带入</w:t>
                            </w:r>
                            <w:r>
                              <w:rPr>
                                <w:rFonts w:hint="eastAsia"/>
                                <w:szCs w:val="21"/>
                                <w:lang w:val="en-US" w:eastAsia="zh-CN"/>
                              </w:rPr>
                              <w:t>173.18</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24128" behindDoc="0" locked="0" layoutInCell="1" allowOverlap="1">
                      <wp:simplePos x="0" y="0"/>
                      <wp:positionH relativeFrom="column">
                        <wp:posOffset>245745</wp:posOffset>
                      </wp:positionH>
                      <wp:positionV relativeFrom="paragraph">
                        <wp:posOffset>209550</wp:posOffset>
                      </wp:positionV>
                      <wp:extent cx="1209040" cy="554990"/>
                      <wp:effectExtent l="0" t="0" r="0" b="0"/>
                      <wp:wrapNone/>
                      <wp:docPr id="178" name="文本框 3523"/>
                      <wp:cNvGraphicFramePr/>
                      <a:graphic xmlns:a="http://schemas.openxmlformats.org/drawingml/2006/main">
                        <a:graphicData uri="http://schemas.microsoft.com/office/word/2010/wordprocessingShape">
                          <wps:wsp>
                            <wps:cNvSpPr txBox="1"/>
                            <wps:spPr>
                              <a:xfrm>
                                <a:off x="0" y="0"/>
                                <a:ext cx="1209040" cy="554990"/>
                              </a:xfrm>
                              <a:prstGeom prst="rect">
                                <a:avLst/>
                              </a:prstGeom>
                              <a:noFill/>
                              <a:ln>
                                <a:noFill/>
                              </a:ln>
                            </wps:spPr>
                            <wps:txbx>
                              <w:txbxContent>
                                <w:p w14:paraId="6DED24E4">
                                  <w:pPr>
                                    <w:jc w:val="center"/>
                                  </w:pPr>
                                  <w:r>
                                    <w:t>页岩</w:t>
                                  </w:r>
                                </w:p>
                                <w:p w14:paraId="08E4F941">
                                  <w:pPr>
                                    <w:jc w:val="center"/>
                                    <w:rPr>
                                      <w:rFonts w:hint="default" w:eastAsia="宋体"/>
                                      <w:lang w:val="en-US" w:eastAsia="zh-CN"/>
                                    </w:rPr>
                                  </w:pPr>
                                  <w:r>
                                    <w:t>带入</w:t>
                                  </w:r>
                                  <w:r>
                                    <w:rPr>
                                      <w:rFonts w:hint="eastAsia"/>
                                      <w:lang w:val="en-US" w:eastAsia="zh-CN"/>
                                    </w:rPr>
                                    <w:t>30.25</w:t>
                                  </w:r>
                                </w:p>
                              </w:txbxContent>
                            </wps:txbx>
                            <wps:bodyPr upright="1"/>
                          </wps:wsp>
                        </a:graphicData>
                      </a:graphic>
                    </wp:anchor>
                  </w:drawing>
                </mc:Choice>
                <mc:Fallback>
                  <w:pict>
                    <v:shape id="文本框 3523" o:spid="_x0000_s1026" o:spt="202" type="#_x0000_t202" style="position:absolute;left:0pt;margin-left:19.35pt;margin-top:16.5pt;height:43.7pt;width:95.2pt;z-index:251824128;mso-width-relative:page;mso-height-relative:page;" filled="f" stroked="f" coordsize="21600,21600" o:gfxdata="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h/R/&#10;1gAAAAkBAAAPAAAAAAAAAAEAIAAAACIAAABkcnMvZG93bnJldi54bWxQSwECFAAUAAAACACHTuJA&#10;A/lK57EBAABTAwAADgAAAAAAAAABACAAAAAlAQAAZHJzL2Uyb0RvYy54bWxQSwUGAAAAAAYABgBZ&#10;AQAASAUAAAAA&#10;">
                      <v:fill on="f" focussize="0,0"/>
                      <v:stroke on="f"/>
                      <v:imagedata o:title=""/>
                      <o:lock v:ext="edit" aspectratio="f"/>
                      <v:textbox>
                        <w:txbxContent>
                          <w:p w14:paraId="6DED24E4">
                            <w:pPr>
                              <w:jc w:val="center"/>
                            </w:pPr>
                            <w:r>
                              <w:t>页岩</w:t>
                            </w:r>
                          </w:p>
                          <w:p w14:paraId="08E4F941">
                            <w:pPr>
                              <w:jc w:val="center"/>
                              <w:rPr>
                                <w:rFonts w:hint="default" w:eastAsia="宋体"/>
                                <w:lang w:val="en-US" w:eastAsia="zh-CN"/>
                              </w:rPr>
                            </w:pPr>
                            <w:r>
                              <w:t>带入</w:t>
                            </w:r>
                            <w:r>
                              <w:rPr>
                                <w:rFonts w:hint="eastAsia"/>
                                <w:lang w:val="en-US" w:eastAsia="zh-CN"/>
                              </w:rPr>
                              <w:t>30.25</w:t>
                            </w:r>
                          </w:p>
                        </w:txbxContent>
                      </v:textbox>
                    </v:shape>
                  </w:pict>
                </mc:Fallback>
              </mc:AlternateContent>
            </w:r>
          </w:p>
          <w:p w14:paraId="4677A1E5">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30272" behindDoc="0" locked="0" layoutInCell="1" allowOverlap="1">
                      <wp:simplePos x="0" y="0"/>
                      <wp:positionH relativeFrom="column">
                        <wp:posOffset>1902460</wp:posOffset>
                      </wp:positionH>
                      <wp:positionV relativeFrom="paragraph">
                        <wp:posOffset>265430</wp:posOffset>
                      </wp:positionV>
                      <wp:extent cx="0" cy="287020"/>
                      <wp:effectExtent l="38100" t="0" r="38100" b="2540"/>
                      <wp:wrapNone/>
                      <wp:docPr id="184" name="自选图形 3529"/>
                      <wp:cNvGraphicFramePr/>
                      <a:graphic xmlns:a="http://schemas.openxmlformats.org/drawingml/2006/main">
                        <a:graphicData uri="http://schemas.microsoft.com/office/word/2010/wordprocessingShape">
                          <wps:wsp>
                            <wps:cNvCnPr/>
                            <wps:spPr>
                              <a:xfrm>
                                <a:off x="0" y="0"/>
                                <a:ext cx="0" cy="287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29" o:spid="_x0000_s1026" o:spt="32" type="#_x0000_t32" style="position:absolute;left:0pt;margin-left:149.8pt;margin-top:20.9pt;height:22.6pt;width:0pt;z-index:251830272;mso-width-relative:page;mso-height-relative:page;" filled="f" stroked="t" coordsize="21600,21600" o:gfxdata="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R3TLYAAAACQEAAA8AAAAAAAAAAQAgAAAAIgAAAGRycy9kb3du&#10;cmV2LnhtbFBLAQIUABQAAAAIAIdO4kDmajfH/wEAAOsDAAAOAAAAAAAAAAEAIAAAACcBAABkcnMv&#10;ZTJvRG9jLnhtbFBLBQYAAAAABgAGAFkBAACYBQAAAAA=&#10;">
                      <v:fill on="f" focussize="0,0"/>
                      <v:stroke color="#000000" joinstyle="round" endarrow="block"/>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31296" behindDoc="0" locked="0" layoutInCell="1" allowOverlap="1">
                      <wp:simplePos x="0" y="0"/>
                      <wp:positionH relativeFrom="column">
                        <wp:posOffset>3054350</wp:posOffset>
                      </wp:positionH>
                      <wp:positionV relativeFrom="paragraph">
                        <wp:posOffset>257175</wp:posOffset>
                      </wp:positionV>
                      <wp:extent cx="0" cy="287020"/>
                      <wp:effectExtent l="38100" t="0" r="38100" b="2540"/>
                      <wp:wrapNone/>
                      <wp:docPr id="185" name="自选图形 3530"/>
                      <wp:cNvGraphicFramePr/>
                      <a:graphic xmlns:a="http://schemas.openxmlformats.org/drawingml/2006/main">
                        <a:graphicData uri="http://schemas.microsoft.com/office/word/2010/wordprocessingShape">
                          <wps:wsp>
                            <wps:cNvCnPr/>
                            <wps:spPr>
                              <a:xfrm>
                                <a:off x="0" y="0"/>
                                <a:ext cx="0" cy="287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30" o:spid="_x0000_s1026" o:spt="32" type="#_x0000_t32" style="position:absolute;left:0pt;margin-left:240.5pt;margin-top:20.25pt;height:22.6pt;width:0pt;z-index:251831296;mso-width-relative:page;mso-height-relative:page;" filled="f" stroked="t" coordsize="21600,21600" o:gfxdata="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BlaH2AAAAAkBAAAPAAAAAAAAAAEAIAAAACIAAABkcnMvZG93bnJl&#10;di54bWxQSwECFAAUAAAACACHTuJA78TKqP0BAADrAwAADgAAAAAAAAABACAAAAAnAQAAZHJzL2Uy&#10;b0RvYy54bWxQSwUGAAAAAAYABgBZAQAAlgUAAAAA&#10;">
                      <v:fill on="f" focussize="0,0"/>
                      <v:stroke color="#000000" joinstyle="round" endarrow="block"/>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32320" behindDoc="0" locked="0" layoutInCell="1" allowOverlap="1">
                      <wp:simplePos x="0" y="0"/>
                      <wp:positionH relativeFrom="column">
                        <wp:posOffset>4495800</wp:posOffset>
                      </wp:positionH>
                      <wp:positionV relativeFrom="paragraph">
                        <wp:posOffset>283210</wp:posOffset>
                      </wp:positionV>
                      <wp:extent cx="0" cy="287020"/>
                      <wp:effectExtent l="38100" t="0" r="38100" b="2540"/>
                      <wp:wrapNone/>
                      <wp:docPr id="186" name="自选图形 3531"/>
                      <wp:cNvGraphicFramePr/>
                      <a:graphic xmlns:a="http://schemas.openxmlformats.org/drawingml/2006/main">
                        <a:graphicData uri="http://schemas.microsoft.com/office/word/2010/wordprocessingShape">
                          <wps:wsp>
                            <wps:cNvCnPr/>
                            <wps:spPr>
                              <a:xfrm>
                                <a:off x="0" y="0"/>
                                <a:ext cx="0" cy="287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31" o:spid="_x0000_s1026" o:spt="32" type="#_x0000_t32" style="position:absolute;left:0pt;margin-left:354pt;margin-top:22.3pt;height:22.6pt;width:0pt;z-index:251832320;mso-width-relative:page;mso-height-relative:page;" filled="f" stroked="t" coordsize="21600,21600" o:gfxdata="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cF+t9kAAAAJAQAADwAAAAAAAAABACAAAAAiAAAAZHJzL2Rv&#10;d25yZXYueG1sUEsBAhQAFAAAAAgAh07iQC6t/WIAAgAA6wMAAA4AAAAAAAAAAQAgAAAAKAEAAGRy&#10;cy9lMm9Eb2MueG1sUEsFBgAAAAAGAAYAWQEAAJoFAAAAAA==&#10;">
                      <v:fill on="f" focussize="0,0"/>
                      <v:stroke color="#000000" joinstyle="round" endarrow="block"/>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29248" behindDoc="0" locked="0" layoutInCell="1" allowOverlap="1">
                      <wp:simplePos x="0" y="0"/>
                      <wp:positionH relativeFrom="column">
                        <wp:posOffset>828675</wp:posOffset>
                      </wp:positionH>
                      <wp:positionV relativeFrom="paragraph">
                        <wp:posOffset>257175</wp:posOffset>
                      </wp:positionV>
                      <wp:extent cx="0" cy="287020"/>
                      <wp:effectExtent l="38100" t="0" r="38100" b="2540"/>
                      <wp:wrapNone/>
                      <wp:docPr id="183" name="自选图形 3528"/>
                      <wp:cNvGraphicFramePr/>
                      <a:graphic xmlns:a="http://schemas.openxmlformats.org/drawingml/2006/main">
                        <a:graphicData uri="http://schemas.microsoft.com/office/word/2010/wordprocessingShape">
                          <wps:wsp>
                            <wps:cNvCnPr/>
                            <wps:spPr>
                              <a:xfrm>
                                <a:off x="0" y="0"/>
                                <a:ext cx="0" cy="28702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28" o:spid="_x0000_s1026" o:spt="32" type="#_x0000_t32" style="position:absolute;left:0pt;margin-left:65.25pt;margin-top:20.25pt;height:22.6pt;width:0pt;z-index:251829248;mso-width-relative:page;mso-height-relative:page;" filled="f" stroked="t" coordsize="21600,21600" o:gfxdata="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nH7HYAAAACQEAAA8AAAAAAAAAAQAgAAAAIgAAAGRycy9kb3du&#10;cmV2LnhtbFBLAQIUABQAAAAIAIdO4kCopkoe/wEAAOsDAAAOAAAAAAAAAAEAIAAAACcBAABkcnMv&#10;ZTJvRG9jLnhtbFBLBQYAAAAABgAGAFkBAACYBQAAAAA=&#10;">
                      <v:fill on="f" focussize="0,0"/>
                      <v:stroke color="#000000" joinstyle="round" endarrow="block"/>
                      <v:imagedata o:title=""/>
                      <o:lock v:ext="edit" aspectratio="f"/>
                    </v:shape>
                  </w:pict>
                </mc:Fallback>
              </mc:AlternateContent>
            </w:r>
          </w:p>
          <w:p w14:paraId="045E2AE1">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33344" behindDoc="0" locked="0" layoutInCell="1" allowOverlap="1">
                      <wp:simplePos x="0" y="0"/>
                      <wp:positionH relativeFrom="column">
                        <wp:posOffset>828675</wp:posOffset>
                      </wp:positionH>
                      <wp:positionV relativeFrom="paragraph">
                        <wp:posOffset>239395</wp:posOffset>
                      </wp:positionV>
                      <wp:extent cx="3689350" cy="0"/>
                      <wp:effectExtent l="0" t="5080" r="0" b="4445"/>
                      <wp:wrapNone/>
                      <wp:docPr id="187" name="自选图形 3532"/>
                      <wp:cNvGraphicFramePr/>
                      <a:graphic xmlns:a="http://schemas.openxmlformats.org/drawingml/2006/main">
                        <a:graphicData uri="http://schemas.microsoft.com/office/word/2010/wordprocessingShape">
                          <wps:wsp>
                            <wps:cNvCnPr/>
                            <wps:spPr>
                              <a:xfrm>
                                <a:off x="0" y="0"/>
                                <a:ext cx="36893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32" o:spid="_x0000_s1026" o:spt="32" type="#_x0000_t32" style="position:absolute;left:0pt;margin-left:65.25pt;margin-top:18.85pt;height:0pt;width:290.5pt;z-index:251833344;mso-width-relative:page;mso-height-relative:page;" filled="f" stroked="t" coordsize="21600,21600" o:gfxdata="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Y82Z9YAAAAJAQAADwAAAAAAAAABACAAAAAiAAAAZHJzL2Rvd25yZXYueG1s&#10;UEsBAhQAFAAAAAgAh07iQJpuSe/6AQAA6AMAAA4AAAAAAAAAAQAgAAAAJQEAAGRycy9lMm9Eb2Mu&#10;eG1sUEsFBgAAAAAGAAYAWQEAAJEFAAAAAA==&#10;">
                      <v:fill on="f" focussize="0,0"/>
                      <v:stroke color="#000000" joinstyle="round"/>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25152" behindDoc="0" locked="0" layoutInCell="1" allowOverlap="1">
                      <wp:simplePos x="0" y="0"/>
                      <wp:positionH relativeFrom="column">
                        <wp:posOffset>1454785</wp:posOffset>
                      </wp:positionH>
                      <wp:positionV relativeFrom="paragraph">
                        <wp:posOffset>262890</wp:posOffset>
                      </wp:positionV>
                      <wp:extent cx="645795" cy="355600"/>
                      <wp:effectExtent l="0" t="0" r="0" b="0"/>
                      <wp:wrapNone/>
                      <wp:docPr id="179" name="文本框 3524"/>
                      <wp:cNvGraphicFramePr/>
                      <a:graphic xmlns:a="http://schemas.openxmlformats.org/drawingml/2006/main">
                        <a:graphicData uri="http://schemas.microsoft.com/office/word/2010/wordprocessingShape">
                          <wps:wsp>
                            <wps:cNvSpPr txBox="1"/>
                            <wps:spPr>
                              <a:xfrm>
                                <a:off x="0" y="0"/>
                                <a:ext cx="645795" cy="355600"/>
                              </a:xfrm>
                              <a:prstGeom prst="rect">
                                <a:avLst/>
                              </a:prstGeom>
                              <a:noFill/>
                              <a:ln>
                                <a:noFill/>
                              </a:ln>
                            </wps:spPr>
                            <wps:txbx>
                              <w:txbxContent>
                                <w:p w14:paraId="1B2137CA">
                                  <w:pPr>
                                    <w:rPr>
                                      <w:rFonts w:hint="default" w:eastAsia="宋体"/>
                                      <w:lang w:val="en-US" w:eastAsia="zh-CN"/>
                                    </w:rPr>
                                  </w:pPr>
                                  <w:r>
                                    <w:rPr>
                                      <w:rFonts w:hint="eastAsia"/>
                                      <w:lang w:val="en-US" w:eastAsia="zh-CN"/>
                                    </w:rPr>
                                    <w:t>607.48</w:t>
                                  </w:r>
                                </w:p>
                              </w:txbxContent>
                            </wps:txbx>
                            <wps:bodyPr upright="1"/>
                          </wps:wsp>
                        </a:graphicData>
                      </a:graphic>
                    </wp:anchor>
                  </w:drawing>
                </mc:Choice>
                <mc:Fallback>
                  <w:pict>
                    <v:shape id="文本框 3524" o:spid="_x0000_s1026" o:spt="202" type="#_x0000_t202" style="position:absolute;left:0pt;margin-left:114.55pt;margin-top:20.7pt;height:28pt;width:50.85pt;z-index:251825152;mso-width-relative:page;mso-height-relative:page;" filled="f" stroked="f" coordsize="21600,21600" o:gfxdata="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n2&#10;GWrXAAAACQEAAA8AAAAAAAAAAQAgAAAAIgAAAGRycy9kb3ducmV2LnhtbFBLAQIUABQAAAAIAIdO&#10;4kDzeOMlsgEAAFIDAAAOAAAAAAAAAAEAIAAAACYBAABkcnMvZTJvRG9jLnhtbFBLBQYAAAAABgAG&#10;AFkBAABKBQAAAAA=&#10;">
                      <v:fill on="f" focussize="0,0"/>
                      <v:stroke on="f"/>
                      <v:imagedata o:title=""/>
                      <o:lock v:ext="edit" aspectratio="f"/>
                      <v:textbox>
                        <w:txbxContent>
                          <w:p w14:paraId="1B2137CA">
                            <w:pPr>
                              <w:rPr>
                                <w:rFonts w:hint="default" w:eastAsia="宋体"/>
                                <w:lang w:val="en-US" w:eastAsia="zh-CN"/>
                              </w:rPr>
                            </w:pPr>
                            <w:r>
                              <w:rPr>
                                <w:rFonts w:hint="eastAsia"/>
                                <w:lang w:val="en-US" w:eastAsia="zh-CN"/>
                              </w:rPr>
                              <w:t>607.48</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34368" behindDoc="0" locked="0" layoutInCell="1" allowOverlap="1">
                      <wp:simplePos x="0" y="0"/>
                      <wp:positionH relativeFrom="column">
                        <wp:posOffset>1916430</wp:posOffset>
                      </wp:positionH>
                      <wp:positionV relativeFrom="paragraph">
                        <wp:posOffset>239395</wp:posOffset>
                      </wp:positionV>
                      <wp:extent cx="0" cy="471170"/>
                      <wp:effectExtent l="38100" t="0" r="38100" b="1270"/>
                      <wp:wrapNone/>
                      <wp:docPr id="188" name="自选图形 3533"/>
                      <wp:cNvGraphicFramePr/>
                      <a:graphic xmlns:a="http://schemas.openxmlformats.org/drawingml/2006/main">
                        <a:graphicData uri="http://schemas.microsoft.com/office/word/2010/wordprocessingShape">
                          <wps:wsp>
                            <wps:cNvCnPr/>
                            <wps:spPr>
                              <a:xfrm>
                                <a:off x="0" y="0"/>
                                <a:ext cx="0" cy="4711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33" o:spid="_x0000_s1026" o:spt="32" type="#_x0000_t32" style="position:absolute;left:0pt;margin-left:150.9pt;margin-top:18.85pt;height:37.1pt;width:0pt;z-index:251834368;mso-width-relative:page;mso-height-relative:page;" filled="f" stroked="t" coordsize="21600,21600" o:gfxdata="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Owp4I2AAAAAoBAAAPAAAAAAAAAAEAIAAAACIAAABkcnMvZG93&#10;bnJldi54bWxQSwECFAAUAAAACACHTuJAdGOsKgACAADrAwAADgAAAAAAAAABACAAAAAnAQAAZHJz&#10;L2Uyb0RvYy54bWxQSwUGAAAAAAYABgBZAQAAmQUAAAAA&#10;">
                      <v:fill on="f" focussize="0,0"/>
                      <v:stroke color="#000000" joinstyle="round" endarrow="block"/>
                      <v:imagedata o:title=""/>
                      <o:lock v:ext="edit" aspectratio="f"/>
                    </v:shape>
                  </w:pict>
                </mc:Fallback>
              </mc:AlternateContent>
            </w:r>
          </w:p>
          <w:p w14:paraId="48C48ADF">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22080" behindDoc="0" locked="0" layoutInCell="1" allowOverlap="1">
                      <wp:simplePos x="0" y="0"/>
                      <wp:positionH relativeFrom="column">
                        <wp:posOffset>2100580</wp:posOffset>
                      </wp:positionH>
                      <wp:positionV relativeFrom="paragraph">
                        <wp:posOffset>20320</wp:posOffset>
                      </wp:positionV>
                      <wp:extent cx="664845" cy="243840"/>
                      <wp:effectExtent l="0" t="0" r="0" b="0"/>
                      <wp:wrapNone/>
                      <wp:docPr id="176" name="文本框 3521"/>
                      <wp:cNvGraphicFramePr/>
                      <a:graphic xmlns:a="http://schemas.openxmlformats.org/drawingml/2006/main">
                        <a:graphicData uri="http://schemas.microsoft.com/office/word/2010/wordprocessingShape">
                          <wps:wsp>
                            <wps:cNvSpPr txBox="1"/>
                            <wps:spPr>
                              <a:xfrm>
                                <a:off x="0" y="0"/>
                                <a:ext cx="664845" cy="243840"/>
                              </a:xfrm>
                              <a:prstGeom prst="rect">
                                <a:avLst/>
                              </a:prstGeom>
                              <a:noFill/>
                              <a:ln>
                                <a:noFill/>
                              </a:ln>
                            </wps:spPr>
                            <wps:txbx>
                              <w:txbxContent>
                                <w:p w14:paraId="3421AB63">
                                  <w:pPr>
                                    <w:ind w:left="-105" w:leftChars="-50" w:right="-105" w:rightChars="-50"/>
                                    <w:jc w:val="center"/>
                                    <w:rPr>
                                      <w:rFonts w:hint="default" w:eastAsia="宋体"/>
                                      <w:spacing w:val="-8"/>
                                      <w:szCs w:val="21"/>
                                      <w:lang w:val="en-US" w:eastAsia="zh-CN"/>
                                    </w:rPr>
                                  </w:pPr>
                                  <w:r>
                                    <w:rPr>
                                      <w:rFonts w:hint="eastAsia"/>
                                      <w:spacing w:val="-8"/>
                                      <w:szCs w:val="21"/>
                                      <w:lang w:val="en-US" w:eastAsia="zh-CN"/>
                                    </w:rPr>
                                    <w:t>612.31</w:t>
                                  </w:r>
                                </w:p>
                              </w:txbxContent>
                            </wps:txbx>
                            <wps:bodyPr upright="1"/>
                          </wps:wsp>
                        </a:graphicData>
                      </a:graphic>
                    </wp:anchor>
                  </w:drawing>
                </mc:Choice>
                <mc:Fallback>
                  <w:pict>
                    <v:shape id="文本框 3521" o:spid="_x0000_s1026" o:spt="202" type="#_x0000_t202" style="position:absolute;left:0pt;margin-left:165.4pt;margin-top:1.6pt;height:19.2pt;width:52.35pt;z-index:251822080;mso-width-relative:page;mso-height-relative:page;" filled="f" stroked="f" coordsize="21600,21600" o:gfxdata="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HzA&#10;wtYAAAAIAQAADwAAAAAAAAABACAAAAAiAAAAZHJzL2Rvd25yZXYueG1sUEsBAhQAFAAAAAgAh07i&#10;QG2piuWyAQAAUgMAAA4AAAAAAAAAAQAgAAAAJQEAAGRycy9lMm9Eb2MueG1sUEsFBgAAAAAGAAYA&#10;WQEAAEkFAAAAAA==&#10;">
                      <v:fill on="f" focussize="0,0"/>
                      <v:stroke on="f"/>
                      <v:imagedata o:title=""/>
                      <o:lock v:ext="edit" aspectratio="f"/>
                      <v:textbox>
                        <w:txbxContent>
                          <w:p w14:paraId="3421AB63">
                            <w:pPr>
                              <w:ind w:left="-105" w:leftChars="-50" w:right="-105" w:rightChars="-50"/>
                              <w:jc w:val="center"/>
                              <w:rPr>
                                <w:rFonts w:hint="default" w:eastAsia="宋体"/>
                                <w:spacing w:val="-8"/>
                                <w:szCs w:val="21"/>
                                <w:lang w:val="en-US" w:eastAsia="zh-CN"/>
                              </w:rPr>
                            </w:pPr>
                            <w:r>
                              <w:rPr>
                                <w:rFonts w:hint="eastAsia"/>
                                <w:spacing w:val="-8"/>
                                <w:szCs w:val="21"/>
                                <w:lang w:val="en-US" w:eastAsia="zh-CN"/>
                              </w:rPr>
                              <w:t>612.31</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20032" behindDoc="0" locked="0" layoutInCell="1" allowOverlap="1">
                      <wp:simplePos x="0" y="0"/>
                      <wp:positionH relativeFrom="column">
                        <wp:posOffset>2317115</wp:posOffset>
                      </wp:positionH>
                      <wp:positionV relativeFrom="paragraph">
                        <wp:posOffset>288925</wp:posOffset>
                      </wp:positionV>
                      <wp:extent cx="567055" cy="355600"/>
                      <wp:effectExtent l="0" t="0" r="0" b="0"/>
                      <wp:wrapNone/>
                      <wp:docPr id="171" name="文本框 3516"/>
                      <wp:cNvGraphicFramePr/>
                      <a:graphic xmlns:a="http://schemas.openxmlformats.org/drawingml/2006/main">
                        <a:graphicData uri="http://schemas.microsoft.com/office/word/2010/wordprocessingShape">
                          <wps:wsp>
                            <wps:cNvSpPr txBox="1"/>
                            <wps:spPr>
                              <a:xfrm>
                                <a:off x="0" y="0"/>
                                <a:ext cx="567055" cy="355600"/>
                              </a:xfrm>
                              <a:prstGeom prst="rect">
                                <a:avLst/>
                              </a:prstGeom>
                              <a:noFill/>
                              <a:ln>
                                <a:noFill/>
                              </a:ln>
                            </wps:spPr>
                            <wps:txbx>
                              <w:txbxContent>
                                <w:p w14:paraId="0A37044C">
                                  <w:pPr>
                                    <w:rPr>
                                      <w:rFonts w:hint="default" w:eastAsia="宋体"/>
                                      <w:lang w:val="en-US" w:eastAsia="zh-CN"/>
                                    </w:rPr>
                                  </w:pPr>
                                  <w:r>
                                    <w:rPr>
                                      <w:rFonts w:hint="eastAsia"/>
                                      <w:lang w:val="en-US" w:eastAsia="zh-CN"/>
                                    </w:rPr>
                                    <w:t>2.67</w:t>
                                  </w:r>
                                </w:p>
                              </w:txbxContent>
                            </wps:txbx>
                            <wps:bodyPr upright="1"/>
                          </wps:wsp>
                        </a:graphicData>
                      </a:graphic>
                    </wp:anchor>
                  </w:drawing>
                </mc:Choice>
                <mc:Fallback>
                  <w:pict>
                    <v:shape id="文本框 3516" o:spid="_x0000_s1026" o:spt="202" type="#_x0000_t202" style="position:absolute;left:0pt;margin-left:182.45pt;margin-top:22.75pt;height:28pt;width:44.65pt;z-index:251820032;mso-width-relative:page;mso-height-relative:page;" filled="f" stroked="f" coordsize="21600,21600" o:gfxdata="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2+LB&#10;ANcAAAAKAQAADwAAAAAAAAABACAAAAAiAAAAZHJzL2Rvd25yZXYueG1sUEsBAhQAFAAAAAgAh07i&#10;QMf73N+xAQAAUgMAAA4AAAAAAAAAAQAgAAAAJgEAAGRycy9lMm9Eb2MueG1sUEsFBgAAAAAGAAYA&#10;WQEAAEkFAAAAAA==&#10;">
                      <v:fill on="f" focussize="0,0"/>
                      <v:stroke on="f"/>
                      <v:imagedata o:title=""/>
                      <o:lock v:ext="edit" aspectratio="f"/>
                      <v:textbox>
                        <w:txbxContent>
                          <w:p w14:paraId="0A37044C">
                            <w:pPr>
                              <w:rPr>
                                <w:rFonts w:hint="default" w:eastAsia="宋体"/>
                                <w:lang w:val="en-US" w:eastAsia="zh-CN"/>
                              </w:rPr>
                            </w:pPr>
                            <w:r>
                              <w:rPr>
                                <w:rFonts w:hint="eastAsia"/>
                                <w:lang w:val="en-US" w:eastAsia="zh-CN"/>
                              </w:rPr>
                              <w:t>2.67</w:t>
                            </w:r>
                          </w:p>
                        </w:txbxContent>
                      </v:textbox>
                    </v:shape>
                  </w:pict>
                </mc:Fallback>
              </mc:AlternateContent>
            </w:r>
            <w:r>
              <w:rPr>
                <w:color w:val="000000" w:themeColor="text1"/>
                <w:highlight w:val="none"/>
                <w14:textFill>
                  <w14:solidFill>
                    <w14:schemeClr w14:val="tx1"/>
                  </w14:solidFill>
                </w14:textFill>
              </w:rPr>
              <mc:AlternateContent>
                <mc:Choice Requires="wpg">
                  <w:drawing>
                    <wp:anchor distT="0" distB="0" distL="114300" distR="114300" simplePos="0" relativeHeight="251821056" behindDoc="0" locked="0" layoutInCell="1" allowOverlap="1">
                      <wp:simplePos x="0" y="0"/>
                      <wp:positionH relativeFrom="column">
                        <wp:posOffset>2137410</wp:posOffset>
                      </wp:positionH>
                      <wp:positionV relativeFrom="paragraph">
                        <wp:posOffset>198755</wp:posOffset>
                      </wp:positionV>
                      <wp:extent cx="244475" cy="207010"/>
                      <wp:effectExtent l="4445" t="2540" r="10160" b="3810"/>
                      <wp:wrapNone/>
                      <wp:docPr id="175" name="组合 3517"/>
                      <wp:cNvGraphicFramePr/>
                      <a:graphic xmlns:a="http://schemas.openxmlformats.org/drawingml/2006/main">
                        <a:graphicData uri="http://schemas.microsoft.com/office/word/2010/wordprocessingGroup">
                          <wpg:wgp>
                            <wpg:cNvGrpSpPr/>
                            <wpg:grpSpPr>
                              <a:xfrm>
                                <a:off x="0" y="0"/>
                                <a:ext cx="244475" cy="207010"/>
                                <a:chOff x="4080" y="11233"/>
                                <a:chExt cx="385" cy="293"/>
                              </a:xfrm>
                            </wpg:grpSpPr>
                            <wps:wsp>
                              <wps:cNvPr id="172" name="Line 1823"/>
                              <wps:cNvCnPr/>
                              <wps:spPr>
                                <a:xfrm flipV="1">
                                  <a:off x="4301" y="11233"/>
                                  <a:ext cx="164" cy="236"/>
                                </a:xfrm>
                                <a:prstGeom prst="line">
                                  <a:avLst/>
                                </a:prstGeom>
                                <a:ln w="9525" cap="flat" cmpd="sng">
                                  <a:solidFill>
                                    <a:srgbClr val="000000"/>
                                  </a:solidFill>
                                  <a:prstDash val="solid"/>
                                  <a:headEnd type="none" w="med" len="med"/>
                                  <a:tailEnd type="none" w="med" len="med"/>
                                </a:ln>
                              </wps:spPr>
                              <wps:bodyPr upright="1"/>
                            </wps:wsp>
                            <wps:wsp>
                              <wps:cNvPr id="173" name="Line 1825"/>
                              <wps:cNvCnPr/>
                              <wps:spPr>
                                <a:xfrm flipV="1">
                                  <a:off x="4080" y="11361"/>
                                  <a:ext cx="99" cy="165"/>
                                </a:xfrm>
                                <a:prstGeom prst="line">
                                  <a:avLst/>
                                </a:prstGeom>
                                <a:ln w="9525" cap="flat" cmpd="sng">
                                  <a:solidFill>
                                    <a:srgbClr val="000000"/>
                                  </a:solidFill>
                                  <a:prstDash val="solid"/>
                                  <a:headEnd type="none" w="med" len="med"/>
                                  <a:tailEnd type="none" w="med" len="med"/>
                                </a:ln>
                              </wps:spPr>
                              <wps:bodyPr upright="1"/>
                            </wps:wsp>
                            <wps:wsp>
                              <wps:cNvPr id="174" name="Line 1826"/>
                              <wps:cNvCnPr/>
                              <wps:spPr>
                                <a:xfrm>
                                  <a:off x="4193" y="11361"/>
                                  <a:ext cx="105" cy="8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17" o:spid="_x0000_s1026" o:spt="203" style="position:absolute;left:0pt;margin-left:168.3pt;margin-top:15.65pt;height:16.3pt;width:19.25pt;z-index:251821056;mso-width-relative:page;mso-height-relative:page;" coordorigin="4080,11233" coordsize="385,293" o:gfxdata="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DGkUZtkAAAAJAQAADwAAAAAAAAAB&#10;ACAAAAAiAAAAZHJzL2Rvd25yZXYueG1sUEsBAhQAFAAAAAgAh07iQOQROtu6AgAAMgkAAA4AAAAA&#10;AAAAAQAgAAAAKAEAAGRycy9lMm9Eb2MueG1sUEsFBgAAAAAGAAYAWQEAAFQGAAAAAA==&#10;">
                      <o:lock v:ext="edit" aspectratio="f"/>
                      <v:line id="Line 1823" o:spid="_x0000_s1026" o:spt="20" style="position:absolute;left:4301;top:11233;flip:y;height:236;width:164;" filled="f" stroked="t" coordsize="21600,21600" o:gfxdata="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1sl5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Line 1825" o:spid="_x0000_s1026" o:spt="20" style="position:absolute;left:4080;top:11361;flip:y;height:165;width:99;" filled="f" stroked="t" coordsize="21600,21600" o:gfxdata="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BeAf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Line 1826" o:spid="_x0000_s1026" o:spt="20" style="position:absolute;left:4193;top:11361;height:83;width:105;" filled="f" stroked="t" coordsize="21600,21600" o:gfxdata="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OxZ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p>
          <w:p w14:paraId="2AE3288A">
            <w:pPr>
              <w:pStyle w:val="10"/>
              <w:spacing w:line="480" w:lineRule="exact"/>
              <w:ind w:left="0" w:leftChars="0" w:right="0" w:rightChars="0" w:firstLine="420" w:firstLineChars="200"/>
              <w:rPr>
                <w:color w:val="000000" w:themeColor="text1"/>
                <w:spacing w:val="-4"/>
                <w:sz w:val="24"/>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806720" behindDoc="0" locked="0" layoutInCell="1" allowOverlap="1">
                      <wp:simplePos x="0" y="0"/>
                      <wp:positionH relativeFrom="column">
                        <wp:posOffset>1076325</wp:posOffset>
                      </wp:positionH>
                      <wp:positionV relativeFrom="paragraph">
                        <wp:posOffset>224790</wp:posOffset>
                      </wp:positionV>
                      <wp:extent cx="0" cy="2902585"/>
                      <wp:effectExtent l="4445" t="0" r="10795" b="8255"/>
                      <wp:wrapNone/>
                      <wp:docPr id="150" name="自选图形 3495"/>
                      <wp:cNvGraphicFramePr/>
                      <a:graphic xmlns:a="http://schemas.openxmlformats.org/drawingml/2006/main">
                        <a:graphicData uri="http://schemas.microsoft.com/office/word/2010/wordprocessingShape">
                          <wps:wsp>
                            <wps:cNvCnPr/>
                            <wps:spPr>
                              <a:xfrm>
                                <a:off x="0" y="0"/>
                                <a:ext cx="0" cy="290258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495" o:spid="_x0000_s1026" o:spt="32" type="#_x0000_t32" style="position:absolute;left:0pt;margin-left:84.75pt;margin-top:17.7pt;height:228.55pt;width:0pt;z-index:251806720;mso-width-relative:page;mso-height-relative:page;" filled="f" stroked="t" coordsize="21600,21600" o:gfxdata="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PLpW1wAAAAoBAAAPAAAAAAAAAAEAIAAAACIAAABkcnMvZG93bnJldi54bWxQ&#10;SwECFAAUAAAACACHTuJAASpHV/gBAADoAwAADgAAAAAAAAABACAAAAAmAQAAZHJzL2Uyb0RvYy54&#10;bWxQSwUGAAAAAAYABgBZAQAAkAUAAAAA&#10;">
                      <v:fill on="f" focussize="0,0"/>
                      <v:stroke color="#000000" joinstyle="round"/>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11840" behindDoc="0" locked="0" layoutInCell="1" allowOverlap="1">
                      <wp:simplePos x="0" y="0"/>
                      <wp:positionH relativeFrom="column">
                        <wp:posOffset>2376805</wp:posOffset>
                      </wp:positionH>
                      <wp:positionV relativeFrom="paragraph">
                        <wp:posOffset>224790</wp:posOffset>
                      </wp:positionV>
                      <wp:extent cx="422910" cy="0"/>
                      <wp:effectExtent l="0" t="38100" r="3810" b="38100"/>
                      <wp:wrapNone/>
                      <wp:docPr id="155" name="直线 3500"/>
                      <wp:cNvGraphicFramePr/>
                      <a:graphic xmlns:a="http://schemas.openxmlformats.org/drawingml/2006/main">
                        <a:graphicData uri="http://schemas.microsoft.com/office/word/2010/wordprocessingShape">
                          <wps:wsp>
                            <wps:cNvCnPr/>
                            <wps:spPr>
                              <a:xfrm flipH="1">
                                <a:off x="0" y="0"/>
                                <a:ext cx="422910" cy="0"/>
                              </a:xfrm>
                              <a:prstGeom prst="line">
                                <a:avLst/>
                              </a:prstGeom>
                              <a:ln w="9525" cap="flat" cmpd="sng">
                                <a:solidFill>
                                  <a:srgbClr val="000000"/>
                                </a:solidFill>
                                <a:prstDash val="solid"/>
                                <a:headEnd type="triangle" w="med" len="med"/>
                                <a:tailEnd type="none" w="med" len="med"/>
                              </a:ln>
                            </wps:spPr>
                            <wps:bodyPr upright="1"/>
                          </wps:wsp>
                        </a:graphicData>
                      </a:graphic>
                    </wp:anchor>
                  </w:drawing>
                </mc:Choice>
                <mc:Fallback>
                  <w:pict>
                    <v:line id="直线 3500" o:spid="_x0000_s1026" o:spt="20" style="position:absolute;left:0pt;flip:x;margin-left:187.15pt;margin-top:17.7pt;height:0pt;width:33.3pt;z-index:251811840;mso-width-relative:page;mso-height-relative:page;" filled="f" stroked="t" coordsize="21600,21600" o:gfxdata="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lTDKM1gAAAAkBAAAPAAAAAAAAAAEAIAAAACIAAABkcnMvZG93bnJldi54bWxQ&#10;SwECFAAUAAAACACHTuJAviwEB/kBAADtAwAADgAAAAAAAAABACAAAAAlAQAAZHJzL2Uyb0RvYy54&#10;bWxQSwUGAAAAAAYABgBZAQAAkAUAAAAA&#10;">
                      <v:fill on="f" focussize="0,0"/>
                      <v:stroke color="#000000" joinstyle="round" startarrow="block"/>
                      <v:imagedata o:title=""/>
                      <o:lock v:ext="edit" aspectratio="f"/>
                    </v:lin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08768" behindDoc="0" locked="0" layoutInCell="1" allowOverlap="1">
                      <wp:simplePos x="0" y="0"/>
                      <wp:positionH relativeFrom="column">
                        <wp:posOffset>2785745</wp:posOffset>
                      </wp:positionH>
                      <wp:positionV relativeFrom="paragraph">
                        <wp:posOffset>86360</wp:posOffset>
                      </wp:positionV>
                      <wp:extent cx="741045" cy="273050"/>
                      <wp:effectExtent l="0" t="0" r="5715" b="1270"/>
                      <wp:wrapNone/>
                      <wp:docPr id="152" name="文本框 3497"/>
                      <wp:cNvGraphicFramePr/>
                      <a:graphic xmlns:a="http://schemas.openxmlformats.org/drawingml/2006/main">
                        <a:graphicData uri="http://schemas.microsoft.com/office/word/2010/wordprocessingShape">
                          <wps:wsp>
                            <wps:cNvSpPr txBox="1"/>
                            <wps:spPr>
                              <a:xfrm>
                                <a:off x="0" y="0"/>
                                <a:ext cx="741045" cy="273050"/>
                              </a:xfrm>
                              <a:prstGeom prst="rect">
                                <a:avLst/>
                              </a:prstGeom>
                              <a:solidFill>
                                <a:srgbClr val="FFFFFF"/>
                              </a:solidFill>
                              <a:ln>
                                <a:noFill/>
                              </a:ln>
                            </wps:spPr>
                            <wps:txbx>
                              <w:txbxContent>
                                <w:p w14:paraId="12A0691E">
                                  <w:r>
                                    <w:rPr>
                                      <w:rFonts w:hint="eastAsia"/>
                                    </w:rPr>
                                    <w:t>成品砖</w:t>
                                  </w:r>
                                </w:p>
                              </w:txbxContent>
                            </wps:txbx>
                            <wps:bodyPr upright="1"/>
                          </wps:wsp>
                        </a:graphicData>
                      </a:graphic>
                    </wp:anchor>
                  </w:drawing>
                </mc:Choice>
                <mc:Fallback>
                  <w:pict>
                    <v:shape id="文本框 3497" o:spid="_x0000_s1026" o:spt="202" type="#_x0000_t202" style="position:absolute;left:0pt;margin-left:219.35pt;margin-top:6.8pt;height:21.5pt;width:58.35pt;z-index:251808768;mso-width-relative:page;mso-height-relative:page;" fillcolor="#FFFFFF" filled="t" stroked="f" coordsize="21600,21600" o:gfxdata="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9n4TkNcAAAAJAQAADwAAAAAAAAABACAAAAAiAAAAZHJzL2Rvd25y&#10;ZXYueG1sUEsBAhQAFAAAAAgAh07iQAEYJdPGAQAAewMAAA4AAAAAAAAAAQAgAAAAJgEAAGRycy9l&#10;Mm9Eb2MueG1sUEsFBgAAAAAGAAYAWQEAAF4FAAAAAA==&#10;">
                      <v:fill on="t" focussize="0,0"/>
                      <v:stroke on="f"/>
                      <v:imagedata o:title=""/>
                      <o:lock v:ext="edit" aspectratio="f"/>
                      <v:textbox>
                        <w:txbxContent>
                          <w:p w14:paraId="12A0691E">
                            <w:r>
                              <w:rPr>
                                <w:rFonts w:hint="eastAsia"/>
                              </w:rPr>
                              <w:t>成品砖</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09792" behindDoc="0" locked="0" layoutInCell="1" allowOverlap="1">
                      <wp:simplePos x="0" y="0"/>
                      <wp:positionH relativeFrom="column">
                        <wp:posOffset>1017270</wp:posOffset>
                      </wp:positionH>
                      <wp:positionV relativeFrom="paragraph">
                        <wp:posOffset>8890</wp:posOffset>
                      </wp:positionV>
                      <wp:extent cx="539115" cy="290195"/>
                      <wp:effectExtent l="0" t="0" r="0" b="0"/>
                      <wp:wrapNone/>
                      <wp:docPr id="153" name="文本框 3498"/>
                      <wp:cNvGraphicFramePr/>
                      <a:graphic xmlns:a="http://schemas.openxmlformats.org/drawingml/2006/main">
                        <a:graphicData uri="http://schemas.microsoft.com/office/word/2010/wordprocessingShape">
                          <wps:wsp>
                            <wps:cNvSpPr txBox="1"/>
                            <wps:spPr>
                              <a:xfrm>
                                <a:off x="0" y="0"/>
                                <a:ext cx="539115" cy="290195"/>
                              </a:xfrm>
                              <a:prstGeom prst="rect">
                                <a:avLst/>
                              </a:prstGeom>
                              <a:noFill/>
                              <a:ln>
                                <a:noFill/>
                              </a:ln>
                            </wps:spPr>
                            <wps:txbx>
                              <w:txbxContent>
                                <w:p w14:paraId="17BB05CB">
                                  <w:pPr>
                                    <w:ind w:left="-105" w:leftChars="-50" w:right="-105" w:rightChars="-50"/>
                                    <w:jc w:val="center"/>
                                    <w:rPr>
                                      <w:spacing w:val="-8"/>
                                      <w:szCs w:val="21"/>
                                    </w:rPr>
                                  </w:pPr>
                                  <w:r>
                                    <w:rPr>
                                      <w:rFonts w:hint="eastAsia"/>
                                      <w:spacing w:val="-8"/>
                                      <w:szCs w:val="21"/>
                                      <w:lang w:val="en-US" w:eastAsia="zh-CN"/>
                                    </w:rPr>
                                    <w:t>7</w:t>
                                  </w:r>
                                  <w:r>
                                    <w:rPr>
                                      <w:rFonts w:hint="eastAsia"/>
                                      <w:spacing w:val="-8"/>
                                      <w:szCs w:val="21"/>
                                    </w:rPr>
                                    <w:t>.5</w:t>
                                  </w:r>
                                </w:p>
                              </w:txbxContent>
                            </wps:txbx>
                            <wps:bodyPr upright="1"/>
                          </wps:wsp>
                        </a:graphicData>
                      </a:graphic>
                    </wp:anchor>
                  </w:drawing>
                </mc:Choice>
                <mc:Fallback>
                  <w:pict>
                    <v:shape id="文本框 3498" o:spid="_x0000_s1026" o:spt="202" type="#_x0000_t202" style="position:absolute;left:0pt;margin-left:80.1pt;margin-top:0.7pt;height:22.85pt;width:42.45pt;z-index:251809792;mso-width-relative:page;mso-height-relative:page;" filled="f" stroked="f" coordsize="21600,21600" o:gfxdata="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XkMYdUA&#10;AAAIAQAADwAAAAAAAAABACAAAAAiAAAAZHJzL2Rvd25yZXYueG1sUEsBAhQAFAAAAAgAh07iQEAb&#10;ht2wAQAAUgMAAA4AAAAAAAAAAQAgAAAAJAEAAGRycy9lMm9Eb2MueG1sUEsFBgAAAAAGAAYAWQEA&#10;AEYFAAAAAA==&#10;">
                      <v:fill on="f" focussize="0,0"/>
                      <v:stroke on="f"/>
                      <v:imagedata o:title=""/>
                      <o:lock v:ext="edit" aspectratio="f"/>
                      <v:textbox>
                        <w:txbxContent>
                          <w:p w14:paraId="17BB05CB">
                            <w:pPr>
                              <w:ind w:left="-105" w:leftChars="-50" w:right="-105" w:rightChars="-50"/>
                              <w:jc w:val="center"/>
                              <w:rPr>
                                <w:spacing w:val="-8"/>
                                <w:szCs w:val="21"/>
                              </w:rPr>
                            </w:pPr>
                            <w:r>
                              <w:rPr>
                                <w:rFonts w:hint="eastAsia"/>
                                <w:spacing w:val="-8"/>
                                <w:szCs w:val="21"/>
                                <w:lang w:val="en-US" w:eastAsia="zh-CN"/>
                              </w:rPr>
                              <w:t>7</w:t>
                            </w:r>
                            <w:r>
                              <w:rPr>
                                <w:rFonts w:hint="eastAsia"/>
                                <w:spacing w:val="-8"/>
                                <w:szCs w:val="21"/>
                              </w:rPr>
                              <w:t>.5</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10816" behindDoc="0" locked="0" layoutInCell="1" allowOverlap="1">
                      <wp:simplePos x="0" y="0"/>
                      <wp:positionH relativeFrom="column">
                        <wp:posOffset>1313815</wp:posOffset>
                      </wp:positionH>
                      <wp:positionV relativeFrom="paragraph">
                        <wp:posOffset>-12700</wp:posOffset>
                      </wp:positionV>
                      <wp:extent cx="0" cy="474980"/>
                      <wp:effectExtent l="0" t="38100" r="12700" b="38100"/>
                      <wp:wrapNone/>
                      <wp:docPr id="154" name="直线 3499"/>
                      <wp:cNvGraphicFramePr/>
                      <a:graphic xmlns:a="http://schemas.openxmlformats.org/drawingml/2006/main">
                        <a:graphicData uri="http://schemas.microsoft.com/office/word/2010/wordprocessingShape">
                          <wps:wsp>
                            <wps:cNvCnPr/>
                            <wps:spPr>
                              <a:xfrm rot="5400000">
                                <a:off x="0" y="0"/>
                                <a:ext cx="0" cy="474980"/>
                              </a:xfrm>
                              <a:prstGeom prst="line">
                                <a:avLst/>
                              </a:prstGeom>
                              <a:ln w="9525" cap="flat" cmpd="sng">
                                <a:solidFill>
                                  <a:srgbClr val="000000"/>
                                </a:solidFill>
                                <a:prstDash val="solid"/>
                                <a:headEnd type="triangle" w="med" len="med"/>
                                <a:tailEnd type="none" w="med" len="med"/>
                              </a:ln>
                            </wps:spPr>
                            <wps:bodyPr upright="1"/>
                          </wps:wsp>
                        </a:graphicData>
                      </a:graphic>
                    </wp:anchor>
                  </w:drawing>
                </mc:Choice>
                <mc:Fallback>
                  <w:pict>
                    <v:line id="直线 3499" o:spid="_x0000_s1026" o:spt="20" style="position:absolute;left:0pt;margin-left:103.45pt;margin-top:-1pt;height:37.4pt;width:0pt;rotation:5898240f;z-index:251810816;mso-width-relative:page;mso-height-relative:page;" filled="f" stroked="t" coordsize="21600,21600" o:gfxdata="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kUmlG1gAAAAkBAAAPAAAAAAAAAAEAIAAAACIAAABkcnMvZG93bnJldi54&#10;bWxQSwECFAAUAAAACACHTuJAUouUMPwBAADxAwAADgAAAAAAAAABACAAAAAlAQAAZHJzL2Uyb0Rv&#10;Yy54bWxQSwUGAAAAAAYABgBZAQAAkwUAAAAA&#10;">
                      <v:fill on="f" focussize="0,0"/>
                      <v:stroke color="#000000" joinstyle="round" startarrow="block"/>
                      <v:imagedata o:title=""/>
                      <o:lock v:ext="edit" aspectratio="f"/>
                    </v:lin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17984" behindDoc="0" locked="0" layoutInCell="1" allowOverlap="1">
                      <wp:simplePos x="0" y="0"/>
                      <wp:positionH relativeFrom="column">
                        <wp:posOffset>1562100</wp:posOffset>
                      </wp:positionH>
                      <wp:positionV relativeFrom="paragraph">
                        <wp:posOffset>100965</wp:posOffset>
                      </wp:positionV>
                      <wp:extent cx="808990" cy="258445"/>
                      <wp:effectExtent l="4445" t="5080" r="9525" b="10795"/>
                      <wp:wrapNone/>
                      <wp:docPr id="166" name="文本框 3511"/>
                      <wp:cNvGraphicFramePr/>
                      <a:graphic xmlns:a="http://schemas.openxmlformats.org/drawingml/2006/main">
                        <a:graphicData uri="http://schemas.microsoft.com/office/word/2010/wordprocessingShape">
                          <wps:wsp>
                            <wps:cNvSpPr txBox="1"/>
                            <wps:spPr>
                              <a:xfrm>
                                <a:off x="0" y="0"/>
                                <a:ext cx="808990" cy="2584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003C87">
                                  <w:r>
                                    <w:rPr>
                                      <w:rFonts w:hint="eastAsia"/>
                                    </w:rPr>
                                    <w:t>制砖工艺</w:t>
                                  </w:r>
                                </w:p>
                              </w:txbxContent>
                            </wps:txbx>
                            <wps:bodyPr upright="1"/>
                          </wps:wsp>
                        </a:graphicData>
                      </a:graphic>
                    </wp:anchor>
                  </w:drawing>
                </mc:Choice>
                <mc:Fallback>
                  <w:pict>
                    <v:shape id="文本框 3511" o:spid="_x0000_s1026" o:spt="202" type="#_x0000_t202" style="position:absolute;left:0pt;margin-left:123pt;margin-top:7.95pt;height:20.35pt;width:63.7pt;z-index:251817984;mso-width-relative:page;mso-height-relative:page;" fillcolor="#FFFFFF" filled="t" stroked="t" coordsize="21600,21600" o:gfxdata="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zxZ2TZAAAACQEAAA8AAAAAAAAAAQAg&#10;AAAAIgAAAGRycy9kb3ducmV2LnhtbFBLAQIUABQAAAAIAIdO4kCUJTk5DQIAADoEAAAOAAAAAAAA&#10;AAEAIAAAACgBAABkcnMvZTJvRG9jLnhtbFBLBQYAAAAABgAGAFkBAACnBQAAAAA=&#10;">
                      <v:fill on="t" focussize="0,0"/>
                      <v:stroke color="#000000" joinstyle="miter"/>
                      <v:imagedata o:title=""/>
                      <o:lock v:ext="edit" aspectratio="f"/>
                      <v:textbox>
                        <w:txbxContent>
                          <w:p w14:paraId="79003C87">
                            <w:r>
                              <w:rPr>
                                <w:rFonts w:hint="eastAsia"/>
                              </w:rPr>
                              <w:t>制砖工艺</w:t>
                            </w:r>
                          </w:p>
                        </w:txbxContent>
                      </v:textbox>
                    </v:shape>
                  </w:pict>
                </mc:Fallback>
              </mc:AlternateContent>
            </w:r>
          </w:p>
          <w:p w14:paraId="41F97D87">
            <w:pPr>
              <w:pStyle w:val="10"/>
              <w:spacing w:line="480" w:lineRule="exact"/>
              <w:ind w:left="0" w:leftChars="0" w:right="0" w:rightChars="0" w:firstLine="420" w:firstLineChars="200"/>
              <w:rPr>
                <w:color w:val="000000" w:themeColor="text1"/>
                <w:spacing w:val="-4"/>
                <w:sz w:val="24"/>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828224" behindDoc="0" locked="0" layoutInCell="1" allowOverlap="1">
                      <wp:simplePos x="0" y="0"/>
                      <wp:positionH relativeFrom="column">
                        <wp:posOffset>1144270</wp:posOffset>
                      </wp:positionH>
                      <wp:positionV relativeFrom="paragraph">
                        <wp:posOffset>266700</wp:posOffset>
                      </wp:positionV>
                      <wp:extent cx="482600" cy="356870"/>
                      <wp:effectExtent l="0" t="0" r="0" b="0"/>
                      <wp:wrapNone/>
                      <wp:docPr id="182" name="文本框 3527"/>
                      <wp:cNvGraphicFramePr/>
                      <a:graphic xmlns:a="http://schemas.openxmlformats.org/drawingml/2006/main">
                        <a:graphicData uri="http://schemas.microsoft.com/office/word/2010/wordprocessingShape">
                          <wps:wsp>
                            <wps:cNvSpPr txBox="1"/>
                            <wps:spPr>
                              <a:xfrm>
                                <a:off x="0" y="0"/>
                                <a:ext cx="482600" cy="356870"/>
                              </a:xfrm>
                              <a:prstGeom prst="rect">
                                <a:avLst/>
                              </a:prstGeom>
                              <a:noFill/>
                              <a:ln>
                                <a:noFill/>
                              </a:ln>
                            </wps:spPr>
                            <wps:txbx>
                              <w:txbxContent>
                                <w:p w14:paraId="7CBF760C">
                                  <w:pPr>
                                    <w:rPr>
                                      <w:rFonts w:hint="default" w:eastAsia="宋体"/>
                                      <w:lang w:val="en-US" w:eastAsia="zh-CN"/>
                                    </w:rPr>
                                  </w:pPr>
                                  <w:r>
                                    <w:rPr>
                                      <w:rFonts w:hint="eastAsia"/>
                                      <w:lang w:val="en-US" w:eastAsia="zh-CN"/>
                                    </w:rPr>
                                    <w:t>9.2</w:t>
                                  </w:r>
                                </w:p>
                              </w:txbxContent>
                            </wps:txbx>
                            <wps:bodyPr upright="1"/>
                          </wps:wsp>
                        </a:graphicData>
                      </a:graphic>
                    </wp:anchor>
                  </w:drawing>
                </mc:Choice>
                <mc:Fallback>
                  <w:pict>
                    <v:shape id="文本框 3527" o:spid="_x0000_s1026" o:spt="202" type="#_x0000_t202" style="position:absolute;left:0pt;margin-left:90.1pt;margin-top:21pt;height:28.1pt;width:38pt;z-index:251828224;mso-width-relative:page;mso-height-relative:page;" filled="f" stroked="f" coordsize="21600,21600" o:gfxdata="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X88pPV&#10;AAAACQEAAA8AAAAAAAAAAQAgAAAAIgAAAGRycy9kb3ducmV2LnhtbFBLAQIUABQAAAAIAIdO4kCt&#10;fKB/sQEAAFIDAAAOAAAAAAAAAAEAIAAAACQBAABkcnMvZTJvRG9jLnhtbFBLBQYAAAAABgAGAFkB&#10;AABHBQAAAAA=&#10;">
                      <v:fill on="f" focussize="0,0"/>
                      <v:stroke on="f"/>
                      <v:imagedata o:title=""/>
                      <o:lock v:ext="edit" aspectratio="f"/>
                      <v:textbox>
                        <w:txbxContent>
                          <w:p w14:paraId="7CBF760C">
                            <w:pPr>
                              <w:rPr>
                                <w:rFonts w:hint="default" w:eastAsia="宋体"/>
                                <w:lang w:val="en-US" w:eastAsia="zh-CN"/>
                              </w:rPr>
                            </w:pPr>
                            <w:r>
                              <w:rPr>
                                <w:rFonts w:hint="eastAsia"/>
                                <w:lang w:val="en-US" w:eastAsia="zh-CN"/>
                              </w:rPr>
                              <w:t>9.2</w:t>
                            </w:r>
                          </w:p>
                        </w:txbxContent>
                      </v:textbox>
                    </v:shape>
                  </w:pict>
                </mc:Fallback>
              </mc:AlternateContent>
            </w:r>
            <w:r>
              <w:rPr>
                <w:rFonts w:eastAsia="黑体"/>
                <w:b/>
                <w:color w:val="000000" w:themeColor="text1"/>
                <w:sz w:val="28"/>
                <w:szCs w:val="28"/>
                <w:highlight w:val="none"/>
                <w14:textFill>
                  <w14:solidFill>
                    <w14:schemeClr w14:val="tx1"/>
                  </w14:solidFill>
                </w14:textFill>
              </w:rPr>
              <mc:AlternateContent>
                <mc:Choice Requires="wps">
                  <w:drawing>
                    <wp:anchor distT="0" distB="0" distL="114300" distR="114300" simplePos="0" relativeHeight="251823104" behindDoc="0" locked="0" layoutInCell="1" allowOverlap="1">
                      <wp:simplePos x="0" y="0"/>
                      <wp:positionH relativeFrom="column">
                        <wp:posOffset>2105660</wp:posOffset>
                      </wp:positionH>
                      <wp:positionV relativeFrom="paragraph">
                        <wp:posOffset>1905</wp:posOffset>
                      </wp:positionV>
                      <wp:extent cx="530225" cy="243840"/>
                      <wp:effectExtent l="0" t="0" r="0" b="0"/>
                      <wp:wrapNone/>
                      <wp:docPr id="177" name="文本框 3522"/>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24AEF7DE">
                                  <w:pPr>
                                    <w:ind w:left="-105" w:leftChars="-50" w:right="-105" w:rightChars="-50"/>
                                    <w:jc w:val="center"/>
                                    <w:rPr>
                                      <w:rFonts w:hint="default" w:eastAsia="宋体"/>
                                      <w:spacing w:val="-8"/>
                                      <w:szCs w:val="21"/>
                                      <w:lang w:val="en-US" w:eastAsia="zh-CN"/>
                                    </w:rPr>
                                  </w:pPr>
                                  <w:r>
                                    <w:rPr>
                                      <w:rFonts w:hint="eastAsia"/>
                                      <w:spacing w:val="-8"/>
                                      <w:szCs w:val="21"/>
                                      <w:lang w:val="en-US" w:eastAsia="zh-CN"/>
                                    </w:rPr>
                                    <w:t>9.2</w:t>
                                  </w:r>
                                </w:p>
                              </w:txbxContent>
                            </wps:txbx>
                            <wps:bodyPr upright="1"/>
                          </wps:wsp>
                        </a:graphicData>
                      </a:graphic>
                    </wp:anchor>
                  </w:drawing>
                </mc:Choice>
                <mc:Fallback>
                  <w:pict>
                    <v:shape id="文本框 3522" o:spid="_x0000_s1026" o:spt="202" type="#_x0000_t202" style="position:absolute;left:0pt;margin-left:165.8pt;margin-top:0.15pt;height:19.2pt;width:41.75pt;z-index:251823104;mso-width-relative:page;mso-height-relative:page;" filled="f" stroked="f" coordsize="21600,21600" o:gfxdata="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9dZIa0wAA&#10;AAcBAAAPAAAAAAAAAAEAIAAAACIAAABkcnMvZG93bnJldi54bWxQSwECFAAUAAAACACHTuJAkT5w&#10;UbEBAABSAwAADgAAAAAAAAABACAAAAAiAQAAZHJzL2Uyb0RvYy54bWxQSwUGAAAAAAYABgBZAQAA&#10;RQUAAAAA&#10;">
                      <v:fill on="f" focussize="0,0"/>
                      <v:stroke on="f"/>
                      <v:imagedata o:title=""/>
                      <o:lock v:ext="edit" aspectratio="f"/>
                      <v:textbox>
                        <w:txbxContent>
                          <w:p w14:paraId="24AEF7DE">
                            <w:pPr>
                              <w:ind w:left="-105" w:leftChars="-50" w:right="-105" w:rightChars="-50"/>
                              <w:jc w:val="center"/>
                              <w:rPr>
                                <w:rFonts w:hint="default" w:eastAsia="宋体"/>
                                <w:spacing w:val="-8"/>
                                <w:szCs w:val="21"/>
                                <w:lang w:val="en-US" w:eastAsia="zh-CN"/>
                              </w:rPr>
                            </w:pPr>
                            <w:r>
                              <w:rPr>
                                <w:rFonts w:hint="eastAsia"/>
                                <w:spacing w:val="-8"/>
                                <w:szCs w:val="21"/>
                                <w:lang w:val="en-US" w:eastAsia="zh-CN"/>
                              </w:rPr>
                              <w:t>9.2</w:t>
                            </w:r>
                          </w:p>
                        </w:txbxContent>
                      </v:textbox>
                    </v:shape>
                  </w:pict>
                </mc:Fallback>
              </mc:AlternateContent>
            </w:r>
            <w:r>
              <w:rPr>
                <w:rFonts w:eastAsia="黑体"/>
                <w:b/>
                <w:color w:val="000000" w:themeColor="text1"/>
                <w:sz w:val="28"/>
                <w:szCs w:val="28"/>
                <w:highlight w:val="none"/>
                <w14:textFill>
                  <w14:solidFill>
                    <w14:schemeClr w14:val="tx1"/>
                  </w14:solidFill>
                </w14:textFill>
              </w:rPr>
              <mc:AlternateContent>
                <mc:Choice Requires="wpg">
                  <w:drawing>
                    <wp:anchor distT="0" distB="0" distL="114300" distR="114300" simplePos="0" relativeHeight="251819008" behindDoc="0" locked="0" layoutInCell="1" allowOverlap="1">
                      <wp:simplePos x="0" y="0"/>
                      <wp:positionH relativeFrom="column">
                        <wp:posOffset>2077720</wp:posOffset>
                      </wp:positionH>
                      <wp:positionV relativeFrom="paragraph">
                        <wp:posOffset>155575</wp:posOffset>
                      </wp:positionV>
                      <wp:extent cx="244475" cy="207010"/>
                      <wp:effectExtent l="4445" t="2540" r="10160" b="3810"/>
                      <wp:wrapNone/>
                      <wp:docPr id="170" name="组合 3512"/>
                      <wp:cNvGraphicFramePr/>
                      <a:graphic xmlns:a="http://schemas.openxmlformats.org/drawingml/2006/main">
                        <a:graphicData uri="http://schemas.microsoft.com/office/word/2010/wordprocessingGroup">
                          <wpg:wgp>
                            <wpg:cNvGrpSpPr/>
                            <wpg:grpSpPr>
                              <a:xfrm>
                                <a:off x="0" y="0"/>
                                <a:ext cx="244475" cy="207010"/>
                                <a:chOff x="4080" y="11233"/>
                                <a:chExt cx="385" cy="293"/>
                              </a:xfrm>
                            </wpg:grpSpPr>
                            <wps:wsp>
                              <wps:cNvPr id="167" name="Line 1823"/>
                              <wps:cNvCnPr/>
                              <wps:spPr>
                                <a:xfrm flipV="1">
                                  <a:off x="4301" y="11233"/>
                                  <a:ext cx="164" cy="236"/>
                                </a:xfrm>
                                <a:prstGeom prst="line">
                                  <a:avLst/>
                                </a:prstGeom>
                                <a:ln w="9525" cap="flat" cmpd="sng">
                                  <a:solidFill>
                                    <a:srgbClr val="000000"/>
                                  </a:solidFill>
                                  <a:prstDash val="solid"/>
                                  <a:headEnd type="none" w="med" len="med"/>
                                  <a:tailEnd type="none" w="med" len="med"/>
                                </a:ln>
                              </wps:spPr>
                              <wps:bodyPr upright="1"/>
                            </wps:wsp>
                            <wps:wsp>
                              <wps:cNvPr id="168" name="Line 1825"/>
                              <wps:cNvCnPr/>
                              <wps:spPr>
                                <a:xfrm flipV="1">
                                  <a:off x="4080" y="11361"/>
                                  <a:ext cx="99" cy="165"/>
                                </a:xfrm>
                                <a:prstGeom prst="line">
                                  <a:avLst/>
                                </a:prstGeom>
                                <a:ln w="9525" cap="flat" cmpd="sng">
                                  <a:solidFill>
                                    <a:srgbClr val="000000"/>
                                  </a:solidFill>
                                  <a:prstDash val="solid"/>
                                  <a:headEnd type="none" w="med" len="med"/>
                                  <a:tailEnd type="none" w="med" len="med"/>
                                </a:ln>
                              </wps:spPr>
                              <wps:bodyPr upright="1"/>
                            </wps:wsp>
                            <wps:wsp>
                              <wps:cNvPr id="169" name="Line 1826"/>
                              <wps:cNvCnPr/>
                              <wps:spPr>
                                <a:xfrm>
                                  <a:off x="4193" y="11361"/>
                                  <a:ext cx="105" cy="8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12" o:spid="_x0000_s1026" o:spt="203" style="position:absolute;left:0pt;margin-left:163.6pt;margin-top:12.25pt;height:16.3pt;width:19.25pt;z-index:251819008;mso-width-relative:page;mso-height-relative:page;" coordorigin="4080,11233" coordsize="385,293" o:gfxdata="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OYAMW9oAAAAJAQAADwAAAAAA&#10;AAABACAAAAAiAAAAZHJzL2Rvd25yZXYueG1sUEsBAhQAFAAAAAgAh07iQNXT6xe8AgAAMgkAAA4A&#10;AAAAAAAAAQAgAAAAKQEAAGRycy9lMm9Eb2MueG1sUEsFBgAAAAAGAAYAWQEAAFcGAAAAAA==&#10;">
                      <o:lock v:ext="edit" aspectratio="f"/>
                      <v:line id="Line 1823" o:spid="_x0000_s1026" o:spt="20" style="position:absolute;left:4301;top:11233;flip:y;height:236;width:164;" filled="f" stroked="t" coordsize="21600,21600" o:gfxdata="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vUQo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Line 1825" o:spid="_x0000_s1026" o:spt="20" style="position:absolute;left:4080;top:11361;flip:y;height:165;width:99;" filled="f" stroked="t" coordsize="21600,21600" o:gfxdata="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2qE0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1826" o:spid="_x0000_s1026" o:spt="20" style="position:absolute;left:4193;top:11361;height:83;width:105;" filled="f" stroked="t" coordsize="21600,21600" o:gfxdata="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GNUa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p>
          <w:p w14:paraId="6693EB91">
            <w:pPr>
              <w:pStyle w:val="10"/>
              <w:spacing w:line="480" w:lineRule="exact"/>
              <w:ind w:left="0" w:leftChars="0" w:right="0" w:rightChars="0" w:firstLine="420" w:firstLineChars="200"/>
              <w:rPr>
                <w:color w:val="000000" w:themeColor="text1"/>
                <w:spacing w:val="-4"/>
                <w:sz w:val="24"/>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814912" behindDoc="0" locked="0" layoutInCell="1" allowOverlap="1">
                      <wp:simplePos x="0" y="0"/>
                      <wp:positionH relativeFrom="column">
                        <wp:posOffset>1076325</wp:posOffset>
                      </wp:positionH>
                      <wp:positionV relativeFrom="paragraph">
                        <wp:posOffset>175895</wp:posOffset>
                      </wp:positionV>
                      <wp:extent cx="525145" cy="0"/>
                      <wp:effectExtent l="0" t="38100" r="8255" b="38100"/>
                      <wp:wrapNone/>
                      <wp:docPr id="159" name="自选图形 3504"/>
                      <wp:cNvGraphicFramePr/>
                      <a:graphic xmlns:a="http://schemas.openxmlformats.org/drawingml/2006/main">
                        <a:graphicData uri="http://schemas.microsoft.com/office/word/2010/wordprocessingShape">
                          <wps:wsp>
                            <wps:cNvCnPr/>
                            <wps:spPr>
                              <a:xfrm>
                                <a:off x="0" y="0"/>
                                <a:ext cx="52514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04" o:spid="_x0000_s1026" o:spt="32" type="#_x0000_t32" style="position:absolute;left:0pt;margin-left:84.75pt;margin-top:13.85pt;height:0pt;width:41.35pt;z-index:251814912;mso-width-relative:page;mso-height-relative:page;" filled="f" stroked="t" coordsize="21600,21600" o:gfxdata="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5wFBNgAAAAJAQAADwAAAAAAAAABACAAAAAiAAAAZHJzL2Rvd25y&#10;ZXYueG1sUEsBAhQAFAAAAAgAh07iQDYR/jf+AQAA6wMAAA4AAAAAAAAAAQAgAAAAJwEAAGRycy9l&#10;Mm9Eb2MueG1sUEsFBgAAAAAGAAYAWQEAAJcFAAAAAA==&#10;">
                      <v:fill on="f" focussize="0,0"/>
                      <v:stroke color="#000000" joinstyle="round" endarrow="block"/>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37440" behindDoc="0" locked="0" layoutInCell="1" allowOverlap="1">
                      <wp:simplePos x="0" y="0"/>
                      <wp:positionH relativeFrom="column">
                        <wp:posOffset>2524125</wp:posOffset>
                      </wp:positionH>
                      <wp:positionV relativeFrom="paragraph">
                        <wp:posOffset>175895</wp:posOffset>
                      </wp:positionV>
                      <wp:extent cx="530225" cy="243840"/>
                      <wp:effectExtent l="0" t="0" r="0" b="0"/>
                      <wp:wrapNone/>
                      <wp:docPr id="194" name="文本框 3539"/>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604B646C">
                                  <w:pPr>
                                    <w:ind w:left="-105" w:leftChars="-50" w:right="-105" w:rightChars="-50"/>
                                    <w:jc w:val="center"/>
                                    <w:rPr>
                                      <w:spacing w:val="-8"/>
                                      <w:szCs w:val="21"/>
                                    </w:rPr>
                                  </w:pPr>
                                  <w:r>
                                    <w:rPr>
                                      <w:spacing w:val="-8"/>
                                      <w:szCs w:val="21"/>
                                    </w:rPr>
                                    <w:t>0.08</w:t>
                                  </w:r>
                                </w:p>
                              </w:txbxContent>
                            </wps:txbx>
                            <wps:bodyPr upright="1"/>
                          </wps:wsp>
                        </a:graphicData>
                      </a:graphic>
                    </wp:anchor>
                  </w:drawing>
                </mc:Choice>
                <mc:Fallback>
                  <w:pict>
                    <v:shape id="文本框 3539" o:spid="_x0000_s1026" o:spt="202" type="#_x0000_t202" style="position:absolute;left:0pt;margin-left:198.75pt;margin-top:13.85pt;height:19.2pt;width:41.75pt;z-index:251837440;mso-width-relative:page;mso-height-relative:page;" filled="f" stroked="f" coordsize="21600,21600" o:gfxdata="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dyP&#10;IdcAAAAJAQAADwAAAAAAAAABACAAAAAiAAAAZHJzL2Rvd25yZXYueG1sUEsBAhQAFAAAAAgAh07i&#10;QNgQkgexAQAAUgMAAA4AAAAAAAAAAQAgAAAAJgEAAGRycy9lMm9Eb2MueG1sUEsFBgAAAAAGAAYA&#10;WQEAAEkFAAAAAA==&#10;">
                      <v:fill on="f" focussize="0,0"/>
                      <v:stroke on="f"/>
                      <v:imagedata o:title=""/>
                      <o:lock v:ext="edit" aspectratio="f"/>
                      <v:textbox>
                        <w:txbxContent>
                          <w:p w14:paraId="604B646C">
                            <w:pPr>
                              <w:ind w:left="-105" w:leftChars="-50" w:right="-105" w:rightChars="-50"/>
                              <w:jc w:val="center"/>
                              <w:rPr>
                                <w:spacing w:val="-8"/>
                                <w:szCs w:val="21"/>
                              </w:rPr>
                            </w:pPr>
                            <w:r>
                              <w:rPr>
                                <w:spacing w:val="-8"/>
                                <w:szCs w:val="21"/>
                              </w:rPr>
                              <w:t>0.08</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05696" behindDoc="0" locked="0" layoutInCell="1" allowOverlap="1">
                      <wp:simplePos x="0" y="0"/>
                      <wp:positionH relativeFrom="column">
                        <wp:posOffset>310515</wp:posOffset>
                      </wp:positionH>
                      <wp:positionV relativeFrom="paragraph">
                        <wp:posOffset>227330</wp:posOffset>
                      </wp:positionV>
                      <wp:extent cx="781050" cy="377825"/>
                      <wp:effectExtent l="0" t="0" r="0" b="0"/>
                      <wp:wrapNone/>
                      <wp:docPr id="149" name="Text Box 1669"/>
                      <wp:cNvGraphicFramePr/>
                      <a:graphic xmlns:a="http://schemas.openxmlformats.org/drawingml/2006/main">
                        <a:graphicData uri="http://schemas.microsoft.com/office/word/2010/wordprocessingShape">
                          <wps:wsp>
                            <wps:cNvSpPr txBox="1"/>
                            <wps:spPr>
                              <a:xfrm>
                                <a:off x="0" y="0"/>
                                <a:ext cx="781050" cy="377825"/>
                              </a:xfrm>
                              <a:prstGeom prst="rect">
                                <a:avLst/>
                              </a:prstGeom>
                              <a:noFill/>
                              <a:ln>
                                <a:noFill/>
                              </a:ln>
                            </wps:spPr>
                            <wps:txbx>
                              <w:txbxContent>
                                <w:p w14:paraId="09061496">
                                  <w:pPr>
                                    <w:ind w:left="-105" w:leftChars="-50" w:right="-105" w:rightChars="-50"/>
                                    <w:jc w:val="center"/>
                                    <w:rPr>
                                      <w:rFonts w:hint="default" w:eastAsia="宋体"/>
                                      <w:spacing w:val="-8"/>
                                      <w:szCs w:val="21"/>
                                      <w:lang w:val="en-US" w:eastAsia="zh-CN"/>
                                    </w:rPr>
                                  </w:pPr>
                                  <w:r>
                                    <w:rPr>
                                      <w:spacing w:val="-8"/>
                                      <w:szCs w:val="21"/>
                                    </w:rPr>
                                    <w:t>新水</w:t>
                                  </w:r>
                                  <w:r>
                                    <w:rPr>
                                      <w:rFonts w:hint="eastAsia"/>
                                      <w:spacing w:val="-8"/>
                                      <w:szCs w:val="21"/>
                                      <w:lang w:val="en-US" w:eastAsia="zh-CN"/>
                                    </w:rPr>
                                    <w:t>36.38</w:t>
                                  </w:r>
                                </w:p>
                              </w:txbxContent>
                            </wps:txbx>
                            <wps:bodyPr upright="1"/>
                          </wps:wsp>
                        </a:graphicData>
                      </a:graphic>
                    </wp:anchor>
                  </w:drawing>
                </mc:Choice>
                <mc:Fallback>
                  <w:pict>
                    <v:shape id="Text Box 1669" o:spid="_x0000_s1026" o:spt="202" type="#_x0000_t202" style="position:absolute;left:0pt;margin-left:24.45pt;margin-top:17.9pt;height:29.75pt;width:61.5pt;z-index:251805696;mso-width-relative:page;mso-height-relative:page;" filled="f" stroked="f" coordsize="21600,21600" o:gfxdata="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FcE9s9YAAAAIAQAADwAAAAAAAAAB&#10;ACAAAAAiAAAAZHJzL2Rvd25yZXYueG1sUEsBAhQAFAAAAAgAh07iQI4ulHKgAQAAUQMAAA4AAAAA&#10;AAAAAQAgAAAAJQEAAGRycy9lMm9Eb2MueG1sUEsFBgAAAAAGAAYAWQEAADcFAAAAAA==&#10;">
                      <v:fill on="f" focussize="0,0"/>
                      <v:stroke on="f"/>
                      <v:imagedata o:title=""/>
                      <o:lock v:ext="edit" aspectratio="f"/>
                      <v:textbox>
                        <w:txbxContent>
                          <w:p w14:paraId="09061496">
                            <w:pPr>
                              <w:ind w:left="-105" w:leftChars="-50" w:right="-105" w:rightChars="-50"/>
                              <w:jc w:val="center"/>
                              <w:rPr>
                                <w:rFonts w:hint="default" w:eastAsia="宋体"/>
                                <w:spacing w:val="-8"/>
                                <w:szCs w:val="21"/>
                                <w:lang w:val="en-US" w:eastAsia="zh-CN"/>
                              </w:rPr>
                            </w:pPr>
                            <w:r>
                              <w:rPr>
                                <w:spacing w:val="-8"/>
                                <w:szCs w:val="21"/>
                              </w:rPr>
                              <w:t>新水</w:t>
                            </w:r>
                            <w:r>
                              <w:rPr>
                                <w:rFonts w:hint="eastAsia"/>
                                <w:spacing w:val="-8"/>
                                <w:szCs w:val="21"/>
                                <w:lang w:val="en-US" w:eastAsia="zh-CN"/>
                              </w:rPr>
                              <w:t>36.38</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26176" behindDoc="0" locked="0" layoutInCell="1" allowOverlap="1">
                      <wp:simplePos x="0" y="0"/>
                      <wp:positionH relativeFrom="column">
                        <wp:posOffset>1594485</wp:posOffset>
                      </wp:positionH>
                      <wp:positionV relativeFrom="paragraph">
                        <wp:posOffset>57785</wp:posOffset>
                      </wp:positionV>
                      <wp:extent cx="802640" cy="260985"/>
                      <wp:effectExtent l="4445" t="5080" r="15875" b="8255"/>
                      <wp:wrapNone/>
                      <wp:docPr id="180" name="文本框 3525"/>
                      <wp:cNvGraphicFramePr/>
                      <a:graphic xmlns:a="http://schemas.openxmlformats.org/drawingml/2006/main">
                        <a:graphicData uri="http://schemas.microsoft.com/office/word/2010/wordprocessingShape">
                          <wps:wsp>
                            <wps:cNvSpPr txBox="1"/>
                            <wps:spPr>
                              <a:xfrm>
                                <a:off x="0" y="0"/>
                                <a:ext cx="802640" cy="2609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02129E">
                                  <w:r>
                                    <w:rPr>
                                      <w:rFonts w:hint="eastAsia"/>
                                    </w:rPr>
                                    <w:t>抑尘用水</w:t>
                                  </w:r>
                                </w:p>
                              </w:txbxContent>
                            </wps:txbx>
                            <wps:bodyPr upright="1"/>
                          </wps:wsp>
                        </a:graphicData>
                      </a:graphic>
                    </wp:anchor>
                  </w:drawing>
                </mc:Choice>
                <mc:Fallback>
                  <w:pict>
                    <v:shape id="文本框 3525" o:spid="_x0000_s1026" o:spt="202" type="#_x0000_t202" style="position:absolute;left:0pt;margin-left:125.55pt;margin-top:4.55pt;height:20.55pt;width:63.2pt;z-index:251826176;mso-width-relative:page;mso-height-relative:page;" fillcolor="#FFFFFF" filled="t" stroked="t" coordsize="21600,21600" o:gfxdata="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aKyM72QAAAAgBAAAPAAAAAAAAAAEA&#10;IAAAACIAAABkcnMvZG93bnJldi54bWxQSwECFAAUAAAACACHTuJACGqnHg4CAAA6BAAADgAAAAAA&#10;AAABACAAAAAoAQAAZHJzL2Uyb0RvYy54bWxQSwUGAAAAAAYABgBZAQAAqAUAAAAA&#10;">
                      <v:fill on="t" focussize="0,0"/>
                      <v:stroke color="#000000" joinstyle="miter"/>
                      <v:imagedata o:title=""/>
                      <o:lock v:ext="edit" aspectratio="f"/>
                      <v:textbox>
                        <w:txbxContent>
                          <w:p w14:paraId="4302129E">
                            <w:r>
                              <w:rPr>
                                <w:rFonts w:hint="eastAsia"/>
                              </w:rPr>
                              <w:t>抑尘用水</w:t>
                            </w:r>
                          </w:p>
                        </w:txbxContent>
                      </v:textbox>
                    </v:shape>
                  </w:pict>
                </mc:Fallback>
              </mc:AlternateContent>
            </w:r>
          </w:p>
          <w:p w14:paraId="06ECC27A">
            <w:pPr>
              <w:pStyle w:val="10"/>
              <w:spacing w:line="480" w:lineRule="exact"/>
              <w:ind w:left="0" w:leftChars="0" w:right="0" w:rightChars="0" w:firstLine="482" w:firstLineChars="200"/>
              <w:rPr>
                <w:color w:val="000000" w:themeColor="text1"/>
                <w:spacing w:val="-4"/>
                <w:sz w:val="24"/>
                <w:highlight w:val="none"/>
                <w14:textFill>
                  <w14:solidFill>
                    <w14:schemeClr w14:val="tx1"/>
                  </w14:solidFill>
                </w14:textFill>
              </w:rPr>
            </w:pP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36416" behindDoc="0" locked="0" layoutInCell="1" allowOverlap="1">
                      <wp:simplePos x="0" y="0"/>
                      <wp:positionH relativeFrom="column">
                        <wp:posOffset>1076325</wp:posOffset>
                      </wp:positionH>
                      <wp:positionV relativeFrom="paragraph">
                        <wp:posOffset>135890</wp:posOffset>
                      </wp:positionV>
                      <wp:extent cx="530225" cy="243840"/>
                      <wp:effectExtent l="0" t="0" r="0" b="0"/>
                      <wp:wrapNone/>
                      <wp:docPr id="193" name="文本框 3538"/>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3F59E240">
                                  <w:pPr>
                                    <w:ind w:left="-105" w:leftChars="-50" w:right="-105" w:rightChars="-50"/>
                                    <w:jc w:val="center"/>
                                    <w:rPr>
                                      <w:spacing w:val="-8"/>
                                      <w:szCs w:val="21"/>
                                    </w:rPr>
                                  </w:pPr>
                                  <w:r>
                                    <w:rPr>
                                      <w:spacing w:val="-8"/>
                                      <w:szCs w:val="21"/>
                                    </w:rPr>
                                    <w:t>0.08</w:t>
                                  </w:r>
                                </w:p>
                              </w:txbxContent>
                            </wps:txbx>
                            <wps:bodyPr upright="1"/>
                          </wps:wsp>
                        </a:graphicData>
                      </a:graphic>
                    </wp:anchor>
                  </w:drawing>
                </mc:Choice>
                <mc:Fallback>
                  <w:pict>
                    <v:shape id="文本框 3538" o:spid="_x0000_s1026" o:spt="202" type="#_x0000_t202" style="position:absolute;left:0pt;margin-left:84.75pt;margin-top:10.7pt;height:19.2pt;width:41.75pt;z-index:251836416;mso-width-relative:page;mso-height-relative:page;" filled="f" stroked="f" coordsize="21600,21600" o:gfxdata="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rNbS&#10;ZdcAAAAJAQAADwAAAAAAAAABACAAAAAiAAAAZHJzL2Rvd25yZXYueG1sUEsBAhQAFAAAAAgAh07i&#10;QJF+qrWxAQAAUgMAAA4AAAAAAAAAAQAgAAAAJgEAAGRycy9lMm9Eb2MueG1sUEsFBgAAAAAGAAYA&#10;WQEAAEkFAAAAAA==&#10;">
                      <v:fill on="f" focussize="0,0"/>
                      <v:stroke on="f"/>
                      <v:imagedata o:title=""/>
                      <o:lock v:ext="edit" aspectratio="f"/>
                      <v:textbox>
                        <w:txbxContent>
                          <w:p w14:paraId="3F59E240">
                            <w:pPr>
                              <w:ind w:left="-105" w:leftChars="-50" w:right="-105" w:rightChars="-50"/>
                              <w:jc w:val="center"/>
                              <w:rPr>
                                <w:spacing w:val="-8"/>
                                <w:szCs w:val="21"/>
                              </w:rPr>
                            </w:pPr>
                            <w:r>
                              <w:rPr>
                                <w:spacing w:val="-8"/>
                                <w:szCs w:val="21"/>
                              </w:rPr>
                              <w:t>0.08</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807744" behindDoc="0" locked="0" layoutInCell="1" allowOverlap="1">
                      <wp:simplePos x="0" y="0"/>
                      <wp:positionH relativeFrom="column">
                        <wp:posOffset>384175</wp:posOffset>
                      </wp:positionH>
                      <wp:positionV relativeFrom="paragraph">
                        <wp:posOffset>241935</wp:posOffset>
                      </wp:positionV>
                      <wp:extent cx="692150" cy="0"/>
                      <wp:effectExtent l="0" t="38100" r="8890" b="38100"/>
                      <wp:wrapNone/>
                      <wp:docPr id="151" name="自选图形 3496"/>
                      <wp:cNvGraphicFramePr/>
                      <a:graphic xmlns:a="http://schemas.openxmlformats.org/drawingml/2006/main">
                        <a:graphicData uri="http://schemas.microsoft.com/office/word/2010/wordprocessingShape">
                          <wps:wsp>
                            <wps:cNvCnPr/>
                            <wps:spPr>
                              <a:xfrm>
                                <a:off x="0" y="0"/>
                                <a:ext cx="69215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496" o:spid="_x0000_s1026" o:spt="32" type="#_x0000_t32" style="position:absolute;left:0pt;margin-left:30.25pt;margin-top:19.05pt;height:0pt;width:54.5pt;z-index:251807744;mso-width-relative:page;mso-height-relative:page;" filled="f" stroked="t" coordsize="21600,21600" o:gfxdata="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OTbdcAAAAIAQAADwAAAAAAAAABACAAAAAiAAAAZHJzL2Rvd25y&#10;ZXYueG1sUEsBAhQAFAAAAAgAh07iQIzMBoj/AQAA6wMAAA4AAAAAAAAAAQAgAAAAJgEAAGRycy9l&#10;Mm9Eb2MueG1sUEsFBgAAAAAGAAYAWQEAAJcFAAAAAA==&#10;">
                      <v:fill on="f" focussize="0,0"/>
                      <v:stroke color="#000000" joinstyle="round" endarrow="block"/>
                      <v:imagedata o:title=""/>
                      <o:lock v:ext="edit" aspectratio="f"/>
                    </v:shape>
                  </w:pict>
                </mc:Fallback>
              </mc:AlternateContent>
            </w:r>
            <w:r>
              <w:rPr>
                <w:color w:val="000000" w:themeColor="text1"/>
                <w:highlight w:val="none"/>
                <w14:textFill>
                  <w14:solidFill>
                    <w14:schemeClr w14:val="tx1"/>
                  </w14:solidFill>
                </w14:textFill>
              </w:rPr>
              <mc:AlternateContent>
                <mc:Choice Requires="wpg">
                  <w:drawing>
                    <wp:anchor distT="0" distB="0" distL="114300" distR="114300" simplePos="0" relativeHeight="251835392" behindDoc="0" locked="0" layoutInCell="1" allowOverlap="1">
                      <wp:simplePos x="0" y="0"/>
                      <wp:positionH relativeFrom="column">
                        <wp:posOffset>2442845</wp:posOffset>
                      </wp:positionH>
                      <wp:positionV relativeFrom="paragraph">
                        <wp:posOffset>34925</wp:posOffset>
                      </wp:positionV>
                      <wp:extent cx="244475" cy="207010"/>
                      <wp:effectExtent l="4445" t="2540" r="10160" b="3810"/>
                      <wp:wrapNone/>
                      <wp:docPr id="192" name="组合 3534"/>
                      <wp:cNvGraphicFramePr/>
                      <a:graphic xmlns:a="http://schemas.openxmlformats.org/drawingml/2006/main">
                        <a:graphicData uri="http://schemas.microsoft.com/office/word/2010/wordprocessingGroup">
                          <wpg:wgp>
                            <wpg:cNvGrpSpPr/>
                            <wpg:grpSpPr>
                              <a:xfrm>
                                <a:off x="0" y="0"/>
                                <a:ext cx="244475" cy="207010"/>
                                <a:chOff x="4080" y="11233"/>
                                <a:chExt cx="385" cy="293"/>
                              </a:xfrm>
                            </wpg:grpSpPr>
                            <wps:wsp>
                              <wps:cNvPr id="189" name="Line 1823"/>
                              <wps:cNvCnPr/>
                              <wps:spPr>
                                <a:xfrm flipV="1">
                                  <a:off x="4301" y="11233"/>
                                  <a:ext cx="164" cy="236"/>
                                </a:xfrm>
                                <a:prstGeom prst="line">
                                  <a:avLst/>
                                </a:prstGeom>
                                <a:ln w="9525" cap="flat" cmpd="sng">
                                  <a:solidFill>
                                    <a:srgbClr val="000000"/>
                                  </a:solidFill>
                                  <a:prstDash val="solid"/>
                                  <a:headEnd type="none" w="med" len="med"/>
                                  <a:tailEnd type="none" w="med" len="med"/>
                                </a:ln>
                              </wps:spPr>
                              <wps:bodyPr upright="1"/>
                            </wps:wsp>
                            <wps:wsp>
                              <wps:cNvPr id="190" name="Line 1825"/>
                              <wps:cNvCnPr/>
                              <wps:spPr>
                                <a:xfrm flipV="1">
                                  <a:off x="4080" y="11361"/>
                                  <a:ext cx="99" cy="165"/>
                                </a:xfrm>
                                <a:prstGeom prst="line">
                                  <a:avLst/>
                                </a:prstGeom>
                                <a:ln w="9525" cap="flat" cmpd="sng">
                                  <a:solidFill>
                                    <a:srgbClr val="000000"/>
                                  </a:solidFill>
                                  <a:prstDash val="solid"/>
                                  <a:headEnd type="none" w="med" len="med"/>
                                  <a:tailEnd type="none" w="med" len="med"/>
                                </a:ln>
                              </wps:spPr>
                              <wps:bodyPr upright="1"/>
                            </wps:wsp>
                            <wps:wsp>
                              <wps:cNvPr id="191" name="Line 1826"/>
                              <wps:cNvCnPr/>
                              <wps:spPr>
                                <a:xfrm>
                                  <a:off x="4193" y="11361"/>
                                  <a:ext cx="105" cy="8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34" o:spid="_x0000_s1026" o:spt="203" style="position:absolute;left:0pt;margin-left:192.35pt;margin-top:2.75pt;height:16.3pt;width:19.25pt;z-index:251835392;mso-width-relative:page;mso-height-relative:page;" coordorigin="4080,11233" coordsize="385,293" o:gfxdata="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BPIAkrYAAAACAEAAA8AAAAA&#10;AAAAAQAgAAAAIgAAAGRycy9kb3ducmV2LnhtbFBLAQIUABQAAAAIAIdO4kAvluH5vwIAADIJAAAO&#10;AAAAAAAAAAEAIAAAACcBAABkcnMvZTJvRG9jLnhtbFBLBQYAAAAABgAGAFkBAABYBgAAAAA=&#10;">
                      <o:lock v:ext="edit" aspectratio="f"/>
                      <v:line id="Line 1823" o:spid="_x0000_s1026" o:spt="20" style="position:absolute;left:4301;top:11233;flip:y;height:236;width:164;" filled="f" stroked="t" coordsize="21600,21600" o:gfxdata="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qx7G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1825" o:spid="_x0000_s1026" o:spt="20" style="position:absolute;left:4080;top:11361;flip:y;height:165;width:99;" filled="f" stroked="t" coordsize="21600,21600" o:gfxdata="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n48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1826" o:spid="_x0000_s1026" o:spt="20" style="position:absolute;left:4193;top:11361;height:83;width:105;" filled="f" stroked="t" coordsize="21600,21600" o:gfxdata="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7upO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12864" behindDoc="0" locked="0" layoutInCell="1" allowOverlap="1">
                      <wp:simplePos x="0" y="0"/>
                      <wp:positionH relativeFrom="column">
                        <wp:posOffset>1600200</wp:posOffset>
                      </wp:positionH>
                      <wp:positionV relativeFrom="paragraph">
                        <wp:posOffset>241935</wp:posOffset>
                      </wp:positionV>
                      <wp:extent cx="923925" cy="273685"/>
                      <wp:effectExtent l="4445" t="4445" r="16510" b="11430"/>
                      <wp:wrapNone/>
                      <wp:docPr id="157" name="文本框 447"/>
                      <wp:cNvGraphicFramePr/>
                      <a:graphic xmlns:a="http://schemas.openxmlformats.org/drawingml/2006/main">
                        <a:graphicData uri="http://schemas.microsoft.com/office/word/2010/wordprocessingShape">
                          <wps:wsp>
                            <wps:cNvSpPr txBox="1"/>
                            <wps:spPr>
                              <a:xfrm>
                                <a:off x="0" y="0"/>
                                <a:ext cx="923925" cy="2736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8F2E7AD">
                                  <w:pPr>
                                    <w:ind w:right="-105" w:rightChars="-50"/>
                                    <w:rPr>
                                      <w:spacing w:val="-8"/>
                                      <w:szCs w:val="21"/>
                                    </w:rPr>
                                  </w:pPr>
                                  <w:r>
                                    <w:rPr>
                                      <w:rFonts w:hint="eastAsia"/>
                                      <w:spacing w:val="-8"/>
                                      <w:szCs w:val="21"/>
                                    </w:rPr>
                                    <w:t>设备清洗用水</w:t>
                                  </w:r>
                                </w:p>
                              </w:txbxContent>
                            </wps:txbx>
                            <wps:bodyPr upright="1"/>
                          </wps:wsp>
                        </a:graphicData>
                      </a:graphic>
                    </wp:anchor>
                  </w:drawing>
                </mc:Choice>
                <mc:Fallback>
                  <w:pict>
                    <v:shape id="文本框 447" o:spid="_x0000_s1026" o:spt="202" type="#_x0000_t202" style="position:absolute;left:0pt;margin-left:126pt;margin-top:19.05pt;height:21.55pt;width:72.75pt;z-index:251812864;mso-width-relative:page;mso-height-relative:page;" fillcolor="#FFFFFF" filled="t" stroked="t" coordsize="21600,21600" o:gfxdata="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W+u43ZAAAACQEAAA8AAAAAAAAAAQAg&#10;AAAAIgAAAGRycy9kb3ducmV2LnhtbFBLAQIUABQAAAAIAIdO4kD67N8fDQIAADkEAAAOAAAAAAAA&#10;AAEAIAAAACgBAABkcnMvZTJvRG9jLnhtbFBLBQYAAAAABgAGAFkBAACnBQAAAAA=&#10;">
                      <v:fill on="t" focussize="0,0"/>
                      <v:stroke color="#000000" joinstyle="miter"/>
                      <v:imagedata o:title=""/>
                      <o:lock v:ext="edit" aspectratio="f"/>
                      <v:textbox>
                        <w:txbxContent>
                          <w:p w14:paraId="48F2E7AD">
                            <w:pPr>
                              <w:ind w:right="-105" w:rightChars="-50"/>
                              <w:rPr>
                                <w:spacing w:val="-8"/>
                                <w:szCs w:val="21"/>
                              </w:rPr>
                            </w:pPr>
                            <w:r>
                              <w:rPr>
                                <w:rFonts w:hint="eastAsia"/>
                                <w:spacing w:val="-8"/>
                                <w:szCs w:val="21"/>
                              </w:rPr>
                              <w:t>设备清洗用水</w:t>
                            </w:r>
                          </w:p>
                        </w:txbxContent>
                      </v:textbox>
                    </v:shape>
                  </w:pict>
                </mc:Fallback>
              </mc:AlternateContent>
            </w:r>
          </w:p>
          <w:p w14:paraId="5484C44C">
            <w:pPr>
              <w:pStyle w:val="10"/>
              <w:spacing w:line="480" w:lineRule="exact"/>
              <w:ind w:left="0" w:leftChars="0" w:right="0" w:rightChars="0" w:firstLine="482" w:firstLineChars="200"/>
              <w:rPr>
                <w:color w:val="000000" w:themeColor="text1"/>
                <w:spacing w:val="-4"/>
                <w:sz w:val="24"/>
                <w:highlight w:val="none"/>
                <w14:textFill>
                  <w14:solidFill>
                    <w14:schemeClr w14:val="tx1"/>
                  </w14:solidFill>
                </w14:textFill>
              </w:rPr>
            </w:pP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50752" behindDoc="0" locked="0" layoutInCell="1" allowOverlap="1">
                      <wp:simplePos x="0" y="0"/>
                      <wp:positionH relativeFrom="column">
                        <wp:posOffset>2442845</wp:posOffset>
                      </wp:positionH>
                      <wp:positionV relativeFrom="paragraph">
                        <wp:posOffset>94615</wp:posOffset>
                      </wp:positionV>
                      <wp:extent cx="530225" cy="243840"/>
                      <wp:effectExtent l="0" t="0" r="0" b="0"/>
                      <wp:wrapNone/>
                      <wp:docPr id="210" name="文本框 3555"/>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41393FD5">
                                  <w:pPr>
                                    <w:ind w:left="-105" w:leftChars="-50" w:right="-105" w:rightChars="-50"/>
                                    <w:jc w:val="center"/>
                                    <w:rPr>
                                      <w:spacing w:val="-8"/>
                                      <w:szCs w:val="21"/>
                                    </w:rPr>
                                  </w:pPr>
                                  <w:r>
                                    <w:rPr>
                                      <w:rFonts w:hint="eastAsia"/>
                                      <w:spacing w:val="-8"/>
                                      <w:szCs w:val="21"/>
                                    </w:rPr>
                                    <w:t>0.4</w:t>
                                  </w:r>
                                </w:p>
                              </w:txbxContent>
                            </wps:txbx>
                            <wps:bodyPr upright="1"/>
                          </wps:wsp>
                        </a:graphicData>
                      </a:graphic>
                    </wp:anchor>
                  </w:drawing>
                </mc:Choice>
                <mc:Fallback>
                  <w:pict>
                    <v:shape id="文本框 3555" o:spid="_x0000_s1026" o:spt="202" type="#_x0000_t202" style="position:absolute;left:0pt;margin-left:192.35pt;margin-top:7.45pt;height:19.2pt;width:41.75pt;z-index:251850752;mso-width-relative:page;mso-height-relative:page;" filled="f" stroked="f" coordsize="21600,21600" o:gfxdata="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1Kr&#10;UdcAAAAJAQAADwAAAAAAAAABACAAAAAiAAAAZHJzL2Rvd25yZXYueG1sUEsBAhQAFAAAAAgAh07i&#10;QGz5IVixAQAAUgMAAA4AAAAAAAAAAQAgAAAAJgEAAGRycy9lMm9Eb2MueG1sUEsFBgAAAAAGAAYA&#10;WQEAAEkFAAAAAA==&#10;">
                      <v:fill on="f" focussize="0,0"/>
                      <v:stroke on="f"/>
                      <v:imagedata o:title=""/>
                      <o:lock v:ext="edit" aspectratio="f"/>
                      <v:textbox>
                        <w:txbxContent>
                          <w:p w14:paraId="41393FD5">
                            <w:pPr>
                              <w:ind w:left="-105" w:leftChars="-50" w:right="-105" w:rightChars="-50"/>
                              <w:jc w:val="center"/>
                              <w:rPr>
                                <w:spacing w:val="-8"/>
                                <w:szCs w:val="21"/>
                              </w:rPr>
                            </w:pPr>
                            <w:r>
                              <w:rPr>
                                <w:rFonts w:hint="eastAsia"/>
                                <w:spacing w:val="-8"/>
                                <w:szCs w:val="21"/>
                              </w:rPr>
                              <w:t>0.4</w:t>
                            </w:r>
                          </w:p>
                        </w:txbxContent>
                      </v:textbox>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44608" behindDoc="0" locked="0" layoutInCell="1" allowOverlap="1">
                      <wp:simplePos x="0" y="0"/>
                      <wp:positionH relativeFrom="column">
                        <wp:posOffset>1866900</wp:posOffset>
                      </wp:positionH>
                      <wp:positionV relativeFrom="paragraph">
                        <wp:posOffset>176530</wp:posOffset>
                      </wp:positionV>
                      <wp:extent cx="530225" cy="243840"/>
                      <wp:effectExtent l="0" t="0" r="0" b="0"/>
                      <wp:wrapNone/>
                      <wp:docPr id="204" name="文本框 3549"/>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0BDDDBF3">
                                  <w:pPr>
                                    <w:ind w:left="-105" w:leftChars="-50" w:right="-105" w:rightChars="-50"/>
                                    <w:jc w:val="center"/>
                                    <w:rPr>
                                      <w:spacing w:val="-8"/>
                                      <w:szCs w:val="21"/>
                                    </w:rPr>
                                  </w:pPr>
                                  <w:r>
                                    <w:rPr>
                                      <w:rFonts w:hint="eastAsia"/>
                                      <w:spacing w:val="-8"/>
                                      <w:szCs w:val="21"/>
                                    </w:rPr>
                                    <w:t>16</w:t>
                                  </w:r>
                                </w:p>
                              </w:txbxContent>
                            </wps:txbx>
                            <wps:bodyPr upright="1"/>
                          </wps:wsp>
                        </a:graphicData>
                      </a:graphic>
                    </wp:anchor>
                  </w:drawing>
                </mc:Choice>
                <mc:Fallback>
                  <w:pict>
                    <v:shape id="文本框 3549" o:spid="_x0000_s1026" o:spt="202" type="#_x0000_t202" style="position:absolute;left:0pt;margin-left:147pt;margin-top:13.9pt;height:19.2pt;width:41.75pt;z-index:251844608;mso-width-relative:page;mso-height-relative:page;" filled="f" stroked="f" coordsize="21600,21600" o:gfxdata="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x/&#10;GpnXAAAACQEAAA8AAAAAAAAAAQAgAAAAIgAAAGRycy9kb3ducmV2LnhtbFBLAQIUABQAAAAIAIdO&#10;4kBSn21gsgEAAFIDAAAOAAAAAAAAAAEAIAAAACYBAABkcnMvZTJvRG9jLnhtbFBLBQYAAAAABgAG&#10;AFkBAABKBQAAAAA=&#10;">
                      <v:fill on="f" focussize="0,0"/>
                      <v:stroke on="f"/>
                      <v:imagedata o:title=""/>
                      <o:lock v:ext="edit" aspectratio="f"/>
                      <v:textbox>
                        <w:txbxContent>
                          <w:p w14:paraId="0BDDDBF3">
                            <w:pPr>
                              <w:ind w:left="-105" w:leftChars="-50" w:right="-105" w:rightChars="-50"/>
                              <w:jc w:val="center"/>
                              <w:rPr>
                                <w:spacing w:val="-8"/>
                                <w:szCs w:val="21"/>
                              </w:rPr>
                            </w:pPr>
                            <w:r>
                              <w:rPr>
                                <w:rFonts w:hint="eastAsia"/>
                                <w:spacing w:val="-8"/>
                                <w:szCs w:val="21"/>
                              </w:rPr>
                              <w:t>16</w:t>
                            </w:r>
                          </w:p>
                        </w:txbxContent>
                      </v:textbox>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41536" behindDoc="0" locked="0" layoutInCell="1" allowOverlap="1">
                      <wp:simplePos x="0" y="0"/>
                      <wp:positionH relativeFrom="column">
                        <wp:posOffset>2371090</wp:posOffset>
                      </wp:positionH>
                      <wp:positionV relativeFrom="paragraph">
                        <wp:posOffset>210820</wp:posOffset>
                      </wp:positionV>
                      <wp:extent cx="0" cy="127635"/>
                      <wp:effectExtent l="38100" t="0" r="38100" b="9525"/>
                      <wp:wrapNone/>
                      <wp:docPr id="198" name="自选图形 3543"/>
                      <wp:cNvGraphicFramePr/>
                      <a:graphic xmlns:a="http://schemas.openxmlformats.org/drawingml/2006/main">
                        <a:graphicData uri="http://schemas.microsoft.com/office/word/2010/wordprocessingShape">
                          <wps:wsp>
                            <wps:cNvCnPr/>
                            <wps:spPr>
                              <a:xfrm flipV="1">
                                <a:off x="0" y="0"/>
                                <a:ext cx="0" cy="127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43" o:spid="_x0000_s1026" o:spt="32" type="#_x0000_t32" style="position:absolute;left:0pt;flip:y;margin-left:186.7pt;margin-top:16.6pt;height:10.05pt;width:0pt;z-index:251841536;mso-width-relative:page;mso-height-relative:page;" filled="f" stroked="t" coordsize="21600,21600" o:gfxdata="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03Uq1wAAAAkBAAAPAAAAAAAAAAEAIAAAACIAAABkcnMv&#10;ZG93bnJldi54bWxQSwECFAAUAAAACACHTuJAVj6FgQQCAAD1AwAADgAAAAAAAAABACAAAAAmAQAA&#10;ZHJzL2Uyb0RvYy54bWxQSwUGAAAAAAYABgBZAQAAnAUAAAAA&#10;">
                      <v:fill on="f" focussize="0,0"/>
                      <v:stroke color="#000000" joinstyle="round" endarrow="block"/>
                      <v:imagedata o:title=""/>
                      <o:lock v:ext="edit" aspectratio="f"/>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39488" behindDoc="0" locked="0" layoutInCell="1" allowOverlap="1">
                      <wp:simplePos x="0" y="0"/>
                      <wp:positionH relativeFrom="column">
                        <wp:posOffset>2851150</wp:posOffset>
                      </wp:positionH>
                      <wp:positionV relativeFrom="paragraph">
                        <wp:posOffset>74930</wp:posOffset>
                      </wp:positionV>
                      <wp:extent cx="1905" cy="263525"/>
                      <wp:effectExtent l="4445" t="0" r="8890" b="10795"/>
                      <wp:wrapNone/>
                      <wp:docPr id="196" name="自选图形 3541"/>
                      <wp:cNvGraphicFramePr/>
                      <a:graphic xmlns:a="http://schemas.openxmlformats.org/drawingml/2006/main">
                        <a:graphicData uri="http://schemas.microsoft.com/office/word/2010/wordprocessingShape">
                          <wps:wsp>
                            <wps:cNvCnPr/>
                            <wps:spPr>
                              <a:xfrm>
                                <a:off x="0" y="0"/>
                                <a:ext cx="1905" cy="263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41" o:spid="_x0000_s1026" o:spt="32" type="#_x0000_t32" style="position:absolute;left:0pt;margin-left:224.5pt;margin-top:5.9pt;height:20.75pt;width:0.15pt;z-index:251839488;mso-width-relative:page;mso-height-relative:page;" filled="f" stroked="t" coordsize="21600,21600" o:gfxdata="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RIbIdcAAAAJAQAADwAAAAAAAAABACAAAAAiAAAAZHJzL2Rvd25yZXYueG1s&#10;UEsBAhQAFAAAAAgAh07iQGJ8Hon5AQAA6gMAAA4AAAAAAAAAAQAgAAAAJgEAAGRycy9lMm9Eb2Mu&#10;eG1sUEsFBgAAAAAGAAYAWQEAAJEFAAAAAA==&#10;">
                      <v:fill on="f" focussize="0,0"/>
                      <v:stroke color="#000000" joinstyle="round"/>
                      <v:imagedata o:title=""/>
                      <o:lock v:ext="edit" aspectratio="f"/>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38464" behindDoc="0" locked="0" layoutInCell="1" allowOverlap="1">
                      <wp:simplePos x="0" y="0"/>
                      <wp:positionH relativeFrom="column">
                        <wp:posOffset>2524125</wp:posOffset>
                      </wp:positionH>
                      <wp:positionV relativeFrom="paragraph">
                        <wp:posOffset>74930</wp:posOffset>
                      </wp:positionV>
                      <wp:extent cx="316865" cy="0"/>
                      <wp:effectExtent l="0" t="4445" r="0" b="5080"/>
                      <wp:wrapNone/>
                      <wp:docPr id="195" name="自选图形 3540"/>
                      <wp:cNvGraphicFramePr/>
                      <a:graphic xmlns:a="http://schemas.openxmlformats.org/drawingml/2006/main">
                        <a:graphicData uri="http://schemas.microsoft.com/office/word/2010/wordprocessingShape">
                          <wps:wsp>
                            <wps:cNvCnPr/>
                            <wps:spPr>
                              <a:xfrm>
                                <a:off x="0" y="0"/>
                                <a:ext cx="3168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40" o:spid="_x0000_s1026" o:spt="32" type="#_x0000_t32" style="position:absolute;left:0pt;margin-left:198.75pt;margin-top:5.9pt;height:0pt;width:24.95pt;z-index:251838464;mso-width-relative:page;mso-height-relative:page;" filled="f" stroked="t" coordsize="21600,21600" o:gfxdata="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zvLvtcAAAAJAQAADwAAAAAAAAABACAAAAAiAAAAZHJzL2Rvd25yZXYueG1sUEsB&#10;AhQAFAAAAAgAh07iQJcxv3X2AQAA5wMAAA4AAAAAAAAAAQAgAAAAJgEAAGRycy9lMm9Eb2MueG1s&#10;UEsFBgAAAAAGAAYAWQEAAI4FAAAAAA==&#10;">
                      <v:fill on="f" focussize="0,0"/>
                      <v:stroke color="#000000" joinstyle="round"/>
                      <v:imagedata o:title=""/>
                      <o:lock v:ext="edit" aspectratio="f"/>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04672" behindDoc="0" locked="0" layoutInCell="1" allowOverlap="1">
                      <wp:simplePos x="0" y="0"/>
                      <wp:positionH relativeFrom="column">
                        <wp:posOffset>1096645</wp:posOffset>
                      </wp:positionH>
                      <wp:positionV relativeFrom="paragraph">
                        <wp:posOffset>74930</wp:posOffset>
                      </wp:positionV>
                      <wp:extent cx="492760" cy="0"/>
                      <wp:effectExtent l="0" t="38100" r="10160" b="38100"/>
                      <wp:wrapNone/>
                      <wp:docPr id="148" name="直线 1981"/>
                      <wp:cNvGraphicFramePr/>
                      <a:graphic xmlns:a="http://schemas.openxmlformats.org/drawingml/2006/main">
                        <a:graphicData uri="http://schemas.microsoft.com/office/word/2010/wordprocessingShape">
                          <wps:wsp>
                            <wps:cNvCnPr/>
                            <wps:spPr>
                              <a:xfrm flipV="1">
                                <a:off x="0" y="0"/>
                                <a:ext cx="49276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81" o:spid="_x0000_s1026" o:spt="20" style="position:absolute;left:0pt;flip:y;margin-left:86.35pt;margin-top:5.9pt;height:0pt;width:38.8pt;z-index:251804672;mso-width-relative:page;mso-height-relative:page;" filled="f" stroked="t" coordsize="21600,21600" o:gfxdata="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M7HO2AAAAAkBAAAPAAAAAAAAAAEAIAAAACIAAABkcnMvZG93bnJldi54&#10;bWxQSwECFAAUAAAACACHTuJAvybVUvoBAADtAwAADgAAAAAAAAABACAAAAAnAQAAZHJzL2Uyb0Rv&#10;Yy54bWxQSwUGAAAAAAYABgBZAQAAkwUAAAAA&#10;">
                      <v:fill on="f" focussize="0,0"/>
                      <v:stroke color="#000000" joinstyle="round" endarrow="block"/>
                      <v:imagedata o:title=""/>
                      <o:lock v:ext="edit" aspectratio="f"/>
                    </v:line>
                  </w:pict>
                </mc:Fallback>
              </mc:AlternateContent>
            </w:r>
          </w:p>
          <w:p w14:paraId="67CC2515">
            <w:pPr>
              <w:pStyle w:val="10"/>
              <w:spacing w:line="480" w:lineRule="exact"/>
              <w:ind w:left="0" w:leftChars="0" w:right="0" w:rightChars="0" w:firstLine="480" w:firstLineChars="200"/>
              <w:rPr>
                <w:color w:val="000000" w:themeColor="text1"/>
                <w:spacing w:val="-4"/>
                <w:sz w:val="24"/>
                <w:highlight w:val="none"/>
                <w14:textFill>
                  <w14:solidFill>
                    <w14:schemeClr w14:val="tx1"/>
                  </w14:solidFill>
                </w14:textFill>
              </w:rPr>
            </w:pPr>
            <w:r>
              <w:rPr>
                <w:color w:val="000000" w:themeColor="text1"/>
                <w:sz w:val="24"/>
                <w:highlight w:val="none"/>
                <w14:textFill>
                  <w14:solidFill>
                    <w14:schemeClr w14:val="tx1"/>
                  </w14:solidFill>
                </w14:textFill>
              </w:rPr>
              <mc:AlternateContent>
                <mc:Choice Requires="wps">
                  <w:drawing>
                    <wp:anchor distT="0" distB="0" distL="114300" distR="114300" simplePos="0" relativeHeight="251842560" behindDoc="0" locked="0" layoutInCell="1" allowOverlap="1">
                      <wp:simplePos x="0" y="0"/>
                      <wp:positionH relativeFrom="column">
                        <wp:posOffset>1604010</wp:posOffset>
                      </wp:positionH>
                      <wp:positionV relativeFrom="paragraph">
                        <wp:posOffset>230505</wp:posOffset>
                      </wp:positionV>
                      <wp:extent cx="917575" cy="273685"/>
                      <wp:effectExtent l="4445" t="4445" r="7620" b="11430"/>
                      <wp:wrapNone/>
                      <wp:docPr id="199" name="文本框 3544"/>
                      <wp:cNvGraphicFramePr/>
                      <a:graphic xmlns:a="http://schemas.openxmlformats.org/drawingml/2006/main">
                        <a:graphicData uri="http://schemas.microsoft.com/office/word/2010/wordprocessingShape">
                          <wps:wsp>
                            <wps:cNvSpPr txBox="1"/>
                            <wps:spPr>
                              <a:xfrm>
                                <a:off x="0" y="0"/>
                                <a:ext cx="917575" cy="2736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FEEE91">
                                  <w:pPr>
                                    <w:ind w:right="-105" w:rightChars="-50"/>
                                    <w:rPr>
                                      <w:spacing w:val="-8"/>
                                      <w:szCs w:val="21"/>
                                    </w:rPr>
                                  </w:pPr>
                                  <w:r>
                                    <w:rPr>
                                      <w:rFonts w:hint="eastAsia"/>
                                      <w:spacing w:val="-8"/>
                                      <w:szCs w:val="21"/>
                                    </w:rPr>
                                    <w:t>脱硫除尘用水</w:t>
                                  </w:r>
                                </w:p>
                              </w:txbxContent>
                            </wps:txbx>
                            <wps:bodyPr upright="1"/>
                          </wps:wsp>
                        </a:graphicData>
                      </a:graphic>
                    </wp:anchor>
                  </w:drawing>
                </mc:Choice>
                <mc:Fallback>
                  <w:pict>
                    <v:shape id="文本框 3544" o:spid="_x0000_s1026" o:spt="202" type="#_x0000_t202" style="position:absolute;left:0pt;margin-left:126.3pt;margin-top:18.15pt;height:21.55pt;width:72.25pt;z-index:251842560;mso-width-relative:page;mso-height-relative:page;" fillcolor="#FFFFFF" filled="t" stroked="t" coordsize="21600,21600" o:gfxdata="UEsDBAoAAAAAAIdO4kAAAAAAAAAAAAAAAAAEAAAAZHJzL1BLAwQUAAAACACHTuJA9mrsxdkAAAAJ&#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mrsxdkAAAAJAQAADwAAAAAAAAAB&#10;ACAAAAAiAAAAZHJzL2Rvd25yZXYueG1sUEsBAhQAFAAAAAgAh07iQCobbGUPAgAAOgQAAA4AAAAA&#10;AAAAAQAgAAAAKAEAAGRycy9lMm9Eb2MueG1sUEsFBgAAAAAGAAYAWQEAAKkFAAAAAA==&#10;">
                      <v:fill on="t" focussize="0,0"/>
                      <v:stroke color="#000000" joinstyle="miter"/>
                      <v:imagedata o:title=""/>
                      <o:lock v:ext="edit" aspectratio="f"/>
                      <v:textbox>
                        <w:txbxContent>
                          <w:p w14:paraId="03FEEE91">
                            <w:pPr>
                              <w:ind w:right="-105" w:rightChars="-50"/>
                              <w:rPr>
                                <w:spacing w:val="-8"/>
                                <w:szCs w:val="21"/>
                              </w:rPr>
                            </w:pPr>
                            <w:r>
                              <w:rPr>
                                <w:rFonts w:hint="eastAsia"/>
                                <w:spacing w:val="-8"/>
                                <w:szCs w:val="21"/>
                              </w:rPr>
                              <w:t>脱硫除尘用水</w:t>
                            </w:r>
                          </w:p>
                        </w:txbxContent>
                      </v:textbox>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49728" behindDoc="0" locked="0" layoutInCell="1" allowOverlap="1">
                      <wp:simplePos x="0" y="0"/>
                      <wp:positionH relativeFrom="column">
                        <wp:posOffset>1096645</wp:posOffset>
                      </wp:positionH>
                      <wp:positionV relativeFrom="paragraph">
                        <wp:posOffset>115570</wp:posOffset>
                      </wp:positionV>
                      <wp:extent cx="530225" cy="243840"/>
                      <wp:effectExtent l="0" t="0" r="0" b="0"/>
                      <wp:wrapNone/>
                      <wp:docPr id="209" name="文本框 3554"/>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72B93179">
                                  <w:pPr>
                                    <w:ind w:left="-105" w:leftChars="-50" w:right="-105" w:rightChars="-50"/>
                                    <w:jc w:val="center"/>
                                    <w:rPr>
                                      <w:spacing w:val="-8"/>
                                      <w:szCs w:val="21"/>
                                    </w:rPr>
                                  </w:pPr>
                                  <w:r>
                                    <w:rPr>
                                      <w:rFonts w:hint="eastAsia"/>
                                      <w:spacing w:val="-8"/>
                                      <w:szCs w:val="21"/>
                                    </w:rPr>
                                    <w:t>16</w:t>
                                  </w:r>
                                </w:p>
                              </w:txbxContent>
                            </wps:txbx>
                            <wps:bodyPr upright="1"/>
                          </wps:wsp>
                        </a:graphicData>
                      </a:graphic>
                    </wp:anchor>
                  </w:drawing>
                </mc:Choice>
                <mc:Fallback>
                  <w:pict>
                    <v:shape id="文本框 3554" o:spid="_x0000_s1026" o:spt="202" type="#_x0000_t202" style="position:absolute;left:0pt;margin-left:86.35pt;margin-top:9.1pt;height:19.2pt;width:41.75pt;z-index:251849728;mso-width-relative:page;mso-height-relative:page;" filled="f" stroked="f" coordsize="21600,21600" o:gfxdata="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waA&#10;h9YAAAAJAQAADwAAAAAAAAABACAAAAAiAAAAZHJzL2Rvd25yZXYueG1sUEsBAhQAFAAAAAgAh07i&#10;QP2OgiWyAQAAUgMAAA4AAAAAAAAAAQAgAAAAJQEAAGRycy9lMm9Eb2MueG1sUEsFBgAAAAAGAAYA&#10;WQEAAEkFAAAAAA==&#10;">
                      <v:fill on="f" focussize="0,0"/>
                      <v:stroke on="f"/>
                      <v:imagedata o:title=""/>
                      <o:lock v:ext="edit" aspectratio="f"/>
                      <v:textbox>
                        <w:txbxContent>
                          <w:p w14:paraId="72B93179">
                            <w:pPr>
                              <w:ind w:left="-105" w:leftChars="-50" w:right="-105" w:rightChars="-50"/>
                              <w:jc w:val="center"/>
                              <w:rPr>
                                <w:spacing w:val="-8"/>
                                <w:szCs w:val="21"/>
                              </w:rPr>
                            </w:pPr>
                            <w:r>
                              <w:rPr>
                                <w:rFonts w:hint="eastAsia"/>
                                <w:spacing w:val="-8"/>
                                <w:szCs w:val="21"/>
                              </w:rPr>
                              <w:t>16</w:t>
                            </w:r>
                          </w:p>
                        </w:txbxContent>
                      </v:textbox>
                    </v:shape>
                  </w:pict>
                </mc:Fallback>
              </mc:AlternateContent>
            </w:r>
            <w:r>
              <w:rPr>
                <w:b/>
                <w:bCs/>
                <w:color w:val="000000" w:themeColor="text1"/>
                <w:sz w:val="24"/>
                <w:highlight w:val="none"/>
                <w14:textFill>
                  <w14:solidFill>
                    <w14:schemeClr w14:val="tx1"/>
                  </w14:solidFill>
                </w14:textFill>
              </w:rPr>
              <mc:AlternateContent>
                <mc:Choice Requires="wpg">
                  <w:drawing>
                    <wp:anchor distT="0" distB="0" distL="114300" distR="114300" simplePos="0" relativeHeight="251843584" behindDoc="0" locked="0" layoutInCell="1" allowOverlap="1">
                      <wp:simplePos x="0" y="0"/>
                      <wp:positionH relativeFrom="column">
                        <wp:posOffset>1892935</wp:posOffset>
                      </wp:positionH>
                      <wp:positionV relativeFrom="paragraph">
                        <wp:posOffset>25400</wp:posOffset>
                      </wp:positionV>
                      <wp:extent cx="244475" cy="207010"/>
                      <wp:effectExtent l="4445" t="2540" r="10160" b="3810"/>
                      <wp:wrapNone/>
                      <wp:docPr id="203" name="组合 3545"/>
                      <wp:cNvGraphicFramePr/>
                      <a:graphic xmlns:a="http://schemas.openxmlformats.org/drawingml/2006/main">
                        <a:graphicData uri="http://schemas.microsoft.com/office/word/2010/wordprocessingGroup">
                          <wpg:wgp>
                            <wpg:cNvGrpSpPr/>
                            <wpg:grpSpPr>
                              <a:xfrm>
                                <a:off x="0" y="0"/>
                                <a:ext cx="244475" cy="207010"/>
                                <a:chOff x="4080" y="11233"/>
                                <a:chExt cx="385" cy="293"/>
                              </a:xfrm>
                            </wpg:grpSpPr>
                            <wps:wsp>
                              <wps:cNvPr id="200" name="Line 1823"/>
                              <wps:cNvCnPr/>
                              <wps:spPr>
                                <a:xfrm flipV="1">
                                  <a:off x="4301" y="11233"/>
                                  <a:ext cx="164" cy="236"/>
                                </a:xfrm>
                                <a:prstGeom prst="line">
                                  <a:avLst/>
                                </a:prstGeom>
                                <a:ln w="9525" cap="flat" cmpd="sng">
                                  <a:solidFill>
                                    <a:srgbClr val="000000"/>
                                  </a:solidFill>
                                  <a:prstDash val="solid"/>
                                  <a:headEnd type="none" w="med" len="med"/>
                                  <a:tailEnd type="none" w="med" len="med"/>
                                </a:ln>
                              </wps:spPr>
                              <wps:bodyPr upright="1"/>
                            </wps:wsp>
                            <wps:wsp>
                              <wps:cNvPr id="201" name="Line 1825"/>
                              <wps:cNvCnPr/>
                              <wps:spPr>
                                <a:xfrm flipV="1">
                                  <a:off x="4080" y="11361"/>
                                  <a:ext cx="99" cy="165"/>
                                </a:xfrm>
                                <a:prstGeom prst="line">
                                  <a:avLst/>
                                </a:prstGeom>
                                <a:ln w="9525" cap="flat" cmpd="sng">
                                  <a:solidFill>
                                    <a:srgbClr val="000000"/>
                                  </a:solidFill>
                                  <a:prstDash val="solid"/>
                                  <a:headEnd type="none" w="med" len="med"/>
                                  <a:tailEnd type="none" w="med" len="med"/>
                                </a:ln>
                              </wps:spPr>
                              <wps:bodyPr upright="1"/>
                            </wps:wsp>
                            <wps:wsp>
                              <wps:cNvPr id="202" name="Line 1826"/>
                              <wps:cNvCnPr/>
                              <wps:spPr>
                                <a:xfrm>
                                  <a:off x="4193" y="11361"/>
                                  <a:ext cx="105" cy="8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45" o:spid="_x0000_s1026" o:spt="203" style="position:absolute;left:0pt;margin-left:149.05pt;margin-top:2pt;height:16.3pt;width:19.25pt;z-index:251843584;mso-width-relative:page;mso-height-relative:page;" coordorigin="4080,11233" coordsize="385,293" o:gfxdata="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TybEM9gAAAAIAQAADwAAAAAAAAABACAA&#10;AAAiAAAAZHJzL2Rvd25yZXYueG1sUEsBAhQAFAAAAAgAh07iQBPW7PW4AgAAMgkAAA4AAAAAAAAA&#10;AQAgAAAAJwEAAGRycy9lMm9Eb2MueG1sUEsFBgAAAAAGAAYAWQEAAFEGAAAAAA==&#10;">
                      <o:lock v:ext="edit" aspectratio="f"/>
                      <v:line id="Line 1823" o:spid="_x0000_s1026" o:spt="20" style="position:absolute;left:4301;top:11233;flip:y;height:236;width:164;" filled="f" stroked="t" coordsize="21600,21600" o:gfxdata="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5gwK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825" o:spid="_x0000_s1026" o:spt="20" style="position:absolute;left:4080;top:11361;flip:y;height:165;width:99;" filled="f" stroked="t" coordsize="21600,21600" o:gfxdata="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qqmR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826" o:spid="_x0000_s1026" o:spt="20" style="position:absolute;left:4193;top:11361;height:83;width:105;" filled="f" stroked="t" coordsize="21600,21600" o:gfxdata="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RsO3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40512" behindDoc="0" locked="0" layoutInCell="1" allowOverlap="1">
                      <wp:simplePos x="0" y="0"/>
                      <wp:positionH relativeFrom="column">
                        <wp:posOffset>2369185</wp:posOffset>
                      </wp:positionH>
                      <wp:positionV relativeFrom="paragraph">
                        <wp:posOffset>33655</wp:posOffset>
                      </wp:positionV>
                      <wp:extent cx="481965" cy="0"/>
                      <wp:effectExtent l="0" t="4445" r="0" b="5080"/>
                      <wp:wrapNone/>
                      <wp:docPr id="197" name="自选图形 3542"/>
                      <wp:cNvGraphicFramePr/>
                      <a:graphic xmlns:a="http://schemas.openxmlformats.org/drawingml/2006/main">
                        <a:graphicData uri="http://schemas.microsoft.com/office/word/2010/wordprocessingShape">
                          <wps:wsp>
                            <wps:cNvCnPr/>
                            <wps:spPr>
                              <a:xfrm flipH="1">
                                <a:off x="0" y="0"/>
                                <a:ext cx="4819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42" o:spid="_x0000_s1026" o:spt="32" type="#_x0000_t32" style="position:absolute;left:0pt;flip:x;margin-left:186.55pt;margin-top:2.65pt;height:0pt;width:37.95pt;z-index:251840512;mso-width-relative:page;mso-height-relative:page;" filled="f" stroked="t" coordsize="21600,21600" o:gfxdata="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drDEDVAAAABwEAAA8AAAAAAAAAAQAgAAAAIgAAAGRycy9kb3ducmV2&#10;LnhtbFBLAQIUABQAAAAIAIdO4kCm0IG9/wEAAPEDAAAOAAAAAAAAAAEAIAAAACQBAABkcnMvZTJv&#10;RG9jLnhtbFBLBQYAAAAABgAGAFkBAACVBQAAAAA=&#10;">
                      <v:fill on="f" focussize="0,0"/>
                      <v:stroke color="#000000" joinstyle="round"/>
                      <v:imagedata o:title=""/>
                      <o:lock v:ext="edit" aspectratio="f"/>
                    </v:shape>
                  </w:pict>
                </mc:Fallback>
              </mc:AlternateContent>
            </w:r>
          </w:p>
          <w:p w14:paraId="3DAE8A42">
            <w:pPr>
              <w:pStyle w:val="10"/>
              <w:spacing w:line="460" w:lineRule="exact"/>
              <w:ind w:left="0" w:leftChars="0" w:right="0" w:rightChars="0" w:firstLine="482" w:firstLineChars="200"/>
              <w:rPr>
                <w:color w:val="000000" w:themeColor="text1"/>
                <w:spacing w:val="-4"/>
                <w:sz w:val="24"/>
                <w:highlight w:val="none"/>
                <w14:textFill>
                  <w14:solidFill>
                    <w14:schemeClr w14:val="tx1"/>
                  </w14:solidFill>
                </w14:textFill>
              </w:rPr>
            </w:pP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51776" behindDoc="0" locked="0" layoutInCell="1" allowOverlap="1">
                      <wp:simplePos x="0" y="0"/>
                      <wp:positionH relativeFrom="column">
                        <wp:posOffset>2603500</wp:posOffset>
                      </wp:positionH>
                      <wp:positionV relativeFrom="paragraph">
                        <wp:posOffset>52705</wp:posOffset>
                      </wp:positionV>
                      <wp:extent cx="530225" cy="243840"/>
                      <wp:effectExtent l="0" t="0" r="0" b="0"/>
                      <wp:wrapNone/>
                      <wp:docPr id="211" name="文本框 3556"/>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34654C29">
                                  <w:pPr>
                                    <w:ind w:left="-105" w:leftChars="-50" w:right="-105" w:rightChars="-50"/>
                                    <w:jc w:val="center"/>
                                    <w:rPr>
                                      <w:spacing w:val="-8"/>
                                      <w:szCs w:val="21"/>
                                    </w:rPr>
                                  </w:pPr>
                                  <w:r>
                                    <w:rPr>
                                      <w:rFonts w:hint="eastAsia"/>
                                      <w:spacing w:val="-8"/>
                                      <w:szCs w:val="21"/>
                                    </w:rPr>
                                    <w:t>100</w:t>
                                  </w:r>
                                </w:p>
                              </w:txbxContent>
                            </wps:txbx>
                            <wps:bodyPr upright="1"/>
                          </wps:wsp>
                        </a:graphicData>
                      </a:graphic>
                    </wp:anchor>
                  </w:drawing>
                </mc:Choice>
                <mc:Fallback>
                  <w:pict>
                    <v:shape id="文本框 3556" o:spid="_x0000_s1026" o:spt="202" type="#_x0000_t202" style="position:absolute;left:0pt;margin-left:205pt;margin-top:4.15pt;height:19.2pt;width:41.75pt;z-index:251851776;mso-width-relative:page;mso-height-relative:page;" filled="f" stroked="f" coordsize="21600,21600" o:gfxdata="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JK&#10;4ufXAAAACAEAAA8AAAAAAAAAAQAgAAAAIgAAAGRycy9kb3ducmV2LnhtbFBLAQIUABQAAAAIAIdO&#10;4kCJHcsRsgEAAFIDAAAOAAAAAAAAAAEAIAAAACYBAABkcnMvZTJvRG9jLnhtbFBLBQYAAAAABgAG&#10;AFkBAABKBQAAAAA=&#10;">
                      <v:fill on="f" focussize="0,0"/>
                      <v:stroke on="f"/>
                      <v:imagedata o:title=""/>
                      <o:lock v:ext="edit" aspectratio="f"/>
                      <v:textbox>
                        <w:txbxContent>
                          <w:p w14:paraId="34654C29">
                            <w:pPr>
                              <w:ind w:left="-105" w:leftChars="-50" w:right="-105" w:rightChars="-50"/>
                              <w:jc w:val="center"/>
                              <w:rPr>
                                <w:spacing w:val="-8"/>
                                <w:szCs w:val="21"/>
                              </w:rPr>
                            </w:pPr>
                            <w:r>
                              <w:rPr>
                                <w:rFonts w:hint="eastAsia"/>
                                <w:spacing w:val="-8"/>
                                <w:szCs w:val="21"/>
                              </w:rPr>
                              <w:t>100</w:t>
                            </w:r>
                          </w:p>
                        </w:txbxContent>
                      </v:textbox>
                    </v:shap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45632" behindDoc="0" locked="0" layoutInCell="1" allowOverlap="1">
                      <wp:simplePos x="0" y="0"/>
                      <wp:positionH relativeFrom="column">
                        <wp:posOffset>2525395</wp:posOffset>
                      </wp:positionH>
                      <wp:positionV relativeFrom="paragraph">
                        <wp:posOffset>29210</wp:posOffset>
                      </wp:positionV>
                      <wp:extent cx="251460" cy="0"/>
                      <wp:effectExtent l="0" t="4445" r="0" b="5080"/>
                      <wp:wrapNone/>
                      <wp:docPr id="205" name="自选图形 3550"/>
                      <wp:cNvGraphicFramePr/>
                      <a:graphic xmlns:a="http://schemas.openxmlformats.org/drawingml/2006/main">
                        <a:graphicData uri="http://schemas.microsoft.com/office/word/2010/wordprocessingShape">
                          <wps:wsp>
                            <wps:cNvCnPr/>
                            <wps:spPr>
                              <a:xfrm>
                                <a:off x="0" y="0"/>
                                <a:ext cx="2514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50" o:spid="_x0000_s1026" o:spt="32" type="#_x0000_t32" style="position:absolute;left:0pt;margin-left:198.85pt;margin-top:2.3pt;height:0pt;width:19.8pt;z-index:251845632;mso-width-relative:page;mso-height-relative:page;" filled="f" stroked="t" coordsize="21600,21600" o:gfxdata="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FyIVfVAAAABwEAAA8AAAAAAAAAAQAgAAAAIgAAAGRycy9kb3ducmV2LnhtbFBLAQIU&#10;ABQAAAAIAIdO4kCgWk5M9gEAAOcDAAAOAAAAAAAAAAEAIAAAACQBAABkcnMvZTJvRG9jLnhtbFBL&#10;BQYAAAAABgAGAFkBAACMBQAAAAA=&#10;">
                      <v:fill on="f" focussize="0,0"/>
                      <v:stroke color="#000000" joinstyle="round"/>
                      <v:imagedata o:title=""/>
                      <o:lock v:ext="edit" aspectratio="f"/>
                    </v:shap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46656" behindDoc="0" locked="0" layoutInCell="1" allowOverlap="1">
                      <wp:simplePos x="0" y="0"/>
                      <wp:positionH relativeFrom="column">
                        <wp:posOffset>2783205</wp:posOffset>
                      </wp:positionH>
                      <wp:positionV relativeFrom="paragraph">
                        <wp:posOffset>36830</wp:posOffset>
                      </wp:positionV>
                      <wp:extent cx="0" cy="318135"/>
                      <wp:effectExtent l="4445" t="0" r="10795" b="1905"/>
                      <wp:wrapNone/>
                      <wp:docPr id="206" name="自选图形 3551"/>
                      <wp:cNvGraphicFramePr/>
                      <a:graphic xmlns:a="http://schemas.openxmlformats.org/drawingml/2006/main">
                        <a:graphicData uri="http://schemas.microsoft.com/office/word/2010/wordprocessingShape">
                          <wps:wsp>
                            <wps:cNvCnPr/>
                            <wps:spPr>
                              <a:xfrm>
                                <a:off x="0" y="0"/>
                                <a:ext cx="0" cy="3181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51" o:spid="_x0000_s1026" o:spt="32" type="#_x0000_t32" style="position:absolute;left:0pt;margin-left:219.15pt;margin-top:2.9pt;height:25.05pt;width:0pt;z-index:251846656;mso-width-relative:page;mso-height-relative:page;" filled="f" stroked="t" coordsize="21600,21600" o:gfxdata="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2IaQ7VAAAACAEAAA8AAAAAAAAAAQAgAAAAIgAAAGRycy9kb3ducmV2LnhtbFBLAQIU&#10;ABQAAAAIAIdO4kDgFoeN9gEAAOcDAAAOAAAAAAAAAAEAIAAAACQBAABkcnMvZTJvRG9jLnhtbFBL&#10;BQYAAAAABgAGAFkBAACMBQAAAAA=&#10;">
                      <v:fill on="f" focussize="0,0"/>
                      <v:stroke color="#000000" joinstyle="round"/>
                      <v:imagedata o:title=""/>
                      <o:lock v:ext="edit" aspectratio="f"/>
                    </v:shape>
                  </w:pict>
                </mc:Fallback>
              </mc:AlternateContent>
            </w:r>
            <w:r>
              <w:rPr>
                <w:b/>
                <w:bCs/>
                <w:color w:val="000000" w:themeColor="text1"/>
                <w:sz w:val="24"/>
                <w:highlight w:val="none"/>
                <w14:textFill>
                  <w14:solidFill>
                    <w14:schemeClr w14:val="tx1"/>
                  </w14:solidFill>
                </w14:textFill>
              </w:rPr>
              <mc:AlternateContent>
                <mc:Choice Requires="wps">
                  <w:drawing>
                    <wp:anchor distT="0" distB="0" distL="114300" distR="114300" simplePos="0" relativeHeight="251855872" behindDoc="0" locked="0" layoutInCell="1" allowOverlap="1">
                      <wp:simplePos x="0" y="0"/>
                      <wp:positionH relativeFrom="column">
                        <wp:posOffset>1670050</wp:posOffset>
                      </wp:positionH>
                      <wp:positionV relativeFrom="paragraph">
                        <wp:posOffset>201295</wp:posOffset>
                      </wp:positionV>
                      <wp:extent cx="530225" cy="243840"/>
                      <wp:effectExtent l="0" t="0" r="0" b="0"/>
                      <wp:wrapNone/>
                      <wp:docPr id="218" name="文本框 3563"/>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4993B023">
                                  <w:pPr>
                                    <w:ind w:left="-105" w:leftChars="-50" w:right="-105" w:rightChars="-50"/>
                                    <w:jc w:val="center"/>
                                    <w:rPr>
                                      <w:rFonts w:hint="eastAsia" w:eastAsia="宋体"/>
                                      <w:spacing w:val="-8"/>
                                      <w:szCs w:val="21"/>
                                      <w:lang w:val="en-US" w:eastAsia="zh-CN"/>
                                    </w:rPr>
                                  </w:pPr>
                                  <w:r>
                                    <w:rPr>
                                      <w:rFonts w:hint="eastAsia"/>
                                      <w:spacing w:val="-8"/>
                                      <w:szCs w:val="21"/>
                                      <w:lang w:val="en-US" w:eastAsia="zh-CN"/>
                                    </w:rPr>
                                    <w:t>2</w:t>
                                  </w:r>
                                </w:p>
                              </w:txbxContent>
                            </wps:txbx>
                            <wps:bodyPr upright="1"/>
                          </wps:wsp>
                        </a:graphicData>
                      </a:graphic>
                    </wp:anchor>
                  </w:drawing>
                </mc:Choice>
                <mc:Fallback>
                  <w:pict>
                    <v:shape id="文本框 3563" o:spid="_x0000_s1026" o:spt="202" type="#_x0000_t202" style="position:absolute;left:0pt;margin-left:131.5pt;margin-top:15.85pt;height:19.2pt;width:41.75pt;z-index:251855872;mso-width-relative:page;mso-height-relative:page;" filled="f" stroked="f" coordsize="21600,21600" o:gfxdata="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e&#10;ofGg2AAAAAkBAAAPAAAAAAAAAAEAIAAAACIAAABkcnMvZG93bnJldi54bWxQSwECFAAUAAAACACH&#10;TuJAcv6XG7IBAABSAwAADgAAAAAAAAABACAAAAAnAQAAZHJzL2Uyb0RvYy54bWxQSwUGAAAAAAYA&#10;BgBZAQAASwUAAAAA&#10;">
                      <v:fill on="f" focussize="0,0"/>
                      <v:stroke on="f"/>
                      <v:imagedata o:title=""/>
                      <o:lock v:ext="edit" aspectratio="f"/>
                      <v:textbox>
                        <w:txbxContent>
                          <w:p w14:paraId="4993B023">
                            <w:pPr>
                              <w:ind w:left="-105" w:leftChars="-50" w:right="-105" w:rightChars="-50"/>
                              <w:jc w:val="center"/>
                              <w:rPr>
                                <w:rFonts w:hint="eastAsia" w:eastAsia="宋体"/>
                                <w:spacing w:val="-8"/>
                                <w:szCs w:val="21"/>
                                <w:lang w:val="en-US" w:eastAsia="zh-CN"/>
                              </w:rPr>
                            </w:pPr>
                            <w:r>
                              <w:rPr>
                                <w:rFonts w:hint="eastAsia"/>
                                <w:spacing w:val="-8"/>
                                <w:szCs w:val="21"/>
                                <w:lang w:val="en-US" w:eastAsia="zh-CN"/>
                              </w:rPr>
                              <w:t>2</w:t>
                            </w:r>
                          </w:p>
                        </w:txbxContent>
                      </v:textbox>
                    </v:shap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48704" behindDoc="0" locked="0" layoutInCell="1" allowOverlap="1">
                      <wp:simplePos x="0" y="0"/>
                      <wp:positionH relativeFrom="column">
                        <wp:posOffset>2140585</wp:posOffset>
                      </wp:positionH>
                      <wp:positionV relativeFrom="paragraph">
                        <wp:posOffset>201295</wp:posOffset>
                      </wp:positionV>
                      <wp:extent cx="0" cy="155575"/>
                      <wp:effectExtent l="38100" t="0" r="38100" b="12065"/>
                      <wp:wrapNone/>
                      <wp:docPr id="208" name="自选图形 3553"/>
                      <wp:cNvGraphicFramePr/>
                      <a:graphic xmlns:a="http://schemas.openxmlformats.org/drawingml/2006/main">
                        <a:graphicData uri="http://schemas.microsoft.com/office/word/2010/wordprocessingShape">
                          <wps:wsp>
                            <wps:cNvCnPr/>
                            <wps:spPr>
                              <a:xfrm flipV="1">
                                <a:off x="0" y="0"/>
                                <a:ext cx="0" cy="1555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53" o:spid="_x0000_s1026" o:spt="32" type="#_x0000_t32" style="position:absolute;left:0pt;flip:y;margin-left:168.55pt;margin-top:15.85pt;height:12.25pt;width:0pt;z-index:251848704;mso-width-relative:page;mso-height-relative:page;" filled="f" stroked="t" coordsize="21600,21600" o:gfxdata="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19vMutgAAAAJAQAADwAAAAAAAAABACAAAAAiAAAAZHJz&#10;L2Rvd25yZXYueG1sUEsBAhQAFAAAAAgAh07iQCVGM5cEAgAA9QMAAA4AAAAAAAAAAQAgAAAAJwEA&#10;AGRycy9lMm9Eb2MueG1sUEsFBgAAAAAGAAYAWQEAAJ0FAAAAAA==&#10;">
                      <v:fill on="f" focussize="0,0"/>
                      <v:stroke color="#000000" joinstyle="round" endarrow="block"/>
                      <v:imagedata o:title=""/>
                      <o:lock v:ext="edit" aspectratio="f"/>
                    </v:shap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827200" behindDoc="0" locked="0" layoutInCell="1" allowOverlap="1">
                      <wp:simplePos x="0" y="0"/>
                      <wp:positionH relativeFrom="column">
                        <wp:posOffset>1076325</wp:posOffset>
                      </wp:positionH>
                      <wp:positionV relativeFrom="paragraph">
                        <wp:posOffset>38735</wp:posOffset>
                      </wp:positionV>
                      <wp:extent cx="530225" cy="0"/>
                      <wp:effectExtent l="0" t="38100" r="3175" b="38100"/>
                      <wp:wrapNone/>
                      <wp:docPr id="181" name="自选图形 3526"/>
                      <wp:cNvGraphicFramePr/>
                      <a:graphic xmlns:a="http://schemas.openxmlformats.org/drawingml/2006/main">
                        <a:graphicData uri="http://schemas.microsoft.com/office/word/2010/wordprocessingShape">
                          <wps:wsp>
                            <wps:cNvCnPr/>
                            <wps:spPr>
                              <a:xfrm>
                                <a:off x="0" y="0"/>
                                <a:ext cx="5302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26" o:spid="_x0000_s1026" o:spt="32" type="#_x0000_t32" style="position:absolute;left:0pt;margin-left:84.75pt;margin-top:3.05pt;height:0pt;width:41.75pt;z-index:251827200;mso-width-relative:page;mso-height-relative:page;" filled="f" stroked="t" coordsize="21600,21600" o:gfxdata="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T/vyXWAAAABwEAAA8AAAAAAAAAAQAgAAAAIgAAAGRycy9kb3ducmV2&#10;LnhtbFBLAQIUABQAAAAIAIdO4kAUCCpO/gEAAOsDAAAOAAAAAAAAAAEAIAAAACUBAABkcnMvZTJv&#10;RG9jLnhtbFBLBQYAAAAABgAGAFkBAACVBQAAAAA=&#10;">
                      <v:fill on="f" focussize="0,0"/>
                      <v:stroke color="#000000" joinstyle="round" endarrow="block"/>
                      <v:imagedata o:title=""/>
                      <o:lock v:ext="edit" aspectratio="f"/>
                    </v:shape>
                  </w:pict>
                </mc:Fallback>
              </mc:AlternateContent>
            </w:r>
          </w:p>
          <w:p w14:paraId="08BB5891">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47680" behindDoc="0" locked="0" layoutInCell="1" allowOverlap="1">
                      <wp:simplePos x="0" y="0"/>
                      <wp:positionH relativeFrom="column">
                        <wp:posOffset>2134870</wp:posOffset>
                      </wp:positionH>
                      <wp:positionV relativeFrom="paragraph">
                        <wp:posOffset>62865</wp:posOffset>
                      </wp:positionV>
                      <wp:extent cx="648335" cy="635"/>
                      <wp:effectExtent l="0" t="0" r="0" b="0"/>
                      <wp:wrapNone/>
                      <wp:docPr id="207" name="自选图形 3552"/>
                      <wp:cNvGraphicFramePr/>
                      <a:graphic xmlns:a="http://schemas.openxmlformats.org/drawingml/2006/main">
                        <a:graphicData uri="http://schemas.microsoft.com/office/word/2010/wordprocessingShape">
                          <wps:wsp>
                            <wps:cNvCnPr/>
                            <wps:spPr>
                              <a:xfrm flipH="1">
                                <a:off x="0" y="0"/>
                                <a:ext cx="64833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52" o:spid="_x0000_s1026" o:spt="32" type="#_x0000_t32" style="position:absolute;left:0pt;flip:x;margin-left:168.1pt;margin-top:4.95pt;height:0.05pt;width:51.05pt;z-index:251847680;mso-width-relative:page;mso-height-relative:page;" filled="f" stroked="t" coordsize="21600,21600" o:gfxdata="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fe4NYAAAAIAQAADwAAAAAAAAABACAAAAAiAAAAZHJzL2Rvd25y&#10;ZXYueG1sUEsBAhQAFAAAAAgAh07iQBUad8MAAgAA8wMAAA4AAAAAAAAAAQAgAAAAJQEAAGRycy9l&#10;Mm9Eb2MueG1sUEsFBgAAAAAGAAYAWQEAAJcFAAAAAA==&#10;">
                      <v:fill on="f" focussize="0,0"/>
                      <v:stroke color="#000000" joinstyle="round"/>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57920" behindDoc="0" locked="0" layoutInCell="1" allowOverlap="1">
                      <wp:simplePos x="0" y="0"/>
                      <wp:positionH relativeFrom="column">
                        <wp:posOffset>1076325</wp:posOffset>
                      </wp:positionH>
                      <wp:positionV relativeFrom="paragraph">
                        <wp:posOffset>201295</wp:posOffset>
                      </wp:positionV>
                      <wp:extent cx="530225" cy="243840"/>
                      <wp:effectExtent l="0" t="0" r="0" b="0"/>
                      <wp:wrapNone/>
                      <wp:docPr id="220" name="文本框 3565"/>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2BBE693E">
                                  <w:pPr>
                                    <w:ind w:left="-105" w:leftChars="-50" w:right="-105" w:rightChars="-50"/>
                                    <w:jc w:val="center"/>
                                    <w:rPr>
                                      <w:rFonts w:hint="eastAsia" w:eastAsia="宋体"/>
                                      <w:spacing w:val="-8"/>
                                      <w:szCs w:val="21"/>
                                      <w:lang w:val="en-US" w:eastAsia="zh-CN"/>
                                    </w:rPr>
                                  </w:pPr>
                                  <w:r>
                                    <w:rPr>
                                      <w:rFonts w:hint="eastAsia"/>
                                      <w:spacing w:val="-8"/>
                                      <w:szCs w:val="21"/>
                                      <w:lang w:val="en-US" w:eastAsia="zh-CN"/>
                                    </w:rPr>
                                    <w:t>2</w:t>
                                  </w:r>
                                </w:p>
                              </w:txbxContent>
                            </wps:txbx>
                            <wps:bodyPr upright="1"/>
                          </wps:wsp>
                        </a:graphicData>
                      </a:graphic>
                    </wp:anchor>
                  </w:drawing>
                </mc:Choice>
                <mc:Fallback>
                  <w:pict>
                    <v:shape id="文本框 3565" o:spid="_x0000_s1026" o:spt="202" type="#_x0000_t202" style="position:absolute;left:0pt;margin-left:84.75pt;margin-top:15.85pt;height:19.2pt;width:41.75pt;z-index:251857920;mso-width-relative:page;mso-height-relative:page;" filled="f" stroked="f" coordsize="21600,21600" o:gfxdata="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5CGB&#10;TtcAAAAJAQAADwAAAAAAAAABACAAAAAiAAAAZHJzL2Rvd25yZXYueG1sUEsBAhQAFAAAAAgAh07i&#10;QBDr686xAQAAUgMAAA4AAAAAAAAAAQAgAAAAJgEAAGRycy9lMm9Eb2MueG1sUEsFBgAAAAAGAAYA&#10;WQEAAEkFAAAAAA==&#10;">
                      <v:fill on="f" focussize="0,0"/>
                      <v:stroke on="f"/>
                      <v:imagedata o:title=""/>
                      <o:lock v:ext="edit" aspectratio="f"/>
                      <v:textbox>
                        <w:txbxContent>
                          <w:p w14:paraId="2BBE693E">
                            <w:pPr>
                              <w:ind w:left="-105" w:leftChars="-50" w:right="-105" w:rightChars="-50"/>
                              <w:jc w:val="center"/>
                              <w:rPr>
                                <w:rFonts w:hint="eastAsia" w:eastAsia="宋体"/>
                                <w:spacing w:val="-8"/>
                                <w:szCs w:val="21"/>
                                <w:lang w:val="en-US" w:eastAsia="zh-CN"/>
                              </w:rPr>
                            </w:pPr>
                            <w:r>
                              <w:rPr>
                                <w:rFonts w:hint="eastAsia"/>
                                <w:spacing w:val="-8"/>
                                <w:szCs w:val="21"/>
                                <w:lang w:val="en-US" w:eastAsia="zh-CN"/>
                              </w:rPr>
                              <w:t>2</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53824" behindDoc="0" locked="0" layoutInCell="1" allowOverlap="1">
                      <wp:simplePos x="0" y="0"/>
                      <wp:positionH relativeFrom="column">
                        <wp:posOffset>1589405</wp:posOffset>
                      </wp:positionH>
                      <wp:positionV relativeFrom="paragraph">
                        <wp:posOffset>259080</wp:posOffset>
                      </wp:positionV>
                      <wp:extent cx="916305" cy="273685"/>
                      <wp:effectExtent l="5080" t="4445" r="8255" b="11430"/>
                      <wp:wrapNone/>
                      <wp:docPr id="213" name="文本框 3558"/>
                      <wp:cNvGraphicFramePr/>
                      <a:graphic xmlns:a="http://schemas.openxmlformats.org/drawingml/2006/main">
                        <a:graphicData uri="http://schemas.microsoft.com/office/word/2010/wordprocessingShape">
                          <wps:wsp>
                            <wps:cNvSpPr txBox="1"/>
                            <wps:spPr>
                              <a:xfrm>
                                <a:off x="0" y="0"/>
                                <a:ext cx="916305" cy="2736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DE5AD6">
                                  <w:pPr>
                                    <w:ind w:right="-105" w:rightChars="-50"/>
                                    <w:rPr>
                                      <w:spacing w:val="-8"/>
                                      <w:szCs w:val="21"/>
                                    </w:rPr>
                                  </w:pPr>
                                  <w:r>
                                    <w:rPr>
                                      <w:rFonts w:hint="eastAsia"/>
                                      <w:spacing w:val="-8"/>
                                      <w:szCs w:val="21"/>
                                    </w:rPr>
                                    <w:t>洗车平台用水</w:t>
                                  </w:r>
                                </w:p>
                              </w:txbxContent>
                            </wps:txbx>
                            <wps:bodyPr upright="1"/>
                          </wps:wsp>
                        </a:graphicData>
                      </a:graphic>
                    </wp:anchor>
                  </w:drawing>
                </mc:Choice>
                <mc:Fallback>
                  <w:pict>
                    <v:shape id="文本框 3558" o:spid="_x0000_s1026" o:spt="202" type="#_x0000_t202" style="position:absolute;left:0pt;margin-left:125.15pt;margin-top:20.4pt;height:21.55pt;width:72.15pt;z-index:251853824;mso-width-relative:page;mso-height-relative:page;" fillcolor="#FFFFFF" filled="t" stroked="t" coordsize="21600,21600" o:gfxdata="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3UsOR2QAAAAkBAAAPAAAAAAAAAAEA&#10;IAAAACIAAABkcnMvZG93bnJldi54bWxQSwECFAAUAAAACACHTuJAMuvDcQ4CAAA6BAAADgAAAAAA&#10;AAABACAAAAAoAQAAZHJzL2Uyb0RvYy54bWxQSwUGAAAAAAYABgBZAQAAqAUAAAAA&#10;">
                      <v:fill on="t" focussize="0,0"/>
                      <v:stroke color="#000000" joinstyle="miter"/>
                      <v:imagedata o:title=""/>
                      <o:lock v:ext="edit" aspectratio="f"/>
                      <v:textbox>
                        <w:txbxContent>
                          <w:p w14:paraId="10DE5AD6">
                            <w:pPr>
                              <w:ind w:right="-105" w:rightChars="-50"/>
                              <w:rPr>
                                <w:spacing w:val="-8"/>
                                <w:szCs w:val="21"/>
                              </w:rPr>
                            </w:pPr>
                            <w:r>
                              <w:rPr>
                                <w:rFonts w:hint="eastAsia"/>
                                <w:spacing w:val="-8"/>
                                <w:szCs w:val="21"/>
                              </w:rPr>
                              <w:t>洗车平台用水</w:t>
                            </w:r>
                          </w:p>
                        </w:txbxContent>
                      </v:textbox>
                    </v:shape>
                  </w:pict>
                </mc:Fallback>
              </mc:AlternateContent>
            </w:r>
            <w:r>
              <w:rPr>
                <w:b/>
                <w:bCs/>
                <w:color w:val="000000" w:themeColor="text1"/>
                <w:sz w:val="24"/>
                <w:highlight w:val="none"/>
                <w14:textFill>
                  <w14:solidFill>
                    <w14:schemeClr w14:val="tx1"/>
                  </w14:solidFill>
                </w14:textFill>
              </w:rPr>
              <mc:AlternateContent>
                <mc:Choice Requires="wpg">
                  <w:drawing>
                    <wp:anchor distT="0" distB="0" distL="114300" distR="114300" simplePos="0" relativeHeight="251854848" behindDoc="0" locked="0" layoutInCell="1" allowOverlap="1">
                      <wp:simplePos x="0" y="0"/>
                      <wp:positionH relativeFrom="column">
                        <wp:posOffset>1671955</wp:posOffset>
                      </wp:positionH>
                      <wp:positionV relativeFrom="paragraph">
                        <wp:posOffset>52070</wp:posOffset>
                      </wp:positionV>
                      <wp:extent cx="244475" cy="207010"/>
                      <wp:effectExtent l="4445" t="2540" r="10160" b="3810"/>
                      <wp:wrapNone/>
                      <wp:docPr id="217" name="组合 3559"/>
                      <wp:cNvGraphicFramePr/>
                      <a:graphic xmlns:a="http://schemas.openxmlformats.org/drawingml/2006/main">
                        <a:graphicData uri="http://schemas.microsoft.com/office/word/2010/wordprocessingGroup">
                          <wpg:wgp>
                            <wpg:cNvGrpSpPr/>
                            <wpg:grpSpPr>
                              <a:xfrm>
                                <a:off x="0" y="0"/>
                                <a:ext cx="244475" cy="207010"/>
                                <a:chOff x="4080" y="11233"/>
                                <a:chExt cx="385" cy="293"/>
                              </a:xfrm>
                            </wpg:grpSpPr>
                            <wps:wsp>
                              <wps:cNvPr id="214" name="Line 1823"/>
                              <wps:cNvCnPr/>
                              <wps:spPr>
                                <a:xfrm flipV="1">
                                  <a:off x="4301" y="11233"/>
                                  <a:ext cx="164" cy="236"/>
                                </a:xfrm>
                                <a:prstGeom prst="line">
                                  <a:avLst/>
                                </a:prstGeom>
                                <a:ln w="9525" cap="flat" cmpd="sng">
                                  <a:solidFill>
                                    <a:srgbClr val="000000"/>
                                  </a:solidFill>
                                  <a:prstDash val="solid"/>
                                  <a:headEnd type="none" w="med" len="med"/>
                                  <a:tailEnd type="none" w="med" len="med"/>
                                </a:ln>
                              </wps:spPr>
                              <wps:bodyPr upright="1"/>
                            </wps:wsp>
                            <wps:wsp>
                              <wps:cNvPr id="215" name="Line 1825"/>
                              <wps:cNvCnPr/>
                              <wps:spPr>
                                <a:xfrm flipV="1">
                                  <a:off x="4080" y="11361"/>
                                  <a:ext cx="99" cy="165"/>
                                </a:xfrm>
                                <a:prstGeom prst="line">
                                  <a:avLst/>
                                </a:prstGeom>
                                <a:ln w="9525" cap="flat" cmpd="sng">
                                  <a:solidFill>
                                    <a:srgbClr val="000000"/>
                                  </a:solidFill>
                                  <a:prstDash val="solid"/>
                                  <a:headEnd type="none" w="med" len="med"/>
                                  <a:tailEnd type="none" w="med" len="med"/>
                                </a:ln>
                              </wps:spPr>
                              <wps:bodyPr upright="1"/>
                            </wps:wsp>
                            <wps:wsp>
                              <wps:cNvPr id="216" name="Line 1826"/>
                              <wps:cNvCnPr/>
                              <wps:spPr>
                                <a:xfrm>
                                  <a:off x="4193" y="11361"/>
                                  <a:ext cx="105" cy="8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59" o:spid="_x0000_s1026" o:spt="203" style="position:absolute;left:0pt;margin-left:131.65pt;margin-top:4.1pt;height:16.3pt;width:19.25pt;z-index:251854848;mso-width-relative:page;mso-height-relative:page;" coordorigin="4080,11233" coordsize="385,293" o:gfxdata="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EyIS2zYAAAACAEAAA8AAAAAAAAA&#10;AQAgAAAAIgAAAGRycy9kb3ducmV2LnhtbFBLAQIUABQAAAAIAIdO4kAnGiH1vAIAADIJAAAOAAAA&#10;AAAAAAEAIAAAACcBAABkcnMvZTJvRG9jLnhtbFBLBQYAAAAABgAGAFkBAABVBgAAAAA=&#10;">
                      <o:lock v:ext="edit" aspectratio="f"/>
                      <v:line id="Line 1823" o:spid="_x0000_s1026" o:spt="20" style="position:absolute;left:4301;top:11233;flip:y;height:236;width:164;" filled="f" stroked="t" coordsize="21600,21600" o:gfxdata="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Sc1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1825" o:spid="_x0000_s1026" o:spt="20" style="position:absolute;left:4080;top:11361;flip:y;height:165;width:99;" filled="f" stroked="t" coordsize="21600,21600" o:gfxdata="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g5T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1826" o:spid="_x0000_s1026" o:spt="20" style="position:absolute;left:4193;top:11361;height:83;width:105;" filled="f" stroked="t" coordsize="21600,21600" o:gfxdata="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pFNp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p>
          <w:p w14:paraId="6A2C7079">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9184" behindDoc="0" locked="0" layoutInCell="1" allowOverlap="1">
                      <wp:simplePos x="0" y="0"/>
                      <wp:positionH relativeFrom="column">
                        <wp:posOffset>1786890</wp:posOffset>
                      </wp:positionH>
                      <wp:positionV relativeFrom="paragraph">
                        <wp:posOffset>240665</wp:posOffset>
                      </wp:positionV>
                      <wp:extent cx="530225" cy="243840"/>
                      <wp:effectExtent l="0" t="0" r="0" b="0"/>
                      <wp:wrapNone/>
                      <wp:docPr id="234" name="文本框 3579"/>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59417287">
                                  <w:pPr>
                                    <w:ind w:left="-105" w:leftChars="-50" w:right="-105" w:rightChars="-50"/>
                                    <w:jc w:val="center"/>
                                    <w:rPr>
                                      <w:spacing w:val="-8"/>
                                      <w:szCs w:val="21"/>
                                    </w:rPr>
                                  </w:pPr>
                                  <w:r>
                                    <w:rPr>
                                      <w:rFonts w:hint="eastAsia"/>
                                      <w:spacing w:val="-8"/>
                                      <w:szCs w:val="21"/>
                                    </w:rPr>
                                    <w:t>0.32</w:t>
                                  </w:r>
                                </w:p>
                              </w:txbxContent>
                            </wps:txbx>
                            <wps:bodyPr upright="1"/>
                          </wps:wsp>
                        </a:graphicData>
                      </a:graphic>
                    </wp:anchor>
                  </w:drawing>
                </mc:Choice>
                <mc:Fallback>
                  <w:pict>
                    <v:shape id="文本框 3579" o:spid="_x0000_s1026" o:spt="202" type="#_x0000_t202" style="position:absolute;left:0pt;margin-left:140.7pt;margin-top:18.95pt;height:19.2pt;width:41.75pt;z-index:251869184;mso-width-relative:page;mso-height-relative:page;" filled="f" stroked="f" coordsize="21600,21600" o:gfxdata="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XP&#10;9JzXAAAACQEAAA8AAAAAAAAAAQAgAAAAIgAAAGRycy9kb3ducmV2LnhtbFBLAQIUABQAAAAIAIdO&#10;4kAujaf2sgEAAFIDAAAOAAAAAAAAAAEAIAAAACYBAABkcnMvZTJvRG9jLnhtbFBLBQYAAAAABgAG&#10;AFkBAABKBQAAAAA=&#10;">
                      <v:fill on="f" focussize="0,0"/>
                      <v:stroke on="f"/>
                      <v:imagedata o:title=""/>
                      <o:lock v:ext="edit" aspectratio="f"/>
                      <v:textbox>
                        <w:txbxContent>
                          <w:p w14:paraId="59417287">
                            <w:pPr>
                              <w:ind w:left="-105" w:leftChars="-50" w:right="-105" w:rightChars="-50"/>
                              <w:jc w:val="center"/>
                              <w:rPr>
                                <w:spacing w:val="-8"/>
                                <w:szCs w:val="21"/>
                              </w:rPr>
                            </w:pPr>
                            <w:r>
                              <w:rPr>
                                <w:rFonts w:hint="eastAsia"/>
                                <w:spacing w:val="-8"/>
                                <w:szCs w:val="21"/>
                              </w:rPr>
                              <w:t>0.32</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3040" behindDoc="0" locked="0" layoutInCell="1" allowOverlap="1">
                      <wp:simplePos x="0" y="0"/>
                      <wp:positionH relativeFrom="column">
                        <wp:posOffset>2421890</wp:posOffset>
                      </wp:positionH>
                      <wp:positionV relativeFrom="paragraph">
                        <wp:posOffset>153035</wp:posOffset>
                      </wp:positionV>
                      <wp:extent cx="530225" cy="243840"/>
                      <wp:effectExtent l="0" t="0" r="0" b="0"/>
                      <wp:wrapNone/>
                      <wp:docPr id="225" name="文本框 3570"/>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59DEE468">
                                  <w:pPr>
                                    <w:ind w:left="-105" w:leftChars="-50" w:right="-105" w:rightChars="-50"/>
                                    <w:jc w:val="center"/>
                                    <w:rPr>
                                      <w:spacing w:val="-8"/>
                                      <w:szCs w:val="21"/>
                                    </w:rPr>
                                  </w:pPr>
                                  <w:r>
                                    <w:rPr>
                                      <w:rFonts w:hint="eastAsia"/>
                                      <w:spacing w:val="-8"/>
                                      <w:szCs w:val="21"/>
                                    </w:rPr>
                                    <w:t>6.2</w:t>
                                  </w:r>
                                </w:p>
                              </w:txbxContent>
                            </wps:txbx>
                            <wps:bodyPr upright="1"/>
                          </wps:wsp>
                        </a:graphicData>
                      </a:graphic>
                    </wp:anchor>
                  </w:drawing>
                </mc:Choice>
                <mc:Fallback>
                  <w:pict>
                    <v:shape id="文本框 3570" o:spid="_x0000_s1026" o:spt="202" type="#_x0000_t202" style="position:absolute;left:0pt;margin-left:190.7pt;margin-top:12.05pt;height:19.2pt;width:41.75pt;z-index:251863040;mso-width-relative:page;mso-height-relative:page;" filled="f" stroked="f" coordsize="21600,21600" o:gfxdata="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H0Nq9cA&#10;AAAJAQAADwAAAAAAAAABACAAAAAiAAAAZHJzL2Rvd25yZXYueG1sUEsBAhQAFAAAAAgAh07iQHN8&#10;CluuAQAAUgMAAA4AAAAAAAAAAQAgAAAAJgEAAGRycy9lMm9Eb2MueG1sUEsFBgAAAAAGAAYAWQEA&#10;AEYFAAAAAA==&#10;">
                      <v:fill on="f" focussize="0,0"/>
                      <v:stroke on="f"/>
                      <v:imagedata o:title=""/>
                      <o:lock v:ext="edit" aspectratio="f"/>
                      <v:textbox>
                        <w:txbxContent>
                          <w:p w14:paraId="59DEE468">
                            <w:pPr>
                              <w:ind w:left="-105" w:leftChars="-50" w:right="-105" w:rightChars="-50"/>
                              <w:jc w:val="center"/>
                              <w:rPr>
                                <w:spacing w:val="-8"/>
                                <w:szCs w:val="21"/>
                              </w:rPr>
                            </w:pPr>
                            <w:r>
                              <w:rPr>
                                <w:rFonts w:hint="eastAsia"/>
                                <w:spacing w:val="-8"/>
                                <w:szCs w:val="21"/>
                              </w:rPr>
                              <w:t>6.2</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2016" behindDoc="0" locked="0" layoutInCell="1" allowOverlap="1">
                      <wp:simplePos x="0" y="0"/>
                      <wp:positionH relativeFrom="column">
                        <wp:posOffset>2277745</wp:posOffset>
                      </wp:positionH>
                      <wp:positionV relativeFrom="paragraph">
                        <wp:posOffset>240665</wp:posOffset>
                      </wp:positionV>
                      <wp:extent cx="0" cy="187325"/>
                      <wp:effectExtent l="38100" t="0" r="38100" b="10795"/>
                      <wp:wrapNone/>
                      <wp:docPr id="224" name="自选图形 3569"/>
                      <wp:cNvGraphicFramePr/>
                      <a:graphic xmlns:a="http://schemas.openxmlformats.org/drawingml/2006/main">
                        <a:graphicData uri="http://schemas.microsoft.com/office/word/2010/wordprocessingShape">
                          <wps:wsp>
                            <wps:cNvCnPr/>
                            <wps:spPr>
                              <a:xfrm flipV="1">
                                <a:off x="0" y="0"/>
                                <a:ext cx="0" cy="1873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69" o:spid="_x0000_s1026" o:spt="32" type="#_x0000_t32" style="position:absolute;left:0pt;flip:y;margin-left:179.35pt;margin-top:18.95pt;height:14.75pt;width:0pt;z-index:251862016;mso-width-relative:page;mso-height-relative:page;" filled="f" stroked="t" coordsize="21600,21600" o:gfxdata="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CNh/fYAAAACQEAAA8AAAAAAAAAAQAgAAAAIgAAAGRy&#10;cy9kb3ducmV2LnhtbFBLAQIUABQAAAAIAIdO4kAYO3xsBQIAAPUDAAAOAAAAAAAAAAEAIAAAACcB&#10;AABkcnMvZTJvRG9jLnhtbFBLBQYAAAAABgAGAFkBAACeBQAAAAA=&#10;">
                      <v:fill on="f" focussize="0,0"/>
                      <v:stroke color="#000000" joinstyle="round" endarrow="block"/>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59968" behindDoc="0" locked="0" layoutInCell="1" allowOverlap="1">
                      <wp:simplePos x="0" y="0"/>
                      <wp:positionH relativeFrom="column">
                        <wp:posOffset>2847975</wp:posOffset>
                      </wp:positionH>
                      <wp:positionV relativeFrom="paragraph">
                        <wp:posOffset>54610</wp:posOffset>
                      </wp:positionV>
                      <wp:extent cx="0" cy="373380"/>
                      <wp:effectExtent l="4445" t="0" r="10795" b="7620"/>
                      <wp:wrapNone/>
                      <wp:docPr id="222" name="自选图形 3567"/>
                      <wp:cNvGraphicFramePr/>
                      <a:graphic xmlns:a="http://schemas.openxmlformats.org/drawingml/2006/main">
                        <a:graphicData uri="http://schemas.microsoft.com/office/word/2010/wordprocessingShape">
                          <wps:wsp>
                            <wps:cNvCnPr/>
                            <wps:spPr>
                              <a:xfrm>
                                <a:off x="0" y="0"/>
                                <a:ext cx="0" cy="3733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67" o:spid="_x0000_s1026" o:spt="32" type="#_x0000_t32" style="position:absolute;left:0pt;margin-left:224.25pt;margin-top:4.3pt;height:29.4pt;width:0pt;z-index:251859968;mso-width-relative:page;mso-height-relative:page;" filled="f" stroked="t" coordsize="21600,21600" o:gfxdata="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99HY1gAAAAgBAAAPAAAAAAAAAAEAIAAAACIAAABkcnMvZG93bnJldi54bWxQ&#10;SwECFAAUAAAACACHTuJAAxv51vkBAADnAwAADgAAAAAAAAABACAAAAAlAQAAZHJzL2Uyb0RvYy54&#10;bWxQSwUGAAAAAAYABgBZAQAAkAUAAAAA&#10;">
                      <v:fill on="f" focussize="0,0"/>
                      <v:stroke color="#000000" joinstyle="round"/>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58944" behindDoc="0" locked="0" layoutInCell="1" allowOverlap="1">
                      <wp:simplePos x="0" y="0"/>
                      <wp:positionH relativeFrom="column">
                        <wp:posOffset>2505710</wp:posOffset>
                      </wp:positionH>
                      <wp:positionV relativeFrom="paragraph">
                        <wp:posOffset>54610</wp:posOffset>
                      </wp:positionV>
                      <wp:extent cx="335280" cy="0"/>
                      <wp:effectExtent l="0" t="4445" r="0" b="5080"/>
                      <wp:wrapNone/>
                      <wp:docPr id="221" name="自选图形 3566"/>
                      <wp:cNvGraphicFramePr/>
                      <a:graphic xmlns:a="http://schemas.openxmlformats.org/drawingml/2006/main">
                        <a:graphicData uri="http://schemas.microsoft.com/office/word/2010/wordprocessingShape">
                          <wps:wsp>
                            <wps:cNvCnPr/>
                            <wps:spPr>
                              <a:xfrm>
                                <a:off x="0" y="0"/>
                                <a:ext cx="3352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66" o:spid="_x0000_s1026" o:spt="32" type="#_x0000_t32" style="position:absolute;left:0pt;margin-left:197.3pt;margin-top:4.3pt;height:0pt;width:26.4pt;z-index:251858944;mso-width-relative:page;mso-height-relative:page;" filled="f" stroked="t" coordsize="21600,21600" o:gfxdata="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WxIHjWAAAABwEAAA8AAAAAAAAAAQAgAAAAIgAAAGRycy9kb3ducmV2LnhtbFBL&#10;AQIUABQAAAAIAIdO4kCtFhZc+AEAAOcDAAAOAAAAAAAAAAEAIAAAACUBAABkcnMvZTJvRG9jLnht&#10;bFBLBQYAAAAABgAGAFkBAACPBQAAAAA=&#10;">
                      <v:fill on="f" focussize="0,0"/>
                      <v:stroke color="#000000" joinstyle="round"/>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52800" behindDoc="0" locked="0" layoutInCell="1" allowOverlap="1">
                      <wp:simplePos x="0" y="0"/>
                      <wp:positionH relativeFrom="column">
                        <wp:posOffset>1069975</wp:posOffset>
                      </wp:positionH>
                      <wp:positionV relativeFrom="paragraph">
                        <wp:posOffset>125730</wp:posOffset>
                      </wp:positionV>
                      <wp:extent cx="530225" cy="0"/>
                      <wp:effectExtent l="0" t="38100" r="3175" b="38100"/>
                      <wp:wrapNone/>
                      <wp:docPr id="212" name="自选图形 3557"/>
                      <wp:cNvGraphicFramePr/>
                      <a:graphic xmlns:a="http://schemas.openxmlformats.org/drawingml/2006/main">
                        <a:graphicData uri="http://schemas.microsoft.com/office/word/2010/wordprocessingShape">
                          <wps:wsp>
                            <wps:cNvCnPr/>
                            <wps:spPr>
                              <a:xfrm>
                                <a:off x="0" y="0"/>
                                <a:ext cx="5302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57" o:spid="_x0000_s1026" o:spt="32" type="#_x0000_t32" style="position:absolute;left:0pt;margin-left:84.25pt;margin-top:9.9pt;height:0pt;width:41.75pt;z-index:251852800;mso-width-relative:page;mso-height-relative:page;" filled="f" stroked="t" coordsize="21600,21600" o:gfxdata="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nG5S1wAAAAkBAAAPAAAAAAAAAAEAIAAAACIAAABkcnMvZG93bnJl&#10;di54bWxQSwECFAAUAAAACACHTuJANeNN/v4BAADrAwAADgAAAAAAAAABACAAAAAmAQAAZHJzL2Uy&#10;b0RvYy54bWxQSwUGAAAAAAYABgBZAQAAlgUAAAAA&#10;">
                      <v:fill on="f" focussize="0,0"/>
                      <v:stroke color="#000000" joinstyle="round" endarrow="block"/>
                      <v:imagedata o:title=""/>
                      <o:lock v:ext="edit" aspectratio="f"/>
                    </v:shape>
                  </w:pict>
                </mc:Fallback>
              </mc:AlternateContent>
            </w:r>
          </w:p>
          <w:p w14:paraId="3B092ABB">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70208" behindDoc="0" locked="0" layoutInCell="1" allowOverlap="1">
                      <wp:simplePos x="0" y="0"/>
                      <wp:positionH relativeFrom="column">
                        <wp:posOffset>2275840</wp:posOffset>
                      </wp:positionH>
                      <wp:positionV relativeFrom="paragraph">
                        <wp:posOffset>215265</wp:posOffset>
                      </wp:positionV>
                      <wp:extent cx="530225" cy="243840"/>
                      <wp:effectExtent l="0" t="0" r="0" b="0"/>
                      <wp:wrapNone/>
                      <wp:docPr id="235" name="文本框 3580"/>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7F196808">
                                  <w:pPr>
                                    <w:ind w:left="-105" w:leftChars="-50" w:right="-105" w:rightChars="-50"/>
                                    <w:jc w:val="center"/>
                                    <w:rPr>
                                      <w:spacing w:val="-8"/>
                                      <w:szCs w:val="21"/>
                                    </w:rPr>
                                  </w:pPr>
                                  <w:r>
                                    <w:rPr>
                                      <w:rFonts w:hint="eastAsia"/>
                                      <w:spacing w:val="-8"/>
                                      <w:szCs w:val="21"/>
                                    </w:rPr>
                                    <w:t>1.28</w:t>
                                  </w:r>
                                </w:p>
                              </w:txbxContent>
                            </wps:txbx>
                            <wps:bodyPr upright="1"/>
                          </wps:wsp>
                        </a:graphicData>
                      </a:graphic>
                    </wp:anchor>
                  </w:drawing>
                </mc:Choice>
                <mc:Fallback>
                  <w:pict>
                    <v:shape id="文本框 3580" o:spid="_x0000_s1026" o:spt="202" type="#_x0000_t202" style="position:absolute;left:0pt;margin-left:179.2pt;margin-top:16.95pt;height:19.2pt;width:41.75pt;z-index:251870208;mso-width-relative:page;mso-height-relative:page;" filled="f" stroked="f" coordsize="21600,21600" o:gfxdata="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AxPA3X&#10;AAAACQEAAA8AAAAAAAAAAQAgAAAAIgAAAGRycy9kb3ducmV2LnhtbFBLAQIUABQAAAAIAIdO4kBw&#10;oKHwrwEAAFIDAAAOAAAAAAAAAAEAIAAAACYBAABkcnMvZTJvRG9jLnhtbFBLBQYAAAAABgAGAFkB&#10;AABHBQAAAAA=&#10;">
                      <v:fill on="f" focussize="0,0"/>
                      <v:stroke on="f"/>
                      <v:imagedata o:title=""/>
                      <o:lock v:ext="edit" aspectratio="f"/>
                      <v:textbox>
                        <w:txbxContent>
                          <w:p w14:paraId="7F196808">
                            <w:pPr>
                              <w:ind w:left="-105" w:leftChars="-50" w:right="-105" w:rightChars="-50"/>
                              <w:jc w:val="center"/>
                              <w:rPr>
                                <w:spacing w:val="-8"/>
                                <w:szCs w:val="21"/>
                              </w:rPr>
                            </w:pPr>
                            <w:r>
                              <w:rPr>
                                <w:rFonts w:hint="eastAsia"/>
                                <w:spacing w:val="-8"/>
                                <w:szCs w:val="21"/>
                              </w:rPr>
                              <w:t>1.28</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8160" behindDoc="0" locked="0" layoutInCell="1" allowOverlap="1">
                      <wp:simplePos x="0" y="0"/>
                      <wp:positionH relativeFrom="column">
                        <wp:posOffset>1069975</wp:posOffset>
                      </wp:positionH>
                      <wp:positionV relativeFrom="paragraph">
                        <wp:posOffset>197485</wp:posOffset>
                      </wp:positionV>
                      <wp:extent cx="530225" cy="243840"/>
                      <wp:effectExtent l="0" t="0" r="0" b="0"/>
                      <wp:wrapNone/>
                      <wp:docPr id="233" name="文本框 3578"/>
                      <wp:cNvGraphicFramePr/>
                      <a:graphic xmlns:a="http://schemas.openxmlformats.org/drawingml/2006/main">
                        <a:graphicData uri="http://schemas.microsoft.com/office/word/2010/wordprocessingShape">
                          <wps:wsp>
                            <wps:cNvSpPr txBox="1"/>
                            <wps:spPr>
                              <a:xfrm>
                                <a:off x="0" y="0"/>
                                <a:ext cx="530225" cy="243840"/>
                              </a:xfrm>
                              <a:prstGeom prst="rect">
                                <a:avLst/>
                              </a:prstGeom>
                              <a:noFill/>
                              <a:ln>
                                <a:noFill/>
                              </a:ln>
                            </wps:spPr>
                            <wps:txbx>
                              <w:txbxContent>
                                <w:p w14:paraId="670FEB63">
                                  <w:pPr>
                                    <w:ind w:left="-105" w:leftChars="-50" w:right="-105" w:rightChars="-50"/>
                                    <w:jc w:val="center"/>
                                    <w:rPr>
                                      <w:spacing w:val="-8"/>
                                      <w:szCs w:val="21"/>
                                    </w:rPr>
                                  </w:pPr>
                                  <w:r>
                                    <w:rPr>
                                      <w:rFonts w:hint="eastAsia"/>
                                      <w:spacing w:val="-8"/>
                                      <w:szCs w:val="21"/>
                                    </w:rPr>
                                    <w:t>1.6</w:t>
                                  </w:r>
                                </w:p>
                              </w:txbxContent>
                            </wps:txbx>
                            <wps:bodyPr upright="1"/>
                          </wps:wsp>
                        </a:graphicData>
                      </a:graphic>
                    </wp:anchor>
                  </w:drawing>
                </mc:Choice>
                <mc:Fallback>
                  <w:pict>
                    <v:shape id="文本框 3578" o:spid="_x0000_s1026" o:spt="202" type="#_x0000_t202" style="position:absolute;left:0pt;margin-left:84.25pt;margin-top:15.55pt;height:19.2pt;width:41.75pt;z-index:251868160;mso-width-relative:page;mso-height-relative:page;" filled="f" stroked="f" coordsize="21600,21600" o:gfxdata="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WBs&#10;q9YAAAAJAQAADwAAAAAAAAABACAAAAAiAAAAZHJzL2Rvd25yZXYueG1sUEsBAhQAFAAAAAgAh07i&#10;QGfjn0SyAQAAUgMAAA4AAAAAAAAAAQAgAAAAJQEAAGRycy9lMm9Eb2MueG1sUEsFBgAAAAAGAAYA&#10;WQEAAEkFAAAAAA==&#10;">
                      <v:fill on="f" focussize="0,0"/>
                      <v:stroke on="f"/>
                      <v:imagedata o:title=""/>
                      <o:lock v:ext="edit" aspectratio="f"/>
                      <v:textbox>
                        <w:txbxContent>
                          <w:p w14:paraId="670FEB63">
                            <w:pPr>
                              <w:ind w:left="-105" w:leftChars="-50" w:right="-105" w:rightChars="-50"/>
                              <w:jc w:val="center"/>
                              <w:rPr>
                                <w:spacing w:val="-8"/>
                                <w:szCs w:val="21"/>
                              </w:rPr>
                            </w:pPr>
                            <w:r>
                              <w:rPr>
                                <w:rFonts w:hint="eastAsia"/>
                                <w:spacing w:val="-8"/>
                                <w:szCs w:val="21"/>
                              </w:rPr>
                              <w:t>1.6</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6112" behindDoc="0" locked="0" layoutInCell="1" allowOverlap="1">
                      <wp:simplePos x="0" y="0"/>
                      <wp:positionH relativeFrom="column">
                        <wp:posOffset>2770505</wp:posOffset>
                      </wp:positionH>
                      <wp:positionV relativeFrom="paragraph">
                        <wp:posOffset>263525</wp:posOffset>
                      </wp:positionV>
                      <wp:extent cx="1298575" cy="265430"/>
                      <wp:effectExtent l="0" t="0" r="12065" b="8890"/>
                      <wp:wrapNone/>
                      <wp:docPr id="231" name="文本框 3576"/>
                      <wp:cNvGraphicFramePr/>
                      <a:graphic xmlns:a="http://schemas.openxmlformats.org/drawingml/2006/main">
                        <a:graphicData uri="http://schemas.microsoft.com/office/word/2010/wordprocessingShape">
                          <wps:wsp>
                            <wps:cNvSpPr txBox="1"/>
                            <wps:spPr>
                              <a:xfrm>
                                <a:off x="0" y="0"/>
                                <a:ext cx="1298575" cy="265430"/>
                              </a:xfrm>
                              <a:prstGeom prst="rect">
                                <a:avLst/>
                              </a:prstGeom>
                              <a:solidFill>
                                <a:srgbClr val="FFFFFF"/>
                              </a:solidFill>
                              <a:ln>
                                <a:noFill/>
                              </a:ln>
                            </wps:spPr>
                            <wps:txbx>
                              <w:txbxContent>
                                <w:p w14:paraId="5DE90EC7">
                                  <w:r>
                                    <w:rPr>
                                      <w:rFonts w:hint="eastAsia"/>
                                    </w:rPr>
                                    <w:t>厂区泼洒抑尘</w:t>
                                  </w:r>
                                </w:p>
                              </w:txbxContent>
                            </wps:txbx>
                            <wps:bodyPr upright="1"/>
                          </wps:wsp>
                        </a:graphicData>
                      </a:graphic>
                    </wp:anchor>
                  </w:drawing>
                </mc:Choice>
                <mc:Fallback>
                  <w:pict>
                    <v:shape id="文本框 3576" o:spid="_x0000_s1026" o:spt="202" type="#_x0000_t202" style="position:absolute;left:0pt;margin-left:218.15pt;margin-top:20.75pt;height:20.9pt;width:102.25pt;z-index:251866112;mso-width-relative:page;mso-height-relative:page;" fillcolor="#FFFFFF" filled="t" stroked="f" coordsize="21600,21600" o:gfxdata="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1wN1wAAAAkBAAAPAAAAAAAAAAEAIAAAACIAAABkcnMvZG93&#10;bnJldi54bWxQSwECFAAUAAAACACHTuJA1fMrscgBAAB8AwAADgAAAAAAAAABACAAAAAmAQAAZHJz&#10;L2Uyb0RvYy54bWxQSwUGAAAAAAYABgBZAQAAYAUAAAAA&#10;">
                      <v:fill on="t" focussize="0,0"/>
                      <v:stroke on="f"/>
                      <v:imagedata o:title=""/>
                      <o:lock v:ext="edit" aspectratio="f"/>
                      <v:textbox>
                        <w:txbxContent>
                          <w:p w14:paraId="5DE90EC7">
                            <w:r>
                              <w:rPr>
                                <w:rFonts w:hint="eastAsia"/>
                              </w:rPr>
                              <w:t>厂区泼洒抑尘</w:t>
                            </w:r>
                          </w:p>
                        </w:txbxContent>
                      </v:textbox>
                    </v:shape>
                  </w:pict>
                </mc:Fallback>
              </mc:AlternateContent>
            </w:r>
            <w:r>
              <w:rPr>
                <w:b/>
                <w:bCs/>
                <w:color w:val="000000" w:themeColor="text1"/>
                <w:sz w:val="24"/>
                <w:highlight w:val="none"/>
                <w14:textFill>
                  <w14:solidFill>
                    <w14:schemeClr w14:val="tx1"/>
                  </w14:solidFill>
                </w14:textFill>
              </w:rPr>
              <mc:AlternateContent>
                <mc:Choice Requires="wpg">
                  <w:drawing>
                    <wp:anchor distT="0" distB="0" distL="114300" distR="114300" simplePos="0" relativeHeight="251865088" behindDoc="0" locked="0" layoutInCell="1" allowOverlap="1">
                      <wp:simplePos x="0" y="0"/>
                      <wp:positionH relativeFrom="column">
                        <wp:posOffset>1812290</wp:posOffset>
                      </wp:positionH>
                      <wp:positionV relativeFrom="paragraph">
                        <wp:posOffset>48260</wp:posOffset>
                      </wp:positionV>
                      <wp:extent cx="244475" cy="207010"/>
                      <wp:effectExtent l="4445" t="2540" r="10160" b="3810"/>
                      <wp:wrapNone/>
                      <wp:docPr id="230" name="组合 3572"/>
                      <wp:cNvGraphicFramePr/>
                      <a:graphic xmlns:a="http://schemas.openxmlformats.org/drawingml/2006/main">
                        <a:graphicData uri="http://schemas.microsoft.com/office/word/2010/wordprocessingGroup">
                          <wpg:wgp>
                            <wpg:cNvGrpSpPr/>
                            <wpg:grpSpPr>
                              <a:xfrm>
                                <a:off x="0" y="0"/>
                                <a:ext cx="244475" cy="207010"/>
                                <a:chOff x="4080" y="11233"/>
                                <a:chExt cx="385" cy="293"/>
                              </a:xfrm>
                            </wpg:grpSpPr>
                            <wps:wsp>
                              <wps:cNvPr id="227" name="Line 1823"/>
                              <wps:cNvCnPr/>
                              <wps:spPr>
                                <a:xfrm flipV="1">
                                  <a:off x="4301" y="11233"/>
                                  <a:ext cx="164" cy="236"/>
                                </a:xfrm>
                                <a:prstGeom prst="line">
                                  <a:avLst/>
                                </a:prstGeom>
                                <a:ln w="9525" cap="flat" cmpd="sng">
                                  <a:solidFill>
                                    <a:srgbClr val="000000"/>
                                  </a:solidFill>
                                  <a:prstDash val="solid"/>
                                  <a:headEnd type="none" w="med" len="med"/>
                                  <a:tailEnd type="none" w="med" len="med"/>
                                </a:ln>
                              </wps:spPr>
                              <wps:bodyPr upright="1"/>
                            </wps:wsp>
                            <wps:wsp>
                              <wps:cNvPr id="228" name="Line 1825"/>
                              <wps:cNvCnPr/>
                              <wps:spPr>
                                <a:xfrm flipV="1">
                                  <a:off x="4080" y="11361"/>
                                  <a:ext cx="99" cy="165"/>
                                </a:xfrm>
                                <a:prstGeom prst="line">
                                  <a:avLst/>
                                </a:prstGeom>
                                <a:ln w="9525" cap="flat" cmpd="sng">
                                  <a:solidFill>
                                    <a:srgbClr val="000000"/>
                                  </a:solidFill>
                                  <a:prstDash val="solid"/>
                                  <a:headEnd type="none" w="med" len="med"/>
                                  <a:tailEnd type="none" w="med" len="med"/>
                                </a:ln>
                              </wps:spPr>
                              <wps:bodyPr upright="1"/>
                            </wps:wsp>
                            <wps:wsp>
                              <wps:cNvPr id="229" name="Line 1826"/>
                              <wps:cNvCnPr/>
                              <wps:spPr>
                                <a:xfrm>
                                  <a:off x="4193" y="11361"/>
                                  <a:ext cx="105" cy="8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72" o:spid="_x0000_s1026" o:spt="203" style="position:absolute;left:0pt;margin-left:142.7pt;margin-top:3.8pt;height:16.3pt;width:19.25pt;z-index:251865088;mso-width-relative:page;mso-height-relative:page;" coordorigin="4080,11233" coordsize="385,293" o:gfxdata="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XKf4+9oAAAAIAQAADwAAAAAA&#10;AAABACAAAAAiAAAAZHJzL2Rvd25yZXYueG1sUEsBAhQAFAAAAAgAh07iQOHAoAm8AgAAMgkAAA4A&#10;AAAAAAAAAQAgAAAAKQEAAGRycy9lMm9Eb2MueG1sUEsFBgAAAAAGAAYAWQEAAFcGAAAAAA==&#10;">
                      <o:lock v:ext="edit" aspectratio="f"/>
                      <v:line id="Line 1823" o:spid="_x0000_s1026" o:spt="20" style="position:absolute;left:4301;top:11233;flip:y;height:236;width:164;" filled="f" stroked="t" coordsize="21600,21600" o:gfxdata="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7rIH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1825" o:spid="_x0000_s1026" o:spt="20" style="position:absolute;left:4080;top:11361;flip:y;height:165;width:99;" filled="f" stroked="t" coordsize="21600,21600" o:gfxdata="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4lXGy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Line 1826" o:spid="_x0000_s1026" o:spt="20" style="position:absolute;left:4193;top:11361;height:83;width:105;" filled="f" stroked="t" coordsize="21600,21600" o:gfxdata="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Vw2m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4064" behindDoc="0" locked="0" layoutInCell="1" allowOverlap="1">
                      <wp:simplePos x="0" y="0"/>
                      <wp:positionH relativeFrom="column">
                        <wp:posOffset>1612900</wp:posOffset>
                      </wp:positionH>
                      <wp:positionV relativeFrom="paragraph">
                        <wp:posOffset>255270</wp:posOffset>
                      </wp:positionV>
                      <wp:extent cx="650875" cy="273685"/>
                      <wp:effectExtent l="4445" t="4445" r="15240" b="11430"/>
                      <wp:wrapNone/>
                      <wp:docPr id="226" name="文本框 3571"/>
                      <wp:cNvGraphicFramePr/>
                      <a:graphic xmlns:a="http://schemas.openxmlformats.org/drawingml/2006/main">
                        <a:graphicData uri="http://schemas.microsoft.com/office/word/2010/wordprocessingShape">
                          <wps:wsp>
                            <wps:cNvSpPr txBox="1"/>
                            <wps:spPr>
                              <a:xfrm>
                                <a:off x="0" y="0"/>
                                <a:ext cx="650875" cy="2736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2AC745">
                                  <w:pPr>
                                    <w:ind w:right="-105" w:rightChars="-50"/>
                                    <w:rPr>
                                      <w:spacing w:val="-8"/>
                                      <w:szCs w:val="21"/>
                                    </w:rPr>
                                  </w:pPr>
                                  <w:r>
                                    <w:rPr>
                                      <w:rFonts w:hint="eastAsia"/>
                                      <w:spacing w:val="-8"/>
                                      <w:szCs w:val="21"/>
                                    </w:rPr>
                                    <w:t>生活用水</w:t>
                                  </w:r>
                                </w:p>
                              </w:txbxContent>
                            </wps:txbx>
                            <wps:bodyPr upright="1"/>
                          </wps:wsp>
                        </a:graphicData>
                      </a:graphic>
                    </wp:anchor>
                  </w:drawing>
                </mc:Choice>
                <mc:Fallback>
                  <w:pict>
                    <v:shape id="文本框 3571" o:spid="_x0000_s1026" o:spt="202" type="#_x0000_t202" style="position:absolute;left:0pt;margin-left:127pt;margin-top:20.1pt;height:21.55pt;width:51.25pt;z-index:251864064;mso-width-relative:page;mso-height-relative:page;" fillcolor="#FFFFFF" filled="t" stroked="t" coordsize="21600,21600" o:gfxdata="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EGLnYAAAACQEAAA8AAAAAAAAAAQAg&#10;AAAAIgAAAGRycy9kb3ducmV2LnhtbFBLAQIUABQAAAAIAIdO4kBntFprDgIAADoEAAAOAAAAAAAA&#10;AAEAIAAAACcBAABkcnMvZTJvRG9jLnhtbFBLBQYAAAAABgAGAFkBAACnBQAAAAA=&#10;">
                      <v:fill on="t" focussize="0,0"/>
                      <v:stroke color="#000000" joinstyle="miter"/>
                      <v:imagedata o:title=""/>
                      <o:lock v:ext="edit" aspectratio="f"/>
                      <v:textbox>
                        <w:txbxContent>
                          <w:p w14:paraId="202AC745">
                            <w:pPr>
                              <w:ind w:right="-105" w:rightChars="-50"/>
                              <w:rPr>
                                <w:spacing w:val="-8"/>
                                <w:szCs w:val="21"/>
                              </w:rPr>
                            </w:pPr>
                            <w:r>
                              <w:rPr>
                                <w:rFonts w:hint="eastAsia"/>
                                <w:spacing w:val="-8"/>
                                <w:szCs w:val="21"/>
                              </w:rPr>
                              <w:t>生活用水</w:t>
                            </w:r>
                          </w:p>
                        </w:txbxContent>
                      </v:textbox>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0992" behindDoc="0" locked="0" layoutInCell="1" allowOverlap="1">
                      <wp:simplePos x="0" y="0"/>
                      <wp:positionH relativeFrom="column">
                        <wp:posOffset>2277745</wp:posOffset>
                      </wp:positionH>
                      <wp:positionV relativeFrom="paragraph">
                        <wp:posOffset>135890</wp:posOffset>
                      </wp:positionV>
                      <wp:extent cx="570230" cy="0"/>
                      <wp:effectExtent l="0" t="5080" r="0" b="4445"/>
                      <wp:wrapNone/>
                      <wp:docPr id="223" name="自选图形 3568"/>
                      <wp:cNvGraphicFramePr/>
                      <a:graphic xmlns:a="http://schemas.openxmlformats.org/drawingml/2006/main">
                        <a:graphicData uri="http://schemas.microsoft.com/office/word/2010/wordprocessingShape">
                          <wps:wsp>
                            <wps:cNvCnPr/>
                            <wps:spPr>
                              <a:xfrm flipH="1">
                                <a:off x="0" y="0"/>
                                <a:ext cx="5702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568" o:spid="_x0000_s1026" o:spt="32" type="#_x0000_t32" style="position:absolute;left:0pt;flip:x;margin-left:179.35pt;margin-top:10.7pt;height:0pt;width:44.9pt;z-index:251860992;mso-width-relative:page;mso-height-relative:page;" filled="f" stroked="t" coordsize="21600,21600" o:gfxdata="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0VgcNcAAAAJAQAADwAAAAAAAAABACAAAAAiAAAAZHJzL2Rvd25y&#10;ZXYueG1sUEsBAhQAFAAAAAgAh07iQEhSQf7/AQAA8QMAAA4AAAAAAAAAAQAgAAAAJgEAAGRycy9l&#10;Mm9Eb2MueG1sUEsFBgAAAAAGAAYAWQEAAJcFAAAAAA==&#10;">
                      <v:fill on="f" focussize="0,0"/>
                      <v:stroke color="#000000" joinstyle="round"/>
                      <v:imagedata o:title=""/>
                      <o:lock v:ext="edit" aspectratio="f"/>
                    </v:shape>
                  </w:pict>
                </mc:Fallback>
              </mc:AlternateContent>
            </w:r>
          </w:p>
          <w:p w14:paraId="14967045">
            <w:pPr>
              <w:pStyle w:val="10"/>
              <w:spacing w:line="46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67136" behindDoc="0" locked="0" layoutInCell="1" allowOverlap="1">
                      <wp:simplePos x="0" y="0"/>
                      <wp:positionH relativeFrom="column">
                        <wp:posOffset>2269490</wp:posOffset>
                      </wp:positionH>
                      <wp:positionV relativeFrom="paragraph">
                        <wp:posOffset>130175</wp:posOffset>
                      </wp:positionV>
                      <wp:extent cx="530225" cy="0"/>
                      <wp:effectExtent l="0" t="38100" r="3175" b="38100"/>
                      <wp:wrapNone/>
                      <wp:docPr id="232" name="自选图形 3577"/>
                      <wp:cNvGraphicFramePr/>
                      <a:graphic xmlns:a="http://schemas.openxmlformats.org/drawingml/2006/main">
                        <a:graphicData uri="http://schemas.microsoft.com/office/word/2010/wordprocessingShape">
                          <wps:wsp>
                            <wps:cNvCnPr/>
                            <wps:spPr>
                              <a:xfrm>
                                <a:off x="0" y="0"/>
                                <a:ext cx="5302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77" o:spid="_x0000_s1026" o:spt="32" type="#_x0000_t32" style="position:absolute;left:0pt;margin-left:178.7pt;margin-top:10.25pt;height:0pt;width:41.75pt;z-index:251867136;mso-width-relative:page;mso-height-relative:page;" filled="f" stroked="t" coordsize="21600,21600" o:gfxdata="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5Gn9fZAAAACQEAAA8AAAAAAAAAAQAgAAAAIgAAAGRycy9kb3du&#10;cmV2LnhtbFBLAQIUABQAAAAIAIdO4kD+u3uB/gEAAOsDAAAOAAAAAAAAAAEAIAAAACgBAABkcnMv&#10;ZTJvRG9jLnhtbFBLBQYAAAAABgAGAFkBAACYBQAAAAA=&#10;">
                      <v:fill on="f" focussize="0,0"/>
                      <v:stroke color="#000000" joinstyle="round" endarrow="block"/>
                      <v:imagedata o:title=""/>
                      <o:lock v:ext="edit" aspectratio="f"/>
                    </v:shape>
                  </w:pict>
                </mc:Fallback>
              </mc:AlternateContent>
            </w:r>
            <w:r>
              <w:rPr>
                <w:color w:val="000000" w:themeColor="text1"/>
                <w:spacing w:val="-4"/>
                <w:sz w:val="24"/>
                <w:highlight w:val="none"/>
                <w14:textFill>
                  <w14:solidFill>
                    <w14:schemeClr w14:val="tx1"/>
                  </w14:solidFill>
                </w14:textFill>
              </w:rPr>
              <mc:AlternateContent>
                <mc:Choice Requires="wps">
                  <w:drawing>
                    <wp:anchor distT="0" distB="0" distL="114300" distR="114300" simplePos="0" relativeHeight="251856896" behindDoc="0" locked="0" layoutInCell="1" allowOverlap="1">
                      <wp:simplePos x="0" y="0"/>
                      <wp:positionH relativeFrom="column">
                        <wp:posOffset>1091565</wp:posOffset>
                      </wp:positionH>
                      <wp:positionV relativeFrom="paragraph">
                        <wp:posOffset>130175</wp:posOffset>
                      </wp:positionV>
                      <wp:extent cx="530225" cy="0"/>
                      <wp:effectExtent l="0" t="38100" r="3175" b="38100"/>
                      <wp:wrapNone/>
                      <wp:docPr id="219" name="自选图形 3564"/>
                      <wp:cNvGraphicFramePr/>
                      <a:graphic xmlns:a="http://schemas.openxmlformats.org/drawingml/2006/main">
                        <a:graphicData uri="http://schemas.microsoft.com/office/word/2010/wordprocessingShape">
                          <wps:wsp>
                            <wps:cNvCnPr/>
                            <wps:spPr>
                              <a:xfrm>
                                <a:off x="0" y="0"/>
                                <a:ext cx="5302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564" o:spid="_x0000_s1026" o:spt="32" type="#_x0000_t32" style="position:absolute;left:0pt;margin-left:85.95pt;margin-top:10.25pt;height:0pt;width:41.75pt;z-index:251856896;mso-width-relative:page;mso-height-relative:page;" filled="f" stroked="t" coordsize="21600,21600" o:gfxdata="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C6uK3YAAAACQEAAA8AAAAAAAAAAQAgAAAAIgAAAGRycy9kb3du&#10;cmV2LnhtbFBLAQIUABQAAAAIAIdO4kDAyH0m/wEAAOsDAAAOAAAAAAAAAAEAIAAAACcBAABkcnMv&#10;ZTJvRG9jLnhtbFBLBQYAAAAABgAGAFkBAACYBQAAAAA=&#10;">
                      <v:fill on="f" focussize="0,0"/>
                      <v:stroke color="#000000" joinstyle="round" endarrow="block"/>
                      <v:imagedata o:title=""/>
                      <o:lock v:ext="edit" aspectratio="f"/>
                    </v:shape>
                  </w:pict>
                </mc:Fallback>
              </mc:AlternateContent>
            </w:r>
          </w:p>
          <w:p w14:paraId="59BBE439">
            <w:pPr>
              <w:spacing w:line="48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2-2</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改扩建后全厂</w:t>
            </w:r>
            <w:r>
              <w:rPr>
                <w:b/>
                <w:color w:val="000000" w:themeColor="text1"/>
                <w:sz w:val="24"/>
                <w:highlight w:val="none"/>
                <w14:textFill>
                  <w14:solidFill>
                    <w14:schemeClr w14:val="tx1"/>
                  </w14:solidFill>
                </w14:textFill>
              </w:rPr>
              <w:t>水平衡图    单位m</w:t>
            </w:r>
            <w:r>
              <w:rPr>
                <w:b/>
                <w:color w:val="000000" w:themeColor="text1"/>
                <w:sz w:val="24"/>
                <w:highlight w:val="none"/>
                <w:vertAlign w:val="superscript"/>
                <w14:textFill>
                  <w14:solidFill>
                    <w14:schemeClr w14:val="tx1"/>
                  </w14:solidFill>
                </w14:textFill>
              </w:rPr>
              <w:t>3</w:t>
            </w:r>
            <w:r>
              <w:rPr>
                <w:b/>
                <w:color w:val="000000" w:themeColor="text1"/>
                <w:sz w:val="24"/>
                <w:highlight w:val="none"/>
                <w14:textFill>
                  <w14:solidFill>
                    <w14:schemeClr w14:val="tx1"/>
                  </w14:solidFill>
                </w14:textFill>
              </w:rPr>
              <w:t>/d</w:t>
            </w:r>
          </w:p>
        </w:tc>
      </w:tr>
      <w:tr w14:paraId="388DE2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8984" w:type="dxa"/>
            <w:vAlign w:val="center"/>
          </w:tcPr>
          <w:p w14:paraId="6F1E34F3">
            <w:pPr>
              <w:pStyle w:val="20"/>
              <w:adjustRightInd w:val="0"/>
              <w:snapToGrid w:val="0"/>
              <w:spacing w:before="0" w:beforeAutospacing="0" w:after="0" w:afterAutospacing="0" w:line="480" w:lineRule="exact"/>
              <w:rPr>
                <w:rFonts w:ascii="黑体" w:hAnsi="黑体" w:eastAsia="黑体" w:cs="宋体"/>
                <w:b/>
                <w:color w:val="000000" w:themeColor="text1"/>
                <w:sz w:val="28"/>
                <w:szCs w:val="28"/>
                <w:highlight w:val="none"/>
                <w14:textFill>
                  <w14:solidFill>
                    <w14:schemeClr w14:val="tx1"/>
                  </w14:solidFill>
                </w14:textFill>
              </w:rPr>
            </w:pPr>
            <w:r>
              <w:rPr>
                <w:rFonts w:hint="eastAsia" w:ascii="黑体" w:hAnsi="黑体" w:eastAsia="黑体" w:cs="宋体"/>
                <w:b/>
                <w:color w:val="000000" w:themeColor="text1"/>
                <w:sz w:val="28"/>
                <w:szCs w:val="28"/>
                <w:highlight w:val="none"/>
                <w14:textFill>
                  <w14:solidFill>
                    <w14:schemeClr w14:val="tx1"/>
                  </w14:solidFill>
                </w14:textFill>
              </w:rPr>
              <w:t>工艺流程和产排污环节</w:t>
            </w:r>
          </w:p>
          <w:p w14:paraId="5F19C2DD">
            <w:pPr>
              <w:pStyle w:val="52"/>
              <w:spacing w:line="480" w:lineRule="exact"/>
              <w:ind w:firstLine="480"/>
              <w:jc w:val="left"/>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本次</w:t>
            </w:r>
            <w:r>
              <w:rPr>
                <w:rFonts w:hint="eastAsia"/>
                <w:bCs/>
                <w:color w:val="000000" w:themeColor="text1"/>
                <w:sz w:val="24"/>
                <w:highlight w:val="none"/>
                <w14:textFill>
                  <w14:solidFill>
                    <w14:schemeClr w14:val="tx1"/>
                  </w14:solidFill>
                </w14:textFill>
              </w:rPr>
              <w:t>改扩建</w:t>
            </w:r>
            <w:r>
              <w:rPr>
                <w:bCs/>
                <w:color w:val="000000" w:themeColor="text1"/>
                <w:sz w:val="24"/>
                <w:highlight w:val="none"/>
                <w14:textFill>
                  <w14:solidFill>
                    <w14:schemeClr w14:val="tx1"/>
                  </w14:solidFill>
                </w14:textFill>
              </w:rPr>
              <w:t>项目</w:t>
            </w:r>
            <w:r>
              <w:rPr>
                <w:rFonts w:hint="eastAsia"/>
                <w:bCs/>
                <w:color w:val="000000" w:themeColor="text1"/>
                <w:sz w:val="24"/>
                <w:highlight w:val="none"/>
                <w14:textFill>
                  <w14:solidFill>
                    <w14:schemeClr w14:val="tx1"/>
                  </w14:solidFill>
                </w14:textFill>
              </w:rPr>
              <w:t>增加原料种类，</w:t>
            </w:r>
            <w:r>
              <w:rPr>
                <w:bCs/>
                <w:color w:val="000000" w:themeColor="text1"/>
                <w:sz w:val="24"/>
                <w:highlight w:val="none"/>
                <w14:textFill>
                  <w14:solidFill>
                    <w14:schemeClr w14:val="tx1"/>
                  </w14:solidFill>
                </w14:textFill>
              </w:rPr>
              <w:t>利用</w:t>
            </w:r>
            <w:r>
              <w:rPr>
                <w:rFonts w:hint="eastAsia"/>
                <w:bCs/>
                <w:color w:val="000000" w:themeColor="text1"/>
                <w:sz w:val="24"/>
                <w:highlight w:val="none"/>
                <w14:textFill>
                  <w14:solidFill>
                    <w14:schemeClr w14:val="tx1"/>
                  </w14:solidFill>
                </w14:textFill>
              </w:rPr>
              <w:t>炉渣</w:t>
            </w:r>
            <w:r>
              <w:rPr>
                <w:bCs/>
                <w:color w:val="000000" w:themeColor="text1"/>
                <w:sz w:val="24"/>
                <w:highlight w:val="none"/>
                <w14:textFill>
                  <w14:solidFill>
                    <w14:schemeClr w14:val="tx1"/>
                  </w14:solidFill>
                </w14:textFill>
              </w:rPr>
              <w:t>替代部分</w:t>
            </w:r>
            <w:r>
              <w:rPr>
                <w:rFonts w:hint="eastAsia"/>
                <w:bCs/>
                <w:color w:val="000000" w:themeColor="text1"/>
                <w:sz w:val="24"/>
                <w:highlight w:val="none"/>
                <w14:textFill>
                  <w14:solidFill>
                    <w14:schemeClr w14:val="tx1"/>
                  </w14:solidFill>
                </w14:textFill>
              </w:rPr>
              <w:t>煤矸石，干排淤泥</w:t>
            </w:r>
            <w:r>
              <w:rPr>
                <w:bCs/>
                <w:color w:val="000000" w:themeColor="text1"/>
                <w:sz w:val="24"/>
                <w:highlight w:val="none"/>
                <w14:textFill>
                  <w14:solidFill>
                    <w14:schemeClr w14:val="tx1"/>
                  </w14:solidFill>
                </w14:textFill>
              </w:rPr>
              <w:t>替代部分页岩，</w:t>
            </w:r>
            <w:r>
              <w:rPr>
                <w:rFonts w:hint="eastAsia"/>
                <w:bCs/>
                <w:color w:val="000000" w:themeColor="text1"/>
                <w:sz w:val="24"/>
                <w:highlight w:val="none"/>
                <w14:textFill>
                  <w14:solidFill>
                    <w14:schemeClr w14:val="tx1"/>
                  </w14:solidFill>
                </w14:textFill>
              </w:rPr>
              <w:t>炉渣</w:t>
            </w:r>
            <w:r>
              <w:rPr>
                <w:bCs/>
                <w:color w:val="000000" w:themeColor="text1"/>
                <w:sz w:val="24"/>
                <w:highlight w:val="none"/>
                <w14:textFill>
                  <w14:solidFill>
                    <w14:schemeClr w14:val="tx1"/>
                  </w14:solidFill>
                </w14:textFill>
              </w:rPr>
              <w:t>热值</w:t>
            </w:r>
            <w:r>
              <w:rPr>
                <w:rFonts w:hint="eastAsia"/>
                <w:bCs/>
                <w:color w:val="000000" w:themeColor="text1"/>
                <w:sz w:val="24"/>
                <w:highlight w:val="none"/>
                <w14:textFill>
                  <w14:solidFill>
                    <w14:schemeClr w14:val="tx1"/>
                  </w14:solidFill>
                </w14:textFill>
              </w:rPr>
              <w:t>较高</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煤矸石</w:t>
            </w:r>
            <w:r>
              <w:rPr>
                <w:bCs/>
                <w:color w:val="000000" w:themeColor="text1"/>
                <w:sz w:val="24"/>
                <w:highlight w:val="none"/>
                <w14:textFill>
                  <w14:solidFill>
                    <w14:schemeClr w14:val="tx1"/>
                  </w14:solidFill>
                </w14:textFill>
              </w:rPr>
              <w:t>被替代后仍可满足生产需要，</w:t>
            </w:r>
            <w:r>
              <w:rPr>
                <w:rFonts w:hint="eastAsia"/>
                <w:bCs/>
                <w:color w:val="000000" w:themeColor="text1"/>
                <w:sz w:val="24"/>
                <w:highlight w:val="none"/>
                <w14:textFill>
                  <w14:solidFill>
                    <w14:schemeClr w14:val="tx1"/>
                  </w14:solidFill>
                </w14:textFill>
              </w:rPr>
              <w:t>干排淤泥成分与页岩主要成分相似，</w:t>
            </w:r>
            <w:r>
              <w:rPr>
                <w:bCs/>
                <w:color w:val="000000" w:themeColor="text1"/>
                <w:sz w:val="24"/>
                <w:highlight w:val="none"/>
                <w14:textFill>
                  <w14:solidFill>
                    <w14:schemeClr w14:val="tx1"/>
                  </w14:solidFill>
                </w14:textFill>
              </w:rPr>
              <w:t>达到一般固废资源化利用的目的。</w:t>
            </w:r>
            <w:r>
              <w:rPr>
                <w:rFonts w:hint="eastAsia"/>
                <w:bCs/>
                <w:color w:val="000000" w:themeColor="text1"/>
                <w:sz w:val="24"/>
                <w:highlight w:val="none"/>
                <w14:textFill>
                  <w14:solidFill>
                    <w14:schemeClr w14:val="tx1"/>
                  </w14:solidFill>
                </w14:textFill>
              </w:rPr>
              <w:t>改扩建</w:t>
            </w:r>
            <w:r>
              <w:rPr>
                <w:bCs/>
                <w:color w:val="000000" w:themeColor="text1"/>
                <w:sz w:val="24"/>
                <w:highlight w:val="none"/>
                <w14:textFill>
                  <w14:solidFill>
                    <w14:schemeClr w14:val="tx1"/>
                  </w14:solidFill>
                </w14:textFill>
              </w:rPr>
              <w:t>以污泥</w:t>
            </w:r>
            <w:r>
              <w:rPr>
                <w:rFonts w:hint="eastAsia"/>
                <w:bCs/>
                <w:color w:val="000000" w:themeColor="text1"/>
                <w:sz w:val="24"/>
                <w:highlight w:val="none"/>
                <w14:textFill>
                  <w14:solidFill>
                    <w14:schemeClr w14:val="tx1"/>
                  </w14:solidFill>
                </w14:textFill>
              </w:rPr>
              <w:t>、炉渣、干排淤泥等</w:t>
            </w:r>
            <w:r>
              <w:rPr>
                <w:bCs/>
                <w:color w:val="000000" w:themeColor="text1"/>
                <w:sz w:val="24"/>
                <w:highlight w:val="none"/>
                <w14:textFill>
                  <w14:solidFill>
                    <w14:schemeClr w14:val="tx1"/>
                  </w14:solidFill>
                </w14:textFill>
              </w:rPr>
              <w:t>一般工业</w:t>
            </w:r>
            <w:r>
              <w:rPr>
                <w:rFonts w:hint="eastAsia"/>
                <w:bCs/>
                <w:color w:val="000000" w:themeColor="text1"/>
                <w:sz w:val="24"/>
                <w:highlight w:val="none"/>
                <w14:textFill>
                  <w14:solidFill>
                    <w14:schemeClr w14:val="tx1"/>
                  </w14:solidFill>
                </w14:textFill>
              </w:rPr>
              <w:t>固废</w:t>
            </w:r>
            <w:r>
              <w:rPr>
                <w:bCs/>
                <w:color w:val="000000" w:themeColor="text1"/>
                <w:sz w:val="24"/>
                <w:highlight w:val="none"/>
                <w14:textFill>
                  <w14:solidFill>
                    <w14:schemeClr w14:val="tx1"/>
                  </w14:solidFill>
                </w14:textFill>
              </w:rPr>
              <w:t>、煤矸石、页岩、剥岩废料为主要原料生产</w:t>
            </w:r>
            <w:r>
              <w:rPr>
                <w:rFonts w:hint="eastAsia"/>
                <w:bCs/>
                <w:color w:val="000000" w:themeColor="text1"/>
                <w:sz w:val="24"/>
                <w:highlight w:val="none"/>
                <w14:textFill>
                  <w14:solidFill>
                    <w14:schemeClr w14:val="tx1"/>
                  </w14:solidFill>
                </w14:textFill>
              </w:rPr>
              <w:t>烧结</w:t>
            </w:r>
            <w:r>
              <w:rPr>
                <w:bCs/>
                <w:color w:val="000000" w:themeColor="text1"/>
                <w:sz w:val="24"/>
                <w:highlight w:val="none"/>
                <w14:textFill>
                  <w14:solidFill>
                    <w14:schemeClr w14:val="tx1"/>
                  </w14:solidFill>
                </w14:textFill>
              </w:rPr>
              <w:t>砖。本次</w:t>
            </w:r>
            <w:r>
              <w:rPr>
                <w:rFonts w:hint="eastAsia"/>
                <w:bCs/>
                <w:color w:val="000000" w:themeColor="text1"/>
                <w:sz w:val="24"/>
                <w:highlight w:val="none"/>
                <w14:textFill>
                  <w14:solidFill>
                    <w14:schemeClr w14:val="tx1"/>
                  </w14:solidFill>
                </w14:textFill>
              </w:rPr>
              <w:t>改扩建</w:t>
            </w:r>
            <w:r>
              <w:rPr>
                <w:bCs/>
                <w:color w:val="000000" w:themeColor="text1"/>
                <w:sz w:val="24"/>
                <w:highlight w:val="none"/>
                <w14:textFill>
                  <w14:solidFill>
                    <w14:schemeClr w14:val="tx1"/>
                  </w14:solidFill>
                </w14:textFill>
              </w:rPr>
              <w:t>项目原料配比发生改变，</w:t>
            </w:r>
            <w:r>
              <w:rPr>
                <w:rFonts w:hint="eastAsia"/>
                <w:bCs/>
                <w:color w:val="000000" w:themeColor="text1"/>
                <w:sz w:val="24"/>
                <w:highlight w:val="none"/>
                <w14:textFill>
                  <w14:solidFill>
                    <w14:schemeClr w14:val="tx1"/>
                  </w14:solidFill>
                </w14:textFill>
              </w:rPr>
              <w:t>新增1台颚式破碎机用于煤矸石粗破，对现有部分生产设备进行更换以提高生产效率。</w:t>
            </w:r>
            <w:r>
              <w:rPr>
                <w:bCs/>
                <w:color w:val="000000" w:themeColor="text1"/>
                <w:sz w:val="24"/>
                <w:highlight w:val="none"/>
                <w14:textFill>
                  <w14:solidFill>
                    <w14:schemeClr w14:val="tx1"/>
                  </w14:solidFill>
                </w14:textFill>
              </w:rPr>
              <w:t>原有制砖生产工艺</w:t>
            </w:r>
            <w:r>
              <w:rPr>
                <w:rFonts w:hint="eastAsia"/>
                <w:bCs/>
                <w:color w:val="000000" w:themeColor="text1"/>
                <w:sz w:val="24"/>
                <w:highlight w:val="none"/>
                <w14:textFill>
                  <w14:solidFill>
                    <w14:schemeClr w14:val="tx1"/>
                  </w14:solidFill>
                </w14:textFill>
              </w:rPr>
              <w:t>基本不变，产品年产能变为</w:t>
            </w:r>
            <w:r>
              <w:rPr>
                <w:rFonts w:hint="eastAsia"/>
                <w:bCs/>
                <w:color w:val="000000" w:themeColor="text1"/>
                <w:sz w:val="24"/>
                <w:highlight w:val="none"/>
                <w:lang w:val="en-US" w:eastAsia="zh-CN"/>
                <w14:textFill>
                  <w14:solidFill>
                    <w14:schemeClr w14:val="tx1"/>
                  </w14:solidFill>
                </w14:textFill>
              </w:rPr>
              <w:t>3</w:t>
            </w:r>
            <w:r>
              <w:rPr>
                <w:rFonts w:hint="eastAsia"/>
                <w:bCs/>
                <w:color w:val="000000" w:themeColor="text1"/>
                <w:sz w:val="24"/>
                <w:highlight w:val="none"/>
                <w14:textFill>
                  <w14:solidFill>
                    <w14:schemeClr w14:val="tx1"/>
                  </w14:solidFill>
                </w14:textFill>
              </w:rPr>
              <w:t>2000万块</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生产工艺</w:t>
            </w:r>
            <w:r>
              <w:rPr>
                <w:bCs/>
                <w:color w:val="000000" w:themeColor="text1"/>
                <w:sz w:val="24"/>
                <w:highlight w:val="none"/>
                <w14:textFill>
                  <w14:solidFill>
                    <w14:schemeClr w14:val="tx1"/>
                  </w14:solidFill>
                </w14:textFill>
              </w:rPr>
              <w:t>分为原料制备工段、物料陈化工段、成型与切坯工段、晾晒工段、烘干与焙烧工段。</w:t>
            </w:r>
            <w:r>
              <w:rPr>
                <w:rFonts w:hint="eastAsia"/>
                <w:bCs/>
                <w:color w:val="000000" w:themeColor="text1"/>
                <w:sz w:val="24"/>
                <w:highlight w:val="none"/>
                <w14:textFill>
                  <w14:solidFill>
                    <w14:schemeClr w14:val="tx1"/>
                  </w14:solidFill>
                </w14:textFill>
              </w:rPr>
              <w:t>生产</w:t>
            </w:r>
            <w:r>
              <w:rPr>
                <w:rFonts w:hint="eastAsia"/>
                <w:color w:val="000000" w:themeColor="text1"/>
                <w:sz w:val="24"/>
                <w:highlight w:val="none"/>
                <w14:textFill>
                  <w14:solidFill>
                    <w14:schemeClr w14:val="tx1"/>
                  </w14:solidFill>
                </w14:textFill>
              </w:rPr>
              <w:t>工艺流程简述如下：</w:t>
            </w:r>
          </w:p>
          <w:p w14:paraId="4A746D05">
            <w:pPr>
              <w:pStyle w:val="52"/>
              <w:spacing w:line="480" w:lineRule="exact"/>
              <w:ind w:firstLine="482"/>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1.1原料制备工段</w:t>
            </w:r>
          </w:p>
          <w:p w14:paraId="57831C35">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（1）原料准入</w:t>
            </w:r>
          </w:p>
          <w:p w14:paraId="3E5411AC">
            <w:pPr>
              <w:pStyle w:val="52"/>
              <w:spacing w:line="480" w:lineRule="exact"/>
              <w:ind w:firstLine="480"/>
              <w:jc w:val="left"/>
              <w:rPr>
                <w:rFonts w:hAnsi="宋体"/>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1</w:t>
            </w:r>
            <w:r>
              <w:rPr>
                <w:rFonts w:hAnsi="宋体"/>
                <w:bCs/>
                <w:color w:val="000000" w:themeColor="text1"/>
                <w:sz w:val="24"/>
                <w:highlight w:val="none"/>
                <w14:textFill>
                  <w14:solidFill>
                    <w14:schemeClr w14:val="tx1"/>
                  </w14:solidFill>
                </w14:textFill>
              </w:rPr>
              <w:t>）</w:t>
            </w:r>
            <w:r>
              <w:rPr>
                <w:rFonts w:hint="eastAsia" w:hAnsi="宋体"/>
                <w:bCs/>
                <w:color w:val="000000" w:themeColor="text1"/>
                <w:sz w:val="24"/>
                <w:highlight w:val="none"/>
                <w14:textFill>
                  <w14:solidFill>
                    <w14:schemeClr w14:val="tx1"/>
                  </w14:solidFill>
                </w14:textFill>
              </w:rPr>
              <w:t>原料运输</w:t>
            </w:r>
          </w:p>
          <w:p w14:paraId="7A51602E">
            <w:pPr>
              <w:pStyle w:val="52"/>
              <w:spacing w:line="480" w:lineRule="exact"/>
              <w:ind w:firstLine="480"/>
              <w:jc w:val="left"/>
              <w:rPr>
                <w:rFonts w:hint="eastAsia"/>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改扩建后项目所用主要原料为煤矸石、工业污泥、生活污泥、干排淤泥、炉渣、页岩、剥岩废料。其中工业污泥和生活污泥均为压滤后的泥饼状，其他原料均为散装。根据现有工程实际生产经验，污泥泥饼在运输和储存过程中无滴漏情况和渗滤水产生。因此项目所用全部原料均采用汽车运输，使用国五及以上排放标准车辆或新能源汽车运输，要求车辆采取苫盖措施，运输车辆车斗采用苫布苫盖，苫布边缘至少要遮住槽帮上沿以下</w:t>
            </w:r>
            <w:r>
              <w:rPr>
                <w:rFonts w:hAnsi="宋体"/>
                <w:bCs/>
                <w:color w:val="000000" w:themeColor="text1"/>
                <w:sz w:val="24"/>
                <w:highlight w:val="none"/>
                <w14:textFill>
                  <w14:solidFill>
                    <w14:schemeClr w14:val="tx1"/>
                  </w14:solidFill>
                </w14:textFill>
              </w:rPr>
              <w:t>15cm</w:t>
            </w:r>
            <w:r>
              <w:rPr>
                <w:rFonts w:hint="eastAsia" w:hAnsi="宋体"/>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车辆配备高效的举升和卸载系统，以便于原料的装载和卸载。</w:t>
            </w:r>
          </w:p>
          <w:p w14:paraId="08B48090">
            <w:pPr>
              <w:pStyle w:val="52"/>
              <w:spacing w:line="480" w:lineRule="exact"/>
              <w:ind w:firstLine="480"/>
              <w:jc w:val="left"/>
              <w:rPr>
                <w:rFonts w:hint="default" w:eastAsia="宋体"/>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运输路线：本项目物料主要运输路线为S252，沿S252运输至厂区附近后通过约200m便道进入厂区，便道两侧无村庄，物料运输过程中不穿越村庄，不会对周边居民点产生影响。</w:t>
            </w:r>
          </w:p>
          <w:p w14:paraId="7C049395">
            <w:pPr>
              <w:pStyle w:val="52"/>
              <w:spacing w:line="480" w:lineRule="exact"/>
              <w:ind w:firstLine="480"/>
              <w:jc w:val="left"/>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2）进厂检验</w:t>
            </w:r>
          </w:p>
          <w:p w14:paraId="1629496A">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严格落实污泥准入标准，</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等一般工业固体废物由产生单位利用车辆运输，并携带成分检测报告，并随同人员进行驻场监督。</w:t>
            </w:r>
            <w:r>
              <w:rPr>
                <w:bCs/>
                <w:color w:val="000000" w:themeColor="text1"/>
                <w:sz w:val="24"/>
                <w:highlight w:val="none"/>
                <w14:textFill>
                  <w14:solidFill>
                    <w14:schemeClr w14:val="tx1"/>
                  </w14:solidFill>
                </w14:textFill>
              </w:rPr>
              <w:t>重点</w:t>
            </w:r>
            <w:r>
              <w:rPr>
                <w:rFonts w:hint="eastAsia"/>
                <w:bCs/>
                <w:color w:val="000000" w:themeColor="text1"/>
                <w:sz w:val="24"/>
                <w:highlight w:val="none"/>
                <w14:textFill>
                  <w14:solidFill>
                    <w14:schemeClr w14:val="tx1"/>
                  </w14:solidFill>
                </w14:textFill>
              </w:rPr>
              <w:t>分析</w:t>
            </w:r>
            <w:r>
              <w:rPr>
                <w:bCs/>
                <w:color w:val="000000" w:themeColor="text1"/>
                <w:sz w:val="24"/>
                <w:highlight w:val="none"/>
                <w14:textFill>
                  <w14:solidFill>
                    <w14:schemeClr w14:val="tx1"/>
                  </w14:solidFill>
                </w14:textFill>
              </w:rPr>
              <w:t>污泥是否属于危险废物，判断固体废物是否可以进厂协同处置</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如来源及生产工艺发生变化导致污泥成分发生变化时，针对所使用污泥</w:t>
            </w:r>
            <w:r>
              <w:rPr>
                <w:rFonts w:hint="eastAsia"/>
                <w:bCs/>
                <w:color w:val="000000" w:themeColor="text1"/>
                <w:sz w:val="24"/>
                <w:highlight w:val="none"/>
                <w14:textFill>
                  <w14:solidFill>
                    <w14:schemeClr w14:val="tx1"/>
                  </w14:solidFill>
                </w14:textFill>
              </w:rPr>
              <w:t>进行检测，</w:t>
            </w:r>
            <w:r>
              <w:rPr>
                <w:bCs/>
                <w:color w:val="000000" w:themeColor="text1"/>
                <w:sz w:val="24"/>
                <w:highlight w:val="none"/>
                <w14:textFill>
                  <w14:solidFill>
                    <w14:schemeClr w14:val="tx1"/>
                  </w14:solidFill>
                </w14:textFill>
              </w:rPr>
              <w:t>判断固体废物是否可以进厂协同处置</w:t>
            </w:r>
            <w:r>
              <w:rPr>
                <w:rFonts w:hint="eastAsia"/>
                <w:bCs/>
                <w:color w:val="000000" w:themeColor="text1"/>
                <w:sz w:val="24"/>
                <w:highlight w:val="none"/>
                <w14:textFill>
                  <w14:solidFill>
                    <w14:schemeClr w14:val="tx1"/>
                  </w14:solidFill>
                </w14:textFill>
              </w:rPr>
              <w:t>。</w:t>
            </w:r>
          </w:p>
          <w:p w14:paraId="12B4D98E">
            <w:pPr>
              <w:pStyle w:val="52"/>
              <w:spacing w:line="480" w:lineRule="exact"/>
              <w:ind w:firstLine="480"/>
              <w:jc w:val="left"/>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①</w:t>
            </w:r>
            <w:r>
              <w:rPr>
                <w:bCs/>
                <w:color w:val="000000" w:themeColor="text1"/>
                <w:sz w:val="24"/>
                <w:highlight w:val="none"/>
                <w14:textFill>
                  <w14:solidFill>
                    <w14:schemeClr w14:val="tx1"/>
                  </w14:solidFill>
                </w14:textFill>
              </w:rPr>
              <w:t>卸车前检查相关证件的完整性，“一单”指污泥转运联单。</w:t>
            </w:r>
            <w:r>
              <w:rPr>
                <w:color w:val="000000" w:themeColor="text1"/>
                <w:sz w:val="24"/>
                <w:highlight w:val="none"/>
                <w14:textFill>
                  <w14:solidFill>
                    <w14:schemeClr w14:val="tx1"/>
                  </w14:solidFill>
                </w14:textFill>
              </w:rPr>
              <w:t>污泥产生单位、污泥运输单位和本企业应建立污泥转运联单制度。本企业还应建立完善的检测、记录、存档和报告制度，对处理处置后的污泥及其产物的去向、用途、用量等进行跟踪、记录和报告，并将相关资料保存5年以上。</w:t>
            </w:r>
          </w:p>
          <w:p w14:paraId="1EF4C2FC">
            <w:pPr>
              <w:pStyle w:val="52"/>
              <w:spacing w:line="480" w:lineRule="exact"/>
              <w:ind w:firstLine="480"/>
              <w:jc w:val="left"/>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②</w:t>
            </w:r>
            <w:r>
              <w:rPr>
                <w:bCs/>
                <w:color w:val="000000" w:themeColor="text1"/>
                <w:sz w:val="24"/>
                <w:highlight w:val="none"/>
                <w14:textFill>
                  <w14:solidFill>
                    <w14:schemeClr w14:val="tx1"/>
                  </w14:solidFill>
                </w14:textFill>
              </w:rPr>
              <w:t>仔细检查污泥转移联单上的品名、数量、描述等内容是否对应，是否属于建设单位协同处置的污泥，是否属于建设单位协议处置污泥来源，对于不满足要求的污泥，退还给产污泥单位。</w:t>
            </w:r>
          </w:p>
          <w:p w14:paraId="3055D136">
            <w:pPr>
              <w:pStyle w:val="52"/>
              <w:spacing w:line="480" w:lineRule="exact"/>
              <w:ind w:firstLine="480"/>
              <w:jc w:val="left"/>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③</w:t>
            </w:r>
            <w:r>
              <w:rPr>
                <w:bCs/>
                <w:color w:val="000000" w:themeColor="text1"/>
                <w:sz w:val="24"/>
                <w:highlight w:val="none"/>
                <w14:textFill>
                  <w14:solidFill>
                    <w14:schemeClr w14:val="tx1"/>
                  </w14:solidFill>
                </w14:textFill>
              </w:rPr>
              <w:t>符合转移需求的污泥</w:t>
            </w:r>
            <w:r>
              <w:rPr>
                <w:rFonts w:hint="eastAsia"/>
                <w:bCs/>
                <w:color w:val="000000" w:themeColor="text1"/>
                <w:sz w:val="24"/>
                <w:highlight w:val="none"/>
                <w14:textFill>
                  <w14:solidFill>
                    <w14:schemeClr w14:val="tx1"/>
                  </w14:solidFill>
                </w14:textFill>
              </w:rPr>
              <w:t>可</w:t>
            </w:r>
            <w:r>
              <w:rPr>
                <w:bCs/>
                <w:color w:val="000000" w:themeColor="text1"/>
                <w:sz w:val="24"/>
                <w:highlight w:val="none"/>
                <w14:textFill>
                  <w14:solidFill>
                    <w14:schemeClr w14:val="tx1"/>
                  </w14:solidFill>
                </w14:textFill>
              </w:rPr>
              <w:t>由第三方检测人员</w:t>
            </w:r>
            <w:r>
              <w:rPr>
                <w:rFonts w:hint="eastAsia"/>
                <w:bCs/>
                <w:color w:val="000000" w:themeColor="text1"/>
                <w:sz w:val="24"/>
                <w:highlight w:val="none"/>
                <w14:textFill>
                  <w14:solidFill>
                    <w14:schemeClr w14:val="tx1"/>
                  </w14:solidFill>
                </w14:textFill>
              </w:rPr>
              <w:t>定期</w:t>
            </w:r>
            <w:r>
              <w:rPr>
                <w:bCs/>
                <w:color w:val="000000" w:themeColor="text1"/>
                <w:sz w:val="24"/>
                <w:highlight w:val="none"/>
                <w14:textFill>
                  <w14:solidFill>
                    <w14:schemeClr w14:val="tx1"/>
                  </w14:solidFill>
                </w14:textFill>
              </w:rPr>
              <w:t>进行抽样检测化验，公司制定了相应的污泥进厂检验管理制度，符合相应指标的污泥进入厂内协同处置。</w:t>
            </w:r>
          </w:p>
          <w:p w14:paraId="5EF1DFED">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3）贮存和处置固废管理制度</w:t>
            </w:r>
          </w:p>
          <w:p w14:paraId="1B12EC6B">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符合要求的工业污泥和生活污泥分别于工业污泥库和生活污泥库贮存，其他原料储存于煤矸石原料库和页岩原料库。</w:t>
            </w:r>
            <w:r>
              <w:rPr>
                <w:bCs/>
                <w:color w:val="000000" w:themeColor="text1"/>
                <w:sz w:val="24"/>
                <w:highlight w:val="none"/>
                <w14:textFill>
                  <w14:solidFill>
                    <w14:schemeClr w14:val="tx1"/>
                  </w14:solidFill>
                </w14:textFill>
              </w:rPr>
              <w:t>公司根据国家相关环保标准和技术规范的要求制定项目贮存和处置固废管理制度，如下：</w:t>
            </w:r>
          </w:p>
          <w:p w14:paraId="4E6EAA49">
            <w:pPr>
              <w:pStyle w:val="52"/>
              <w:spacing w:line="480" w:lineRule="exact"/>
              <w:ind w:firstLine="480"/>
              <w:jc w:val="both"/>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①</w:t>
            </w:r>
            <w:r>
              <w:rPr>
                <w:bCs/>
                <w:color w:val="000000" w:themeColor="text1"/>
                <w:sz w:val="24"/>
                <w:highlight w:val="none"/>
                <w14:textFill>
                  <w14:solidFill>
                    <w14:schemeClr w14:val="tx1"/>
                  </w14:solidFill>
                </w14:textFill>
              </w:rPr>
              <w:t>一般固体废物协同处置按照《固体废物再生利用污染防治技术导则》（HJ1091-2020）等技术规定执行。</w:t>
            </w:r>
          </w:p>
          <w:p w14:paraId="6417FA1F">
            <w:pPr>
              <w:pStyle w:val="52"/>
              <w:spacing w:line="480" w:lineRule="exact"/>
              <w:ind w:firstLine="480"/>
              <w:jc w:val="left"/>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②</w:t>
            </w:r>
            <w:r>
              <w:rPr>
                <w:bCs/>
                <w:color w:val="000000" w:themeColor="text1"/>
                <w:sz w:val="24"/>
                <w:highlight w:val="none"/>
                <w14:textFill>
                  <w14:solidFill>
                    <w14:schemeClr w14:val="tx1"/>
                  </w14:solidFill>
                </w14:textFill>
              </w:rPr>
              <w:t>建立一般固废经营情况记录和报告制度，经营情况记录、污染物排放监测记录在厂内保存，接受生态环境主管部门的检查。</w:t>
            </w:r>
            <w:bookmarkStart w:id="12" w:name="OLE_LINK6"/>
            <w:bookmarkStart w:id="13" w:name="OLE_LINK7"/>
            <w:r>
              <w:rPr>
                <w:rFonts w:hint="eastAsia"/>
                <w:bCs/>
                <w:color w:val="000000" w:themeColor="text1"/>
                <w:sz w:val="24"/>
                <w:highlight w:val="none"/>
                <w14:textFill>
                  <w14:solidFill>
                    <w14:schemeClr w14:val="tx1"/>
                  </w14:solidFill>
                </w14:textFill>
              </w:rPr>
              <w:t>按要求做好管理台账。</w:t>
            </w:r>
            <w:bookmarkEnd w:id="12"/>
            <w:bookmarkEnd w:id="13"/>
          </w:p>
          <w:p w14:paraId="67524CE0">
            <w:pPr>
              <w:pStyle w:val="52"/>
              <w:spacing w:line="480" w:lineRule="exact"/>
              <w:ind w:firstLine="480"/>
              <w:jc w:val="left"/>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③</w:t>
            </w:r>
            <w:r>
              <w:rPr>
                <w:bCs/>
                <w:color w:val="000000" w:themeColor="text1"/>
                <w:sz w:val="24"/>
                <w:highlight w:val="none"/>
                <w14:textFill>
                  <w14:solidFill>
                    <w14:schemeClr w14:val="tx1"/>
                  </w14:solidFill>
                </w14:textFill>
              </w:rPr>
              <w:t>建立环境保护管理责任制度，设置环境保护主管部门或者专（兼）职人员，负责监督固废收集、运输、贮存、利用和处置过程中的</w:t>
            </w:r>
            <w:r>
              <w:rPr>
                <w:rFonts w:hint="eastAsia"/>
                <w:bCs/>
                <w:color w:val="000000" w:themeColor="text1"/>
                <w:sz w:val="24"/>
                <w:highlight w:val="none"/>
                <w14:textFill>
                  <w14:solidFill>
                    <w14:schemeClr w14:val="tx1"/>
                  </w14:solidFill>
                </w14:textFill>
              </w:rPr>
              <w:t>监督、</w:t>
            </w:r>
            <w:r>
              <w:rPr>
                <w:bCs/>
                <w:color w:val="000000" w:themeColor="text1"/>
                <w:sz w:val="24"/>
                <w:highlight w:val="none"/>
                <w14:textFill>
                  <w14:solidFill>
                    <w14:schemeClr w14:val="tx1"/>
                  </w14:solidFill>
                </w14:textFill>
              </w:rPr>
              <w:t>环境保护及相关管理工作。</w:t>
            </w:r>
          </w:p>
          <w:p w14:paraId="7C854E8B">
            <w:pPr>
              <w:pStyle w:val="52"/>
              <w:spacing w:line="480" w:lineRule="exact"/>
              <w:ind w:firstLine="480"/>
              <w:jc w:val="left"/>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④</w:t>
            </w:r>
            <w:r>
              <w:rPr>
                <w:bCs/>
                <w:color w:val="000000" w:themeColor="text1"/>
                <w:sz w:val="24"/>
                <w:highlight w:val="none"/>
                <w14:textFill>
                  <w14:solidFill>
                    <w14:schemeClr w14:val="tx1"/>
                  </w14:solidFill>
                </w14:textFill>
              </w:rPr>
              <w:t>建立污染预防机制和环境污染事故应急预案制度。</w:t>
            </w:r>
          </w:p>
          <w:p w14:paraId="627873FE">
            <w:pPr>
              <w:pStyle w:val="52"/>
              <w:spacing w:line="480" w:lineRule="exact"/>
              <w:ind w:firstLine="480"/>
              <w:jc w:val="both"/>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（2）原料储运</w:t>
            </w:r>
          </w:p>
          <w:p w14:paraId="1156F01F">
            <w:pPr>
              <w:pStyle w:val="52"/>
              <w:spacing w:line="480" w:lineRule="exact"/>
              <w:ind w:firstLine="480"/>
              <w:jc w:val="both"/>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煤矸石、页岩</w:t>
            </w:r>
            <w:r>
              <w:rPr>
                <w:rFonts w:hint="eastAsia"/>
                <w:color w:val="000000" w:themeColor="text1"/>
                <w:sz w:val="24"/>
                <w:highlight w:val="none"/>
                <w14:textFill>
                  <w14:solidFill>
                    <w14:schemeClr w14:val="tx1"/>
                  </w14:solidFill>
                </w14:textFill>
              </w:rPr>
              <w:t>、剥岩废料</w:t>
            </w:r>
            <w:r>
              <w:rPr>
                <w:color w:val="000000" w:themeColor="text1"/>
                <w:sz w:val="24"/>
                <w:highlight w:val="none"/>
                <w14:textFill>
                  <w14:solidFill>
                    <w14:schemeClr w14:val="tx1"/>
                  </w14:solidFill>
                </w14:textFill>
              </w:rPr>
              <w:t>由运输车辆运至厂区内，车斗用苫布覆盖，煤矸石</w:t>
            </w:r>
            <w:r>
              <w:rPr>
                <w:rFonts w:hint="eastAsia"/>
                <w:color w:val="000000" w:themeColor="text1"/>
                <w:sz w:val="24"/>
                <w:highlight w:val="none"/>
                <w14:textFill>
                  <w14:solidFill>
                    <w14:schemeClr w14:val="tx1"/>
                  </w14:solidFill>
                </w14:textFill>
              </w:rPr>
              <w:t>储存</w:t>
            </w:r>
            <w:r>
              <w:rPr>
                <w:color w:val="000000" w:themeColor="text1"/>
                <w:sz w:val="24"/>
                <w:highlight w:val="none"/>
                <w14:textFill>
                  <w14:solidFill>
                    <w14:schemeClr w14:val="tx1"/>
                  </w14:solidFill>
                </w14:textFill>
              </w:rPr>
              <w:t>在现有封闭煤矸石原料库</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页岩</w:t>
            </w:r>
            <w:r>
              <w:rPr>
                <w:rFonts w:hint="eastAsia"/>
                <w:color w:val="000000" w:themeColor="text1"/>
                <w:sz w:val="24"/>
                <w:highlight w:val="none"/>
                <w14:textFill>
                  <w14:solidFill>
                    <w14:schemeClr w14:val="tx1"/>
                  </w14:solidFill>
                </w14:textFill>
              </w:rPr>
              <w:t>和剥岩废料储存在现有封闭</w:t>
            </w:r>
            <w:r>
              <w:rPr>
                <w:color w:val="000000" w:themeColor="text1"/>
                <w:sz w:val="24"/>
                <w:highlight w:val="none"/>
                <w14:textFill>
                  <w14:solidFill>
                    <w14:schemeClr w14:val="tx1"/>
                  </w14:solidFill>
                </w14:textFill>
              </w:rPr>
              <w:t>页岩原料库内</w:t>
            </w:r>
            <w:r>
              <w:rPr>
                <w:rFonts w:hint="eastAsia"/>
                <w:color w:val="000000" w:themeColor="text1"/>
                <w:sz w:val="24"/>
                <w:highlight w:val="none"/>
                <w14:textFill>
                  <w14:solidFill>
                    <w14:schemeClr w14:val="tx1"/>
                  </w14:solidFill>
                </w14:textFill>
              </w:rPr>
              <w:t>；工业污泥和生活污泥做好苫盖措施，</w:t>
            </w:r>
            <w:r>
              <w:rPr>
                <w:color w:val="000000" w:themeColor="text1"/>
                <w:sz w:val="24"/>
                <w:highlight w:val="none"/>
                <w14:textFill>
                  <w14:solidFill>
                    <w14:schemeClr w14:val="tx1"/>
                  </w14:solidFill>
                </w14:textFill>
              </w:rPr>
              <w:t>由运输车辆运至</w:t>
            </w:r>
            <w:r>
              <w:rPr>
                <w:rFonts w:hint="eastAsia"/>
                <w:color w:val="000000" w:themeColor="text1"/>
                <w:sz w:val="24"/>
                <w:highlight w:val="none"/>
                <w14:textFill>
                  <w14:solidFill>
                    <w14:schemeClr w14:val="tx1"/>
                  </w14:solidFill>
                </w14:textFill>
              </w:rPr>
              <w:t>工业污泥库、生活污泥库。现有页岩原料库内已设有1座污泥库，本次在煤矸石原料库西侧新建封闭的生活污泥库1座（176m</w:t>
            </w:r>
            <w:r>
              <w:rPr>
                <w:rFonts w:hint="eastAsia"/>
                <w:color w:val="000000" w:themeColor="text1"/>
                <w:sz w:val="24"/>
                <w:highlight w:val="none"/>
                <w:vertAlign w:val="superscript"/>
                <w14:textFill>
                  <w14:solidFill>
                    <w14:schemeClr w14:val="tx1"/>
                  </w14:solidFill>
                </w14:textFill>
              </w:rPr>
              <w:t>2</w:t>
            </w:r>
            <w:r>
              <w:rPr>
                <w:rFonts w:hint="eastAsia"/>
                <w:color w:val="000000" w:themeColor="text1"/>
                <w:sz w:val="24"/>
                <w:highlight w:val="none"/>
                <w14:textFill>
                  <w14:solidFill>
                    <w14:schemeClr w14:val="tx1"/>
                  </w14:solidFill>
                </w14:textFill>
              </w:rPr>
              <w:t>），将污泥分开存储</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现有</w:t>
            </w:r>
            <w:r>
              <w:rPr>
                <w:color w:val="000000" w:themeColor="text1"/>
                <w:sz w:val="24"/>
                <w:highlight w:val="none"/>
                <w14:textFill>
                  <w14:solidFill>
                    <w14:schemeClr w14:val="tx1"/>
                  </w14:solidFill>
                </w14:textFill>
              </w:rPr>
              <w:t>污泥</w:t>
            </w:r>
            <w:r>
              <w:rPr>
                <w:rFonts w:hint="eastAsia"/>
                <w:color w:val="000000" w:themeColor="text1"/>
                <w:sz w:val="24"/>
                <w:highlight w:val="none"/>
                <w14:textFill>
                  <w14:solidFill>
                    <w14:schemeClr w14:val="tx1"/>
                  </w14:solidFill>
                </w14:textFill>
              </w:rPr>
              <w:t>库和本次新建的污泥库均采用双层</w:t>
            </w:r>
            <w:r>
              <w:rPr>
                <w:color w:val="000000" w:themeColor="text1"/>
                <w:sz w:val="24"/>
                <w:highlight w:val="none"/>
                <w14:textFill>
                  <w14:solidFill>
                    <w14:schemeClr w14:val="tx1"/>
                  </w14:solidFill>
                </w14:textFill>
              </w:rPr>
              <w:t>彩钢结构，</w:t>
            </w:r>
            <w:r>
              <w:rPr>
                <w:rFonts w:hint="eastAsia"/>
                <w:color w:val="000000" w:themeColor="text1"/>
                <w:sz w:val="24"/>
                <w:highlight w:val="none"/>
                <w14:textFill>
                  <w14:solidFill>
                    <w14:schemeClr w14:val="tx1"/>
                  </w14:solidFill>
                </w14:textFill>
              </w:rPr>
              <w:t>处于封闭、抽风微负压状态，</w:t>
            </w:r>
            <w:r>
              <w:rPr>
                <w:color w:val="000000" w:themeColor="text1"/>
                <w:sz w:val="24"/>
                <w:highlight w:val="none"/>
                <w14:textFill>
                  <w14:solidFill>
                    <w14:schemeClr w14:val="tx1"/>
                  </w14:solidFill>
                </w14:textFill>
              </w:rPr>
              <w:t>地面进行重点防腐防渗措施</w:t>
            </w:r>
            <w:r>
              <w:rPr>
                <w:rFonts w:hint="eastAsia"/>
                <w:color w:val="000000" w:themeColor="text1"/>
                <w:sz w:val="24"/>
                <w:highlight w:val="none"/>
                <w14:textFill>
                  <w14:solidFill>
                    <w14:schemeClr w14:val="tx1"/>
                  </w14:solidFill>
                </w14:textFill>
              </w:rPr>
              <w:t>。本次改扩建新增原料干排淤泥、炉渣，原料配比中减少页岩用量，用干排污泥代替，炉渣热值较高，用于替代煤矸石。炉渣储存于封闭</w:t>
            </w:r>
            <w:r>
              <w:rPr>
                <w:color w:val="000000" w:themeColor="text1"/>
                <w:sz w:val="24"/>
                <w:highlight w:val="none"/>
                <w14:textFill>
                  <w14:solidFill>
                    <w14:schemeClr w14:val="tx1"/>
                  </w14:solidFill>
                </w14:textFill>
              </w:rPr>
              <w:t>煤矸石原料库</w:t>
            </w:r>
            <w:r>
              <w:rPr>
                <w:rFonts w:hint="eastAsia"/>
                <w:color w:val="000000" w:themeColor="text1"/>
                <w:sz w:val="24"/>
                <w:highlight w:val="none"/>
                <w14:textFill>
                  <w14:solidFill>
                    <w14:schemeClr w14:val="tx1"/>
                  </w14:solidFill>
                </w14:textFill>
              </w:rPr>
              <w:t>，干排淤泥储存于封闭页岩库</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2座污泥库均</w:t>
            </w:r>
            <w:r>
              <w:rPr>
                <w:color w:val="000000" w:themeColor="text1"/>
                <w:sz w:val="24"/>
                <w:highlight w:val="none"/>
                <w14:textFill>
                  <w14:solidFill>
                    <w14:schemeClr w14:val="tx1"/>
                  </w14:solidFill>
                </w14:textFill>
              </w:rPr>
              <w:t>安装自动感应门，当运输车辆进入污泥</w:t>
            </w:r>
            <w:r>
              <w:rPr>
                <w:rFonts w:hint="eastAsia"/>
                <w:color w:val="000000" w:themeColor="text1"/>
                <w:sz w:val="24"/>
                <w:highlight w:val="none"/>
                <w14:textFill>
                  <w14:solidFill>
                    <w14:schemeClr w14:val="tx1"/>
                  </w14:solidFill>
                </w14:textFill>
              </w:rPr>
              <w:t>库</w:t>
            </w:r>
            <w:r>
              <w:rPr>
                <w:color w:val="000000" w:themeColor="text1"/>
                <w:sz w:val="24"/>
                <w:highlight w:val="none"/>
                <w14:textFill>
                  <w14:solidFill>
                    <w14:schemeClr w14:val="tx1"/>
                  </w14:solidFill>
                </w14:textFill>
              </w:rPr>
              <w:t>时，自动感应门打开，随后立即关闭，完成卸料后关闭污泥</w:t>
            </w:r>
            <w:r>
              <w:rPr>
                <w:rFonts w:hint="eastAsia"/>
                <w:color w:val="000000" w:themeColor="text1"/>
                <w:sz w:val="24"/>
                <w:highlight w:val="none"/>
                <w14:textFill>
                  <w14:solidFill>
                    <w14:schemeClr w14:val="tx1"/>
                  </w14:solidFill>
                </w14:textFill>
              </w:rPr>
              <w:t>库</w:t>
            </w:r>
            <w:r>
              <w:rPr>
                <w:color w:val="000000" w:themeColor="text1"/>
                <w:sz w:val="24"/>
                <w:highlight w:val="none"/>
                <w14:textFill>
                  <w14:solidFill>
                    <w14:schemeClr w14:val="tx1"/>
                  </w14:solidFill>
                </w14:textFill>
              </w:rPr>
              <w:t>出入口，保证污泥</w:t>
            </w:r>
            <w:r>
              <w:rPr>
                <w:rFonts w:hint="eastAsia"/>
                <w:color w:val="000000" w:themeColor="text1"/>
                <w:sz w:val="24"/>
                <w:highlight w:val="none"/>
                <w14:textFill>
                  <w14:solidFill>
                    <w14:schemeClr w14:val="tx1"/>
                  </w14:solidFill>
                </w14:textFill>
              </w:rPr>
              <w:t>库</w:t>
            </w:r>
            <w:r>
              <w:rPr>
                <w:color w:val="000000" w:themeColor="text1"/>
                <w:sz w:val="24"/>
                <w:highlight w:val="none"/>
                <w14:textFill>
                  <w14:solidFill>
                    <w14:schemeClr w14:val="tx1"/>
                  </w14:solidFill>
                </w14:textFill>
              </w:rPr>
              <w:t>密闭。</w:t>
            </w:r>
            <w:r>
              <w:rPr>
                <w:rFonts w:hint="eastAsia"/>
                <w:color w:val="000000" w:themeColor="text1"/>
                <w:sz w:val="24"/>
                <w:highlight w:val="none"/>
                <w14:textFill>
                  <w14:solidFill>
                    <w14:schemeClr w14:val="tx1"/>
                  </w14:solidFill>
                </w14:textFill>
              </w:rPr>
              <w:t>库</w:t>
            </w:r>
            <w:r>
              <w:rPr>
                <w:color w:val="000000" w:themeColor="text1"/>
                <w:sz w:val="24"/>
                <w:highlight w:val="none"/>
                <w14:textFill>
                  <w14:solidFill>
                    <w14:schemeClr w14:val="tx1"/>
                  </w14:solidFill>
                </w14:textFill>
              </w:rPr>
              <w:t>内保持负压收集，减少恶臭气体外逸。</w:t>
            </w:r>
          </w:p>
          <w:p w14:paraId="1D7BF2BA">
            <w:pPr>
              <w:pStyle w:val="52"/>
              <w:spacing w:line="480" w:lineRule="exact"/>
              <w:ind w:firstLine="480"/>
              <w:jc w:val="both"/>
              <w:rPr>
                <w:bCs/>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污泥</w:t>
            </w:r>
            <w:r>
              <w:rPr>
                <w:color w:val="000000" w:themeColor="text1"/>
                <w:sz w:val="24"/>
                <w:highlight w:val="none"/>
                <w14:textFill>
                  <w14:solidFill>
                    <w14:schemeClr w14:val="tx1"/>
                  </w14:solidFill>
                </w14:textFill>
              </w:rPr>
              <w:t>在</w:t>
            </w:r>
            <w:r>
              <w:rPr>
                <w:rFonts w:hint="eastAsia"/>
                <w:color w:val="000000" w:themeColor="text1"/>
                <w:sz w:val="24"/>
                <w:highlight w:val="none"/>
                <w14:textFill>
                  <w14:solidFill>
                    <w14:schemeClr w14:val="tx1"/>
                  </w14:solidFill>
                </w14:textFill>
              </w:rPr>
              <w:t>运输和</w:t>
            </w:r>
            <w:r>
              <w:rPr>
                <w:color w:val="000000" w:themeColor="text1"/>
                <w:sz w:val="24"/>
                <w:highlight w:val="none"/>
                <w14:textFill>
                  <w14:solidFill>
                    <w14:schemeClr w14:val="tx1"/>
                  </w14:solidFill>
                </w14:textFill>
              </w:rPr>
              <w:t>储存过程中会有部分</w:t>
            </w:r>
            <w:r>
              <w:rPr>
                <w:rFonts w:hint="eastAsia"/>
                <w:color w:val="000000" w:themeColor="text1"/>
                <w:sz w:val="24"/>
                <w:highlight w:val="none"/>
                <w14:textFill>
                  <w14:solidFill>
                    <w14:schemeClr w14:val="tx1"/>
                  </w14:solidFill>
                </w14:textFill>
              </w:rPr>
              <w:t>水量</w:t>
            </w:r>
            <w:r>
              <w:rPr>
                <w:color w:val="000000" w:themeColor="text1"/>
                <w:sz w:val="24"/>
                <w:highlight w:val="none"/>
                <w14:textFill>
                  <w14:solidFill>
                    <w14:schemeClr w14:val="tx1"/>
                  </w14:solidFill>
                </w14:textFill>
              </w:rPr>
              <w:t>的损耗，</w:t>
            </w:r>
            <w:r>
              <w:rPr>
                <w:rFonts w:hint="eastAsia"/>
                <w:color w:val="000000" w:themeColor="text1"/>
                <w:sz w:val="24"/>
                <w:highlight w:val="none"/>
                <w14:textFill>
                  <w14:solidFill>
                    <w14:schemeClr w14:val="tx1"/>
                  </w14:solidFill>
                </w14:textFill>
              </w:rPr>
              <w:t>因此无需进行烘干，其他原料在储存转运过程中可能水分蒸发，为达到砖坯成型时的含水率，在</w:t>
            </w:r>
            <w:r>
              <w:rPr>
                <w:color w:val="000000" w:themeColor="text1"/>
                <w:sz w:val="24"/>
                <w:highlight w:val="none"/>
                <w14:textFill>
                  <w14:solidFill>
                    <w14:schemeClr w14:val="tx1"/>
                  </w14:solidFill>
                </w14:textFill>
              </w:rPr>
              <w:t>混合过程中</w:t>
            </w:r>
            <w:r>
              <w:rPr>
                <w:rFonts w:hint="eastAsia"/>
                <w:color w:val="000000" w:themeColor="text1"/>
                <w:sz w:val="24"/>
                <w:highlight w:val="none"/>
                <w14:textFill>
                  <w14:solidFill>
                    <w14:schemeClr w14:val="tx1"/>
                  </w14:solidFill>
                </w14:textFill>
              </w:rPr>
              <w:t>根据需要</w:t>
            </w:r>
            <w:r>
              <w:rPr>
                <w:color w:val="000000" w:themeColor="text1"/>
                <w:sz w:val="24"/>
                <w:highlight w:val="none"/>
                <w14:textFill>
                  <w14:solidFill>
                    <w14:schemeClr w14:val="tx1"/>
                  </w14:solidFill>
                </w14:textFill>
              </w:rPr>
              <w:t>再添加</w:t>
            </w:r>
            <w:r>
              <w:rPr>
                <w:rFonts w:hint="eastAsia"/>
                <w:color w:val="000000" w:themeColor="text1"/>
                <w:sz w:val="24"/>
                <w:highlight w:val="none"/>
                <w14:textFill>
                  <w14:solidFill>
                    <w14:schemeClr w14:val="tx1"/>
                  </w14:solidFill>
                </w14:textFill>
              </w:rPr>
              <w:t>少量新鲜水进行搅拌。</w:t>
            </w:r>
          </w:p>
          <w:p w14:paraId="72540852">
            <w:pPr>
              <w:pStyle w:val="52"/>
              <w:spacing w:line="480" w:lineRule="exac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：煤矸石、页岩装卸、堆存过程中产生的废气（G1），主要为颗粒物；污泥存储时产生的恶臭气体（G</w:t>
            </w:r>
            <w:r>
              <w:rPr>
                <w:rFonts w:hint="eastAsia"/>
                <w:b/>
                <w:bCs/>
                <w:color w:val="000000" w:themeColor="text1"/>
                <w:sz w:val="24"/>
                <w:highlight w:val="none"/>
                <w14:textFill>
                  <w14:solidFill>
                    <w14:schemeClr w14:val="tx1"/>
                  </w14:solidFill>
                </w14:textFill>
              </w:rPr>
              <w:t>9</w:t>
            </w:r>
            <w:r>
              <w:rPr>
                <w:b/>
                <w:bCs/>
                <w:color w:val="000000" w:themeColor="text1"/>
                <w:sz w:val="24"/>
                <w:highlight w:val="none"/>
                <w14:textFill>
                  <w14:solidFill>
                    <w14:schemeClr w14:val="tx1"/>
                  </w14:solidFill>
                </w14:textFill>
              </w:rPr>
              <w:t>），主要为氨、硫化氢、臭气浓度。</w:t>
            </w:r>
          </w:p>
          <w:p w14:paraId="41F3F11B">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（3）原料破碎、混料</w:t>
            </w:r>
          </w:p>
          <w:p w14:paraId="13FB2729">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破碎生产线设置在破碎车间</w:t>
            </w:r>
            <w:r>
              <w:rPr>
                <w:rFonts w:hint="eastAsia"/>
                <w:bCs/>
                <w:color w:val="000000" w:themeColor="text1"/>
                <w:sz w:val="24"/>
                <w:highlight w:val="none"/>
                <w14:textFill>
                  <w14:solidFill>
                    <w14:schemeClr w14:val="tx1"/>
                  </w14:solidFill>
                </w14:textFill>
              </w:rPr>
              <w:t>。本次改扩建将现有破碎、筛分设备全部更换，提高设备生产能力，新增1台颚式破碎机用于煤矸石粗破，新增颚破机设置于地下。</w:t>
            </w:r>
          </w:p>
          <w:p w14:paraId="1BA1FC98">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煤矸石由装载机从其箱式给料机上料口上料，本次新增原料</w:t>
            </w:r>
            <w:r>
              <w:rPr>
                <w:rFonts w:hint="eastAsia"/>
                <w:color w:val="000000" w:themeColor="text1"/>
                <w:sz w:val="24"/>
                <w:highlight w:val="none"/>
                <w14:textFill>
                  <w14:solidFill>
                    <w14:schemeClr w14:val="tx1"/>
                  </w14:solidFill>
                </w14:textFill>
              </w:rPr>
              <w:t>炉渣也在此上料口上料，经</w:t>
            </w:r>
            <w:r>
              <w:rPr>
                <w:rFonts w:hint="eastAsia"/>
                <w:bCs/>
                <w:color w:val="000000" w:themeColor="text1"/>
                <w:sz w:val="24"/>
                <w:highlight w:val="none"/>
                <w14:textFill>
                  <w14:solidFill>
                    <w14:schemeClr w14:val="tx1"/>
                  </w14:solidFill>
                </w14:textFill>
              </w:rPr>
              <w:t>颚式破碎机</w:t>
            </w:r>
            <w:r>
              <w:rPr>
                <w:bCs/>
                <w:color w:val="000000" w:themeColor="text1"/>
                <w:sz w:val="24"/>
                <w:highlight w:val="none"/>
                <w14:textFill>
                  <w14:solidFill>
                    <w14:schemeClr w14:val="tx1"/>
                  </w14:solidFill>
                </w14:textFill>
              </w:rPr>
              <w:t>粗破后粒径小于10mm。</w:t>
            </w:r>
            <w:r>
              <w:rPr>
                <w:rFonts w:hint="eastAsia"/>
                <w:color w:val="000000" w:themeColor="text1"/>
                <w:sz w:val="24"/>
                <w:highlight w:val="none"/>
                <w14:textFill>
                  <w14:solidFill>
                    <w14:schemeClr w14:val="tx1"/>
                  </w14:solidFill>
                </w14:textFill>
              </w:rPr>
              <w:t>煤矸石及其替代原料经粗破后进入锤式破碎机进行细破，细破后</w:t>
            </w:r>
            <w:r>
              <w:rPr>
                <w:bCs/>
                <w:color w:val="000000" w:themeColor="text1"/>
                <w:sz w:val="24"/>
                <w:highlight w:val="none"/>
                <w14:textFill>
                  <w14:solidFill>
                    <w14:schemeClr w14:val="tx1"/>
                  </w14:solidFill>
                </w14:textFill>
              </w:rPr>
              <w:t>粒度≤1.5mm</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破碎后的物料经封闭皮带输送机输送至圆滚筛进行筛分，筛上部分（粒径大于1.5mm）返回</w:t>
            </w:r>
            <w:r>
              <w:rPr>
                <w:rFonts w:hint="eastAsia"/>
                <w:bCs/>
                <w:color w:val="000000" w:themeColor="text1"/>
                <w:sz w:val="24"/>
                <w:highlight w:val="none"/>
                <w14:textFill>
                  <w14:solidFill>
                    <w14:schemeClr w14:val="tx1"/>
                  </w14:solidFill>
                </w14:textFill>
              </w:rPr>
              <w:t>锤式</w:t>
            </w:r>
            <w:r>
              <w:rPr>
                <w:bCs/>
                <w:color w:val="000000" w:themeColor="text1"/>
                <w:sz w:val="24"/>
                <w:highlight w:val="none"/>
                <w14:textFill>
                  <w14:solidFill>
                    <w14:schemeClr w14:val="tx1"/>
                  </w14:solidFill>
                </w14:textFill>
              </w:rPr>
              <w:t>破碎机再次破碎，筛下部分（粒径小于1.5mm）由封闭</w:t>
            </w:r>
            <w:r>
              <w:rPr>
                <w:rFonts w:hint="eastAsia"/>
                <w:bCs/>
                <w:color w:val="000000" w:themeColor="text1"/>
                <w:sz w:val="24"/>
                <w:highlight w:val="none"/>
                <w14:textFill>
                  <w14:solidFill>
                    <w14:schemeClr w14:val="tx1"/>
                  </w14:solidFill>
                </w14:textFill>
              </w:rPr>
              <w:t>的</w:t>
            </w:r>
            <w:r>
              <w:rPr>
                <w:bCs/>
                <w:color w:val="000000" w:themeColor="text1"/>
                <w:sz w:val="24"/>
                <w:highlight w:val="none"/>
                <w14:textFill>
                  <w14:solidFill>
                    <w14:schemeClr w14:val="tx1"/>
                  </w14:solidFill>
                </w14:textFill>
              </w:rPr>
              <w:t>皮带</w:t>
            </w:r>
            <w:r>
              <w:rPr>
                <w:rFonts w:hint="eastAsia"/>
                <w:bCs/>
                <w:color w:val="000000" w:themeColor="text1"/>
                <w:sz w:val="24"/>
                <w:highlight w:val="none"/>
                <w14:textFill>
                  <w14:solidFill>
                    <w14:schemeClr w14:val="tx1"/>
                  </w14:solidFill>
                </w14:textFill>
              </w:rPr>
              <w:t>通廊</w:t>
            </w:r>
            <w:r>
              <w:rPr>
                <w:bCs/>
                <w:color w:val="000000" w:themeColor="text1"/>
                <w:sz w:val="24"/>
                <w:highlight w:val="none"/>
                <w14:textFill>
                  <w14:solidFill>
                    <w14:schemeClr w14:val="tx1"/>
                  </w14:solidFill>
                </w14:textFill>
              </w:rPr>
              <w:t>输送至</w:t>
            </w:r>
            <w:r>
              <w:rPr>
                <w:rFonts w:hint="eastAsia"/>
                <w:bCs/>
                <w:color w:val="000000" w:themeColor="text1"/>
                <w:sz w:val="24"/>
                <w:highlight w:val="none"/>
                <w14:textFill>
                  <w14:solidFill>
                    <w14:schemeClr w14:val="tx1"/>
                  </w14:solidFill>
                </w14:textFill>
              </w:rPr>
              <w:t>煤矸石储料仓</w:t>
            </w:r>
            <w:r>
              <w:rPr>
                <w:bCs/>
                <w:color w:val="000000" w:themeColor="text1"/>
                <w:sz w:val="24"/>
                <w:highlight w:val="none"/>
                <w14:textFill>
                  <w14:solidFill>
                    <w14:schemeClr w14:val="tx1"/>
                  </w14:solidFill>
                </w14:textFill>
              </w:rPr>
              <w:t>。</w:t>
            </w:r>
          </w:p>
          <w:p w14:paraId="79F9FDB0">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页岩</w:t>
            </w:r>
            <w:r>
              <w:rPr>
                <w:rFonts w:hint="eastAsia"/>
                <w:bCs/>
                <w:color w:val="000000" w:themeColor="text1"/>
                <w:sz w:val="24"/>
                <w:highlight w:val="none"/>
                <w14:textFill>
                  <w14:solidFill>
                    <w14:schemeClr w14:val="tx1"/>
                  </w14:solidFill>
                </w14:textFill>
              </w:rPr>
              <w:t>、剥岩废料、干排淤泥</w:t>
            </w:r>
            <w:r>
              <w:rPr>
                <w:bCs/>
                <w:color w:val="000000" w:themeColor="text1"/>
                <w:sz w:val="24"/>
                <w:highlight w:val="none"/>
                <w14:textFill>
                  <w14:solidFill>
                    <w14:schemeClr w14:val="tx1"/>
                  </w14:solidFill>
                </w14:textFill>
              </w:rPr>
              <w:t>由装载机运至</w:t>
            </w:r>
            <w:r>
              <w:rPr>
                <w:rFonts w:hint="eastAsia"/>
                <w:bCs/>
                <w:color w:val="000000" w:themeColor="text1"/>
                <w:sz w:val="24"/>
                <w:highlight w:val="none"/>
                <w14:textFill>
                  <w14:solidFill>
                    <w14:schemeClr w14:val="tx1"/>
                  </w14:solidFill>
                </w14:textFill>
              </w:rPr>
              <w:t>箱式给料机</w:t>
            </w:r>
            <w:r>
              <w:rPr>
                <w:bCs/>
                <w:color w:val="000000" w:themeColor="text1"/>
                <w:sz w:val="24"/>
                <w:highlight w:val="none"/>
                <w14:textFill>
                  <w14:solidFill>
                    <w14:schemeClr w14:val="tx1"/>
                  </w14:solidFill>
                </w14:textFill>
              </w:rPr>
              <w:t>上料口，</w:t>
            </w:r>
            <w:r>
              <w:rPr>
                <w:rFonts w:hint="eastAsia"/>
                <w:color w:val="000000" w:themeColor="text1"/>
                <w:sz w:val="24"/>
                <w:highlight w:val="none"/>
                <w14:textFill>
                  <w14:solidFill>
                    <w14:schemeClr w14:val="tx1"/>
                  </w14:solidFill>
                </w14:textFill>
              </w:rPr>
              <w:t>破碎过程与煤矸石破碎工艺相同，经粗破、细破、返料破碎后，</w:t>
            </w:r>
            <w:r>
              <w:rPr>
                <w:bCs/>
                <w:color w:val="000000" w:themeColor="text1"/>
                <w:sz w:val="24"/>
                <w:highlight w:val="none"/>
                <w14:textFill>
                  <w14:solidFill>
                    <w14:schemeClr w14:val="tx1"/>
                  </w14:solidFill>
                </w14:textFill>
              </w:rPr>
              <w:t>由封闭皮带</w:t>
            </w:r>
            <w:r>
              <w:rPr>
                <w:rFonts w:hint="eastAsia"/>
                <w:bCs/>
                <w:color w:val="000000" w:themeColor="text1"/>
                <w:sz w:val="24"/>
                <w:highlight w:val="none"/>
                <w14:textFill>
                  <w14:solidFill>
                    <w14:schemeClr w14:val="tx1"/>
                  </w14:solidFill>
                </w14:textFill>
              </w:rPr>
              <w:t>通廊</w:t>
            </w:r>
            <w:r>
              <w:rPr>
                <w:bCs/>
                <w:color w:val="000000" w:themeColor="text1"/>
                <w:sz w:val="24"/>
                <w:highlight w:val="none"/>
                <w14:textFill>
                  <w14:solidFill>
                    <w14:schemeClr w14:val="tx1"/>
                  </w14:solidFill>
                </w14:textFill>
              </w:rPr>
              <w:t>输送至</w:t>
            </w:r>
            <w:r>
              <w:rPr>
                <w:rFonts w:hint="eastAsia"/>
                <w:bCs/>
                <w:color w:val="000000" w:themeColor="text1"/>
                <w:sz w:val="24"/>
                <w:highlight w:val="none"/>
                <w14:textFill>
                  <w14:solidFill>
                    <w14:schemeClr w14:val="tx1"/>
                  </w14:solidFill>
                </w14:textFill>
              </w:rPr>
              <w:t>下一生产工序</w:t>
            </w:r>
            <w:r>
              <w:rPr>
                <w:bCs/>
                <w:color w:val="000000" w:themeColor="text1"/>
                <w:sz w:val="24"/>
                <w:highlight w:val="none"/>
                <w14:textFill>
                  <w14:solidFill>
                    <w14:schemeClr w14:val="tx1"/>
                  </w14:solidFill>
                </w14:textFill>
              </w:rPr>
              <w:t>。</w:t>
            </w:r>
          </w:p>
          <w:p w14:paraId="04B5E738">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筛分结束后，</w:t>
            </w:r>
            <w:r>
              <w:rPr>
                <w:rFonts w:hint="eastAsia"/>
                <w:bCs/>
                <w:color w:val="000000" w:themeColor="text1"/>
                <w:sz w:val="24"/>
                <w:highlight w:val="none"/>
                <w14:textFill>
                  <w14:solidFill>
                    <w14:schemeClr w14:val="tx1"/>
                  </w14:solidFill>
                </w14:textFill>
              </w:rPr>
              <w:t>将煤矸石、页岩、剥岩废料及一般工业固废原料</w:t>
            </w:r>
            <w:r>
              <w:rPr>
                <w:bCs/>
                <w:color w:val="000000" w:themeColor="text1"/>
                <w:sz w:val="24"/>
                <w:highlight w:val="none"/>
                <w14:textFill>
                  <w14:solidFill>
                    <w14:schemeClr w14:val="tx1"/>
                  </w14:solidFill>
                </w14:textFill>
              </w:rPr>
              <w:t>按照一定比例送入搅拌机进行搅拌，</w:t>
            </w:r>
            <w:r>
              <w:rPr>
                <w:rFonts w:hint="eastAsia"/>
                <w:color w:val="000000" w:themeColor="text1"/>
                <w:sz w:val="24"/>
                <w:highlight w:val="none"/>
                <w14:textFill>
                  <w14:solidFill>
                    <w14:schemeClr w14:val="tx1"/>
                  </w14:solidFill>
                </w14:textFill>
              </w:rPr>
              <w:t>污泥由于含水率较高且粒度细不需经过破碎，直接由封闭皮带输送机输送至搅拌机上料。</w:t>
            </w:r>
            <w:r>
              <w:rPr>
                <w:bCs/>
                <w:color w:val="000000" w:themeColor="text1"/>
                <w:sz w:val="24"/>
                <w:highlight w:val="none"/>
                <w14:textFill>
                  <w14:solidFill>
                    <w14:schemeClr w14:val="tx1"/>
                  </w14:solidFill>
                </w14:textFill>
              </w:rPr>
              <w:t>为提高混合料的流动性和均匀性，搅拌机上设置喷水设施，加水混合搅拌，使其水分达到</w:t>
            </w:r>
            <w:r>
              <w:rPr>
                <w:rFonts w:hint="eastAsia"/>
                <w:bCs/>
                <w:color w:val="000000" w:themeColor="text1"/>
                <w:sz w:val="24"/>
                <w:highlight w:val="none"/>
                <w14:textFill>
                  <w14:solidFill>
                    <w14:schemeClr w14:val="tx1"/>
                  </w14:solidFill>
                </w14:textFill>
              </w:rPr>
              <w:t>14</w:t>
            </w:r>
            <w:r>
              <w:rPr>
                <w:bCs/>
                <w:color w:val="000000" w:themeColor="text1"/>
                <w:sz w:val="24"/>
                <w:highlight w:val="none"/>
                <w14:textFill>
                  <w14:solidFill>
                    <w14:schemeClr w14:val="tx1"/>
                  </w14:solidFill>
                </w14:textFill>
              </w:rPr>
              <w:t>%左右的成型要求。颚式破碎机、锤式破碎机、圆滚筛均封闭处理</w:t>
            </w:r>
            <w:r>
              <w:rPr>
                <w:rFonts w:hint="eastAsia"/>
                <w:bCs/>
                <w:color w:val="000000" w:themeColor="text1"/>
                <w:sz w:val="24"/>
                <w:highlight w:val="none"/>
                <w14:textFill>
                  <w14:solidFill>
                    <w14:schemeClr w14:val="tx1"/>
                  </w14:solidFill>
                </w14:textFill>
              </w:rPr>
              <w:t>。</w:t>
            </w:r>
          </w:p>
          <w:p w14:paraId="1154D2E1">
            <w:pPr>
              <w:pStyle w:val="52"/>
              <w:spacing w:line="480" w:lineRule="exac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：破碎时原料上料，皮带输送机受料及卸料，颚式破碎机、锤式破碎机、圆滚筛、搅拌机进料、出料时产生的废气（G2</w:t>
            </w:r>
            <w:r>
              <w:rPr>
                <w:rFonts w:hint="eastAsia"/>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G</w:t>
            </w:r>
            <w:r>
              <w:rPr>
                <w:rFonts w:hint="eastAsia"/>
                <w:b/>
                <w:bCs/>
                <w:color w:val="000000" w:themeColor="text1"/>
                <w:sz w:val="24"/>
                <w:highlight w:val="none"/>
                <w14:textFill>
                  <w14:solidFill>
                    <w14:schemeClr w14:val="tx1"/>
                  </w14:solidFill>
                </w14:textFill>
              </w:rPr>
              <w:t>6</w:t>
            </w:r>
            <w:r>
              <w:rPr>
                <w:b/>
                <w:bCs/>
                <w:color w:val="000000" w:themeColor="text1"/>
                <w:sz w:val="24"/>
                <w:highlight w:val="none"/>
                <w14:textFill>
                  <w14:solidFill>
                    <w14:schemeClr w14:val="tx1"/>
                  </w14:solidFill>
                </w14:textFill>
              </w:rPr>
              <w:t>），主要为颗粒物；装载机、颚式破碎机、锤式破碎机、圆滚筛、搅拌机、皮带输送机</w:t>
            </w:r>
            <w:r>
              <w:rPr>
                <w:rFonts w:hint="eastAsia"/>
                <w:b/>
                <w:bCs/>
                <w:color w:val="000000" w:themeColor="text1"/>
                <w:sz w:val="24"/>
                <w:highlight w:val="none"/>
                <w14:textFill>
                  <w14:solidFill>
                    <w14:schemeClr w14:val="tx1"/>
                  </w14:solidFill>
                </w14:textFill>
              </w:rPr>
              <w:t>等设备</w:t>
            </w:r>
            <w:r>
              <w:rPr>
                <w:b/>
                <w:bCs/>
                <w:color w:val="000000" w:themeColor="text1"/>
                <w:sz w:val="24"/>
                <w:highlight w:val="none"/>
                <w14:textFill>
                  <w14:solidFill>
                    <w14:schemeClr w14:val="tx1"/>
                  </w14:solidFill>
                </w14:textFill>
              </w:rPr>
              <w:t>运行噪声（</w:t>
            </w:r>
            <w:r>
              <w:rPr>
                <w:rFonts w:hint="eastAsia"/>
                <w:b/>
                <w:bCs/>
                <w:color w:val="000000" w:themeColor="text1"/>
                <w:sz w:val="24"/>
                <w:highlight w:val="none"/>
                <w14:textFill>
                  <w14:solidFill>
                    <w14:schemeClr w14:val="tx1"/>
                  </w14:solidFill>
                </w14:textFill>
              </w:rPr>
              <w:t>N1~N5</w:t>
            </w:r>
            <w:r>
              <w:rPr>
                <w:b/>
                <w:bCs/>
                <w:color w:val="000000" w:themeColor="text1"/>
                <w:sz w:val="24"/>
                <w:highlight w:val="none"/>
                <w14:textFill>
                  <w14:solidFill>
                    <w14:schemeClr w14:val="tx1"/>
                  </w14:solidFill>
                </w14:textFill>
              </w:rPr>
              <w:t>）。</w:t>
            </w:r>
          </w:p>
          <w:p w14:paraId="30139D0C">
            <w:pPr>
              <w:pStyle w:val="52"/>
              <w:spacing w:line="480" w:lineRule="exact"/>
              <w:ind w:firstLine="482"/>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1.2物料陈化工段</w:t>
            </w:r>
          </w:p>
          <w:p w14:paraId="68098862">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搅拌好的物料由封闭皮带</w:t>
            </w:r>
            <w:r>
              <w:rPr>
                <w:rFonts w:hint="eastAsia"/>
                <w:bCs/>
                <w:color w:val="000000" w:themeColor="text1"/>
                <w:sz w:val="24"/>
                <w:highlight w:val="none"/>
                <w14:textFill>
                  <w14:solidFill>
                    <w14:schemeClr w14:val="tx1"/>
                  </w14:solidFill>
                </w14:textFill>
              </w:rPr>
              <w:t>通廊</w:t>
            </w:r>
            <w:r>
              <w:rPr>
                <w:bCs/>
                <w:color w:val="000000" w:themeColor="text1"/>
                <w:sz w:val="24"/>
                <w:highlight w:val="none"/>
                <w14:textFill>
                  <w14:solidFill>
                    <w14:schemeClr w14:val="tx1"/>
                  </w14:solidFill>
                </w14:textFill>
              </w:rPr>
              <w:t>输送至陈化库的陈化布料皮带上，将物料均匀地分布在陈化车间</w:t>
            </w:r>
            <w:r>
              <w:rPr>
                <w:rFonts w:hint="eastAsia"/>
                <w:bCs/>
                <w:color w:val="000000" w:themeColor="text1"/>
                <w:sz w:val="24"/>
                <w:highlight w:val="none"/>
                <w14:textFill>
                  <w14:solidFill>
                    <w14:schemeClr w14:val="tx1"/>
                  </w14:solidFill>
                </w14:textFill>
              </w:rPr>
              <w:t>6个区</w:t>
            </w:r>
            <w:r>
              <w:rPr>
                <w:bCs/>
                <w:color w:val="000000" w:themeColor="text1"/>
                <w:sz w:val="24"/>
                <w:highlight w:val="none"/>
                <w14:textFill>
                  <w14:solidFill>
                    <w14:schemeClr w14:val="tx1"/>
                  </w14:solidFill>
                </w14:textFill>
              </w:rPr>
              <w:t>，使原料中的水分均化程度提高，原料颗粒表面和内部性能更加均匀，更趋一致，颗粒容易变得疏松，提高物料的成型性能，保证成型、干燥和焙烧等工序的技术要求，提高产品的质量，使原料保证72小时以上陈化时间。</w:t>
            </w:r>
            <w:r>
              <w:rPr>
                <w:rFonts w:hint="eastAsia"/>
                <w:bCs/>
                <w:color w:val="000000" w:themeColor="text1"/>
                <w:sz w:val="24"/>
                <w:highlight w:val="none"/>
                <w14:textFill>
                  <w14:solidFill>
                    <w14:schemeClr w14:val="tx1"/>
                  </w14:solidFill>
                </w14:textFill>
              </w:rPr>
              <w:t>由于物料中含污泥，陈化过程中产生少量恶臭气体，产生量较少，陈化库封闭，本次评价不再进行分析。</w:t>
            </w:r>
          </w:p>
          <w:p w14:paraId="7EEE5CFB">
            <w:pPr>
              <w:pStyle w:val="52"/>
              <w:spacing w:line="480" w:lineRule="exac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：本皮带输送机、布料机</w:t>
            </w:r>
            <w:r>
              <w:rPr>
                <w:rFonts w:hint="eastAsia"/>
                <w:b/>
                <w:bCs/>
                <w:color w:val="000000" w:themeColor="text1"/>
                <w:sz w:val="24"/>
                <w:highlight w:val="none"/>
                <w14:textFill>
                  <w14:solidFill>
                    <w14:schemeClr w14:val="tx1"/>
                  </w14:solidFill>
                </w14:textFill>
              </w:rPr>
              <w:t>设备</w:t>
            </w:r>
            <w:r>
              <w:rPr>
                <w:b/>
                <w:bCs/>
                <w:color w:val="000000" w:themeColor="text1"/>
                <w:sz w:val="24"/>
                <w:highlight w:val="none"/>
                <w14:textFill>
                  <w14:solidFill>
                    <w14:schemeClr w14:val="tx1"/>
                  </w14:solidFill>
                </w14:textFill>
              </w:rPr>
              <w:t>运行噪声（</w:t>
            </w:r>
            <w:r>
              <w:rPr>
                <w:rFonts w:hint="eastAsia"/>
                <w:b/>
                <w:bCs/>
                <w:color w:val="000000" w:themeColor="text1"/>
                <w:sz w:val="24"/>
                <w:highlight w:val="none"/>
                <w14:textFill>
                  <w14:solidFill>
                    <w14:schemeClr w14:val="tx1"/>
                  </w14:solidFill>
                </w14:textFill>
              </w:rPr>
              <w:t>N6</w:t>
            </w:r>
            <w:r>
              <w:rPr>
                <w:b/>
                <w:bCs/>
                <w:color w:val="000000" w:themeColor="text1"/>
                <w:sz w:val="24"/>
                <w:highlight w:val="none"/>
                <w14:textFill>
                  <w14:solidFill>
                    <w14:schemeClr w14:val="tx1"/>
                  </w14:solidFill>
                </w14:textFill>
              </w:rPr>
              <w:t>）。</w:t>
            </w:r>
          </w:p>
          <w:p w14:paraId="2FE581AD">
            <w:pPr>
              <w:pStyle w:val="52"/>
              <w:spacing w:line="480" w:lineRule="exact"/>
              <w:ind w:firstLine="482"/>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1.3成型与切坯工段</w:t>
            </w:r>
          </w:p>
          <w:p w14:paraId="5676E0E8">
            <w:pPr>
              <w:pStyle w:val="52"/>
              <w:spacing w:line="480" w:lineRule="exact"/>
              <w:ind w:firstLine="480"/>
              <w:jc w:val="left"/>
              <w:rPr>
                <w:b/>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将陈化处理后的物料通过多斗挖土机送至箱式给料机缓冲处理后，均匀给入搅拌机适当加水进行</w:t>
            </w:r>
            <w:r>
              <w:rPr>
                <w:rFonts w:hint="eastAsia"/>
                <w:bCs/>
                <w:color w:val="000000" w:themeColor="text1"/>
                <w:sz w:val="24"/>
                <w:highlight w:val="none"/>
                <w14:textFill>
                  <w14:solidFill>
                    <w14:schemeClr w14:val="tx1"/>
                  </w14:solidFill>
                </w14:textFill>
              </w:rPr>
              <w:t>二次</w:t>
            </w:r>
            <w:r>
              <w:rPr>
                <w:bCs/>
                <w:color w:val="000000" w:themeColor="text1"/>
                <w:sz w:val="24"/>
                <w:highlight w:val="none"/>
                <w14:textFill>
                  <w14:solidFill>
                    <w14:schemeClr w14:val="tx1"/>
                  </w14:solidFill>
                </w14:textFill>
              </w:rPr>
              <w:t>搅拌，使含水率达到成型要求。达到成型要求的物料经封闭皮带输送机运送至制</w:t>
            </w:r>
            <w:r>
              <w:rPr>
                <w:rFonts w:hint="eastAsia"/>
                <w:bCs/>
                <w:color w:val="000000" w:themeColor="text1"/>
                <w:sz w:val="24"/>
                <w:highlight w:val="none"/>
                <w14:textFill>
                  <w14:solidFill>
                    <w14:schemeClr w14:val="tx1"/>
                  </w14:solidFill>
                </w14:textFill>
              </w:rPr>
              <w:t>坯</w:t>
            </w:r>
            <w:r>
              <w:rPr>
                <w:bCs/>
                <w:color w:val="000000" w:themeColor="text1"/>
                <w:sz w:val="24"/>
                <w:highlight w:val="none"/>
                <w14:textFill>
                  <w14:solidFill>
                    <w14:schemeClr w14:val="tx1"/>
                  </w14:solidFill>
                </w14:textFill>
              </w:rPr>
              <w:t>车间真空挤出机内挤出成型，经自动切条切坯机切割成所要求尺寸的砖坯，运至码坯处，用自动码坯机码至窑车。</w:t>
            </w:r>
            <w:r>
              <w:rPr>
                <w:rFonts w:hint="eastAsia"/>
                <w:bCs/>
                <w:color w:val="000000" w:themeColor="text1"/>
                <w:sz w:val="24"/>
                <w:highlight w:val="none"/>
                <w14:textFill>
                  <w14:solidFill>
                    <w14:schemeClr w14:val="tx1"/>
                  </w14:solidFill>
                </w14:textFill>
              </w:rPr>
              <w:t>切</w:t>
            </w:r>
            <w:r>
              <w:rPr>
                <w:bCs/>
                <w:color w:val="000000" w:themeColor="text1"/>
                <w:sz w:val="24"/>
                <w:highlight w:val="none"/>
                <w14:textFill>
                  <w14:solidFill>
                    <w14:schemeClr w14:val="tx1"/>
                  </w14:solidFill>
                </w14:textFill>
              </w:rPr>
              <w:t>坯</w:t>
            </w:r>
            <w:r>
              <w:rPr>
                <w:rFonts w:hint="eastAsia"/>
                <w:bCs/>
                <w:color w:val="000000" w:themeColor="text1"/>
                <w:sz w:val="24"/>
                <w:highlight w:val="none"/>
                <w14:textFill>
                  <w14:solidFill>
                    <w14:schemeClr w14:val="tx1"/>
                  </w14:solidFill>
                </w14:textFill>
              </w:rPr>
              <w:t>产生的废砖坯由封闭皮带直接返回至搅拌机回用。本次改扩建更换现有</w:t>
            </w:r>
            <w:r>
              <w:rPr>
                <w:bCs/>
                <w:color w:val="000000" w:themeColor="text1"/>
                <w:sz w:val="24"/>
                <w:highlight w:val="none"/>
                <w14:textFill>
                  <w14:solidFill>
                    <w14:schemeClr w14:val="tx1"/>
                  </w14:solidFill>
                </w14:textFill>
              </w:rPr>
              <w:t>多斗挖土机</w:t>
            </w:r>
            <w:r>
              <w:rPr>
                <w:rFonts w:hint="eastAsia"/>
                <w:bCs/>
                <w:color w:val="000000" w:themeColor="text1"/>
                <w:sz w:val="24"/>
                <w:highlight w:val="none"/>
                <w14:textFill>
                  <w14:solidFill>
                    <w14:schemeClr w14:val="tx1"/>
                  </w14:solidFill>
                </w14:textFill>
              </w:rPr>
              <w:t>、搅拌机、成型真空挤出机、</w:t>
            </w:r>
            <w:r>
              <w:rPr>
                <w:bCs/>
                <w:color w:val="000000" w:themeColor="text1"/>
                <w:sz w:val="24"/>
                <w:highlight w:val="none"/>
                <w14:textFill>
                  <w14:solidFill>
                    <w14:schemeClr w14:val="tx1"/>
                  </w14:solidFill>
                </w14:textFill>
              </w:rPr>
              <w:t>自动切条切坯机</w:t>
            </w:r>
            <w:r>
              <w:rPr>
                <w:rFonts w:hint="eastAsia"/>
                <w:bCs/>
                <w:color w:val="000000" w:themeColor="text1"/>
                <w:sz w:val="24"/>
                <w:highlight w:val="none"/>
                <w14:textFill>
                  <w14:solidFill>
                    <w14:schemeClr w14:val="tx1"/>
                  </w14:solidFill>
                </w14:textFill>
              </w:rPr>
              <w:t>和自动码坯机。</w:t>
            </w:r>
          </w:p>
          <w:p w14:paraId="6294A62B">
            <w:pPr>
              <w:pStyle w:val="52"/>
              <w:spacing w:line="480" w:lineRule="exac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：皮带输送机、多斗挖土机</w:t>
            </w:r>
            <w:r>
              <w:rPr>
                <w:rFonts w:hint="eastAsia"/>
                <w:b/>
                <w:bCs/>
                <w:color w:val="000000" w:themeColor="text1"/>
                <w:sz w:val="24"/>
                <w:highlight w:val="none"/>
                <w14:textFill>
                  <w14:solidFill>
                    <w14:schemeClr w14:val="tx1"/>
                  </w14:solidFill>
                </w14:textFill>
              </w:rPr>
              <w:t>、搅拌机、</w:t>
            </w:r>
            <w:r>
              <w:rPr>
                <w:b/>
                <w:bCs/>
                <w:color w:val="000000" w:themeColor="text1"/>
                <w:sz w:val="24"/>
                <w:highlight w:val="none"/>
                <w14:textFill>
                  <w14:solidFill>
                    <w14:schemeClr w14:val="tx1"/>
                  </w14:solidFill>
                </w14:textFill>
              </w:rPr>
              <w:t>真空挤出机、自动切条切坯机、自动码坯机</w:t>
            </w:r>
            <w:r>
              <w:rPr>
                <w:rFonts w:hint="eastAsia"/>
                <w:b/>
                <w:bCs/>
                <w:color w:val="000000" w:themeColor="text1"/>
                <w:sz w:val="24"/>
                <w:highlight w:val="none"/>
                <w14:textFill>
                  <w14:solidFill>
                    <w14:schemeClr w14:val="tx1"/>
                  </w14:solidFill>
                </w14:textFill>
              </w:rPr>
              <w:t>设备</w:t>
            </w:r>
            <w:r>
              <w:rPr>
                <w:b/>
                <w:bCs/>
                <w:color w:val="000000" w:themeColor="text1"/>
                <w:sz w:val="24"/>
                <w:highlight w:val="none"/>
                <w14:textFill>
                  <w14:solidFill>
                    <w14:schemeClr w14:val="tx1"/>
                  </w14:solidFill>
                </w14:textFill>
              </w:rPr>
              <w:t>运行噪声（</w:t>
            </w:r>
            <w:r>
              <w:rPr>
                <w:rFonts w:hint="eastAsia"/>
                <w:b/>
                <w:bCs/>
                <w:color w:val="000000" w:themeColor="text1"/>
                <w:sz w:val="24"/>
                <w:highlight w:val="none"/>
                <w14:textFill>
                  <w14:solidFill>
                    <w14:schemeClr w14:val="tx1"/>
                  </w14:solidFill>
                </w14:textFill>
              </w:rPr>
              <w:t>N7~N11</w:t>
            </w:r>
            <w:r>
              <w:rPr>
                <w:b/>
                <w:bCs/>
                <w:color w:val="000000" w:themeColor="text1"/>
                <w:sz w:val="24"/>
                <w:highlight w:val="none"/>
                <w14:textFill>
                  <w14:solidFill>
                    <w14:schemeClr w14:val="tx1"/>
                  </w14:solidFill>
                </w14:textFill>
              </w:rPr>
              <w:t>）；切坯产生的废砖坯</w:t>
            </w:r>
            <w:r>
              <w:rPr>
                <w:rFonts w:hint="eastAsia"/>
                <w:b/>
                <w:bCs/>
                <w:color w:val="000000" w:themeColor="text1"/>
                <w:sz w:val="24"/>
                <w:highlight w:val="none"/>
                <w14:textFill>
                  <w14:solidFill>
                    <w14:schemeClr w14:val="tx1"/>
                  </w14:solidFill>
                </w14:textFill>
              </w:rPr>
              <w:t>（S1）</w:t>
            </w:r>
            <w:r>
              <w:rPr>
                <w:b/>
                <w:bCs/>
                <w:color w:val="000000" w:themeColor="text1"/>
                <w:sz w:val="24"/>
                <w:highlight w:val="none"/>
                <w14:textFill>
                  <w14:solidFill>
                    <w14:schemeClr w14:val="tx1"/>
                  </w14:solidFill>
                </w14:textFill>
              </w:rPr>
              <w:t>。</w:t>
            </w:r>
          </w:p>
          <w:p w14:paraId="40995329">
            <w:pPr>
              <w:pStyle w:val="52"/>
              <w:spacing w:line="480" w:lineRule="exact"/>
              <w:ind w:firstLine="482"/>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1.4干燥与焙烧工段</w:t>
            </w:r>
          </w:p>
          <w:p w14:paraId="43B80F5F">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砖坯干燥、焙烧位于焙烧、烘干车间。本次改扩建利用现有隧道窑、干燥室、窑车等生产设备设施和环保设施。</w:t>
            </w:r>
          </w:p>
          <w:p w14:paraId="16282CC4">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码好的砖坯通过窑车先送至隧道窑干燥室进行干燥，干燥热源来自焙烧隧道窑余热，利用风机将余热抽出，送入干燥室内对砖坯进行干燥，干燥温度在200</w:t>
            </w:r>
            <w:r>
              <w:rPr>
                <w:rFonts w:hint="eastAsia" w:ascii="宋体" w:hAnsi="宋体" w:cs="宋体"/>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以上，时间为40min一车；干燥好的砖坯由出口牵引机从干燥室的出口端引入摆渡车上，经摆渡车摆至隧道窑进行焙烧。砖的焙烧是制砖工艺的关键环节，利用燃料（天然气）进行点火助燃，原料自身燃烧产生的热量进行焙烧。焙烧完成后由隧道窑出口出窑，在窑车出窑的同时，窑车从隧道窑进口进入隧道窑进行焙烧。隧道窑进口设置两道自动感应门，窑车从第一道感应门进入等待区，然后随即关闭，等窑车出窑时，在等待区的窑车从第二道感应门进入隧道窑，然后随即关闭，第二道感应门关闭后，会有窑车再从第一道感应门进入等待区，依次前进。</w:t>
            </w:r>
          </w:p>
          <w:p w14:paraId="2BE2E020">
            <w:pPr>
              <w:pStyle w:val="52"/>
              <w:spacing w:line="480" w:lineRule="exact"/>
              <w:ind w:firstLine="480"/>
              <w:jc w:val="both"/>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在焙烧烘干车间</w:t>
            </w:r>
            <w:r>
              <w:rPr>
                <w:bCs/>
                <w:color w:val="000000" w:themeColor="text1"/>
                <w:sz w:val="24"/>
                <w:highlight w:val="none"/>
                <w14:textFill>
                  <w14:solidFill>
                    <w14:schemeClr w14:val="tx1"/>
                  </w14:solidFill>
                </w14:textFill>
              </w:rPr>
              <w:t>设置4座隧道型干燥室、4座隧道焙烧窑，尺寸均为：长113m×宽3.</w:t>
            </w:r>
            <w:r>
              <w:rPr>
                <w:rFonts w:hint="eastAsia"/>
                <w:bCs/>
                <w:color w:val="000000" w:themeColor="text1"/>
                <w:sz w:val="24"/>
                <w:highlight w:val="none"/>
                <w:lang w:val="en-US" w:eastAsia="zh-CN"/>
                <w14:textFill>
                  <w14:solidFill>
                    <w14:schemeClr w14:val="tx1"/>
                  </w14:solidFill>
                </w14:textFill>
              </w:rPr>
              <w:t>8</w:t>
            </w:r>
            <w:r>
              <w:rPr>
                <w:bCs/>
                <w:color w:val="000000" w:themeColor="text1"/>
                <w:sz w:val="24"/>
                <w:highlight w:val="none"/>
                <w14:textFill>
                  <w14:solidFill>
                    <w14:schemeClr w14:val="tx1"/>
                  </w14:solidFill>
                </w14:textFill>
              </w:rPr>
              <w:t>m。在焙烧前先送入干燥室进行干燥，干燥时间为24</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26小时，干燥室的热源来自焙烧窑的余热</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干燥好的砖坯随窑车进入焙烧窑</w:t>
            </w:r>
            <w:r>
              <w:rPr>
                <w:rFonts w:hint="eastAsia"/>
                <w:bCs/>
                <w:color w:val="000000" w:themeColor="text1"/>
                <w:sz w:val="24"/>
                <w:highlight w:val="none"/>
                <w14:textFill>
                  <w14:solidFill>
                    <w14:schemeClr w14:val="tx1"/>
                  </w14:solidFill>
                </w14:textFill>
              </w:rPr>
              <w:t>焙烧，经过预热、焙烧、保温、冷却过程完成烧结</w:t>
            </w:r>
            <w:r>
              <w:rPr>
                <w:bCs/>
                <w:color w:val="000000" w:themeColor="text1"/>
                <w:sz w:val="24"/>
                <w:highlight w:val="none"/>
                <w14:textFill>
                  <w14:solidFill>
                    <w14:schemeClr w14:val="tx1"/>
                  </w14:solidFill>
                </w14:textFill>
              </w:rPr>
              <w:t>，烧成温度为</w:t>
            </w:r>
            <w:r>
              <w:rPr>
                <w:rFonts w:hint="eastAsia"/>
                <w:bCs/>
                <w:color w:val="000000" w:themeColor="text1"/>
                <w:sz w:val="24"/>
                <w:highlight w:val="none"/>
                <w:lang w:val="en-US" w:eastAsia="zh-CN"/>
                <w14:textFill>
                  <w14:solidFill>
                    <w14:schemeClr w14:val="tx1"/>
                  </w14:solidFill>
                </w14:textFill>
              </w:rPr>
              <w:t>95</w:t>
            </w:r>
            <w:r>
              <w:rPr>
                <w:bCs/>
                <w:color w:val="000000" w:themeColor="text1"/>
                <w:sz w:val="24"/>
                <w:highlight w:val="none"/>
                <w14:textFill>
                  <w14:solidFill>
                    <w14:schemeClr w14:val="tx1"/>
                  </w14:solidFill>
                </w14:textFill>
              </w:rPr>
              <w:t>0</w:t>
            </w:r>
            <w:r>
              <w:rPr>
                <w:rFonts w:hint="eastAsia"/>
                <w:bCs/>
                <w:color w:val="000000" w:themeColor="text1"/>
                <w:sz w:val="24"/>
                <w:highlight w:val="none"/>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110</w:t>
            </w:r>
            <w:r>
              <w:rPr>
                <w:bCs/>
                <w:color w:val="000000" w:themeColor="text1"/>
                <w:sz w:val="24"/>
                <w:highlight w:val="none"/>
                <w14:textFill>
                  <w14:solidFill>
                    <w14:schemeClr w14:val="tx1"/>
                  </w14:solidFill>
                </w14:textFill>
              </w:rPr>
              <w:t>0</w:t>
            </w:r>
            <w:r>
              <w:rPr>
                <w:rFonts w:hint="eastAsia" w:ascii="宋体" w:hAnsi="宋体" w:cs="宋体"/>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根据建设单位提供资料，标砖烧成时间为</w:t>
            </w:r>
            <w:r>
              <w:rPr>
                <w:rFonts w:hint="eastAsia"/>
                <w:bCs/>
                <w:color w:val="000000" w:themeColor="text1"/>
                <w:sz w:val="24"/>
                <w:highlight w:val="none"/>
                <w:lang w:val="en-US" w:eastAsia="zh-CN"/>
                <w14:textFill>
                  <w14:solidFill>
                    <w14:schemeClr w14:val="tx1"/>
                  </w14:solidFill>
                </w14:textFill>
              </w:rPr>
              <w:t>35</w:t>
            </w:r>
            <w:r>
              <w:rPr>
                <w:rFonts w:hint="eastAsia"/>
                <w:bCs/>
                <w:color w:val="000000" w:themeColor="text1"/>
                <w:sz w:val="24"/>
                <w:highlight w:val="none"/>
                <w14:textFill>
                  <w14:solidFill>
                    <w14:schemeClr w14:val="tx1"/>
                  </w14:solidFill>
                </w14:textFill>
              </w:rPr>
              <w:t>min/车，每车</w:t>
            </w:r>
            <w:r>
              <w:rPr>
                <w:rFonts w:hint="eastAsia"/>
                <w:bCs/>
                <w:color w:val="000000" w:themeColor="text1"/>
                <w:sz w:val="24"/>
                <w:highlight w:val="none"/>
                <w:lang w:val="en-US" w:eastAsia="zh-CN"/>
                <w14:textFill>
                  <w14:solidFill>
                    <w14:schemeClr w14:val="tx1"/>
                  </w14:solidFill>
                </w14:textFill>
              </w:rPr>
              <w:t>7800</w:t>
            </w:r>
            <w:r>
              <w:rPr>
                <w:rFonts w:hint="eastAsia"/>
                <w:bCs/>
                <w:color w:val="000000" w:themeColor="text1"/>
                <w:sz w:val="24"/>
                <w:highlight w:val="none"/>
                <w14:textFill>
                  <w14:solidFill>
                    <w14:schemeClr w14:val="tx1"/>
                  </w14:solidFill>
                </w14:textFill>
              </w:rPr>
              <w:t>块</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每窑每</w:t>
            </w:r>
            <w:r>
              <w:rPr>
                <w:rFonts w:hint="eastAsia"/>
                <w:bCs/>
                <w:color w:val="000000" w:themeColor="text1"/>
                <w:sz w:val="24"/>
                <w:highlight w:val="none"/>
                <w:lang w:val="en-US" w:eastAsia="zh-CN"/>
                <w14:textFill>
                  <w14:solidFill>
                    <w14:schemeClr w14:val="tx1"/>
                  </w14:solidFill>
                </w14:textFill>
              </w:rPr>
              <w:t>天</w:t>
            </w:r>
            <w:r>
              <w:rPr>
                <w:rFonts w:hint="eastAsia"/>
                <w:bCs/>
                <w:color w:val="000000" w:themeColor="text1"/>
                <w:sz w:val="24"/>
                <w:highlight w:val="none"/>
                <w14:textFill>
                  <w14:solidFill>
                    <w14:schemeClr w14:val="tx1"/>
                  </w14:solidFill>
                </w14:textFill>
              </w:rPr>
              <w:t>烧成</w:t>
            </w:r>
            <w:r>
              <w:rPr>
                <w:rFonts w:hint="eastAsia"/>
                <w:bCs/>
                <w:color w:val="000000" w:themeColor="text1"/>
                <w:sz w:val="24"/>
                <w:highlight w:val="none"/>
                <w:lang w:val="en-US" w:eastAsia="zh-CN"/>
                <w14:textFill>
                  <w14:solidFill>
                    <w14:schemeClr w14:val="tx1"/>
                  </w14:solidFill>
                </w14:textFill>
              </w:rPr>
              <w:t>41</w:t>
            </w:r>
            <w:r>
              <w:rPr>
                <w:rFonts w:hint="eastAsia"/>
                <w:bCs/>
                <w:color w:val="000000" w:themeColor="text1"/>
                <w:sz w:val="24"/>
                <w:highlight w:val="none"/>
                <w14:textFill>
                  <w14:solidFill>
                    <w14:schemeClr w14:val="tx1"/>
                  </w14:solidFill>
                </w14:textFill>
              </w:rPr>
              <w:t>车，平均每窑每</w:t>
            </w:r>
            <w:r>
              <w:rPr>
                <w:rFonts w:hint="eastAsia"/>
                <w:bCs/>
                <w:color w:val="000000" w:themeColor="text1"/>
                <w:sz w:val="24"/>
                <w:highlight w:val="none"/>
                <w:lang w:val="en-US" w:eastAsia="zh-CN"/>
                <w14:textFill>
                  <w14:solidFill>
                    <w14:schemeClr w14:val="tx1"/>
                  </w14:solidFill>
                </w14:textFill>
              </w:rPr>
              <w:t>天</w:t>
            </w:r>
            <w:r>
              <w:rPr>
                <w:rFonts w:hint="eastAsia"/>
                <w:bCs/>
                <w:color w:val="000000" w:themeColor="text1"/>
                <w:sz w:val="24"/>
                <w:highlight w:val="none"/>
                <w14:textFill>
                  <w14:solidFill>
                    <w14:schemeClr w14:val="tx1"/>
                  </w14:solidFill>
                </w14:textFill>
              </w:rPr>
              <w:t>烧成</w:t>
            </w:r>
            <w:r>
              <w:rPr>
                <w:rFonts w:hint="eastAsia"/>
                <w:bCs/>
                <w:color w:val="000000" w:themeColor="text1"/>
                <w:sz w:val="24"/>
                <w:highlight w:val="none"/>
                <w:lang w:val="en-US" w:eastAsia="zh-CN"/>
                <w14:textFill>
                  <w14:solidFill>
                    <w14:schemeClr w14:val="tx1"/>
                  </w14:solidFill>
                </w14:textFill>
              </w:rPr>
              <w:t>31.98</w:t>
            </w:r>
            <w:r>
              <w:rPr>
                <w:rFonts w:hint="eastAsia"/>
                <w:bCs/>
                <w:color w:val="000000" w:themeColor="text1"/>
                <w:sz w:val="24"/>
                <w:highlight w:val="none"/>
                <w14:textFill>
                  <w14:solidFill>
                    <w14:schemeClr w14:val="tx1"/>
                  </w14:solidFill>
                </w14:textFill>
              </w:rPr>
              <w:t>万块，则4条隧道窑同时运行每</w:t>
            </w:r>
            <w:r>
              <w:rPr>
                <w:rFonts w:hint="eastAsia"/>
                <w:bCs/>
                <w:color w:val="000000" w:themeColor="text1"/>
                <w:sz w:val="24"/>
                <w:highlight w:val="none"/>
                <w:lang w:val="en-US" w:eastAsia="zh-CN"/>
                <w14:textFill>
                  <w14:solidFill>
                    <w14:schemeClr w14:val="tx1"/>
                  </w14:solidFill>
                </w14:textFill>
              </w:rPr>
              <w:t>天</w:t>
            </w:r>
            <w:r>
              <w:rPr>
                <w:rFonts w:hint="eastAsia"/>
                <w:bCs/>
                <w:color w:val="000000" w:themeColor="text1"/>
                <w:sz w:val="24"/>
                <w:highlight w:val="none"/>
                <w14:textFill>
                  <w14:solidFill>
                    <w14:schemeClr w14:val="tx1"/>
                  </w14:solidFill>
                </w14:textFill>
              </w:rPr>
              <w:t>可烧成</w:t>
            </w:r>
            <w:r>
              <w:rPr>
                <w:rFonts w:hint="eastAsia"/>
                <w:bCs/>
                <w:color w:val="000000" w:themeColor="text1"/>
                <w:sz w:val="24"/>
                <w:highlight w:val="none"/>
                <w:lang w:val="en-US" w:eastAsia="zh-CN"/>
                <w14:textFill>
                  <w14:solidFill>
                    <w14:schemeClr w14:val="tx1"/>
                  </w14:solidFill>
                </w14:textFill>
              </w:rPr>
              <w:t>127.92</w:t>
            </w:r>
            <w:r>
              <w:rPr>
                <w:rFonts w:hint="eastAsia"/>
                <w:bCs/>
                <w:color w:val="000000" w:themeColor="text1"/>
                <w:sz w:val="24"/>
                <w:highlight w:val="none"/>
                <w14:textFill>
                  <w14:solidFill>
                    <w14:schemeClr w14:val="tx1"/>
                  </w14:solidFill>
                </w14:textFill>
              </w:rPr>
              <w:t>万块，年生产</w:t>
            </w:r>
            <w:r>
              <w:rPr>
                <w:rFonts w:hint="eastAsia"/>
                <w:bCs/>
                <w:color w:val="000000" w:themeColor="text1"/>
                <w:sz w:val="24"/>
                <w:highlight w:val="none"/>
                <w:lang w:val="en-US" w:eastAsia="zh-CN"/>
                <w14:textFill>
                  <w14:solidFill>
                    <w14:schemeClr w14:val="tx1"/>
                  </w14:solidFill>
                </w14:textFill>
              </w:rPr>
              <w:t>330天</w:t>
            </w:r>
            <w:r>
              <w:rPr>
                <w:rFonts w:hint="eastAsia"/>
                <w:bCs/>
                <w:color w:val="000000" w:themeColor="text1"/>
                <w:sz w:val="24"/>
                <w:highlight w:val="none"/>
                <w14:textFill>
                  <w14:solidFill>
                    <w14:schemeClr w14:val="tx1"/>
                  </w14:solidFill>
                </w14:textFill>
              </w:rPr>
              <w:t>，可达到产能</w:t>
            </w:r>
            <w:r>
              <w:rPr>
                <w:rFonts w:hint="eastAsia"/>
                <w:bCs/>
                <w:color w:val="000000" w:themeColor="text1"/>
                <w:sz w:val="24"/>
                <w:highlight w:val="none"/>
                <w:lang w:val="en-US" w:eastAsia="zh-CN"/>
                <w14:textFill>
                  <w14:solidFill>
                    <w14:schemeClr w14:val="tx1"/>
                  </w14:solidFill>
                </w14:textFill>
              </w:rPr>
              <w:t>42213</w:t>
            </w:r>
            <w:r>
              <w:rPr>
                <w:rFonts w:hint="eastAsia"/>
                <w:bCs/>
                <w:color w:val="000000" w:themeColor="text1"/>
                <w:sz w:val="24"/>
                <w:highlight w:val="none"/>
                <w14:textFill>
                  <w14:solidFill>
                    <w14:schemeClr w14:val="tx1"/>
                  </w14:solidFill>
                </w14:textFill>
              </w:rPr>
              <w:t>万块</w:t>
            </w:r>
            <w:r>
              <w:rPr>
                <w:rFonts w:hint="eastAsia"/>
                <w:bCs/>
                <w:color w:val="000000" w:themeColor="text1"/>
                <w:sz w:val="24"/>
                <w:highlight w:val="none"/>
                <w:lang w:val="en-US" w:eastAsia="zh-CN"/>
                <w14:textFill>
                  <w14:solidFill>
                    <w14:schemeClr w14:val="tx1"/>
                  </w14:solidFill>
                </w14:textFill>
              </w:rPr>
              <w:t>标砖</w:t>
            </w:r>
            <w:r>
              <w:rPr>
                <w:rFonts w:hint="eastAsia"/>
                <w:bCs/>
                <w:color w:val="000000" w:themeColor="text1"/>
                <w:sz w:val="24"/>
                <w:highlight w:val="none"/>
                <w14:textFill>
                  <w14:solidFill>
                    <w14:schemeClr w14:val="tx1"/>
                  </w14:solidFill>
                </w14:textFill>
              </w:rPr>
              <w:t>/年。</w:t>
            </w:r>
          </w:p>
          <w:p w14:paraId="20CEDABE">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在生产前需要对隧道窑进行点火助燃，本项目采用天然气为燃料对隧道窑进行点火，点火升温过程一般情况一年一次。点火后</w:t>
            </w:r>
            <w:r>
              <w:rPr>
                <w:rFonts w:hint="eastAsia"/>
                <w:bCs/>
                <w:color w:val="000000" w:themeColor="text1"/>
                <w:sz w:val="24"/>
                <w:highlight w:val="none"/>
                <w14:textFill>
                  <w14:solidFill>
                    <w14:schemeClr w14:val="tx1"/>
                  </w14:solidFill>
                </w14:textFill>
              </w:rPr>
              <w:t>原料</w:t>
            </w:r>
            <w:r>
              <w:rPr>
                <w:bCs/>
                <w:color w:val="000000" w:themeColor="text1"/>
                <w:sz w:val="24"/>
                <w:highlight w:val="none"/>
                <w14:textFill>
                  <w14:solidFill>
                    <w14:schemeClr w14:val="tx1"/>
                  </w14:solidFill>
                </w14:textFill>
              </w:rPr>
              <w:t>烧结过程中可进行自燃。</w:t>
            </w:r>
          </w:p>
          <w:p w14:paraId="150A37DE">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通过隧道窑内部烟道，有风口进行炉窑内干净气体和烟气的供给和调配，使隧道窑运行时自然形成微负压状态。</w:t>
            </w:r>
          </w:p>
          <w:p w14:paraId="7F69BC41">
            <w:pPr>
              <w:pStyle w:val="52"/>
              <w:spacing w:line="480" w:lineRule="exact"/>
              <w:ind w:firstLine="48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窑车吹扫：焙烧烘干车间设有2处窑车吹扫工位，东北侧1处、西侧1处，根据生产情况对窑车表面的粉尘进行清理。吹扫过程实际是利用脉冲布袋除尘器的风机吸风将窑车上的粉尘吸除。窑车吹扫工位封闭设集气管道。</w:t>
            </w:r>
          </w:p>
          <w:p w14:paraId="0389C1A6">
            <w:pPr>
              <w:pStyle w:val="52"/>
              <w:spacing w:line="480" w:lineRule="exac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：点火时产生的天然气燃烧烟气及煤矸石</w:t>
            </w:r>
            <w:r>
              <w:rPr>
                <w:rFonts w:hint="eastAsia"/>
                <w:b/>
                <w:bCs/>
                <w:color w:val="000000" w:themeColor="text1"/>
                <w:sz w:val="24"/>
                <w:highlight w:val="none"/>
                <w14:textFill>
                  <w14:solidFill>
                    <w14:schemeClr w14:val="tx1"/>
                  </w14:solidFill>
                </w14:textFill>
              </w:rPr>
              <w:t>和炉渣</w:t>
            </w:r>
            <w:r>
              <w:rPr>
                <w:b/>
                <w:bCs/>
                <w:color w:val="000000" w:themeColor="text1"/>
                <w:sz w:val="24"/>
                <w:highlight w:val="none"/>
                <w14:textFill>
                  <w14:solidFill>
                    <w14:schemeClr w14:val="tx1"/>
                  </w14:solidFill>
                </w14:textFill>
              </w:rPr>
              <w:t>自身燃烧产生的烟气，统称为隧道窑废气（G</w:t>
            </w:r>
            <w:r>
              <w:rPr>
                <w:rFonts w:hint="eastAsia"/>
                <w:b/>
                <w:bCs/>
                <w:color w:val="000000" w:themeColor="text1"/>
                <w:sz w:val="24"/>
                <w:highlight w:val="none"/>
                <w14:textFill>
                  <w14:solidFill>
                    <w14:schemeClr w14:val="tx1"/>
                  </w14:solidFill>
                </w14:textFill>
              </w:rPr>
              <w:t>7</w:t>
            </w:r>
            <w:r>
              <w:rPr>
                <w:b/>
                <w:bCs/>
                <w:color w:val="000000" w:themeColor="text1"/>
                <w:sz w:val="24"/>
                <w:highlight w:val="none"/>
                <w14:textFill>
                  <w14:solidFill>
                    <w14:schemeClr w14:val="tx1"/>
                  </w14:solidFill>
                </w14:textFill>
              </w:rPr>
              <w:t>）；窑车吹扫时产生的废气（G</w:t>
            </w:r>
            <w:r>
              <w:rPr>
                <w:rFonts w:hint="eastAsia"/>
                <w:b/>
                <w:bCs/>
                <w:color w:val="000000" w:themeColor="text1"/>
                <w:sz w:val="24"/>
                <w:highlight w:val="none"/>
                <w14:textFill>
                  <w14:solidFill>
                    <w14:schemeClr w14:val="tx1"/>
                  </w14:solidFill>
                </w14:textFill>
              </w:rPr>
              <w:t>8</w:t>
            </w:r>
            <w:r>
              <w:rPr>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隧道窑</w:t>
            </w:r>
            <w:r>
              <w:rPr>
                <w:rFonts w:hint="eastAsia"/>
                <w:b/>
                <w:bCs/>
                <w:color w:val="000000" w:themeColor="text1"/>
                <w:sz w:val="24"/>
                <w:highlight w:val="none"/>
                <w14:textFill>
                  <w14:solidFill>
                    <w14:schemeClr w14:val="tx1"/>
                  </w14:solidFill>
                </w14:textFill>
              </w:rPr>
              <w:t>风机、除尘风机运行噪声（N12~N13）</w:t>
            </w:r>
            <w:r>
              <w:rPr>
                <w:b/>
                <w:bCs/>
                <w:color w:val="000000" w:themeColor="text1"/>
                <w:sz w:val="24"/>
                <w:highlight w:val="none"/>
                <w14:textFill>
                  <w14:solidFill>
                    <w14:schemeClr w14:val="tx1"/>
                  </w14:solidFill>
                </w14:textFill>
              </w:rPr>
              <w:t>。</w:t>
            </w:r>
          </w:p>
          <w:p w14:paraId="5CEC9887">
            <w:pPr>
              <w:pStyle w:val="52"/>
              <w:spacing w:line="480" w:lineRule="exact"/>
              <w:ind w:firstLine="482"/>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1.6成品检验</w:t>
            </w:r>
          </w:p>
          <w:p w14:paraId="0BCE8F1F">
            <w:pPr>
              <w:pStyle w:val="52"/>
              <w:spacing w:line="480" w:lineRule="exact"/>
              <w:ind w:firstLine="480"/>
              <w:jc w:val="left"/>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烧制好的页岩砖装载窑车上，由牵引机拉出，</w:t>
            </w:r>
            <w:r>
              <w:rPr>
                <w:rFonts w:hint="eastAsia"/>
                <w:bCs/>
                <w:color w:val="000000" w:themeColor="text1"/>
                <w:sz w:val="24"/>
                <w:highlight w:val="none"/>
                <w14:textFill>
                  <w14:solidFill>
                    <w14:schemeClr w14:val="tx1"/>
                  </w14:solidFill>
                </w14:textFill>
              </w:rPr>
              <w:t>由电动</w:t>
            </w:r>
            <w:r>
              <w:rPr>
                <w:bCs/>
                <w:color w:val="000000" w:themeColor="text1"/>
                <w:sz w:val="24"/>
                <w:highlight w:val="none"/>
                <w14:textFill>
                  <w14:solidFill>
                    <w14:schemeClr w14:val="tx1"/>
                  </w14:solidFill>
                </w14:textFill>
              </w:rPr>
              <w:t>摆渡车运到卸车区，同时对砖的质量进行</w:t>
            </w:r>
            <w:r>
              <w:rPr>
                <w:rFonts w:hint="eastAsia"/>
                <w:bCs/>
                <w:color w:val="000000" w:themeColor="text1"/>
                <w:sz w:val="24"/>
                <w:highlight w:val="none"/>
                <w:lang w:val="en-US" w:eastAsia="zh-CN"/>
                <w14:textFill>
                  <w14:solidFill>
                    <w14:schemeClr w14:val="tx1"/>
                  </w14:solidFill>
                </w14:textFill>
              </w:rPr>
              <w:t>检验</w:t>
            </w:r>
            <w:r>
              <w:rPr>
                <w:bCs/>
                <w:color w:val="000000" w:themeColor="text1"/>
                <w:sz w:val="24"/>
                <w:highlight w:val="none"/>
                <w14:textFill>
                  <w14:solidFill>
                    <w14:schemeClr w14:val="tx1"/>
                  </w14:solidFill>
                </w14:textFill>
              </w:rPr>
              <w:t>，而后运往成品堆场待售。</w:t>
            </w:r>
            <w:r>
              <w:rPr>
                <w:rFonts w:hint="eastAsia"/>
                <w:bCs/>
                <w:color w:val="000000" w:themeColor="text1"/>
                <w:sz w:val="24"/>
                <w:highlight w:val="none"/>
                <w14:textFill>
                  <w14:solidFill>
                    <w14:schemeClr w14:val="tx1"/>
                  </w14:solidFill>
                </w14:textFill>
              </w:rPr>
              <w:t>废砖集中收集外售。</w:t>
            </w:r>
          </w:p>
          <w:p w14:paraId="012C40F0">
            <w:pPr>
              <w:pStyle w:val="52"/>
              <w:spacing w:line="480" w:lineRule="exact"/>
              <w:ind w:firstLine="482"/>
              <w:jc w:val="lef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：检验产生的废砖</w:t>
            </w:r>
            <w:r>
              <w:rPr>
                <w:rFonts w:hint="eastAsia"/>
                <w:b/>
                <w:bCs/>
                <w:color w:val="000000" w:themeColor="text1"/>
                <w:sz w:val="24"/>
                <w:highlight w:val="none"/>
                <w14:textFill>
                  <w14:solidFill>
                    <w14:schemeClr w14:val="tx1"/>
                  </w14:solidFill>
                </w14:textFill>
              </w:rPr>
              <w:t>（S2）</w:t>
            </w:r>
            <w:r>
              <w:rPr>
                <w:b/>
                <w:bCs/>
                <w:color w:val="000000" w:themeColor="text1"/>
                <w:sz w:val="24"/>
                <w:highlight w:val="none"/>
                <w14:textFill>
                  <w14:solidFill>
                    <w14:schemeClr w14:val="tx1"/>
                  </w14:solidFill>
                </w14:textFill>
              </w:rPr>
              <w:t>。</w:t>
            </w:r>
          </w:p>
          <w:p w14:paraId="08CAC54E">
            <w:pPr>
              <w:pStyle w:val="52"/>
              <w:spacing w:line="480" w:lineRule="exact"/>
              <w:ind w:firstLine="482"/>
              <w:rPr>
                <w:b/>
                <w:bCs/>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1.7</w:t>
            </w:r>
            <w:r>
              <w:rPr>
                <w:b/>
                <w:bCs/>
                <w:color w:val="000000" w:themeColor="text1"/>
                <w:sz w:val="24"/>
                <w:highlight w:val="none"/>
                <w14:textFill>
                  <w14:solidFill>
                    <w14:schemeClr w14:val="tx1"/>
                  </w14:solidFill>
                </w14:textFill>
              </w:rPr>
              <w:t>辅助及环保工程</w:t>
            </w:r>
          </w:p>
          <w:p w14:paraId="65658B7A">
            <w:pPr>
              <w:pStyle w:val="52"/>
              <w:spacing w:line="460" w:lineRule="exact"/>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⑴废气污染物治理</w:t>
            </w:r>
          </w:p>
          <w:p w14:paraId="336B0DD0">
            <w:pPr>
              <w:pStyle w:val="52"/>
              <w:spacing w:line="46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煤矸石、页岩装卸、堆存过程中产生的废气（G1），主要为颗粒物，在原料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内安装喷淋抑尘及雾炮抑尘装置，以减少颗粒物无组织排放；</w:t>
            </w:r>
            <w:r>
              <w:rPr>
                <w:color w:val="000000" w:themeColor="text1"/>
                <w:sz w:val="24"/>
                <w:highlight w:val="none"/>
                <w14:textFill>
                  <w14:solidFill>
                    <w14:schemeClr w14:val="tx1"/>
                  </w14:solidFill>
                </w14:textFill>
              </w:rPr>
              <w:t>运输车辆由洗车平台进行车身清洗，以降低车辆运输粉尘</w:t>
            </w:r>
            <w:r>
              <w:rPr>
                <w:rFonts w:hint="eastAsia"/>
                <w:color w:val="000000" w:themeColor="text1"/>
                <w:sz w:val="24"/>
                <w:highlight w:val="none"/>
                <w14:textFill>
                  <w14:solidFill>
                    <w14:schemeClr w14:val="tx1"/>
                  </w14:solidFill>
                </w14:textFill>
              </w:rPr>
              <w:t>；</w:t>
            </w:r>
          </w:p>
          <w:p w14:paraId="1B7D98FE">
            <w:pPr>
              <w:pStyle w:val="52"/>
              <w:spacing w:line="48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污泥存储时产生的恶臭气体（G</w:t>
            </w:r>
            <w:r>
              <w:rPr>
                <w:rFonts w:hint="eastAsia"/>
                <w:bCs/>
                <w:color w:val="000000" w:themeColor="text1"/>
                <w:sz w:val="24"/>
                <w:highlight w:val="none"/>
                <w14:textFill>
                  <w14:solidFill>
                    <w14:schemeClr w14:val="tx1"/>
                  </w14:solidFill>
                </w14:textFill>
              </w:rPr>
              <w:t>9</w:t>
            </w:r>
            <w:r>
              <w:rPr>
                <w:bCs/>
                <w:color w:val="000000" w:themeColor="text1"/>
                <w:sz w:val="24"/>
                <w:highlight w:val="none"/>
                <w14:textFill>
                  <w14:solidFill>
                    <w14:schemeClr w14:val="tx1"/>
                  </w14:solidFill>
                </w14:textFill>
              </w:rPr>
              <w:t>），主要为氨、硫化氢、臭气浓度，</w:t>
            </w:r>
            <w:r>
              <w:rPr>
                <w:rFonts w:hint="eastAsia"/>
                <w:bCs/>
                <w:color w:val="000000" w:themeColor="text1"/>
                <w:sz w:val="24"/>
                <w:highlight w:val="none"/>
                <w14:textFill>
                  <w14:solidFill>
                    <w14:schemeClr w14:val="tx1"/>
                  </w14:solidFill>
                </w14:textFill>
              </w:rPr>
              <w:t>现有污泥库和本项目新建污泥库恶臭气体采用封闭、抽风微</w:t>
            </w:r>
            <w:r>
              <w:rPr>
                <w:bCs/>
                <w:color w:val="000000" w:themeColor="text1"/>
                <w:sz w:val="24"/>
                <w:highlight w:val="none"/>
                <w14:textFill>
                  <w14:solidFill>
                    <w14:schemeClr w14:val="tx1"/>
                  </w14:solidFill>
                </w14:textFill>
              </w:rPr>
              <w:t>负压收集，正常生产时将恶臭气体引至1#隧道窑进行高温焙烧处理，随隧道窑废气经过现有环保工程</w:t>
            </w:r>
            <w:r>
              <w:rPr>
                <w:rFonts w:hint="eastAsia"/>
                <w:bCs/>
                <w:color w:val="000000" w:themeColor="text1"/>
                <w:sz w:val="24"/>
                <w:highlight w:val="none"/>
                <w14:textFill>
                  <w14:solidFill>
                    <w14:schemeClr w14:val="tx1"/>
                  </w14:solidFill>
                </w14:textFill>
              </w:rPr>
              <w:t>处理</w:t>
            </w:r>
            <w:r>
              <w:rPr>
                <w:bCs/>
                <w:color w:val="000000" w:themeColor="text1"/>
                <w:sz w:val="24"/>
                <w:highlight w:val="none"/>
                <w14:textFill>
                  <w14:solidFill>
                    <w14:schemeClr w14:val="tx1"/>
                  </w14:solidFill>
                </w14:textFill>
              </w:rPr>
              <w:t>后经38m高排气筒排放。隧道窑停工时将恶臭气体引至两级活性炭吸附装置处理，</w:t>
            </w:r>
            <w:r>
              <w:rPr>
                <w:rFonts w:hint="eastAsia"/>
                <w:bCs/>
                <w:color w:val="000000" w:themeColor="text1"/>
                <w:sz w:val="24"/>
                <w:highlight w:val="none"/>
                <w14:textFill>
                  <w14:solidFill>
                    <w14:schemeClr w14:val="tx1"/>
                  </w14:solidFill>
                </w14:textFill>
              </w:rPr>
              <w:t>本次改扩建新增污泥库与现有污泥库共用1套，更换现有除臭装置，处理后的废气</w:t>
            </w:r>
            <w:r>
              <w:rPr>
                <w:bCs/>
                <w:color w:val="000000" w:themeColor="text1"/>
                <w:sz w:val="24"/>
                <w:highlight w:val="none"/>
                <w14:textFill>
                  <w14:solidFill>
                    <w14:schemeClr w14:val="tx1"/>
                  </w14:solidFill>
                </w14:textFill>
              </w:rPr>
              <w:t>经1根15m高排气筒排放；</w:t>
            </w:r>
          </w:p>
          <w:p w14:paraId="362C5E8F">
            <w:pPr>
              <w:pStyle w:val="52"/>
              <w:spacing w:line="48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破碎时原料上料，皮带输送机受料及卸料，颚式破碎机、锤式破碎机、圆滚筛、搅拌机进料、出料时产生的废气（G2</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G</w:t>
            </w:r>
            <w:r>
              <w:rPr>
                <w:rFonts w:hint="eastAsia"/>
                <w:bCs/>
                <w:color w:val="000000" w:themeColor="text1"/>
                <w:sz w:val="24"/>
                <w:highlight w:val="none"/>
                <w14:textFill>
                  <w14:solidFill>
                    <w14:schemeClr w14:val="tx1"/>
                  </w14:solidFill>
                </w14:textFill>
              </w:rPr>
              <w:t>6</w:t>
            </w:r>
            <w:r>
              <w:rPr>
                <w:bCs/>
                <w:color w:val="000000" w:themeColor="text1"/>
                <w:sz w:val="24"/>
                <w:highlight w:val="none"/>
                <w14:textFill>
                  <w14:solidFill>
                    <w14:schemeClr w14:val="tx1"/>
                  </w14:solidFill>
                </w14:textFill>
              </w:rPr>
              <w:t>），主要为颗粒物。页岩</w:t>
            </w:r>
            <w:r>
              <w:rPr>
                <w:rFonts w:hint="eastAsia"/>
                <w:bCs/>
                <w:color w:val="000000" w:themeColor="text1"/>
                <w:sz w:val="24"/>
                <w:highlight w:val="none"/>
                <w14:textFill>
                  <w14:solidFill>
                    <w14:schemeClr w14:val="tx1"/>
                  </w14:solidFill>
                </w14:textFill>
              </w:rPr>
              <w:t>、煤矸石等原料</w:t>
            </w:r>
            <w:r>
              <w:rPr>
                <w:bCs/>
                <w:color w:val="000000" w:themeColor="text1"/>
                <w:sz w:val="24"/>
                <w:highlight w:val="none"/>
                <w14:textFill>
                  <w14:solidFill>
                    <w14:schemeClr w14:val="tx1"/>
                  </w14:solidFill>
                </w14:textFill>
              </w:rPr>
              <w:t>上料口采取三面封闭+喷淋，上部均设置集气罩进行收集；下料口均设置全封闭集气罩+引风管；颚式破碎机、锤式破碎机、圆滚筛、搅拌机均封闭处理+集尘管；</w:t>
            </w:r>
            <w:r>
              <w:rPr>
                <w:rFonts w:hint="eastAsia"/>
                <w:bCs/>
                <w:color w:val="000000" w:themeColor="text1"/>
                <w:sz w:val="24"/>
                <w:highlight w:val="none"/>
                <w14:textFill>
                  <w14:solidFill>
                    <w14:schemeClr w14:val="tx1"/>
                  </w14:solidFill>
                </w14:textFill>
              </w:rPr>
              <w:t>煤矸石储料仓封闭设集尘管；</w:t>
            </w:r>
            <w:r>
              <w:rPr>
                <w:bCs/>
                <w:color w:val="000000" w:themeColor="text1"/>
                <w:sz w:val="24"/>
                <w:highlight w:val="none"/>
                <w14:textFill>
                  <w14:solidFill>
                    <w14:schemeClr w14:val="tx1"/>
                  </w14:solidFill>
                </w14:textFill>
              </w:rPr>
              <w:t>皮带通廊全封闭；皮带转运点均设置集气罩，将上述废气收集引至1#、2#脉冲布袋除尘器进行处理后经15m高排气筒（DA00</w:t>
            </w:r>
            <w:r>
              <w:rPr>
                <w:rFonts w:hint="eastAsia"/>
                <w:bCs/>
                <w:color w:val="000000" w:themeColor="text1"/>
                <w:sz w:val="24"/>
                <w:highlight w:val="none"/>
                <w14:textFill>
                  <w14:solidFill>
                    <w14:schemeClr w14:val="tx1"/>
                  </w14:solidFill>
                </w14:textFill>
              </w:rPr>
              <w:t>1</w:t>
            </w:r>
            <w:r>
              <w:rPr>
                <w:bCs/>
                <w:color w:val="000000" w:themeColor="text1"/>
                <w:sz w:val="24"/>
                <w:highlight w:val="none"/>
                <w14:textFill>
                  <w14:solidFill>
                    <w14:schemeClr w14:val="tx1"/>
                  </w14:solidFill>
                </w14:textFill>
              </w:rPr>
              <w:t>、DA00</w:t>
            </w:r>
            <w:r>
              <w:rPr>
                <w:rFonts w:hint="eastAsia"/>
                <w:bCs/>
                <w:color w:val="000000" w:themeColor="text1"/>
                <w:sz w:val="24"/>
                <w:highlight w:val="none"/>
                <w14:textFill>
                  <w14:solidFill>
                    <w14:schemeClr w14:val="tx1"/>
                  </w14:solidFill>
                </w14:textFill>
              </w:rPr>
              <w:t>2</w:t>
            </w:r>
            <w:r>
              <w:rPr>
                <w:bCs/>
                <w:color w:val="000000" w:themeColor="text1"/>
                <w:sz w:val="24"/>
                <w:highlight w:val="none"/>
                <w14:textFill>
                  <w14:solidFill>
                    <w14:schemeClr w14:val="tx1"/>
                  </w14:solidFill>
                </w14:textFill>
              </w:rPr>
              <w:t>）排放；</w:t>
            </w:r>
          </w:p>
          <w:p w14:paraId="7A59B13B">
            <w:pPr>
              <w:pStyle w:val="52"/>
              <w:spacing w:line="48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点火时产生的天然气燃烧烟气及煤矸石</w:t>
            </w:r>
            <w:r>
              <w:rPr>
                <w:rFonts w:hint="eastAsia"/>
                <w:bCs/>
                <w:color w:val="000000" w:themeColor="text1"/>
                <w:sz w:val="24"/>
                <w:highlight w:val="none"/>
                <w14:textFill>
                  <w14:solidFill>
                    <w14:schemeClr w14:val="tx1"/>
                  </w14:solidFill>
                </w14:textFill>
              </w:rPr>
              <w:t>和炉渣</w:t>
            </w:r>
            <w:r>
              <w:rPr>
                <w:bCs/>
                <w:color w:val="000000" w:themeColor="text1"/>
                <w:sz w:val="24"/>
                <w:highlight w:val="none"/>
                <w14:textFill>
                  <w14:solidFill>
                    <w14:schemeClr w14:val="tx1"/>
                  </w14:solidFill>
                </w14:textFill>
              </w:rPr>
              <w:t>自身燃烧产生的烟气，统称为隧道窑废气（G</w:t>
            </w:r>
            <w:r>
              <w:rPr>
                <w:rFonts w:hint="eastAsia"/>
                <w:bCs/>
                <w:color w:val="000000" w:themeColor="text1"/>
                <w:sz w:val="24"/>
                <w:highlight w:val="none"/>
                <w14:textFill>
                  <w14:solidFill>
                    <w14:schemeClr w14:val="tx1"/>
                  </w14:solidFill>
                </w14:textFill>
              </w:rPr>
              <w:t>7</w:t>
            </w:r>
            <w:r>
              <w:rPr>
                <w:bCs/>
                <w:color w:val="000000" w:themeColor="text1"/>
                <w:sz w:val="24"/>
                <w:highlight w:val="none"/>
                <w14:textFill>
                  <w14:solidFill>
                    <w14:schemeClr w14:val="tx1"/>
                  </w14:solidFill>
                </w14:textFill>
              </w:rPr>
              <w:t>），主要为颗粒物、二氧化硫、氮氧化物、氟化物、氯化氢</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二噁英类</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汞及其化合物（以Hg计）</w:t>
            </w:r>
            <w:r>
              <w:rPr>
                <w:rFonts w:hint="eastAsia"/>
                <w:bCs/>
                <w:color w:val="000000" w:themeColor="text1"/>
                <w:sz w:val="24"/>
                <w:highlight w:val="none"/>
                <w14:textFill>
                  <w14:solidFill>
                    <w14:schemeClr w14:val="tx1"/>
                  </w14:solidFill>
                </w14:textFill>
              </w:rPr>
              <w:t>、镉、铊及其化合物</w:t>
            </w:r>
            <w:r>
              <w:rPr>
                <w:bCs/>
                <w:color w:val="000000" w:themeColor="text1"/>
                <w:sz w:val="24"/>
                <w:highlight w:val="none"/>
                <w14:textFill>
                  <w14:solidFill>
                    <w14:schemeClr w14:val="tx1"/>
                  </w14:solidFill>
                </w14:textFill>
              </w:rPr>
              <w:t>（以Cd+Tl计）</w:t>
            </w:r>
            <w:r>
              <w:rPr>
                <w:rFonts w:hint="eastAsia"/>
                <w:bCs/>
                <w:color w:val="000000" w:themeColor="text1"/>
                <w:sz w:val="24"/>
                <w:highlight w:val="none"/>
                <w14:textFill>
                  <w14:solidFill>
                    <w14:schemeClr w14:val="tx1"/>
                  </w14:solidFill>
                </w14:textFill>
              </w:rPr>
              <w:t>、锑、砷、铅、铬、钴、铜、锰、镍及其化合物</w:t>
            </w:r>
            <w:r>
              <w:rPr>
                <w:bCs/>
                <w:color w:val="000000" w:themeColor="text1"/>
                <w:sz w:val="24"/>
                <w:highlight w:val="none"/>
                <w14:textFill>
                  <w14:solidFill>
                    <w14:schemeClr w14:val="tx1"/>
                  </w14:solidFill>
                </w14:textFill>
              </w:rPr>
              <w:t>（以Sb+As+Pb+Cr+Co+Cu+Mn+Ni计），</w:t>
            </w:r>
            <w:r>
              <w:rPr>
                <w:rFonts w:hint="eastAsia"/>
                <w:bCs/>
                <w:color w:val="000000" w:themeColor="text1"/>
                <w:sz w:val="24"/>
                <w:highlight w:val="none"/>
                <w:lang w:val="en-US" w:eastAsia="zh-CN"/>
                <w14:textFill>
                  <w14:solidFill>
                    <w14:schemeClr w14:val="tx1"/>
                  </w14:solidFill>
                </w14:textFill>
              </w:rPr>
              <w:t>烟气经SNCR脱硝+</w:t>
            </w:r>
            <w:r>
              <w:rPr>
                <w:bCs/>
                <w:color w:val="000000" w:themeColor="text1"/>
                <w:sz w:val="24"/>
                <w:highlight w:val="none"/>
                <w14:textFill>
                  <w14:solidFill>
                    <w14:schemeClr w14:val="tx1"/>
                  </w14:solidFill>
                </w14:textFill>
              </w:rPr>
              <w:t>石灰-石膏法脱硫+湿式电除尘处理</w:t>
            </w:r>
            <w:r>
              <w:rPr>
                <w:rFonts w:hint="eastAsia"/>
                <w:bCs/>
                <w:color w:val="000000" w:themeColor="text1"/>
                <w:sz w:val="24"/>
                <w:highlight w:val="none"/>
                <w14:textFill>
                  <w14:solidFill>
                    <w14:schemeClr w14:val="tx1"/>
                  </w14:solidFill>
                </w14:textFill>
              </w:rPr>
              <w:t>（1#、2#隧道窑共用1套</w:t>
            </w:r>
            <w:r>
              <w:rPr>
                <w:rFonts w:hint="eastAsia"/>
                <w:bCs/>
                <w:color w:val="000000" w:themeColor="text1"/>
                <w:sz w:val="24"/>
                <w:highlight w:val="none"/>
                <w:lang w:val="en-US" w:eastAsia="zh-CN"/>
                <w14:textFill>
                  <w14:solidFill>
                    <w14:schemeClr w14:val="tx1"/>
                  </w14:solidFill>
                </w14:textFill>
              </w:rPr>
              <w:t>脱硝、</w:t>
            </w:r>
            <w:r>
              <w:rPr>
                <w:rFonts w:hint="eastAsia"/>
                <w:bCs/>
                <w:color w:val="000000" w:themeColor="text1"/>
                <w:sz w:val="24"/>
                <w:highlight w:val="none"/>
                <w14:textFill>
                  <w14:solidFill>
                    <w14:schemeClr w14:val="tx1"/>
                  </w14:solidFill>
                </w14:textFill>
              </w:rPr>
              <w:t>脱硫、除尘，3#、4#隧道窑共用1套</w:t>
            </w:r>
            <w:r>
              <w:rPr>
                <w:rFonts w:hint="eastAsia"/>
                <w:bCs/>
                <w:color w:val="000000" w:themeColor="text1"/>
                <w:sz w:val="24"/>
                <w:highlight w:val="none"/>
                <w:lang w:val="en-US" w:eastAsia="zh-CN"/>
                <w14:textFill>
                  <w14:solidFill>
                    <w14:schemeClr w14:val="tx1"/>
                  </w14:solidFill>
                </w14:textFill>
              </w:rPr>
              <w:t>脱硝、</w:t>
            </w:r>
            <w:r>
              <w:rPr>
                <w:rFonts w:hint="eastAsia"/>
                <w:bCs/>
                <w:color w:val="000000" w:themeColor="text1"/>
                <w:sz w:val="24"/>
                <w:highlight w:val="none"/>
                <w14:textFill>
                  <w14:solidFill>
                    <w14:schemeClr w14:val="tx1"/>
                  </w14:solidFill>
                </w14:textFill>
              </w:rPr>
              <w:t>脱硫、除尘）</w:t>
            </w:r>
            <w:r>
              <w:rPr>
                <w:bCs/>
                <w:color w:val="000000" w:themeColor="text1"/>
                <w:sz w:val="24"/>
                <w:highlight w:val="none"/>
                <w14:textFill>
                  <w14:solidFill>
                    <w14:schemeClr w14:val="tx1"/>
                  </w14:solidFill>
                </w14:textFill>
              </w:rPr>
              <w:t>后，</w:t>
            </w:r>
            <w:r>
              <w:rPr>
                <w:rFonts w:hint="eastAsia"/>
                <w:bCs/>
                <w:color w:val="000000" w:themeColor="text1"/>
                <w:sz w:val="24"/>
                <w:highlight w:val="none"/>
                <w14:textFill>
                  <w14:solidFill>
                    <w14:schemeClr w14:val="tx1"/>
                  </w14:solidFill>
                </w14:textFill>
              </w:rPr>
              <w:t>分别</w:t>
            </w:r>
            <w:r>
              <w:rPr>
                <w:bCs/>
                <w:color w:val="000000" w:themeColor="text1"/>
                <w:sz w:val="24"/>
                <w:highlight w:val="none"/>
                <w14:textFill>
                  <w14:solidFill>
                    <w14:schemeClr w14:val="tx1"/>
                  </w14:solidFill>
                </w14:textFill>
              </w:rPr>
              <w:t>经38m高排气筒（DA00</w:t>
            </w:r>
            <w:r>
              <w:rPr>
                <w:rFonts w:hint="eastAsia"/>
                <w:bCs/>
                <w:color w:val="000000" w:themeColor="text1"/>
                <w:sz w:val="24"/>
                <w:highlight w:val="none"/>
                <w14:textFill>
                  <w14:solidFill>
                    <w14:schemeClr w14:val="tx1"/>
                  </w14:solidFill>
                </w14:textFill>
              </w:rPr>
              <w:t>3</w:t>
            </w:r>
            <w:r>
              <w:rPr>
                <w:bCs/>
                <w:color w:val="000000" w:themeColor="text1"/>
                <w:sz w:val="24"/>
                <w:highlight w:val="none"/>
                <w14:textFill>
                  <w14:solidFill>
                    <w14:schemeClr w14:val="tx1"/>
                  </w14:solidFill>
                </w14:textFill>
              </w:rPr>
              <w:t>、DA00</w:t>
            </w:r>
            <w:r>
              <w:rPr>
                <w:rFonts w:hint="eastAsia"/>
                <w:bCs/>
                <w:color w:val="000000" w:themeColor="text1"/>
                <w:sz w:val="24"/>
                <w:highlight w:val="none"/>
                <w14:textFill>
                  <w14:solidFill>
                    <w14:schemeClr w14:val="tx1"/>
                  </w14:solidFill>
                </w14:textFill>
              </w:rPr>
              <w:t>4</w:t>
            </w:r>
            <w:r>
              <w:rPr>
                <w:bCs/>
                <w:color w:val="000000" w:themeColor="text1"/>
                <w:sz w:val="24"/>
                <w:highlight w:val="none"/>
                <w14:textFill>
                  <w14:solidFill>
                    <w14:schemeClr w14:val="tx1"/>
                  </w14:solidFill>
                </w14:textFill>
              </w:rPr>
              <w:t>）排放；</w:t>
            </w:r>
          </w:p>
          <w:p w14:paraId="2D68E5AF">
            <w:pPr>
              <w:pStyle w:val="52"/>
              <w:spacing w:line="48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窑车吹扫时产生的废气（G</w:t>
            </w:r>
            <w:r>
              <w:rPr>
                <w:rFonts w:hint="eastAsia"/>
                <w:bCs/>
                <w:color w:val="000000" w:themeColor="text1"/>
                <w:sz w:val="24"/>
                <w:highlight w:val="none"/>
                <w14:textFill>
                  <w14:solidFill>
                    <w14:schemeClr w14:val="tx1"/>
                  </w14:solidFill>
                </w14:textFill>
              </w:rPr>
              <w:t>8</w:t>
            </w:r>
            <w:r>
              <w:rPr>
                <w:bCs/>
                <w:color w:val="000000" w:themeColor="text1"/>
                <w:sz w:val="24"/>
                <w:highlight w:val="none"/>
                <w14:textFill>
                  <w14:solidFill>
                    <w14:schemeClr w14:val="tx1"/>
                  </w14:solidFill>
                </w14:textFill>
              </w:rPr>
              <w:t>），主要为颗粒物，窑车</w:t>
            </w:r>
            <w:r>
              <w:rPr>
                <w:rFonts w:hint="eastAsia"/>
                <w:bCs/>
                <w:color w:val="000000" w:themeColor="text1"/>
                <w:sz w:val="24"/>
                <w:highlight w:val="none"/>
                <w14:textFill>
                  <w14:solidFill>
                    <w14:schemeClr w14:val="tx1"/>
                  </w14:solidFill>
                </w14:textFill>
              </w:rPr>
              <w:t>吹扫</w:t>
            </w:r>
            <w:r>
              <w:rPr>
                <w:bCs/>
                <w:color w:val="000000" w:themeColor="text1"/>
                <w:sz w:val="24"/>
                <w:highlight w:val="none"/>
                <w14:textFill>
                  <w14:solidFill>
                    <w14:schemeClr w14:val="tx1"/>
                  </w14:solidFill>
                </w14:textFill>
              </w:rPr>
              <w:t>工位固定</w:t>
            </w:r>
            <w:r>
              <w:rPr>
                <w:rFonts w:hint="eastAsia"/>
                <w:bCs/>
                <w:color w:val="000000" w:themeColor="text1"/>
                <w:sz w:val="24"/>
                <w:highlight w:val="none"/>
                <w14:textFill>
                  <w14:solidFill>
                    <w14:schemeClr w14:val="tx1"/>
                  </w14:solidFill>
                </w14:textFill>
              </w:rPr>
              <w:t>（东北部1处、西侧1处）</w:t>
            </w:r>
            <w:r>
              <w:rPr>
                <w:bCs/>
                <w:color w:val="000000" w:themeColor="text1"/>
                <w:sz w:val="24"/>
                <w:highlight w:val="none"/>
                <w14:textFill>
                  <w14:solidFill>
                    <w14:schemeClr w14:val="tx1"/>
                  </w14:solidFill>
                </w14:textFill>
              </w:rPr>
              <w:t>，全封闭设置，</w:t>
            </w:r>
            <w:r>
              <w:rPr>
                <w:rFonts w:hint="eastAsia"/>
                <w:bCs/>
                <w:color w:val="000000" w:themeColor="text1"/>
                <w:sz w:val="24"/>
                <w:highlight w:val="none"/>
                <w14:textFill>
                  <w14:solidFill>
                    <w14:schemeClr w14:val="tx1"/>
                  </w14:solidFill>
                </w14:textFill>
              </w:rPr>
              <w:t>废气</w:t>
            </w:r>
            <w:r>
              <w:rPr>
                <w:bCs/>
                <w:color w:val="000000" w:themeColor="text1"/>
                <w:sz w:val="24"/>
                <w:highlight w:val="none"/>
                <w14:textFill>
                  <w14:solidFill>
                    <w14:schemeClr w14:val="tx1"/>
                  </w14:solidFill>
                </w14:textFill>
              </w:rPr>
              <w:t>收集后经</w:t>
            </w:r>
            <w:r>
              <w:rPr>
                <w:rFonts w:hint="eastAsia"/>
                <w:bCs/>
                <w:color w:val="000000" w:themeColor="text1"/>
                <w:sz w:val="24"/>
                <w:highlight w:val="none"/>
                <w14:textFill>
                  <w14:solidFill>
                    <w14:schemeClr w14:val="tx1"/>
                  </w14:solidFill>
                </w14:textFill>
              </w:rPr>
              <w:t>2套</w:t>
            </w:r>
            <w:r>
              <w:rPr>
                <w:bCs/>
                <w:color w:val="000000" w:themeColor="text1"/>
                <w:sz w:val="24"/>
                <w:highlight w:val="none"/>
                <w14:textFill>
                  <w14:solidFill>
                    <w14:schemeClr w14:val="tx1"/>
                  </w14:solidFill>
                </w14:textFill>
              </w:rPr>
              <w:t>脉冲布袋除尘器处理后，</w:t>
            </w:r>
            <w:r>
              <w:rPr>
                <w:rFonts w:hint="eastAsia"/>
                <w:bCs/>
                <w:color w:val="000000" w:themeColor="text1"/>
                <w:sz w:val="24"/>
                <w:highlight w:val="none"/>
                <w14:textFill>
                  <w14:solidFill>
                    <w14:schemeClr w14:val="tx1"/>
                  </w14:solidFill>
                </w14:textFill>
              </w:rPr>
              <w:t>分别</w:t>
            </w:r>
            <w:r>
              <w:rPr>
                <w:bCs/>
                <w:color w:val="000000" w:themeColor="text1"/>
                <w:sz w:val="24"/>
                <w:highlight w:val="none"/>
                <w14:textFill>
                  <w14:solidFill>
                    <w14:schemeClr w14:val="tx1"/>
                  </w14:solidFill>
                </w14:textFill>
              </w:rPr>
              <w:t>经15m高排气筒（DA00</w:t>
            </w:r>
            <w:r>
              <w:rPr>
                <w:rFonts w:hint="eastAsia"/>
                <w:bCs/>
                <w:color w:val="000000" w:themeColor="text1"/>
                <w:sz w:val="24"/>
                <w:highlight w:val="none"/>
                <w14:textFill>
                  <w14:solidFill>
                    <w14:schemeClr w14:val="tx1"/>
                  </w14:solidFill>
                </w14:textFill>
              </w:rPr>
              <w:t>5</w:t>
            </w:r>
            <w:r>
              <w:rPr>
                <w:bCs/>
                <w:color w:val="000000" w:themeColor="text1"/>
                <w:sz w:val="24"/>
                <w:highlight w:val="none"/>
                <w14:textFill>
                  <w14:solidFill>
                    <w14:schemeClr w14:val="tx1"/>
                  </w14:solidFill>
                </w14:textFill>
              </w:rPr>
              <w:t>、DA00</w:t>
            </w:r>
            <w:r>
              <w:rPr>
                <w:rFonts w:hint="eastAsia"/>
                <w:bCs/>
                <w:color w:val="000000" w:themeColor="text1"/>
                <w:sz w:val="24"/>
                <w:highlight w:val="none"/>
                <w14:textFill>
                  <w14:solidFill>
                    <w14:schemeClr w14:val="tx1"/>
                  </w14:solidFill>
                </w14:textFill>
              </w:rPr>
              <w:t>6</w:t>
            </w:r>
            <w:r>
              <w:rPr>
                <w:bCs/>
                <w:color w:val="000000" w:themeColor="text1"/>
                <w:sz w:val="24"/>
                <w:highlight w:val="none"/>
                <w14:textFill>
                  <w14:solidFill>
                    <w14:schemeClr w14:val="tx1"/>
                  </w14:solidFill>
                </w14:textFill>
              </w:rPr>
              <w:t>）排放。</w:t>
            </w:r>
          </w:p>
          <w:p w14:paraId="0D6A5CDF">
            <w:pPr>
              <w:pStyle w:val="52"/>
              <w:spacing w:line="480" w:lineRule="exact"/>
              <w:ind w:firstLine="48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⑵废水污染物治理</w:t>
            </w:r>
          </w:p>
          <w:p w14:paraId="6A2805BB">
            <w:pPr>
              <w:pStyle w:val="52"/>
              <w:spacing w:line="48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废水污染源主要为：设备清洗废水</w:t>
            </w:r>
            <w:r>
              <w:rPr>
                <w:rFonts w:hint="eastAsia"/>
                <w:bCs/>
                <w:color w:val="000000" w:themeColor="text1"/>
                <w:sz w:val="24"/>
                <w:highlight w:val="none"/>
                <w14:textFill>
                  <w14:solidFill>
                    <w14:schemeClr w14:val="tx1"/>
                  </w14:solidFill>
                </w14:textFill>
              </w:rPr>
              <w:t>（W1）</w:t>
            </w:r>
            <w:r>
              <w:rPr>
                <w:bCs/>
                <w:color w:val="000000" w:themeColor="text1"/>
                <w:sz w:val="24"/>
                <w:highlight w:val="none"/>
                <w14:textFill>
                  <w14:solidFill>
                    <w14:schemeClr w14:val="tx1"/>
                  </w14:solidFill>
                </w14:textFill>
              </w:rPr>
              <w:t>、脱硫废水</w:t>
            </w:r>
            <w:r>
              <w:rPr>
                <w:rFonts w:hint="eastAsia"/>
                <w:bCs/>
                <w:color w:val="000000" w:themeColor="text1"/>
                <w:sz w:val="24"/>
                <w:highlight w:val="none"/>
                <w14:textFill>
                  <w14:solidFill>
                    <w14:schemeClr w14:val="tx1"/>
                  </w14:solidFill>
                </w14:textFill>
              </w:rPr>
              <w:t>（W2）</w:t>
            </w:r>
            <w:r>
              <w:rPr>
                <w:bCs/>
                <w:color w:val="000000" w:themeColor="text1"/>
                <w:sz w:val="24"/>
                <w:highlight w:val="none"/>
                <w14:textFill>
                  <w14:solidFill>
                    <w14:schemeClr w14:val="tx1"/>
                  </w14:solidFill>
                </w14:textFill>
              </w:rPr>
              <w:t>、洗车</w:t>
            </w:r>
            <w:r>
              <w:rPr>
                <w:rFonts w:hint="eastAsia"/>
                <w:bCs/>
                <w:color w:val="000000" w:themeColor="text1"/>
                <w:sz w:val="24"/>
                <w:highlight w:val="none"/>
                <w14:textFill>
                  <w14:solidFill>
                    <w14:schemeClr w14:val="tx1"/>
                  </w14:solidFill>
                </w14:textFill>
              </w:rPr>
              <w:t>平台</w:t>
            </w:r>
            <w:r>
              <w:rPr>
                <w:bCs/>
                <w:color w:val="000000" w:themeColor="text1"/>
                <w:sz w:val="24"/>
                <w:highlight w:val="none"/>
                <w14:textFill>
                  <w14:solidFill>
                    <w14:schemeClr w14:val="tx1"/>
                  </w14:solidFill>
                </w14:textFill>
              </w:rPr>
              <w:t>废水</w:t>
            </w:r>
            <w:r>
              <w:rPr>
                <w:rFonts w:hint="eastAsia"/>
                <w:bCs/>
                <w:color w:val="000000" w:themeColor="text1"/>
                <w:sz w:val="24"/>
                <w:highlight w:val="none"/>
                <w14:textFill>
                  <w14:solidFill>
                    <w14:schemeClr w14:val="tx1"/>
                  </w14:solidFill>
                </w14:textFill>
              </w:rPr>
              <w:t>（W3）</w:t>
            </w:r>
            <w:r>
              <w:rPr>
                <w:bCs/>
                <w:color w:val="000000" w:themeColor="text1"/>
                <w:sz w:val="24"/>
                <w:highlight w:val="none"/>
                <w14:textFill>
                  <w14:solidFill>
                    <w14:schemeClr w14:val="tx1"/>
                  </w14:solidFill>
                </w14:textFill>
              </w:rPr>
              <w:t>、职工生活产生的生活污水</w:t>
            </w:r>
            <w:r>
              <w:rPr>
                <w:rFonts w:hint="eastAsia"/>
                <w:bCs/>
                <w:color w:val="000000" w:themeColor="text1"/>
                <w:sz w:val="24"/>
                <w:highlight w:val="none"/>
                <w14:textFill>
                  <w14:solidFill>
                    <w14:schemeClr w14:val="tx1"/>
                  </w14:solidFill>
                </w14:textFill>
              </w:rPr>
              <w:t>（W4）。</w:t>
            </w:r>
          </w:p>
          <w:p w14:paraId="56A6E674">
            <w:pPr>
              <w:pStyle w:val="52"/>
              <w:spacing w:line="480" w:lineRule="exact"/>
              <w:ind w:firstLine="48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设备清洗废水经沉淀池沉淀后，回用于设备清洗</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脱硫废水经脱硫池沉淀后，回用于脱硫</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洗车过程中产生的废水经沉淀后回用于洗车</w:t>
            </w:r>
            <w:r>
              <w:rPr>
                <w:rFonts w:hint="eastAsia"/>
                <w:bCs/>
                <w:color w:val="000000" w:themeColor="text1"/>
                <w:sz w:val="24"/>
                <w:highlight w:val="none"/>
                <w14:textFill>
                  <w14:solidFill>
                    <w14:schemeClr w14:val="tx1"/>
                  </w14:solidFill>
                </w14:textFill>
              </w:rPr>
              <w:t>。生活污水</w:t>
            </w:r>
            <w:r>
              <w:rPr>
                <w:bCs/>
                <w:color w:val="000000" w:themeColor="text1"/>
                <w:sz w:val="24"/>
                <w:highlight w:val="none"/>
                <w14:textFill>
                  <w14:solidFill>
                    <w14:schemeClr w14:val="tx1"/>
                  </w14:solidFill>
                </w14:textFill>
              </w:rPr>
              <w:t>泼洒厂区地面抑尘</w:t>
            </w:r>
            <w:r>
              <w:rPr>
                <w:rFonts w:hint="eastAsia"/>
                <w:bCs/>
                <w:color w:val="000000" w:themeColor="text1"/>
                <w:sz w:val="24"/>
                <w:highlight w:val="none"/>
                <w14:textFill>
                  <w14:solidFill>
                    <w14:schemeClr w14:val="tx1"/>
                  </w14:solidFill>
                </w14:textFill>
              </w:rPr>
              <w:t>。</w:t>
            </w:r>
          </w:p>
          <w:p w14:paraId="22BF32B1">
            <w:pPr>
              <w:pStyle w:val="52"/>
              <w:spacing w:line="480" w:lineRule="exact"/>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产污环节</w:t>
            </w:r>
            <w:r>
              <w:rPr>
                <w:b/>
                <w:bCs/>
                <w:color w:val="000000" w:themeColor="text1"/>
                <w:sz w:val="24"/>
                <w:highlight w:val="none"/>
                <w14:textFill>
                  <w14:solidFill>
                    <w14:schemeClr w14:val="tx1"/>
                  </w14:solidFill>
                </w14:textFill>
              </w:rPr>
              <w:t>：风机、空压机</w:t>
            </w:r>
            <w:r>
              <w:rPr>
                <w:rFonts w:hint="eastAsia"/>
                <w:b/>
                <w:bCs/>
                <w:color w:val="000000" w:themeColor="text1"/>
                <w:sz w:val="24"/>
                <w:highlight w:val="none"/>
                <w14:textFill>
                  <w14:solidFill>
                    <w14:schemeClr w14:val="tx1"/>
                  </w14:solidFill>
                </w14:textFill>
              </w:rPr>
              <w:t>（N14、N15）</w:t>
            </w:r>
            <w:r>
              <w:rPr>
                <w:b/>
                <w:bCs/>
                <w:color w:val="000000" w:themeColor="text1"/>
                <w:sz w:val="24"/>
                <w:highlight w:val="none"/>
                <w14:textFill>
                  <w14:solidFill>
                    <w14:schemeClr w14:val="tx1"/>
                  </w14:solidFill>
                </w14:textFill>
              </w:rPr>
              <w:t>运行产生的噪声；</w:t>
            </w:r>
            <w:r>
              <w:rPr>
                <w:rFonts w:hint="eastAsia"/>
                <w:b/>
                <w:bCs/>
                <w:color w:val="000000" w:themeColor="text1"/>
                <w:sz w:val="24"/>
                <w:highlight w:val="none"/>
                <w14:textFill>
                  <w14:solidFill>
                    <w14:schemeClr w14:val="tx1"/>
                  </w14:solidFill>
                </w14:textFill>
              </w:rPr>
              <w:t>脉冲</w:t>
            </w:r>
            <w:r>
              <w:rPr>
                <w:b/>
                <w:bCs/>
                <w:color w:val="000000" w:themeColor="text1"/>
                <w:sz w:val="24"/>
                <w:highlight w:val="none"/>
                <w14:textFill>
                  <w14:solidFill>
                    <w14:schemeClr w14:val="tx1"/>
                  </w14:solidFill>
                </w14:textFill>
              </w:rPr>
              <w:t>布袋除尘器收集的除尘灰</w:t>
            </w:r>
            <w:r>
              <w:rPr>
                <w:rFonts w:hint="eastAsia"/>
                <w:b/>
                <w:bCs/>
                <w:color w:val="000000" w:themeColor="text1"/>
                <w:sz w:val="24"/>
                <w:highlight w:val="none"/>
                <w14:textFill>
                  <w14:solidFill>
                    <w14:schemeClr w14:val="tx1"/>
                  </w14:solidFill>
                </w14:textFill>
              </w:rPr>
              <w:t>（S3）</w:t>
            </w:r>
            <w:r>
              <w:rPr>
                <w:b/>
                <w:bCs/>
                <w:color w:val="000000" w:themeColor="text1"/>
                <w:sz w:val="24"/>
                <w:highlight w:val="none"/>
                <w14:textFill>
                  <w14:solidFill>
                    <w14:schemeClr w14:val="tx1"/>
                  </w14:solidFill>
                </w14:textFill>
              </w:rPr>
              <w:t>、废滤袋</w:t>
            </w:r>
            <w:r>
              <w:rPr>
                <w:rFonts w:hint="eastAsia"/>
                <w:b/>
                <w:bCs/>
                <w:color w:val="000000" w:themeColor="text1"/>
                <w:sz w:val="24"/>
                <w:highlight w:val="none"/>
                <w14:textFill>
                  <w14:solidFill>
                    <w14:schemeClr w14:val="tx1"/>
                  </w14:solidFill>
                </w14:textFill>
              </w:rPr>
              <w:t>（S4）</w:t>
            </w:r>
            <w:r>
              <w:rPr>
                <w:b/>
                <w:bCs/>
                <w:color w:val="000000" w:themeColor="text1"/>
                <w:sz w:val="24"/>
                <w:highlight w:val="none"/>
                <w14:textFill>
                  <w14:solidFill>
                    <w14:schemeClr w14:val="tx1"/>
                  </w14:solidFill>
                </w14:textFill>
              </w:rPr>
              <w:t>、脱硫</w:t>
            </w:r>
            <w:r>
              <w:rPr>
                <w:rFonts w:hint="eastAsia"/>
                <w:b/>
                <w:bCs/>
                <w:color w:val="000000" w:themeColor="text1"/>
                <w:sz w:val="24"/>
                <w:highlight w:val="none"/>
                <w14:textFill>
                  <w14:solidFill>
                    <w14:schemeClr w14:val="tx1"/>
                  </w14:solidFill>
                </w14:textFill>
              </w:rPr>
              <w:t>除尘</w:t>
            </w:r>
            <w:r>
              <w:rPr>
                <w:b/>
                <w:bCs/>
                <w:color w:val="000000" w:themeColor="text1"/>
                <w:sz w:val="24"/>
                <w:highlight w:val="none"/>
                <w14:textFill>
                  <w14:solidFill>
                    <w14:schemeClr w14:val="tx1"/>
                  </w14:solidFill>
                </w14:textFill>
              </w:rPr>
              <w:t>设施产生的脱硫石膏</w:t>
            </w:r>
            <w:r>
              <w:rPr>
                <w:rFonts w:hint="eastAsia"/>
                <w:b/>
                <w:bCs/>
                <w:color w:val="000000" w:themeColor="text1"/>
                <w:sz w:val="24"/>
                <w:highlight w:val="none"/>
                <w14:textFill>
                  <w14:solidFill>
                    <w14:schemeClr w14:val="tx1"/>
                  </w14:solidFill>
                </w14:textFill>
              </w:rPr>
              <w:t>（S5）</w:t>
            </w:r>
            <w:r>
              <w:rPr>
                <w:b/>
                <w:bCs/>
                <w:color w:val="000000" w:themeColor="text1"/>
                <w:sz w:val="24"/>
                <w:highlight w:val="none"/>
                <w14:textFill>
                  <w14:solidFill>
                    <w14:schemeClr w14:val="tx1"/>
                  </w14:solidFill>
                </w14:textFill>
              </w:rPr>
              <w:t>、除尘灰浆</w:t>
            </w:r>
            <w:r>
              <w:rPr>
                <w:rFonts w:hint="eastAsia"/>
                <w:b/>
                <w:bCs/>
                <w:color w:val="000000" w:themeColor="text1"/>
                <w:sz w:val="24"/>
                <w:highlight w:val="none"/>
                <w14:textFill>
                  <w14:solidFill>
                    <w14:schemeClr w14:val="tx1"/>
                  </w14:solidFill>
                </w14:textFill>
              </w:rPr>
              <w:t>（S6）</w:t>
            </w:r>
            <w:r>
              <w:rPr>
                <w:b/>
                <w:bCs/>
                <w:color w:val="000000" w:themeColor="text1"/>
                <w:sz w:val="24"/>
                <w:highlight w:val="none"/>
                <w14:textFill>
                  <w14:solidFill>
                    <w14:schemeClr w14:val="tx1"/>
                  </w14:solidFill>
                </w14:textFill>
              </w:rPr>
              <w:t>、设备维修保养产生的废润滑油</w:t>
            </w:r>
            <w:r>
              <w:rPr>
                <w:rFonts w:hint="eastAsia"/>
                <w:b/>
                <w:bCs/>
                <w:color w:val="000000" w:themeColor="text1"/>
                <w:sz w:val="24"/>
                <w:highlight w:val="none"/>
                <w14:textFill>
                  <w14:solidFill>
                    <w14:schemeClr w14:val="tx1"/>
                  </w14:solidFill>
                </w14:textFill>
              </w:rPr>
              <w:t>（S7）</w:t>
            </w:r>
            <w:r>
              <w:rPr>
                <w:b/>
                <w:bCs/>
                <w:color w:val="000000" w:themeColor="text1"/>
                <w:sz w:val="24"/>
                <w:highlight w:val="none"/>
                <w14:textFill>
                  <w14:solidFill>
                    <w14:schemeClr w14:val="tx1"/>
                  </w14:solidFill>
                </w14:textFill>
              </w:rPr>
              <w:t>、废润滑油桶</w:t>
            </w:r>
            <w:r>
              <w:rPr>
                <w:rFonts w:hint="eastAsia"/>
                <w:b/>
                <w:bCs/>
                <w:color w:val="000000" w:themeColor="text1"/>
                <w:sz w:val="24"/>
                <w:highlight w:val="none"/>
                <w14:textFill>
                  <w14:solidFill>
                    <w14:schemeClr w14:val="tx1"/>
                  </w14:solidFill>
                </w14:textFill>
              </w:rPr>
              <w:t>（S8）</w:t>
            </w:r>
            <w:r>
              <w:rPr>
                <w:b/>
                <w:bCs/>
                <w:color w:val="000000" w:themeColor="text1"/>
                <w:sz w:val="24"/>
                <w:highlight w:val="none"/>
                <w14:textFill>
                  <w14:solidFill>
                    <w14:schemeClr w14:val="tx1"/>
                  </w14:solidFill>
                </w14:textFill>
              </w:rPr>
              <w:t>、恶臭气体除臭设施产生的废活性炭</w:t>
            </w:r>
            <w:r>
              <w:rPr>
                <w:rFonts w:hint="eastAsia"/>
                <w:b/>
                <w:bCs/>
                <w:color w:val="000000" w:themeColor="text1"/>
                <w:sz w:val="24"/>
                <w:highlight w:val="none"/>
                <w14:textFill>
                  <w14:solidFill>
                    <w14:schemeClr w14:val="tx1"/>
                  </w14:solidFill>
                </w14:textFill>
              </w:rPr>
              <w:t>（S9）、脱硫脱硝工序产生的废包装袋（S10）、洗车平台产生的污泥（S11）、铲车产生的废电瓶（S12）</w:t>
            </w:r>
            <w:r>
              <w:rPr>
                <w:b/>
                <w:bCs/>
                <w:color w:val="000000" w:themeColor="text1"/>
                <w:sz w:val="24"/>
                <w:highlight w:val="none"/>
                <w14:textFill>
                  <w14:solidFill>
                    <w14:schemeClr w14:val="tx1"/>
                  </w14:solidFill>
                </w14:textFill>
              </w:rPr>
              <w:t>以及职工生活过程产生的生活垃圾</w:t>
            </w:r>
            <w:r>
              <w:rPr>
                <w:rFonts w:hint="eastAsia"/>
                <w:b/>
                <w:bCs/>
                <w:color w:val="000000" w:themeColor="text1"/>
                <w:sz w:val="24"/>
                <w:highlight w:val="none"/>
                <w14:textFill>
                  <w14:solidFill>
                    <w14:schemeClr w14:val="tx1"/>
                  </w14:solidFill>
                </w14:textFill>
              </w:rPr>
              <w:t>（S13）</w:t>
            </w:r>
            <w:r>
              <w:rPr>
                <w:b/>
                <w:bCs/>
                <w:color w:val="000000" w:themeColor="text1"/>
                <w:sz w:val="24"/>
                <w:highlight w:val="none"/>
                <w14:textFill>
                  <w14:solidFill>
                    <w14:schemeClr w14:val="tx1"/>
                  </w14:solidFill>
                </w14:textFill>
              </w:rPr>
              <w:t>。</w:t>
            </w:r>
          </w:p>
          <w:p w14:paraId="72CEFC05">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6CA51039">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125988AF">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0D6631D5">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413D2078">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6472F9FD">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775CB821">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275D0A08">
            <w:pPr>
              <w:pStyle w:val="52"/>
              <w:spacing w:line="480" w:lineRule="exact"/>
              <w:ind w:left="0" w:leftChars="0" w:firstLine="0" w:firstLineChars="0"/>
              <w:rPr>
                <w:b/>
                <w:bCs/>
                <w:color w:val="000000" w:themeColor="text1"/>
                <w:sz w:val="24"/>
                <w:highlight w:val="none"/>
                <w14:textFill>
                  <w14:solidFill>
                    <w14:schemeClr w14:val="tx1"/>
                  </w14:solidFill>
                </w14:textFill>
              </w:rPr>
            </w:pPr>
          </w:p>
          <w:p w14:paraId="34BBCFFD">
            <w:pPr>
              <w:pStyle w:val="52"/>
              <w:spacing w:line="480" w:lineRule="exact"/>
              <w:ind w:firstLine="482"/>
              <w:rPr>
                <w:b/>
                <w:bCs/>
                <w:color w:val="000000" w:themeColor="text1"/>
                <w:sz w:val="24"/>
                <w:highlight w:val="none"/>
                <w14:textFill>
                  <w14:solidFill>
                    <w14:schemeClr w14:val="tx1"/>
                  </w14:solidFill>
                </w14:textFill>
              </w:rPr>
            </w:pPr>
          </w:p>
          <w:p w14:paraId="1994F7BD">
            <w:pPr>
              <w:topLinePunct/>
              <w:spacing w:line="480" w:lineRule="exact"/>
              <w:ind w:firstLine="560" w:firstLineChars="200"/>
              <w:rPr>
                <w:color w:val="000000" w:themeColor="text1"/>
                <w:highlight w:val="none"/>
                <w14:textFill>
                  <w14:solidFill>
                    <w14:schemeClr w14:val="tx1"/>
                  </w14:solidFill>
                </w14:textFill>
              </w:rPr>
            </w:pPr>
            <w:r>
              <w:rPr>
                <w:color w:val="000000" w:themeColor="text1"/>
                <w:sz w:val="28"/>
                <w:highlight w:val="none"/>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4248150</wp:posOffset>
                      </wp:positionH>
                      <wp:positionV relativeFrom="paragraph">
                        <wp:posOffset>36830</wp:posOffset>
                      </wp:positionV>
                      <wp:extent cx="530860" cy="295275"/>
                      <wp:effectExtent l="0" t="0" r="0" b="0"/>
                      <wp:wrapNone/>
                      <wp:docPr id="96" name="文本框 3267"/>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3ED7D337">
                                  <w:pPr>
                                    <w:ind w:left="-105" w:right="-105"/>
                                    <w:rPr>
                                      <w:szCs w:val="21"/>
                                    </w:rPr>
                                  </w:pPr>
                                  <w:r>
                                    <w:rPr>
                                      <w:szCs w:val="21"/>
                                      <w:highlight w:val="lightGray"/>
                                    </w:rPr>
                                    <w:t>G</w:t>
                                  </w:r>
                                  <w:r>
                                    <w:rPr>
                                      <w:rFonts w:hint="eastAsia"/>
                                      <w:szCs w:val="21"/>
                                      <w:highlight w:val="lightGray"/>
                                    </w:rPr>
                                    <w:t>5、N4</w:t>
                                  </w:r>
                                </w:p>
                              </w:txbxContent>
                            </wps:txbx>
                            <wps:bodyPr upright="1"/>
                          </wps:wsp>
                        </a:graphicData>
                      </a:graphic>
                    </wp:anchor>
                  </w:drawing>
                </mc:Choice>
                <mc:Fallback>
                  <w:pict>
                    <v:shape id="文本框 3267" o:spid="_x0000_s1026" o:spt="202" type="#_x0000_t202" style="position:absolute;left:0pt;margin-left:334.5pt;margin-top:2.9pt;height:23.25pt;width:41.8pt;z-index:251751424;mso-width-relative:page;mso-height-relative:page;" filled="f" stroked="f" coordsize="21600,21600" o:gfxdata="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9EQXXW&#10;AAAACAEAAA8AAAAAAAAAAQAgAAAAIgAAAGRycy9kb3ducmV2LnhtbFBLAQIUABQAAAAIAIdO4kAg&#10;PS4IsAEAAFEDAAAOAAAAAAAAAAEAIAAAACUBAABkcnMvZTJvRG9jLnhtbFBLBQYAAAAABgAGAFkB&#10;AABHBQAAAAA=&#10;">
                      <v:fill on="f" focussize="0,0"/>
                      <v:stroke on="f"/>
                      <v:imagedata o:title=""/>
                      <o:lock v:ext="edit" aspectratio="f"/>
                      <v:textbox>
                        <w:txbxContent>
                          <w:p w14:paraId="3ED7D337">
                            <w:pPr>
                              <w:ind w:left="-105" w:right="-105"/>
                              <w:rPr>
                                <w:szCs w:val="21"/>
                              </w:rPr>
                            </w:pPr>
                            <w:r>
                              <w:rPr>
                                <w:szCs w:val="21"/>
                                <w:highlight w:val="lightGray"/>
                              </w:rPr>
                              <w:t>G</w:t>
                            </w:r>
                            <w:r>
                              <w:rPr>
                                <w:rFonts w:hint="eastAsia"/>
                                <w:szCs w:val="21"/>
                                <w:highlight w:val="lightGray"/>
                              </w:rPr>
                              <w:t>5、N4</w:t>
                            </w:r>
                          </w:p>
                        </w:txbxContent>
                      </v:textbox>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3237230</wp:posOffset>
                      </wp:positionH>
                      <wp:positionV relativeFrom="paragraph">
                        <wp:posOffset>31115</wp:posOffset>
                      </wp:positionV>
                      <wp:extent cx="530860" cy="295275"/>
                      <wp:effectExtent l="0" t="0" r="0" b="0"/>
                      <wp:wrapNone/>
                      <wp:docPr id="95" name="文本框 3266"/>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29E424A4">
                                  <w:pPr>
                                    <w:ind w:left="-105" w:right="-105"/>
                                    <w:rPr>
                                      <w:szCs w:val="21"/>
                                    </w:rPr>
                                  </w:pPr>
                                  <w:r>
                                    <w:rPr>
                                      <w:szCs w:val="21"/>
                                      <w:highlight w:val="lightGray"/>
                                    </w:rPr>
                                    <w:t>G</w:t>
                                  </w:r>
                                  <w:r>
                                    <w:rPr>
                                      <w:rFonts w:hint="eastAsia"/>
                                      <w:szCs w:val="21"/>
                                      <w:highlight w:val="lightGray"/>
                                    </w:rPr>
                                    <w:t>4、N3</w:t>
                                  </w:r>
                                </w:p>
                              </w:txbxContent>
                            </wps:txbx>
                            <wps:bodyPr upright="1"/>
                          </wps:wsp>
                        </a:graphicData>
                      </a:graphic>
                    </wp:anchor>
                  </w:drawing>
                </mc:Choice>
                <mc:Fallback>
                  <w:pict>
                    <v:shape id="文本框 3266" o:spid="_x0000_s1026" o:spt="202" type="#_x0000_t202" style="position:absolute;left:0pt;margin-left:254.9pt;margin-top:2.45pt;height:23.25pt;width:41.8pt;z-index:251750400;mso-width-relative:page;mso-height-relative:page;" filled="f" stroked="f" coordsize="21600,21600" o:gfxdata="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wHSHLW&#10;AAAACAEAAA8AAAAAAAAAAQAgAAAAIgAAAGRycy9kb3ducmV2LnhtbFBLAQIUABQAAAAIAIdO4kB2&#10;eMd1sAEAAFEDAAAOAAAAAAAAAAEAIAAAACUBAABkcnMvZTJvRG9jLnhtbFBLBQYAAAAABgAGAFkB&#10;AABHBQAAAAA=&#10;">
                      <v:fill on="f" focussize="0,0"/>
                      <v:stroke on="f"/>
                      <v:imagedata o:title=""/>
                      <o:lock v:ext="edit" aspectratio="f"/>
                      <v:textbox>
                        <w:txbxContent>
                          <w:p w14:paraId="29E424A4">
                            <w:pPr>
                              <w:ind w:left="-105" w:right="-105"/>
                              <w:rPr>
                                <w:szCs w:val="21"/>
                              </w:rPr>
                            </w:pPr>
                            <w:r>
                              <w:rPr>
                                <w:szCs w:val="21"/>
                                <w:highlight w:val="lightGray"/>
                              </w:rPr>
                              <w:t>G</w:t>
                            </w:r>
                            <w:r>
                              <w:rPr>
                                <w:rFonts w:hint="eastAsia"/>
                                <w:szCs w:val="21"/>
                                <w:highlight w:val="lightGray"/>
                              </w:rPr>
                              <w:t>4、N3</w:t>
                            </w:r>
                          </w:p>
                        </w:txbxContent>
                      </v:textbox>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3486150</wp:posOffset>
                      </wp:positionH>
                      <wp:positionV relativeFrom="paragraph">
                        <wp:posOffset>259080</wp:posOffset>
                      </wp:positionV>
                      <wp:extent cx="0" cy="260985"/>
                      <wp:effectExtent l="63500" t="0" r="73660" b="13335"/>
                      <wp:wrapNone/>
                      <wp:docPr id="94" name="自选图形 3265"/>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65" o:spid="_x0000_s1026" o:spt="32" type="#_x0000_t32" style="position:absolute;left:0pt;flip:y;margin-left:274.5pt;margin-top:20.4pt;height:20.55pt;width:0pt;z-index:251749376;mso-width-relative:page;mso-height-relative:page;" filled="f" stroked="t" coordsize="21600,21600" o:gfxdata="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iuwLL9YAAAAJAQAADwAAAAAAAAABACAAAAAi&#10;AAAAZHJzL2Rvd25yZXYueG1sUEsBAhQAFAAAAAgAh07iQFkAZFEMAgAA8wMAAA4AAAAAAAAAAQAg&#10;AAAAJQEAAGRycy9lMm9Eb2MueG1sUEsFBgAAAAAGAAYAWQEAAKMFAAAAAA==&#10;">
                      <v:fill on="f" focussize="0,0"/>
                      <v:stroke weight="1.25pt" color="#000000" joinstyle="round" dashstyle="1 1" endarrow="classic" endarrowwidth="wide" endarrowlength="long"/>
                      <v:imagedata o:title=""/>
                      <o:lock v:ext="edit" aspectratio="f"/>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2660650</wp:posOffset>
                      </wp:positionH>
                      <wp:positionV relativeFrom="paragraph">
                        <wp:posOffset>31115</wp:posOffset>
                      </wp:positionV>
                      <wp:extent cx="530860" cy="295275"/>
                      <wp:effectExtent l="0" t="0" r="0" b="0"/>
                      <wp:wrapNone/>
                      <wp:docPr id="63" name="文本框 3234"/>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72F727E9">
                                  <w:pPr>
                                    <w:ind w:left="-105" w:right="-105"/>
                                    <w:rPr>
                                      <w:szCs w:val="21"/>
                                    </w:rPr>
                                  </w:pPr>
                                  <w:r>
                                    <w:rPr>
                                      <w:szCs w:val="21"/>
                                      <w:highlight w:val="lightGray"/>
                                    </w:rPr>
                                    <w:t>G</w:t>
                                  </w:r>
                                  <w:r>
                                    <w:rPr>
                                      <w:rFonts w:hint="eastAsia"/>
                                      <w:szCs w:val="21"/>
                                      <w:highlight w:val="lightGray"/>
                                    </w:rPr>
                                    <w:t>3、N2</w:t>
                                  </w:r>
                                </w:p>
                              </w:txbxContent>
                            </wps:txbx>
                            <wps:bodyPr upright="1"/>
                          </wps:wsp>
                        </a:graphicData>
                      </a:graphic>
                    </wp:anchor>
                  </w:drawing>
                </mc:Choice>
                <mc:Fallback>
                  <w:pict>
                    <v:shape id="文本框 3234" o:spid="_x0000_s1026" o:spt="202" type="#_x0000_t202" style="position:absolute;left:0pt;margin-left:209.5pt;margin-top:2.45pt;height:23.25pt;width:41.8pt;z-index:251717632;mso-width-relative:page;mso-height-relative:page;" filled="f" stroked="f" coordsize="21600,21600" o:gfxdata="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sd5t6tUA&#10;AAAIAQAADwAAAAAAAAABACAAAAAiAAAAZHJzL2Rvd25yZXYueG1sUEsBAhQAFAAAAAgAh07iQI2T&#10;J2iwAQAAUQMAAA4AAAAAAAAAAQAgAAAAJAEAAGRycy9lMm9Eb2MueG1sUEsFBgAAAAAGAAYAWQEA&#10;AEYFAAAAAA==&#10;">
                      <v:fill on="f" focussize="0,0"/>
                      <v:stroke on="f"/>
                      <v:imagedata o:title=""/>
                      <o:lock v:ext="edit" aspectratio="f"/>
                      <v:textbox>
                        <w:txbxContent>
                          <w:p w14:paraId="72F727E9">
                            <w:pPr>
                              <w:ind w:left="-105" w:right="-105"/>
                              <w:rPr>
                                <w:szCs w:val="21"/>
                              </w:rPr>
                            </w:pPr>
                            <w:r>
                              <w:rPr>
                                <w:szCs w:val="21"/>
                                <w:highlight w:val="lightGray"/>
                              </w:rPr>
                              <w:t>G</w:t>
                            </w:r>
                            <w:r>
                              <w:rPr>
                                <w:rFonts w:hint="eastAsia"/>
                                <w:szCs w:val="21"/>
                                <w:highlight w:val="lightGray"/>
                              </w:rPr>
                              <w:t>3、N2</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1870075</wp:posOffset>
                      </wp:positionH>
                      <wp:positionV relativeFrom="paragraph">
                        <wp:posOffset>31115</wp:posOffset>
                      </wp:positionV>
                      <wp:extent cx="530860" cy="295275"/>
                      <wp:effectExtent l="0" t="0" r="0" b="0"/>
                      <wp:wrapNone/>
                      <wp:docPr id="62" name="文本框 3233"/>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66686221">
                                  <w:pPr>
                                    <w:ind w:left="-105" w:right="-105"/>
                                    <w:rPr>
                                      <w:szCs w:val="21"/>
                                    </w:rPr>
                                  </w:pPr>
                                  <w:r>
                                    <w:rPr>
                                      <w:szCs w:val="21"/>
                                      <w:highlight w:val="lightGray"/>
                                    </w:rPr>
                                    <w:t>G</w:t>
                                  </w:r>
                                  <w:r>
                                    <w:rPr>
                                      <w:rFonts w:hint="eastAsia"/>
                                      <w:szCs w:val="21"/>
                                      <w:highlight w:val="lightGray"/>
                                    </w:rPr>
                                    <w:t>2、N1</w:t>
                                  </w:r>
                                </w:p>
                              </w:txbxContent>
                            </wps:txbx>
                            <wps:bodyPr upright="1"/>
                          </wps:wsp>
                        </a:graphicData>
                      </a:graphic>
                    </wp:anchor>
                  </w:drawing>
                </mc:Choice>
                <mc:Fallback>
                  <w:pict>
                    <v:shape id="文本框 3233" o:spid="_x0000_s1026" o:spt="202" type="#_x0000_t202" style="position:absolute;left:0pt;margin-left:147.25pt;margin-top:2.45pt;height:23.25pt;width:41.8pt;z-index:251716608;mso-width-relative:page;mso-height-relative:page;" filled="f" stroked="f" coordsize="21600,21600" o:gfxdata="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J8O8C&#10;1wAAAAgBAAAPAAAAAAAAAAEAIAAAACIAAABkcnMvZG93bnJldi54bWxQSwECFAAUAAAACACHTuJA&#10;ER8bhrABAABRAwAADgAAAAAAAAABACAAAAAmAQAAZHJzL2Uyb0RvYy54bWxQSwUGAAAAAAYABgBZ&#10;AQAASAUAAAAA&#10;">
                      <v:fill on="f" focussize="0,0"/>
                      <v:stroke on="f"/>
                      <v:imagedata o:title=""/>
                      <o:lock v:ext="edit" aspectratio="f"/>
                      <v:textbox>
                        <w:txbxContent>
                          <w:p w14:paraId="66686221">
                            <w:pPr>
                              <w:ind w:left="-105" w:right="-105"/>
                              <w:rPr>
                                <w:szCs w:val="21"/>
                              </w:rPr>
                            </w:pPr>
                            <w:r>
                              <w:rPr>
                                <w:szCs w:val="21"/>
                                <w:highlight w:val="lightGray"/>
                              </w:rPr>
                              <w:t>G</w:t>
                            </w:r>
                            <w:r>
                              <w:rPr>
                                <w:rFonts w:hint="eastAsia"/>
                                <w:szCs w:val="21"/>
                                <w:highlight w:val="lightGray"/>
                              </w:rPr>
                              <w:t>2、N1</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3718560</wp:posOffset>
                      </wp:positionH>
                      <wp:positionV relativeFrom="paragraph">
                        <wp:posOffset>36830</wp:posOffset>
                      </wp:positionV>
                      <wp:extent cx="568325" cy="295275"/>
                      <wp:effectExtent l="0" t="0" r="0" b="0"/>
                      <wp:wrapNone/>
                      <wp:docPr id="30" name="文本框 3201"/>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3068A4A0">
                                  <w:pPr>
                                    <w:rPr>
                                      <w:sz w:val="18"/>
                                      <w:szCs w:val="18"/>
                                    </w:rPr>
                                  </w:pPr>
                                  <w:r>
                                    <w:rPr>
                                      <w:rFonts w:hint="eastAsia"/>
                                      <w:sz w:val="18"/>
                                      <w:szCs w:val="18"/>
                                    </w:rPr>
                                    <w:t>筛上料</w:t>
                                  </w:r>
                                </w:p>
                              </w:txbxContent>
                            </wps:txbx>
                            <wps:bodyPr upright="1"/>
                          </wps:wsp>
                        </a:graphicData>
                      </a:graphic>
                    </wp:anchor>
                  </w:drawing>
                </mc:Choice>
                <mc:Fallback>
                  <w:pict>
                    <v:shape id="文本框 3201" o:spid="_x0000_s1026" o:spt="202" type="#_x0000_t202" style="position:absolute;left:0pt;margin-left:292.8pt;margin-top:2.9pt;height:23.25pt;width:44.75pt;z-index:251683840;mso-width-relative:page;mso-height-relative:page;" filled="f" stroked="f" coordsize="21600,21600" o:gfxdata="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wtFHR1QAA&#10;AAgBAAAPAAAAAAAAAAEAIAAAACIAAABkcnMvZG93bnJldi54bWxQSwECFAAUAAAACACHTuJAFK9r&#10;3K8BAABRAwAADgAAAAAAAAABACAAAAAkAQAAZHJzL2Uyb0RvYy54bWxQSwUGAAAAAAYABgBZAQAA&#10;RQUAAAAA&#10;">
                      <v:fill on="f" focussize="0,0"/>
                      <v:stroke on="f"/>
                      <v:imagedata o:title=""/>
                      <o:lock v:ext="edit" aspectratio="f"/>
                      <v:textbox>
                        <w:txbxContent>
                          <w:p w14:paraId="3068A4A0">
                            <w:pPr>
                              <w:rPr>
                                <w:sz w:val="18"/>
                                <w:szCs w:val="18"/>
                              </w:rPr>
                            </w:pPr>
                            <w:r>
                              <w:rPr>
                                <w:rFonts w:hint="eastAsia"/>
                                <w:sz w:val="18"/>
                                <w:szCs w:val="18"/>
                              </w:rPr>
                              <w:t>筛上料</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4178300</wp:posOffset>
                      </wp:positionH>
                      <wp:positionV relativeFrom="paragraph">
                        <wp:posOffset>235585</wp:posOffset>
                      </wp:positionV>
                      <wp:extent cx="0" cy="294640"/>
                      <wp:effectExtent l="5080" t="0" r="10160" b="10160"/>
                      <wp:wrapNone/>
                      <wp:docPr id="59" name="自选图形 3230"/>
                      <wp:cNvGraphicFramePr/>
                      <a:graphic xmlns:a="http://schemas.openxmlformats.org/drawingml/2006/main">
                        <a:graphicData uri="http://schemas.microsoft.com/office/word/2010/wordprocessingShape">
                          <wps:wsp>
                            <wps:cNvCnPr/>
                            <wps:spPr>
                              <a:xfrm>
                                <a:off x="0" y="0"/>
                                <a:ext cx="0" cy="29464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30" o:spid="_x0000_s1026" o:spt="32" type="#_x0000_t32" style="position:absolute;left:0pt;margin-left:329pt;margin-top:18.55pt;height:23.2pt;width:0pt;z-index:251713536;mso-width-relative:page;mso-height-relative:page;" filled="f" stroked="t" coordsize="21600,21600" o:gfxdata="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5BsuItcAAAAJAQAADwAAAAAAAAABACAAAAAiAAAAZHJzL2Rvd25yZXYueG1sUEsB&#10;AhQAFAAAAAgAh07iQBJHM+/2AQAA5gMAAA4AAAAAAAAAAQAgAAAAJgEAAGRycy9lMm9Eb2MueG1s&#10;UEsFBgAAAAAGAAYAWQEAAI4FAAAAAA==&#10;">
                      <v:fill on="f" focussize="0,0"/>
                      <v:stroke color="#000000" joinstyle="round"/>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3774440</wp:posOffset>
                      </wp:positionH>
                      <wp:positionV relativeFrom="paragraph">
                        <wp:posOffset>235585</wp:posOffset>
                      </wp:positionV>
                      <wp:extent cx="403860" cy="0"/>
                      <wp:effectExtent l="0" t="5080" r="0" b="4445"/>
                      <wp:wrapNone/>
                      <wp:docPr id="58" name="自选图形 3229"/>
                      <wp:cNvGraphicFramePr/>
                      <a:graphic xmlns:a="http://schemas.openxmlformats.org/drawingml/2006/main">
                        <a:graphicData uri="http://schemas.microsoft.com/office/word/2010/wordprocessingShape">
                          <wps:wsp>
                            <wps:cNvCnPr/>
                            <wps:spPr>
                              <a:xfrm>
                                <a:off x="0" y="0"/>
                                <a:ext cx="4038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29" o:spid="_x0000_s1026" o:spt="32" type="#_x0000_t32" style="position:absolute;left:0pt;margin-left:297.2pt;margin-top:18.55pt;height:0pt;width:31.8pt;z-index:251712512;mso-width-relative:page;mso-height-relative:page;" filled="f" stroked="t" coordsize="21600,21600" o:gfxdata="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si4W9gAAAAJAQAADwAAAAAAAAABACAAAAAiAAAAZHJzL2Rvd25yZXYueG1s&#10;UEsBAhQAFAAAAAgAh07iQLQiaTb4AQAA5gMAAA4AAAAAAAAAAQAgAAAAJwEAAGRycy9lMm9Eb2Mu&#10;eG1sUEsFBgAAAAAGAAYAWQEAAJEFAAAAAA==&#10;">
                      <v:fill on="f" focussize="0,0"/>
                      <v:stroke color="#000000" joinstyle="round"/>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4452620</wp:posOffset>
                      </wp:positionH>
                      <wp:positionV relativeFrom="paragraph">
                        <wp:posOffset>259080</wp:posOffset>
                      </wp:positionV>
                      <wp:extent cx="0" cy="260985"/>
                      <wp:effectExtent l="63500" t="0" r="73660" b="13335"/>
                      <wp:wrapNone/>
                      <wp:docPr id="56" name="自选图形 3227"/>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27" o:spid="_x0000_s1026" o:spt="32" type="#_x0000_t32" style="position:absolute;left:0pt;flip:y;margin-left:350.6pt;margin-top:20.4pt;height:20.55pt;width:0pt;z-index:251710464;mso-width-relative:page;mso-height-relative:page;" filled="f" stroked="t" coordsize="21600,21600" o:gfxdata="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FyQBu1QAAAAkBAAAPAAAAAAAAAAEAIAAAACIAAABk&#10;cnMvZG93bnJldi54bWxQSwECFAAUAAAACACHTuJAgUbDoQkCAADzAwAADgAAAAAAAAABACAAAAAk&#10;AQAAZHJzL2Uyb0RvYy54bWxQSwUGAAAAAAYABgBZAQAAnwUAAAAA&#10;">
                      <v:fill on="f" focussize="0,0"/>
                      <v:stroke weight="1.25pt" color="#000000" joinstyle="round" dashstyle="1 1" endarrow="classic" endarrowwidth="wide" endarrowlength="long"/>
                      <v:imagedata o:title=""/>
                      <o:lock v:ext="edit" aspectratio="f"/>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3774440</wp:posOffset>
                      </wp:positionH>
                      <wp:positionV relativeFrom="paragraph">
                        <wp:posOffset>235585</wp:posOffset>
                      </wp:positionV>
                      <wp:extent cx="635" cy="284480"/>
                      <wp:effectExtent l="37465" t="0" r="38100" b="5080"/>
                      <wp:wrapNone/>
                      <wp:docPr id="21" name="自选图形 3192"/>
                      <wp:cNvGraphicFramePr/>
                      <a:graphic xmlns:a="http://schemas.openxmlformats.org/drawingml/2006/main">
                        <a:graphicData uri="http://schemas.microsoft.com/office/word/2010/wordprocessingShape">
                          <wps:wsp>
                            <wps:cNvCnPr/>
                            <wps:spPr>
                              <a:xfrm>
                                <a:off x="0" y="0"/>
                                <a:ext cx="635" cy="2844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92" o:spid="_x0000_s1026" o:spt="32" type="#_x0000_t32" style="position:absolute;left:0pt;margin-left:297.2pt;margin-top:18.55pt;height:22.4pt;width:0.05pt;z-index:251674624;mso-width-relative:page;mso-height-relative:page;" filled="f" stroked="t" coordsize="21600,21600" o:gfxdata="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R4Z57toAAAAJAQAADwAAAAAAAAABACAAAAAiAAAAZHJz&#10;L2Rvd25yZXYueG1sUEsBAhQAFAAAAAgAh07iQENzBbACAgAA7AMAAA4AAAAAAAAAAQAgAAAAKQEA&#10;AGRycy9lMm9Eb2MueG1sUEsFBgAAAAAGAAYAWQEAAJ0FA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2894965</wp:posOffset>
                      </wp:positionH>
                      <wp:positionV relativeFrom="paragraph">
                        <wp:posOffset>259080</wp:posOffset>
                      </wp:positionV>
                      <wp:extent cx="0" cy="260985"/>
                      <wp:effectExtent l="63500" t="0" r="73660" b="13335"/>
                      <wp:wrapNone/>
                      <wp:docPr id="50" name="自选图形 3221"/>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21" o:spid="_x0000_s1026" o:spt="32" type="#_x0000_t32" style="position:absolute;left:0pt;flip:y;margin-left:227.95pt;margin-top:20.4pt;height:20.55pt;width:0pt;z-index:251704320;mso-width-relative:page;mso-height-relative:page;" filled="f" stroked="t" coordsize="21600,21600" o:gfxdata="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CQn57XAAAACQEAAA8AAAAAAAAAAQAgAAAAIgAA&#10;AGRycy9kb3ducmV2LnhtbFBLAQIUABQAAAAIAIdO4kDh8UvYCQIAAPMDAAAOAAAAAAAAAAEAIAAA&#10;ACYBAABkcnMvZTJvRG9jLnhtbFBLBQYAAAAABgAGAFkBAAChBQAAAAA=&#10;">
                      <v:fill on="f" focussize="0,0"/>
                      <v:stroke weight="1.25pt" color="#000000" joinstyle="round" dashstyle="1 1" endarrow="classic" endarrowwidth="wide" endarrowlength="long"/>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03296" behindDoc="0" locked="0" layoutInCell="1" allowOverlap="1">
                      <wp:simplePos x="0" y="0"/>
                      <wp:positionH relativeFrom="column">
                        <wp:posOffset>2144395</wp:posOffset>
                      </wp:positionH>
                      <wp:positionV relativeFrom="paragraph">
                        <wp:posOffset>269240</wp:posOffset>
                      </wp:positionV>
                      <wp:extent cx="0" cy="260985"/>
                      <wp:effectExtent l="63500" t="0" r="73660" b="13335"/>
                      <wp:wrapNone/>
                      <wp:docPr id="49" name="自选图形 3220"/>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20" o:spid="_x0000_s1026" o:spt="32" type="#_x0000_t32" style="position:absolute;left:0pt;flip:y;margin-left:168.85pt;margin-top:21.2pt;height:20.55pt;width:0pt;z-index:251703296;mso-width-relative:page;mso-height-relative:page;" filled="f" stroked="t" coordsize="21600,21600" o:gfxdata="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5UTYvXAAAACQEAAA8AAAAAAAAAAQAgAAAAIgAA&#10;AGRycy9kb3ducmV2LnhtbFBLAQIUABQAAAAIAIdO4kBgzyFlCQIAAPMDAAAOAAAAAAAAAAEAIAAA&#10;ACYBAABkcnMvZTJvRG9jLnhtbFBLBQYAAAAABgAGAFkBAAChBQ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1325880</wp:posOffset>
                      </wp:positionH>
                      <wp:positionV relativeFrom="paragraph">
                        <wp:posOffset>31115</wp:posOffset>
                      </wp:positionV>
                      <wp:extent cx="396875" cy="295275"/>
                      <wp:effectExtent l="0" t="0" r="0" b="0"/>
                      <wp:wrapNone/>
                      <wp:docPr id="37" name="文本框 3208"/>
                      <wp:cNvGraphicFramePr/>
                      <a:graphic xmlns:a="http://schemas.openxmlformats.org/drawingml/2006/main">
                        <a:graphicData uri="http://schemas.microsoft.com/office/word/2010/wordprocessingShape">
                          <wps:wsp>
                            <wps:cNvSpPr txBox="1"/>
                            <wps:spPr>
                              <a:xfrm>
                                <a:off x="0" y="0"/>
                                <a:ext cx="396875" cy="295275"/>
                              </a:xfrm>
                              <a:prstGeom prst="rect">
                                <a:avLst/>
                              </a:prstGeom>
                              <a:noFill/>
                              <a:ln>
                                <a:noFill/>
                              </a:ln>
                            </wps:spPr>
                            <wps:txbx>
                              <w:txbxContent>
                                <w:p w14:paraId="4BE63FFE">
                                  <w:pPr>
                                    <w:ind w:left="-105" w:right="-105"/>
                                    <w:rPr>
                                      <w:szCs w:val="21"/>
                                    </w:rPr>
                                  </w:pPr>
                                  <w:r>
                                    <w:rPr>
                                      <w:szCs w:val="21"/>
                                      <w:highlight w:val="lightGray"/>
                                    </w:rPr>
                                    <w:t>G1</w:t>
                                  </w:r>
                                </w:p>
                              </w:txbxContent>
                            </wps:txbx>
                            <wps:bodyPr upright="1"/>
                          </wps:wsp>
                        </a:graphicData>
                      </a:graphic>
                    </wp:anchor>
                  </w:drawing>
                </mc:Choice>
                <mc:Fallback>
                  <w:pict>
                    <v:shape id="文本框 3208" o:spid="_x0000_s1026" o:spt="202" type="#_x0000_t202" style="position:absolute;left:0pt;margin-left:104.4pt;margin-top:2.45pt;height:23.25pt;width:31.25pt;z-index:251691008;mso-width-relative:page;mso-height-relative:page;" filled="f" stroked="f" coordsize="21600,21600" o:gfxdata="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n7TKfW&#10;AAAACAEAAA8AAAAAAAAAAQAgAAAAIgAAAGRycy9kb3ducmV2LnhtbFBLAQIUABQAAAAIAIdO4kB4&#10;vhwwsAEAAFEDAAAOAAAAAAAAAAEAIAAAACUBAABkcnMvZTJvRG9jLnhtbFBLBQYAAAAABgAGAFkB&#10;AABHBQAAAAA=&#10;">
                      <v:fill on="f" focussize="0,0"/>
                      <v:stroke on="f"/>
                      <v:imagedata o:title=""/>
                      <o:lock v:ext="edit" aspectratio="f"/>
                      <v:textbox>
                        <w:txbxContent>
                          <w:p w14:paraId="4BE63FFE">
                            <w:pPr>
                              <w:ind w:left="-105" w:right="-105"/>
                              <w:rPr>
                                <w:szCs w:val="21"/>
                              </w:rPr>
                            </w:pPr>
                            <w:r>
                              <w:rPr>
                                <w:szCs w:val="21"/>
                                <w:highlight w:val="lightGray"/>
                              </w:rPr>
                              <w:t>G1</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1428750</wp:posOffset>
                      </wp:positionH>
                      <wp:positionV relativeFrom="paragraph">
                        <wp:posOffset>269240</wp:posOffset>
                      </wp:positionV>
                      <wp:extent cx="0" cy="260985"/>
                      <wp:effectExtent l="63500" t="0" r="73660" b="13335"/>
                      <wp:wrapNone/>
                      <wp:docPr id="20" name="自选图形 3191"/>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191" o:spid="_x0000_s1026" o:spt="32" type="#_x0000_t32" style="position:absolute;left:0pt;flip:y;margin-left:112.5pt;margin-top:21.2pt;height:20.55pt;width:0pt;z-index:251673600;mso-width-relative:page;mso-height-relative:page;" filled="f" stroked="t" coordsize="21600,21600" o:gfxdata="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9oVnXAAAACQEAAA8AAAAAAAAAAQAgAAAAIgAA&#10;AGRycy9kb3ducmV2LnhtbFBLAQIUABQAAAAIAIdO4kDvGfc/CQIAAPMDAAAOAAAAAAAAAAEAIAAA&#10;ACYBAABkcnMvZTJvRG9jLnhtbFBLBQYAAAAABgAGAFkBAAChBQAAAAA=&#10;">
                      <v:fill on="f" focussize="0,0"/>
                      <v:stroke weight="1.25pt" color="#000000" joinstyle="round" dashstyle="1 1" endarrow="classic" endarrowwidth="wide" endarrowlength="long"/>
                      <v:imagedata o:title=""/>
                      <o:lock v:ext="edit" aspectratio="f"/>
                    </v:shape>
                  </w:pict>
                </mc:Fallback>
              </mc:AlternateContent>
            </w:r>
          </w:p>
          <w:p w14:paraId="5538E52C">
            <w:pPr>
              <w:topLinePunct/>
              <w:spacing w:line="480" w:lineRule="exact"/>
              <w:ind w:firstLine="560" w:firstLineChars="200"/>
              <w:rPr>
                <w:color w:val="000000" w:themeColor="text1"/>
                <w:highlight w:val="none"/>
                <w14:textFill>
                  <w14:solidFill>
                    <w14:schemeClr w14:val="tx1"/>
                  </w14:solidFill>
                </w14:textFill>
              </w:rPr>
            </w:pPr>
            <w:r>
              <w:rPr>
                <w:color w:val="000000" w:themeColor="text1"/>
                <w:sz w:val="28"/>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205740</wp:posOffset>
                      </wp:positionH>
                      <wp:positionV relativeFrom="paragraph">
                        <wp:posOffset>217170</wp:posOffset>
                      </wp:positionV>
                      <wp:extent cx="577850" cy="464820"/>
                      <wp:effectExtent l="0" t="0" r="0" b="0"/>
                      <wp:wrapNone/>
                      <wp:docPr id="8" name="文本框 1803"/>
                      <wp:cNvGraphicFramePr/>
                      <a:graphic xmlns:a="http://schemas.openxmlformats.org/drawingml/2006/main">
                        <a:graphicData uri="http://schemas.microsoft.com/office/word/2010/wordprocessingShape">
                          <wps:wsp>
                            <wps:cNvSpPr txBox="1"/>
                            <wps:spPr>
                              <a:xfrm>
                                <a:off x="0" y="0"/>
                                <a:ext cx="577850" cy="464820"/>
                              </a:xfrm>
                              <a:prstGeom prst="rect">
                                <a:avLst/>
                              </a:prstGeom>
                              <a:noFill/>
                              <a:ln>
                                <a:noFill/>
                              </a:ln>
                            </wps:spPr>
                            <wps:txbx>
                              <w:txbxContent>
                                <w:p w14:paraId="4543C08C">
                                  <w:pPr>
                                    <w:ind w:left="-105" w:leftChars="-50" w:right="-105" w:rightChars="-50"/>
                                    <w:jc w:val="center"/>
                                    <w:rPr>
                                      <w:szCs w:val="21"/>
                                    </w:rPr>
                                  </w:pPr>
                                  <w:r>
                                    <w:rPr>
                                      <w:rFonts w:hint="eastAsia"/>
                                      <w:szCs w:val="21"/>
                                    </w:rPr>
                                    <w:t>煤矸石、炉渣</w:t>
                                  </w:r>
                                </w:p>
                              </w:txbxContent>
                            </wps:txbx>
                            <wps:bodyPr upright="1"/>
                          </wps:wsp>
                        </a:graphicData>
                      </a:graphic>
                    </wp:anchor>
                  </w:drawing>
                </mc:Choice>
                <mc:Fallback>
                  <w:pict>
                    <v:shape id="文本框 1803" o:spid="_x0000_s1026" o:spt="202" type="#_x0000_t202" style="position:absolute;left:0pt;margin-left:16.2pt;margin-top:17.1pt;height:36.6pt;width:45.5pt;z-index:251661312;mso-width-relative:page;mso-height-relative:page;" filled="f" stroked="f" coordsize="21600,21600" o:gfxdata="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ivSQtUA&#10;AAAJAQAADwAAAAAAAAABACAAAAAiAAAAZHJzL2Rvd25yZXYueG1sUEsBAhQAFAAAAAgAh07iQKOr&#10;yCuwAQAAUAMAAA4AAAAAAAAAAQAgAAAAJAEAAGRycy9lMm9Eb2MueG1sUEsFBgAAAAAGAAYAWQEA&#10;AEYFAAAAAA==&#10;">
                      <v:fill on="f" focussize="0,0"/>
                      <v:stroke on="f"/>
                      <v:imagedata o:title=""/>
                      <o:lock v:ext="edit" aspectratio="f"/>
                      <v:textbox>
                        <w:txbxContent>
                          <w:p w14:paraId="4543C08C">
                            <w:pPr>
                              <w:ind w:left="-105" w:leftChars="-50" w:right="-105" w:rightChars="-50"/>
                              <w:jc w:val="center"/>
                              <w:rPr>
                                <w:szCs w:val="21"/>
                              </w:rPr>
                            </w:pPr>
                            <w:r>
                              <w:rPr>
                                <w:rFonts w:hint="eastAsia"/>
                                <w:szCs w:val="21"/>
                              </w:rPr>
                              <w:t>煤矸石、炉渣</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4485640</wp:posOffset>
                      </wp:positionH>
                      <wp:positionV relativeFrom="paragraph">
                        <wp:posOffset>133985</wp:posOffset>
                      </wp:positionV>
                      <wp:extent cx="594995" cy="266700"/>
                      <wp:effectExtent l="0" t="0" r="0" b="0"/>
                      <wp:wrapNone/>
                      <wp:docPr id="31" name="文本框 3202"/>
                      <wp:cNvGraphicFramePr/>
                      <a:graphic xmlns:a="http://schemas.openxmlformats.org/drawingml/2006/main">
                        <a:graphicData uri="http://schemas.microsoft.com/office/word/2010/wordprocessingShape">
                          <wps:wsp>
                            <wps:cNvSpPr txBox="1"/>
                            <wps:spPr>
                              <a:xfrm>
                                <a:off x="0" y="0"/>
                                <a:ext cx="594995" cy="266700"/>
                              </a:xfrm>
                              <a:prstGeom prst="rect">
                                <a:avLst/>
                              </a:prstGeom>
                              <a:noFill/>
                              <a:ln>
                                <a:noFill/>
                              </a:ln>
                            </wps:spPr>
                            <wps:txbx>
                              <w:txbxContent>
                                <w:p w14:paraId="1DA47446">
                                  <w:pPr>
                                    <w:rPr>
                                      <w:sz w:val="18"/>
                                      <w:szCs w:val="18"/>
                                    </w:rPr>
                                  </w:pPr>
                                  <w:r>
                                    <w:rPr>
                                      <w:rFonts w:hint="eastAsia"/>
                                      <w:sz w:val="18"/>
                                      <w:szCs w:val="18"/>
                                    </w:rPr>
                                    <w:t>筛下料</w:t>
                                  </w:r>
                                </w:p>
                              </w:txbxContent>
                            </wps:txbx>
                            <wps:bodyPr upright="1"/>
                          </wps:wsp>
                        </a:graphicData>
                      </a:graphic>
                    </wp:anchor>
                  </w:drawing>
                </mc:Choice>
                <mc:Fallback>
                  <w:pict>
                    <v:shape id="文本框 3202" o:spid="_x0000_s1026" o:spt="202" type="#_x0000_t202" style="position:absolute;left:0pt;margin-left:353.2pt;margin-top:10.55pt;height:21pt;width:46.85pt;z-index:251684864;mso-width-relative:page;mso-height-relative:page;" filled="f" stroked="f" coordsize="21600,21600" o:gfxdata="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0Rb&#10;v9YAAAAJAQAADwAAAAAAAAABACAAAAAiAAAAZHJzL2Rvd25yZXYueG1sUEsBAhQAFAAAAAgAh07i&#10;QGb7PKyyAQAAUQMAAA4AAAAAAAAAAQAgAAAAJQEAAGRycy9lMm9Eb2MueG1sUEsFBgAAAAAGAAYA&#10;WQEAAEkFAAAAAA==&#10;">
                      <v:fill on="f" focussize="0,0"/>
                      <v:stroke on="f"/>
                      <v:imagedata o:title=""/>
                      <o:lock v:ext="edit" aspectratio="f"/>
                      <v:textbox>
                        <w:txbxContent>
                          <w:p w14:paraId="1DA47446">
                            <w:pPr>
                              <w:rPr>
                                <w:sz w:val="18"/>
                                <w:szCs w:val="18"/>
                              </w:rPr>
                            </w:pPr>
                            <w:r>
                              <w:rPr>
                                <w:rFonts w:hint="eastAsia"/>
                                <w:sz w:val="18"/>
                                <w:szCs w:val="18"/>
                              </w:rPr>
                              <w:t>筛下料</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3774440</wp:posOffset>
                      </wp:positionH>
                      <wp:positionV relativeFrom="paragraph">
                        <wp:posOffset>133985</wp:posOffset>
                      </wp:positionV>
                      <wp:extent cx="568325" cy="295275"/>
                      <wp:effectExtent l="0" t="0" r="0" b="0"/>
                      <wp:wrapNone/>
                      <wp:docPr id="55" name="文本框 3226"/>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70E2E3F1">
                                  <w:pPr>
                                    <w:rPr>
                                      <w:sz w:val="18"/>
                                      <w:szCs w:val="18"/>
                                    </w:rPr>
                                  </w:pPr>
                                  <w:r>
                                    <w:rPr>
                                      <w:rFonts w:hint="eastAsia"/>
                                      <w:sz w:val="18"/>
                                      <w:szCs w:val="18"/>
                                    </w:rPr>
                                    <w:t>皮带</w:t>
                                  </w:r>
                                </w:p>
                              </w:txbxContent>
                            </wps:txbx>
                            <wps:bodyPr upright="1"/>
                          </wps:wsp>
                        </a:graphicData>
                      </a:graphic>
                    </wp:anchor>
                  </w:drawing>
                </mc:Choice>
                <mc:Fallback>
                  <w:pict>
                    <v:shape id="文本框 3226" o:spid="_x0000_s1026" o:spt="202" type="#_x0000_t202" style="position:absolute;left:0pt;margin-left:297.2pt;margin-top:10.55pt;height:23.25pt;width:44.75pt;z-index:251709440;mso-width-relative:page;mso-height-relative:page;" filled="f" stroked="f" coordsize="21600,21600" o:gfxdata="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b/Qd&#10;1wAAAAkBAAAPAAAAAAAAAAEAIAAAACIAAABkcnMvZG93bnJldi54bWxQSwECFAAUAAAACACHTuJA&#10;3jUdIrABAABRAwAADgAAAAAAAAABACAAAAAmAQAAZHJzL2Uyb0RvYy54bWxQSwUGAAAAAAYABgBZ&#10;AQAASAUAAAAA&#10;">
                      <v:fill on="f" focussize="0,0"/>
                      <v:stroke on="f"/>
                      <v:imagedata o:title=""/>
                      <o:lock v:ext="edit" aspectratio="f"/>
                      <v:textbox>
                        <w:txbxContent>
                          <w:p w14:paraId="70E2E3F1">
                            <w:pPr>
                              <w:rPr>
                                <w:sz w:val="18"/>
                                <w:szCs w:val="18"/>
                              </w:rPr>
                            </w:pPr>
                            <w:r>
                              <w:rPr>
                                <w:rFonts w:hint="eastAsia"/>
                                <w:sz w:val="18"/>
                                <w:szCs w:val="18"/>
                              </w:rPr>
                              <w:t>皮带</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3053715</wp:posOffset>
                      </wp:positionH>
                      <wp:positionV relativeFrom="paragraph">
                        <wp:posOffset>133985</wp:posOffset>
                      </wp:positionV>
                      <wp:extent cx="568325" cy="295275"/>
                      <wp:effectExtent l="0" t="0" r="0" b="0"/>
                      <wp:wrapNone/>
                      <wp:docPr id="54" name="文本框 3225"/>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3CF74676">
                                  <w:pPr>
                                    <w:rPr>
                                      <w:sz w:val="18"/>
                                      <w:szCs w:val="18"/>
                                    </w:rPr>
                                  </w:pPr>
                                  <w:r>
                                    <w:rPr>
                                      <w:rFonts w:hint="eastAsia"/>
                                      <w:sz w:val="18"/>
                                      <w:szCs w:val="18"/>
                                    </w:rPr>
                                    <w:t>皮带</w:t>
                                  </w:r>
                                </w:p>
                              </w:txbxContent>
                            </wps:txbx>
                            <wps:bodyPr upright="1"/>
                          </wps:wsp>
                        </a:graphicData>
                      </a:graphic>
                    </wp:anchor>
                  </w:drawing>
                </mc:Choice>
                <mc:Fallback>
                  <w:pict>
                    <v:shape id="文本框 3225" o:spid="_x0000_s1026" o:spt="202" type="#_x0000_t202" style="position:absolute;left:0pt;margin-left:240.45pt;margin-top:10.55pt;height:23.25pt;width:44.75pt;z-index:251708416;mso-width-relative:page;mso-height-relative:page;" filled="f" stroked="f" coordsize="21600,21600" o:gfxdata="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QC9&#10;N9cAAAAJAQAADwAAAAAAAAABACAAAAAiAAAAZHJzL2Rvd25yZXYueG1sUEsBAhQAFAAAAAgAh07i&#10;QDvR92uxAQAAUQMAAA4AAAAAAAAAAQAgAAAAJgEAAGRycy9lMm9Eb2MueG1sUEsFBgAAAAAGAAYA&#10;WQEAAEkFAAAAAA==&#10;">
                      <v:fill on="f" focussize="0,0"/>
                      <v:stroke on="f"/>
                      <v:imagedata o:title=""/>
                      <o:lock v:ext="edit" aspectratio="f"/>
                      <v:textbox>
                        <w:txbxContent>
                          <w:p w14:paraId="3CF74676">
                            <w:pPr>
                              <w:rPr>
                                <w:sz w:val="18"/>
                                <w:szCs w:val="18"/>
                              </w:rPr>
                            </w:pPr>
                            <w:r>
                              <w:rPr>
                                <w:rFonts w:hint="eastAsia"/>
                                <w:sz w:val="18"/>
                                <w:szCs w:val="18"/>
                              </w:rPr>
                              <w:t>皮带</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2326640</wp:posOffset>
                      </wp:positionH>
                      <wp:positionV relativeFrom="paragraph">
                        <wp:posOffset>133985</wp:posOffset>
                      </wp:positionV>
                      <wp:extent cx="568325" cy="295275"/>
                      <wp:effectExtent l="0" t="0" r="0" b="0"/>
                      <wp:wrapNone/>
                      <wp:docPr id="53" name="文本框 3224"/>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0664A816">
                                  <w:pPr>
                                    <w:rPr>
                                      <w:sz w:val="18"/>
                                      <w:szCs w:val="18"/>
                                    </w:rPr>
                                  </w:pPr>
                                  <w:r>
                                    <w:rPr>
                                      <w:rFonts w:hint="eastAsia"/>
                                      <w:sz w:val="18"/>
                                      <w:szCs w:val="18"/>
                                    </w:rPr>
                                    <w:t>皮带</w:t>
                                  </w:r>
                                </w:p>
                              </w:txbxContent>
                            </wps:txbx>
                            <wps:bodyPr upright="1"/>
                          </wps:wsp>
                        </a:graphicData>
                      </a:graphic>
                    </wp:anchor>
                  </w:drawing>
                </mc:Choice>
                <mc:Fallback>
                  <w:pict>
                    <v:shape id="文本框 3224" o:spid="_x0000_s1026" o:spt="202" type="#_x0000_t202" style="position:absolute;left:0pt;margin-left:183.2pt;margin-top:10.55pt;height:23.25pt;width:44.75pt;z-index:251707392;mso-width-relative:page;mso-height-relative:page;" filled="f" stroked="f" coordsize="21600,21600" o:gfxdata="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Kal&#10;JtcAAAAJAQAADwAAAAAAAAABACAAAAAiAAAAZHJzL2Rvd25yZXYueG1sUEsBAhQAFAAAAAgAh07i&#10;QHK/z9mxAQAAUQMAAA4AAAAAAAAAAQAgAAAAJgEAAGRycy9lMm9Eb2MueG1sUEsFBgAAAAAGAAYA&#10;WQEAAEkFAAAAAA==&#10;">
                      <v:fill on="f" focussize="0,0"/>
                      <v:stroke on="f"/>
                      <v:imagedata o:title=""/>
                      <o:lock v:ext="edit" aspectratio="f"/>
                      <v:textbox>
                        <w:txbxContent>
                          <w:p w14:paraId="0664A816">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1576070</wp:posOffset>
                      </wp:positionH>
                      <wp:positionV relativeFrom="paragraph">
                        <wp:posOffset>133985</wp:posOffset>
                      </wp:positionV>
                      <wp:extent cx="568325" cy="295275"/>
                      <wp:effectExtent l="0" t="0" r="0" b="0"/>
                      <wp:wrapNone/>
                      <wp:docPr id="52" name="文本框 3223"/>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1F00DE00">
                                  <w:pPr>
                                    <w:rPr>
                                      <w:sz w:val="18"/>
                                      <w:szCs w:val="18"/>
                                    </w:rPr>
                                  </w:pPr>
                                  <w:r>
                                    <w:rPr>
                                      <w:rFonts w:hint="eastAsia"/>
                                      <w:sz w:val="18"/>
                                      <w:szCs w:val="18"/>
                                    </w:rPr>
                                    <w:t>铲车</w:t>
                                  </w:r>
                                </w:p>
                              </w:txbxContent>
                            </wps:txbx>
                            <wps:bodyPr upright="1"/>
                          </wps:wsp>
                        </a:graphicData>
                      </a:graphic>
                    </wp:anchor>
                  </w:drawing>
                </mc:Choice>
                <mc:Fallback>
                  <w:pict>
                    <v:shape id="文本框 3223" o:spid="_x0000_s1026" o:spt="202" type="#_x0000_t202" style="position:absolute;left:0pt;margin-left:124.1pt;margin-top:10.55pt;height:23.25pt;width:44.75pt;z-index:251706368;mso-width-relative:page;mso-height-relative:page;" filled="f" stroked="f" coordsize="21600,21600" o:gfxdata="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K88&#10;dtgAAAAJAQAADwAAAAAAAAABACAAAAAiAAAAZHJzL2Rvd25yZXYueG1sUEsBAhQAFAAAAAgAh07i&#10;QO4z8zewAQAAUQMAAA4AAAAAAAAAAQAgAAAAJwEAAGRycy9lMm9Eb2MueG1sUEsFBgAAAAAGAAYA&#10;WQEAAEkFAAAAAA==&#10;">
                      <v:fill on="f" focussize="0,0"/>
                      <v:stroke on="f"/>
                      <v:imagedata o:title=""/>
                      <o:lock v:ext="edit" aspectratio="f"/>
                      <v:textbox>
                        <w:txbxContent>
                          <w:p w14:paraId="1F00DE00">
                            <w:pPr>
                              <w:rPr>
                                <w:sz w:val="18"/>
                                <w:szCs w:val="18"/>
                              </w:rPr>
                            </w:pPr>
                            <w:r>
                              <w:rPr>
                                <w:rFonts w:hint="eastAsia"/>
                                <w:sz w:val="18"/>
                                <w:szCs w:val="18"/>
                              </w:rPr>
                              <w:t>铲车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1941830</wp:posOffset>
                      </wp:positionH>
                      <wp:positionV relativeFrom="paragraph">
                        <wp:posOffset>245110</wp:posOffset>
                      </wp:positionV>
                      <wp:extent cx="459105" cy="261620"/>
                      <wp:effectExtent l="4445" t="4445" r="8890" b="8255"/>
                      <wp:wrapNone/>
                      <wp:docPr id="42" name="文本框 3213"/>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C41E91">
                                  <w:pPr>
                                    <w:ind w:left="-105" w:leftChars="-50" w:right="-105" w:rightChars="-50" w:firstLine="102" w:firstLineChars="49"/>
                                    <w:rPr>
                                      <w:szCs w:val="21"/>
                                    </w:rPr>
                                  </w:pPr>
                                  <w:r>
                                    <w:rPr>
                                      <w:rFonts w:hint="eastAsia"/>
                                      <w:szCs w:val="21"/>
                                    </w:rPr>
                                    <w:t>给料</w:t>
                                  </w:r>
                                </w:p>
                              </w:txbxContent>
                            </wps:txbx>
                            <wps:bodyPr upright="1"/>
                          </wps:wsp>
                        </a:graphicData>
                      </a:graphic>
                    </wp:anchor>
                  </w:drawing>
                </mc:Choice>
                <mc:Fallback>
                  <w:pict>
                    <v:shape id="文本框 3213" o:spid="_x0000_s1026" o:spt="202" type="#_x0000_t202" style="position:absolute;left:0pt;margin-left:152.9pt;margin-top:19.3pt;height:20.6pt;width:36.15pt;z-index:251696128;mso-width-relative:page;mso-height-relative:page;" fillcolor="#FFFFFF" filled="t" stroked="t" coordsize="21600,21600" o:gfxdata="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1SXU7ZAAAACQEAAA8AAAAAAAAA&#10;AQAgAAAAIgAAAGRycy9kb3ducmV2LnhtbFBLAQIUABQAAAAIAIdO4kBNQqWlEAIAADkEAAAOAAAA&#10;AAAAAAEAIAAAACgBAABkcnMvZTJvRG9jLnhtbFBLBQYAAAAABgAGAFkBAACqBQAAAAA=&#10;">
                      <v:fill on="t" focussize="0,0"/>
                      <v:stroke color="#000000" joinstyle="miter"/>
                      <v:imagedata o:title=""/>
                      <o:lock v:ext="edit" aspectratio="f"/>
                      <v:textbox>
                        <w:txbxContent>
                          <w:p w14:paraId="21C41E91">
                            <w:pPr>
                              <w:ind w:left="-105" w:leftChars="-50" w:right="-105" w:rightChars="-50" w:firstLine="102" w:firstLineChars="49"/>
                              <w:rPr>
                                <w:szCs w:val="21"/>
                              </w:rPr>
                            </w:pPr>
                            <w:r>
                              <w:rPr>
                                <w:rFonts w:hint="eastAsia"/>
                                <w:szCs w:val="21"/>
                              </w:rPr>
                              <w:t>给料</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821690</wp:posOffset>
                      </wp:positionH>
                      <wp:positionV relativeFrom="paragraph">
                        <wp:posOffset>133985</wp:posOffset>
                      </wp:positionV>
                      <wp:extent cx="568325" cy="295275"/>
                      <wp:effectExtent l="0" t="0" r="0" b="0"/>
                      <wp:wrapNone/>
                      <wp:docPr id="40" name="文本框 3211"/>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40308915">
                                  <w:pPr>
                                    <w:rPr>
                                      <w:sz w:val="18"/>
                                      <w:szCs w:val="18"/>
                                    </w:rPr>
                                  </w:pPr>
                                  <w:r>
                                    <w:rPr>
                                      <w:rFonts w:hint="eastAsia"/>
                                      <w:sz w:val="18"/>
                                      <w:szCs w:val="18"/>
                                    </w:rPr>
                                    <w:t>汽运</w:t>
                                  </w:r>
                                </w:p>
                              </w:txbxContent>
                            </wps:txbx>
                            <wps:bodyPr upright="1"/>
                          </wps:wsp>
                        </a:graphicData>
                      </a:graphic>
                    </wp:anchor>
                  </w:drawing>
                </mc:Choice>
                <mc:Fallback>
                  <w:pict>
                    <v:shape id="文本框 3211" o:spid="_x0000_s1026" o:spt="202" type="#_x0000_t202" style="position:absolute;left:0pt;margin-left:64.7pt;margin-top:10.55pt;height:23.25pt;width:44.75pt;z-index:251694080;mso-width-relative:page;mso-height-relative:page;" filled="f" stroked="f" coordsize="21600,21600" o:gfxdata="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aVB8TW&#10;AAAACQEAAA8AAAAAAAAAAQAgAAAAIgAAAGRycy9kb3ducmV2LnhtbFBLAQIUABQAAAAIAIdO4kBO&#10;btnTsAEAAFEDAAAOAAAAAAAAAAEAIAAAACUBAABkcnMvZTJvRG9jLnhtbFBLBQYAAAAABgAGAFkB&#10;AABHBQAAAAA=&#10;">
                      <v:fill on="f" focussize="0,0"/>
                      <v:stroke on="f"/>
                      <v:imagedata o:title=""/>
                      <o:lock v:ext="edit" aspectratio="f"/>
                      <v:textbox>
                        <w:txbxContent>
                          <w:p w14:paraId="40308915">
                            <w:pPr>
                              <w:rPr>
                                <w:sz w:val="18"/>
                                <w:szCs w:val="18"/>
                              </w:rPr>
                            </w:pPr>
                            <w:r>
                              <w:rPr>
                                <w:rFonts w:hint="eastAsia"/>
                                <w:sz w:val="18"/>
                                <w:szCs w:val="18"/>
                              </w:rPr>
                              <w:t>汽运</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1215390</wp:posOffset>
                      </wp:positionH>
                      <wp:positionV relativeFrom="paragraph">
                        <wp:posOffset>245110</wp:posOffset>
                      </wp:positionV>
                      <wp:extent cx="459105" cy="261620"/>
                      <wp:effectExtent l="9525" t="9525" r="19050" b="18415"/>
                      <wp:wrapNone/>
                      <wp:docPr id="41" name="文本框 1796"/>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79DE35A0">
                                  <w:pPr>
                                    <w:ind w:left="-105" w:leftChars="-50" w:right="-105" w:rightChars="-50" w:firstLine="102" w:firstLineChars="49"/>
                                    <w:rPr>
                                      <w:szCs w:val="21"/>
                                    </w:rPr>
                                  </w:pPr>
                                  <w:r>
                                    <w:rPr>
                                      <w:rFonts w:hint="eastAsia"/>
                                      <w:szCs w:val="21"/>
                                    </w:rPr>
                                    <w:t>储存</w:t>
                                  </w:r>
                                </w:p>
                              </w:txbxContent>
                            </wps:txbx>
                            <wps:bodyPr upright="1"/>
                          </wps:wsp>
                        </a:graphicData>
                      </a:graphic>
                    </wp:anchor>
                  </w:drawing>
                </mc:Choice>
                <mc:Fallback>
                  <w:pict>
                    <v:shape id="文本框 1796" o:spid="_x0000_s1026" o:spt="202" type="#_x0000_t202" style="position:absolute;left:0pt;margin-left:95.7pt;margin-top:19.3pt;height:20.6pt;width:36.15pt;z-index:251695104;mso-width-relative:page;mso-height-relative:page;" fillcolor="#FFFFFF" filled="t" stroked="t" coordsize="21600,21600" o:gfxdata="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K/GezWAAAACQEAAA8AAAAAAAAAAQAg&#10;AAAAIgAAAGRycy9kb3ducmV2LnhtbFBLAQIUABQAAAAIAIdO4kDHQKmbEAIAADoEAAAOAAAAAAAA&#10;AAEAIAAAACUBAABkcnMvZTJvRG9jLnhtbFBLBQYAAAAABgAGAFkBAACnBQAAAAA=&#10;">
                      <v:fill on="t" focussize="0,0"/>
                      <v:stroke weight="1.5pt" color="#000000" joinstyle="miter"/>
                      <v:imagedata o:title=""/>
                      <o:lock v:ext="edit" aspectratio="f"/>
                      <v:textbox>
                        <w:txbxContent>
                          <w:p w14:paraId="79DE35A0">
                            <w:pPr>
                              <w:ind w:left="-105" w:leftChars="-50" w:right="-105" w:rightChars="-50" w:firstLine="102" w:firstLineChars="49"/>
                              <w:rPr>
                                <w:szCs w:val="21"/>
                              </w:rPr>
                            </w:pPr>
                            <w:r>
                              <w:rPr>
                                <w:rFonts w:hint="eastAsia"/>
                                <w:szCs w:val="21"/>
                              </w:rPr>
                              <w:t>储存</w:t>
                            </w:r>
                          </w:p>
                        </w:txbxContent>
                      </v:textbox>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97152" behindDoc="0" locked="0" layoutInCell="1" allowOverlap="1">
                      <wp:simplePos x="0" y="0"/>
                      <wp:positionH relativeFrom="column">
                        <wp:posOffset>2660650</wp:posOffset>
                      </wp:positionH>
                      <wp:positionV relativeFrom="paragraph">
                        <wp:posOffset>225425</wp:posOffset>
                      </wp:positionV>
                      <wp:extent cx="459105" cy="261620"/>
                      <wp:effectExtent l="4445" t="4445" r="8890" b="8255"/>
                      <wp:wrapNone/>
                      <wp:docPr id="43" name="文本框 3214"/>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105348">
                                  <w:pPr>
                                    <w:ind w:left="-105" w:leftChars="-50" w:right="-105" w:rightChars="-50" w:firstLine="102" w:firstLineChars="49"/>
                                    <w:rPr>
                                      <w:szCs w:val="21"/>
                                    </w:rPr>
                                  </w:pPr>
                                  <w:r>
                                    <w:rPr>
                                      <w:rFonts w:hint="eastAsia"/>
                                      <w:szCs w:val="21"/>
                                    </w:rPr>
                                    <w:t>颚破</w:t>
                                  </w:r>
                                </w:p>
                              </w:txbxContent>
                            </wps:txbx>
                            <wps:bodyPr upright="1"/>
                          </wps:wsp>
                        </a:graphicData>
                      </a:graphic>
                    </wp:anchor>
                  </w:drawing>
                </mc:Choice>
                <mc:Fallback>
                  <w:pict>
                    <v:shape id="文本框 3214" o:spid="_x0000_s1026" o:spt="202" type="#_x0000_t202" style="position:absolute;left:0pt;margin-left:209.5pt;margin-top:17.75pt;height:20.6pt;width:36.15pt;z-index:251697152;mso-width-relative:page;mso-height-relative:page;" fillcolor="#FFFFFF" filled="t" stroked="t" coordsize="21600,21600" o:gfxdata="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ou77PZAAAACQEAAA8AAAAAAAAA&#10;AQAgAAAAIgAAAGRycy9kb3ducmV2LnhtbFBLAQIUABQAAAAIAIdO4kB9d9hMEAIAADkEAAAOAAAA&#10;AAAAAAEAIAAAACgBAABkcnMvZTJvRG9jLnhtbFBLBQYAAAAABgAGAFkBAACqBQAAAAA=&#10;">
                      <v:fill on="t" focussize="0,0"/>
                      <v:stroke color="#000000" joinstyle="miter"/>
                      <v:imagedata o:title=""/>
                      <o:lock v:ext="edit" aspectratio="f"/>
                      <v:textbox>
                        <w:txbxContent>
                          <w:p w14:paraId="38105348">
                            <w:pPr>
                              <w:ind w:left="-105" w:leftChars="-50" w:right="-105" w:rightChars="-50" w:firstLine="102" w:firstLineChars="49"/>
                              <w:rPr>
                                <w:szCs w:val="21"/>
                              </w:rPr>
                            </w:pPr>
                            <w:r>
                              <w:rPr>
                                <w:rFonts w:hint="eastAsia"/>
                                <w:szCs w:val="21"/>
                              </w:rPr>
                              <w:t>颚破</w:t>
                            </w:r>
                          </w:p>
                        </w:txbxContent>
                      </v:textbox>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3387090</wp:posOffset>
                      </wp:positionH>
                      <wp:positionV relativeFrom="paragraph">
                        <wp:posOffset>225425</wp:posOffset>
                      </wp:positionV>
                      <wp:extent cx="459105" cy="261620"/>
                      <wp:effectExtent l="4445" t="4445" r="8890" b="8255"/>
                      <wp:wrapNone/>
                      <wp:docPr id="44" name="文本框 3215"/>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30D82A">
                                  <w:pPr>
                                    <w:ind w:left="-105" w:leftChars="-50" w:right="-105" w:rightChars="-50" w:firstLine="102" w:firstLineChars="49"/>
                                    <w:rPr>
                                      <w:szCs w:val="21"/>
                                    </w:rPr>
                                  </w:pPr>
                                  <w:r>
                                    <w:rPr>
                                      <w:rFonts w:hint="eastAsia"/>
                                      <w:szCs w:val="21"/>
                                    </w:rPr>
                                    <w:t>锤破</w:t>
                                  </w:r>
                                </w:p>
                              </w:txbxContent>
                            </wps:txbx>
                            <wps:bodyPr upright="1"/>
                          </wps:wsp>
                        </a:graphicData>
                      </a:graphic>
                    </wp:anchor>
                  </w:drawing>
                </mc:Choice>
                <mc:Fallback>
                  <w:pict>
                    <v:shape id="文本框 3215" o:spid="_x0000_s1026" o:spt="202" type="#_x0000_t202" style="position:absolute;left:0pt;margin-left:266.7pt;margin-top:17.75pt;height:20.6pt;width:36.15pt;z-index:251698176;mso-width-relative:page;mso-height-relative:page;" fillcolor="#FFFFFF" filled="t" stroked="t" coordsize="21600,21600" o:gfxdata="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ixkt/ZAAAACQEAAA8AAAAAAAAA&#10;AQAgAAAAIgAAAGRycy9kb3ducmV2LnhtbFBLAQIUABQAAAAIAIdO4kBPQ0+qEAIAADkEAAAOAAAA&#10;AAAAAAEAIAAAACgBAABkcnMvZTJvRG9jLnhtbFBLBQYAAAAABgAGAFkBAACqBQAAAAA=&#10;">
                      <v:fill on="t" focussize="0,0"/>
                      <v:stroke color="#000000" joinstyle="miter"/>
                      <v:imagedata o:title=""/>
                      <o:lock v:ext="edit" aspectratio="f"/>
                      <v:textbox>
                        <w:txbxContent>
                          <w:p w14:paraId="5230D82A">
                            <w:pPr>
                              <w:ind w:left="-105" w:leftChars="-50" w:right="-105" w:rightChars="-50" w:firstLine="102" w:firstLineChars="49"/>
                              <w:rPr>
                                <w:szCs w:val="21"/>
                              </w:rPr>
                            </w:pPr>
                            <w:r>
                              <w:rPr>
                                <w:rFonts w:hint="eastAsia"/>
                                <w:szCs w:val="21"/>
                              </w:rPr>
                              <w:t>锤破</w:t>
                            </w:r>
                          </w:p>
                        </w:txbxContent>
                      </v:textbox>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4109085</wp:posOffset>
                      </wp:positionH>
                      <wp:positionV relativeFrom="paragraph">
                        <wp:posOffset>225425</wp:posOffset>
                      </wp:positionV>
                      <wp:extent cx="459105" cy="261620"/>
                      <wp:effectExtent l="4445" t="4445" r="8890" b="8255"/>
                      <wp:wrapNone/>
                      <wp:docPr id="45" name="文本框 3216"/>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ABD515">
                                  <w:pPr>
                                    <w:ind w:left="-105" w:leftChars="-50" w:right="-105" w:rightChars="-50" w:firstLine="102" w:firstLineChars="49"/>
                                    <w:rPr>
                                      <w:szCs w:val="21"/>
                                    </w:rPr>
                                  </w:pPr>
                                  <w:r>
                                    <w:rPr>
                                      <w:rFonts w:hint="eastAsia"/>
                                      <w:szCs w:val="21"/>
                                    </w:rPr>
                                    <w:t>筛分</w:t>
                                  </w:r>
                                </w:p>
                              </w:txbxContent>
                            </wps:txbx>
                            <wps:bodyPr upright="1"/>
                          </wps:wsp>
                        </a:graphicData>
                      </a:graphic>
                    </wp:anchor>
                  </w:drawing>
                </mc:Choice>
                <mc:Fallback>
                  <w:pict>
                    <v:shape id="文本框 3216" o:spid="_x0000_s1026" o:spt="202" type="#_x0000_t202" style="position:absolute;left:0pt;margin-left:323.55pt;margin-top:17.75pt;height:20.6pt;width:36.15pt;z-index:251699200;mso-width-relative:page;mso-height-relative:page;" fillcolor="#FFFFFF" filled="t" stroked="t" coordsize="21600,21600" o:gfxdata="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FRHcRtkAAAAJAQAADwAAAAAAAAAB&#10;ACAAAAAiAAAAZHJzL2Rvd25yZXYueG1sUEsBAhQAFAAAAAgAh07iQN9TzCoPAgAAOQQAAA4AAAAA&#10;AAAAAQAgAAAAKAEAAGRycy9lMm9Eb2MueG1sUEsFBgAAAAAGAAYAWQEAAKkFAAAAAA==&#10;">
                      <v:fill on="t" focussize="0,0"/>
                      <v:stroke color="#000000" joinstyle="miter"/>
                      <v:imagedata o:title=""/>
                      <o:lock v:ext="edit" aspectratio="f"/>
                      <v:textbox>
                        <w:txbxContent>
                          <w:p w14:paraId="52ABD515">
                            <w:pPr>
                              <w:ind w:left="-105" w:leftChars="-50" w:right="-105" w:rightChars="-50" w:firstLine="102" w:firstLineChars="49"/>
                              <w:rPr>
                                <w:szCs w:val="21"/>
                              </w:rPr>
                            </w:pPr>
                            <w:r>
                              <w:rPr>
                                <w:rFonts w:hint="eastAsia"/>
                                <w:szCs w:val="21"/>
                              </w:rPr>
                              <w:t>筛分</w:t>
                            </w:r>
                          </w:p>
                        </w:txbxContent>
                      </v:textbox>
                    </v:shape>
                  </w:pict>
                </mc:Fallback>
              </mc:AlternateContent>
            </w:r>
          </w:p>
          <w:p w14:paraId="7A4B98E5">
            <w:pPr>
              <w:topLinePunct/>
              <w:spacing w:line="480" w:lineRule="exact"/>
              <w:ind w:firstLine="42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769856" behindDoc="0" locked="0" layoutInCell="1" allowOverlap="1">
                      <wp:simplePos x="0" y="0"/>
                      <wp:positionH relativeFrom="column">
                        <wp:posOffset>4512310</wp:posOffset>
                      </wp:positionH>
                      <wp:positionV relativeFrom="paragraph">
                        <wp:posOffset>201930</wp:posOffset>
                      </wp:positionV>
                      <wp:extent cx="568325" cy="295275"/>
                      <wp:effectExtent l="0" t="0" r="0" b="0"/>
                      <wp:wrapNone/>
                      <wp:docPr id="114" name="文本框 3285"/>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2DB6DA54">
                                  <w:pPr>
                                    <w:rPr>
                                      <w:sz w:val="18"/>
                                      <w:szCs w:val="18"/>
                                    </w:rPr>
                                  </w:pPr>
                                  <w:r>
                                    <w:rPr>
                                      <w:rFonts w:hint="eastAsia"/>
                                      <w:sz w:val="18"/>
                                      <w:szCs w:val="18"/>
                                    </w:rPr>
                                    <w:t>皮带</w:t>
                                  </w:r>
                                </w:p>
                              </w:txbxContent>
                            </wps:txbx>
                            <wps:bodyPr upright="1"/>
                          </wps:wsp>
                        </a:graphicData>
                      </a:graphic>
                    </wp:anchor>
                  </w:drawing>
                </mc:Choice>
                <mc:Fallback>
                  <w:pict>
                    <v:shape id="文本框 3285" o:spid="_x0000_s1026" o:spt="202" type="#_x0000_t202" style="position:absolute;left:0pt;margin-left:355.3pt;margin-top:15.9pt;height:23.25pt;width:44.75pt;z-index:251769856;mso-width-relative:page;mso-height-relative:page;" filled="f" stroked="f" coordsize="21600,21600" o:gfxdata="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I1BBa&#10;1gAAAAkBAAAPAAAAAAAAAAEAIAAAACIAAABkcnMvZG93bnJldi54bWxQSwECFAAUAAAACACHTuJA&#10;qokI5rEBAABSAwAADgAAAAAAAAABACAAAAAlAQAAZHJzL2Uyb0RvYy54bWxQSwUGAAAAAAYABgBZ&#10;AQAASAUAAAAA&#10;">
                      <v:fill on="f" focussize="0,0"/>
                      <v:stroke on="f"/>
                      <v:imagedata o:title=""/>
                      <o:lock v:ext="edit" aspectratio="f"/>
                      <v:textbox>
                        <w:txbxContent>
                          <w:p w14:paraId="2DB6DA54">
                            <w:pPr>
                              <w:rPr>
                                <w:sz w:val="18"/>
                                <w:szCs w:val="18"/>
                              </w:rPr>
                            </w:pPr>
                            <w:r>
                              <w:rPr>
                                <w:rFonts w:hint="eastAsia"/>
                                <w:sz w:val="18"/>
                                <w:szCs w:val="18"/>
                              </w:rPr>
                              <w:t>皮带</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4869815</wp:posOffset>
                      </wp:positionH>
                      <wp:positionV relativeFrom="paragraph">
                        <wp:posOffset>124460</wp:posOffset>
                      </wp:positionV>
                      <wp:extent cx="530860" cy="295275"/>
                      <wp:effectExtent l="0" t="0" r="0" b="0"/>
                      <wp:wrapNone/>
                      <wp:docPr id="97" name="文本框 3268"/>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4BE411F3">
                                  <w:pPr>
                                    <w:ind w:left="-105" w:right="-105"/>
                                    <w:rPr>
                                      <w:szCs w:val="21"/>
                                    </w:rPr>
                                  </w:pPr>
                                  <w:r>
                                    <w:rPr>
                                      <w:szCs w:val="21"/>
                                      <w:highlight w:val="lightGray"/>
                                    </w:rPr>
                                    <w:t>G</w:t>
                                  </w:r>
                                  <w:r>
                                    <w:rPr>
                                      <w:rFonts w:hint="eastAsia"/>
                                      <w:szCs w:val="21"/>
                                      <w:highlight w:val="lightGray"/>
                                    </w:rPr>
                                    <w:t>6、N5</w:t>
                                  </w:r>
                                </w:p>
                              </w:txbxContent>
                            </wps:txbx>
                            <wps:bodyPr upright="1"/>
                          </wps:wsp>
                        </a:graphicData>
                      </a:graphic>
                    </wp:anchor>
                  </w:drawing>
                </mc:Choice>
                <mc:Fallback>
                  <w:pict>
                    <v:shape id="文本框 3268" o:spid="_x0000_s1026" o:spt="202" type="#_x0000_t202" style="position:absolute;left:0pt;margin-left:383.45pt;margin-top:9.8pt;height:23.25pt;width:41.8pt;z-index:251752448;mso-width-relative:page;mso-height-relative:page;" filled="f" stroked="f" coordsize="21600,21600" o:gfxdata="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SJe9/W&#10;AAAACQEAAA8AAAAAAAAAAQAgAAAAIgAAAGRycy9kb3ducmV2LnhtbFBLAQIUABQAAAAIAIdO4kAP&#10;Z89ysAEAAFEDAAAOAAAAAAAAAAEAIAAAACUBAABkcnMvZTJvRG9jLnhtbFBLBQYAAAAABgAGAFkB&#10;AABHBQAAAAA=&#10;">
                      <v:fill on="f" focussize="0,0"/>
                      <v:stroke on="f"/>
                      <v:imagedata o:title=""/>
                      <o:lock v:ext="edit" aspectratio="f"/>
                      <v:textbox>
                        <w:txbxContent>
                          <w:p w14:paraId="4BE411F3">
                            <w:pPr>
                              <w:ind w:left="-105" w:right="-105"/>
                              <w:rPr>
                                <w:szCs w:val="21"/>
                              </w:rPr>
                            </w:pPr>
                            <w:r>
                              <w:rPr>
                                <w:szCs w:val="21"/>
                                <w:highlight w:val="lightGray"/>
                              </w:rPr>
                              <w:t>G</w:t>
                            </w:r>
                            <w:r>
                              <w:rPr>
                                <w:rFonts w:hint="eastAsia"/>
                                <w:szCs w:val="21"/>
                                <w:highlight w:val="lightGray"/>
                              </w:rPr>
                              <w:t>6、N5</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3718560</wp:posOffset>
                      </wp:positionH>
                      <wp:positionV relativeFrom="paragraph">
                        <wp:posOffset>201930</wp:posOffset>
                      </wp:positionV>
                      <wp:extent cx="530860" cy="295275"/>
                      <wp:effectExtent l="0" t="0" r="0" b="0"/>
                      <wp:wrapNone/>
                      <wp:docPr id="93" name="文本框 3264"/>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4F3BD363">
                                  <w:pPr>
                                    <w:ind w:left="-105" w:right="-105"/>
                                    <w:rPr>
                                      <w:szCs w:val="21"/>
                                    </w:rPr>
                                  </w:pPr>
                                  <w:r>
                                    <w:rPr>
                                      <w:szCs w:val="21"/>
                                      <w:highlight w:val="lightGray"/>
                                    </w:rPr>
                                    <w:t>G</w:t>
                                  </w:r>
                                  <w:r>
                                    <w:rPr>
                                      <w:rFonts w:hint="eastAsia"/>
                                      <w:szCs w:val="21"/>
                                      <w:highlight w:val="lightGray"/>
                                    </w:rPr>
                                    <w:t>2、N1</w:t>
                                  </w:r>
                                </w:p>
                              </w:txbxContent>
                            </wps:txbx>
                            <wps:bodyPr upright="1"/>
                          </wps:wsp>
                        </a:graphicData>
                      </a:graphic>
                    </wp:anchor>
                  </w:drawing>
                </mc:Choice>
                <mc:Fallback>
                  <w:pict>
                    <v:shape id="文本框 3264" o:spid="_x0000_s1026" o:spt="202" type="#_x0000_t202" style="position:absolute;left:0pt;margin-left:292.8pt;margin-top:15.9pt;height:23.25pt;width:41.8pt;z-index:251748352;mso-width-relative:page;mso-height-relative:page;" filled="f" stroked="f" coordsize="21600,21600" o:gfxdata="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tgNg&#10;1wAAAAkBAAAPAAAAAAAAAAEAIAAAACIAAABkcnMvZG93bnJldi54bWxQSwECFAAUAAAACACHTuJA&#10;2vIVjrABAABRAwAADgAAAAAAAAABACAAAAAmAQAAZHJzL2Uyb0RvYy54bWxQSwUGAAAAAAYABgBZ&#10;AQAASAUAAAAA&#10;">
                      <v:fill on="f" focussize="0,0"/>
                      <v:stroke on="f"/>
                      <v:imagedata o:title=""/>
                      <o:lock v:ext="edit" aspectratio="f"/>
                      <v:textbox>
                        <w:txbxContent>
                          <w:p w14:paraId="4F3BD363">
                            <w:pPr>
                              <w:ind w:left="-105" w:right="-105"/>
                              <w:rPr>
                                <w:szCs w:val="21"/>
                              </w:rPr>
                            </w:pPr>
                            <w:r>
                              <w:rPr>
                                <w:szCs w:val="21"/>
                                <w:highlight w:val="lightGray"/>
                              </w:rPr>
                              <w:t>G</w:t>
                            </w:r>
                            <w:r>
                              <w:rPr>
                                <w:rFonts w:hint="eastAsia"/>
                                <w:szCs w:val="21"/>
                                <w:highlight w:val="lightGray"/>
                              </w:rPr>
                              <w:t>2、N1</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3015615</wp:posOffset>
                      </wp:positionH>
                      <wp:positionV relativeFrom="paragraph">
                        <wp:posOffset>201930</wp:posOffset>
                      </wp:positionV>
                      <wp:extent cx="396875" cy="295275"/>
                      <wp:effectExtent l="0" t="0" r="0" b="0"/>
                      <wp:wrapNone/>
                      <wp:docPr id="92" name="文本框 3263"/>
                      <wp:cNvGraphicFramePr/>
                      <a:graphic xmlns:a="http://schemas.openxmlformats.org/drawingml/2006/main">
                        <a:graphicData uri="http://schemas.microsoft.com/office/word/2010/wordprocessingShape">
                          <wps:wsp>
                            <wps:cNvSpPr txBox="1"/>
                            <wps:spPr>
                              <a:xfrm>
                                <a:off x="0" y="0"/>
                                <a:ext cx="396875" cy="295275"/>
                              </a:xfrm>
                              <a:prstGeom prst="rect">
                                <a:avLst/>
                              </a:prstGeom>
                              <a:noFill/>
                              <a:ln>
                                <a:noFill/>
                              </a:ln>
                            </wps:spPr>
                            <wps:txbx>
                              <w:txbxContent>
                                <w:p w14:paraId="029C8A35">
                                  <w:pPr>
                                    <w:ind w:left="-105" w:right="-105"/>
                                    <w:rPr>
                                      <w:szCs w:val="21"/>
                                    </w:rPr>
                                  </w:pPr>
                                  <w:r>
                                    <w:rPr>
                                      <w:szCs w:val="21"/>
                                      <w:highlight w:val="lightGray"/>
                                    </w:rPr>
                                    <w:t>G</w:t>
                                  </w:r>
                                  <w:r>
                                    <w:rPr>
                                      <w:rFonts w:hint="eastAsia"/>
                                      <w:szCs w:val="21"/>
                                      <w:highlight w:val="lightGray"/>
                                    </w:rPr>
                                    <w:t>9</w:t>
                                  </w:r>
                                </w:p>
                              </w:txbxContent>
                            </wps:txbx>
                            <wps:bodyPr upright="1"/>
                          </wps:wsp>
                        </a:graphicData>
                      </a:graphic>
                    </wp:anchor>
                  </w:drawing>
                </mc:Choice>
                <mc:Fallback>
                  <w:pict>
                    <v:shape id="文本框 3263" o:spid="_x0000_s1026" o:spt="202" type="#_x0000_t202" style="position:absolute;left:0pt;margin-left:237.45pt;margin-top:15.9pt;height:23.25pt;width:31.25pt;z-index:251747328;mso-width-relative:page;mso-height-relative:page;" filled="f" stroked="f" coordsize="21600,21600" o:gfxdata="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SyCXe&#10;1wAAAAkBAAAPAAAAAAAAAAEAIAAAACIAAABkcnMvZG93bnJldi54bWxQSwECFAAUAAAACACHTuJA&#10;q+YmmbABAABRAwAADgAAAAAAAAABACAAAAAmAQAAZHJzL2Uyb0RvYy54bWxQSwUGAAAAAAYABgBZ&#10;AQAASAUAAAAA&#10;">
                      <v:fill on="f" focussize="0,0"/>
                      <v:stroke on="f"/>
                      <v:imagedata o:title=""/>
                      <o:lock v:ext="edit" aspectratio="f"/>
                      <v:textbox>
                        <w:txbxContent>
                          <w:p w14:paraId="029C8A35">
                            <w:pPr>
                              <w:ind w:left="-105" w:right="-105"/>
                              <w:rPr>
                                <w:szCs w:val="21"/>
                              </w:rPr>
                            </w:pPr>
                            <w:r>
                              <w:rPr>
                                <w:szCs w:val="21"/>
                                <w:highlight w:val="lightGray"/>
                              </w:rPr>
                              <w:t>G</w:t>
                            </w:r>
                            <w:r>
                              <w:rPr>
                                <w:rFonts w:hint="eastAsia"/>
                                <w:szCs w:val="21"/>
                                <w:highlight w:val="lightGray"/>
                              </w:rPr>
                              <w:t>9</w:t>
                            </w:r>
                          </w:p>
                        </w:txbxContent>
                      </v:textbox>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4832350</wp:posOffset>
                      </wp:positionH>
                      <wp:positionV relativeFrom="paragraph">
                        <wp:posOffset>51435</wp:posOffset>
                      </wp:positionV>
                      <wp:extent cx="0" cy="557530"/>
                      <wp:effectExtent l="38100" t="0" r="38100" b="6350"/>
                      <wp:wrapNone/>
                      <wp:docPr id="14" name="自选图形 3185"/>
                      <wp:cNvGraphicFramePr/>
                      <a:graphic xmlns:a="http://schemas.openxmlformats.org/drawingml/2006/main">
                        <a:graphicData uri="http://schemas.microsoft.com/office/word/2010/wordprocessingShape">
                          <wps:wsp>
                            <wps:cNvCnPr/>
                            <wps:spPr>
                              <a:xfrm>
                                <a:off x="0" y="0"/>
                                <a:ext cx="0" cy="5575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85" o:spid="_x0000_s1026" o:spt="32" type="#_x0000_t32" style="position:absolute;left:0pt;margin-left:380.5pt;margin-top:4.05pt;height:43.9pt;width:0pt;z-index:251667456;mso-width-relative:page;mso-height-relative:page;" filled="f" stroked="t" coordsize="21600,21600" o:gfxdata="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Z/nuHWAAAACAEAAA8AAAAAAAAAAQAgAAAAIgAAAGRycy9kb3ducmV2&#10;LnhtbFBLAQIUABQAAAAIAIdO4kDTlDgn/gEAAOoDAAAOAAAAAAAAAAEAIAAAACUBAABkcnMvZTJv&#10;RG9jLnhtbFBLBQYAAAAABgAGAFkBAACVBQAAAAA=&#10;">
                      <v:fill on="f" focussize="0,0"/>
                      <v:stroke color="#000000" joinstyle="round" endarrow="block"/>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05344" behindDoc="0" locked="0" layoutInCell="1" allowOverlap="1">
                      <wp:simplePos x="0" y="0"/>
                      <wp:positionH relativeFrom="column">
                        <wp:posOffset>4568190</wp:posOffset>
                      </wp:positionH>
                      <wp:positionV relativeFrom="paragraph">
                        <wp:posOffset>51435</wp:posOffset>
                      </wp:positionV>
                      <wp:extent cx="264160" cy="0"/>
                      <wp:effectExtent l="0" t="4445" r="0" b="5080"/>
                      <wp:wrapNone/>
                      <wp:docPr id="51" name="自选图形 3222"/>
                      <wp:cNvGraphicFramePr/>
                      <a:graphic xmlns:a="http://schemas.openxmlformats.org/drawingml/2006/main">
                        <a:graphicData uri="http://schemas.microsoft.com/office/word/2010/wordprocessingShape">
                          <wps:wsp>
                            <wps:cNvCnPr/>
                            <wps:spPr>
                              <a:xfrm>
                                <a:off x="0" y="0"/>
                                <a:ext cx="264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22" o:spid="_x0000_s1026" o:spt="32" type="#_x0000_t32" style="position:absolute;left:0pt;margin-left:359.7pt;margin-top:4.05pt;height:0pt;width:20.8pt;z-index:251705344;mso-width-relative:page;mso-height-relative:page;" filled="f" stroked="t" coordsize="21600,21600" o:gfxdata="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I+iEk1QAAAAcBAAAPAAAAAAAAAAEAIAAAACIAAABkcnMvZG93bnJldi54bWxQSwEC&#10;FAAUAAAACACHTuJAAGAayvcBAADmAwAADgAAAAAAAAABACAAAAAkAQAAZHJzL2Uyb0RvYy54bWxQ&#10;SwUGAAAAAAYABgBZAQAAjQUAAAAA&#10;">
                      <v:fill on="f" focussize="0,0"/>
                      <v:stroke color="#000000" joinstyle="round"/>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2409190</wp:posOffset>
                      </wp:positionH>
                      <wp:positionV relativeFrom="paragraph">
                        <wp:posOffset>51435</wp:posOffset>
                      </wp:positionV>
                      <wp:extent cx="261620" cy="0"/>
                      <wp:effectExtent l="0" t="38100" r="12700" b="38100"/>
                      <wp:wrapNone/>
                      <wp:docPr id="48" name="自选图形 3219"/>
                      <wp:cNvGraphicFramePr/>
                      <a:graphic xmlns:a="http://schemas.openxmlformats.org/drawingml/2006/main">
                        <a:graphicData uri="http://schemas.microsoft.com/office/word/2010/wordprocessingShape">
                          <wps:wsp>
                            <wps:cNvCnPr/>
                            <wps:spPr>
                              <a:xfrm>
                                <a:off x="0" y="0"/>
                                <a:ext cx="26162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19" o:spid="_x0000_s1026" o:spt="32" type="#_x0000_t32" style="position:absolute;left:0pt;margin-left:189.7pt;margin-top:4.05pt;height:0pt;width:20.6pt;z-index:251702272;mso-width-relative:page;mso-height-relative:page;" filled="f" stroked="t" coordsize="21600,21600" o:gfxdata="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My0mL1wAAAAcBAAAPAAAAAAAAAAEAIAAAACIAAABkcnMvZG93bnJl&#10;di54bWxQSwECFAAUAAAACACHTuJAT6910/4BAADqAwAADgAAAAAAAAABACAAAAAmAQAAZHJzL2Uy&#10;b0RvYy54bWxQSwUGAAAAAAYABgBZAQAAlgUAAAAA&#10;">
                      <v:fill on="f" focussize="0,0"/>
                      <v:stroke color="#000000" joinstyle="round" endarrow="block"/>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878205</wp:posOffset>
                      </wp:positionH>
                      <wp:positionV relativeFrom="paragraph">
                        <wp:posOffset>51435</wp:posOffset>
                      </wp:positionV>
                      <wp:extent cx="337185" cy="0"/>
                      <wp:effectExtent l="0" t="38100" r="13335" b="38100"/>
                      <wp:wrapNone/>
                      <wp:docPr id="11" name="自选图形 3182"/>
                      <wp:cNvGraphicFramePr/>
                      <a:graphic xmlns:a="http://schemas.openxmlformats.org/drawingml/2006/main">
                        <a:graphicData uri="http://schemas.microsoft.com/office/word/2010/wordprocessingShape">
                          <wps:wsp>
                            <wps:cNvCnPr/>
                            <wps:spPr>
                              <a:xfrm>
                                <a:off x="0" y="0"/>
                                <a:ext cx="33718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82" o:spid="_x0000_s1026" o:spt="32" type="#_x0000_t32" style="position:absolute;left:0pt;margin-left:69.15pt;margin-top:4.05pt;height:0pt;width:26.55pt;z-index:251664384;mso-width-relative:page;mso-height-relative:page;" filled="f" stroked="t" coordsize="21600,21600" o:gfxdata="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ocN2nWAAAABwEAAA8AAAAAAAAAAQAgAAAAIgAAAGRycy9kb3ducmV2&#10;LnhtbFBLAQIUABQAAAAIAIdO4kCfg8UE/gEAAOoDAAAOAAAAAAAAAAEAIAAAACUBAABkcnMvZTJv&#10;RG9jLnhtbFBLBQYAAAAABgAGAFkBAACVBQAAAAA=&#10;">
                      <v:fill on="f" focussize="0,0"/>
                      <v:stroke color="#000000" joinstyle="round" endarrow="block"/>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1674495</wp:posOffset>
                      </wp:positionH>
                      <wp:positionV relativeFrom="paragraph">
                        <wp:posOffset>51435</wp:posOffset>
                      </wp:positionV>
                      <wp:extent cx="267335" cy="0"/>
                      <wp:effectExtent l="0" t="38100" r="6985" b="38100"/>
                      <wp:wrapNone/>
                      <wp:docPr id="12" name="自选图形 3183"/>
                      <wp:cNvGraphicFramePr/>
                      <a:graphic xmlns:a="http://schemas.openxmlformats.org/drawingml/2006/main">
                        <a:graphicData uri="http://schemas.microsoft.com/office/word/2010/wordprocessingShape">
                          <wps:wsp>
                            <wps:cNvCnPr/>
                            <wps:spPr>
                              <a:xfrm>
                                <a:off x="0" y="0"/>
                                <a:ext cx="26733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83" o:spid="_x0000_s1026" o:spt="32" type="#_x0000_t32" style="position:absolute;left:0pt;margin-left:131.85pt;margin-top:4.05pt;height:0pt;width:21.05pt;z-index:251665408;mso-width-relative:page;mso-height-relative:page;" filled="f" stroked="t" coordsize="21600,21600" o:gfxdata="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nPQddcAAAAHAQAADwAAAAAAAAABACAAAAAiAAAAZHJzL2Rvd25y&#10;ZXYueG1sUEsBAhQAFAAAAAgAh07iQOlylMv/AQAA6gMAAA4AAAAAAAAAAQAgAAAAJgEAAGRycy9l&#10;Mm9Eb2MueG1sUEsFBgAAAAAGAAYAWQEAAJcFA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3119755</wp:posOffset>
                      </wp:positionH>
                      <wp:positionV relativeFrom="paragraph">
                        <wp:posOffset>51435</wp:posOffset>
                      </wp:positionV>
                      <wp:extent cx="267335" cy="0"/>
                      <wp:effectExtent l="0" t="38100" r="6985" b="38100"/>
                      <wp:wrapNone/>
                      <wp:docPr id="46" name="自选图形 3217"/>
                      <wp:cNvGraphicFramePr/>
                      <a:graphic xmlns:a="http://schemas.openxmlformats.org/drawingml/2006/main">
                        <a:graphicData uri="http://schemas.microsoft.com/office/word/2010/wordprocessingShape">
                          <wps:wsp>
                            <wps:cNvCnPr/>
                            <wps:spPr>
                              <a:xfrm>
                                <a:off x="0" y="0"/>
                                <a:ext cx="26733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17" o:spid="_x0000_s1026" o:spt="32" type="#_x0000_t32" style="position:absolute;left:0pt;margin-left:245.65pt;margin-top:4.05pt;height:0pt;width:21.05pt;z-index:251700224;mso-width-relative:page;mso-height-relative:page;" filled="f" stroked="t" coordsize="21600,21600" o:gfxdata="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J6dh1wAAAAcBAAAPAAAAAAAAAAEAIAAAACIAAABkcnMvZG93bnJl&#10;di54bWxQSwECFAAUAAAACACHTuJAe027m/4BAADqAwAADgAAAAAAAAABACAAAAAmAQAAZHJzL2Uy&#10;b0RvYy54bWxQSwUGAAAAAAYABgBZAQAAlgU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3846195</wp:posOffset>
                      </wp:positionH>
                      <wp:positionV relativeFrom="paragraph">
                        <wp:posOffset>51435</wp:posOffset>
                      </wp:positionV>
                      <wp:extent cx="267335" cy="0"/>
                      <wp:effectExtent l="0" t="38100" r="6985" b="38100"/>
                      <wp:wrapNone/>
                      <wp:docPr id="47" name="自选图形 3218"/>
                      <wp:cNvGraphicFramePr/>
                      <a:graphic xmlns:a="http://schemas.openxmlformats.org/drawingml/2006/main">
                        <a:graphicData uri="http://schemas.microsoft.com/office/word/2010/wordprocessingShape">
                          <wps:wsp>
                            <wps:cNvCnPr/>
                            <wps:spPr>
                              <a:xfrm>
                                <a:off x="0" y="0"/>
                                <a:ext cx="26733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18" o:spid="_x0000_s1026" o:spt="32" type="#_x0000_t32" style="position:absolute;left:0pt;margin-left:302.85pt;margin-top:4.05pt;height:0pt;width:21.05pt;z-index:251701248;mso-width-relative:page;mso-height-relative:page;" filled="f" stroked="t" coordsize="21600,21600" o:gfxdata="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VAFTM1gAAAAcBAAAPAAAAAAAAAAEAIAAAACIAAABkcnMvZG93bnJl&#10;di54bWxQSwECFAAUAAAACACHTuJAjp2IKv8BAADqAwAADgAAAAAAAAABACAAAAAlAQAAZHJzL2Uy&#10;b0RvYy54bWxQSwUGAAAAAAYABgBZAQAAlgUAAAAA&#10;">
                      <v:fill on="f" focussize="0,0"/>
                      <v:stroke color="#000000" joinstyle="round" endarrow="block"/>
                      <v:imagedata o:title=""/>
                      <o:lock v:ext="edit" aspectratio="f"/>
                    </v:shape>
                  </w:pict>
                </mc:Fallback>
              </mc:AlternateContent>
            </w:r>
          </w:p>
          <w:p w14:paraId="1A6C255D">
            <w:pPr>
              <w:topLinePunct/>
              <w:spacing w:line="480" w:lineRule="exact"/>
              <w:ind w:firstLine="42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1680210</wp:posOffset>
                      </wp:positionH>
                      <wp:positionV relativeFrom="paragraph">
                        <wp:posOffset>194310</wp:posOffset>
                      </wp:positionV>
                      <wp:extent cx="833120" cy="546100"/>
                      <wp:effectExtent l="0" t="0" r="5080" b="2540"/>
                      <wp:wrapNone/>
                      <wp:docPr id="7" name="文本框 3178"/>
                      <wp:cNvGraphicFramePr/>
                      <a:graphic xmlns:a="http://schemas.openxmlformats.org/drawingml/2006/main">
                        <a:graphicData uri="http://schemas.microsoft.com/office/word/2010/wordprocessingShape">
                          <wps:wsp>
                            <wps:cNvSpPr txBox="1"/>
                            <wps:spPr>
                              <a:xfrm>
                                <a:off x="0" y="0"/>
                                <a:ext cx="833120" cy="546100"/>
                              </a:xfrm>
                              <a:prstGeom prst="rect">
                                <a:avLst/>
                              </a:prstGeom>
                              <a:solidFill>
                                <a:srgbClr val="FFFFFF"/>
                              </a:solidFill>
                              <a:ln>
                                <a:noFill/>
                              </a:ln>
                            </wps:spPr>
                            <wps:txbx>
                              <w:txbxContent>
                                <w:p w14:paraId="618F2922">
                                  <w:r>
                                    <w:rPr>
                                      <w:rFonts w:hint="eastAsia"/>
                                    </w:rPr>
                                    <w:t>工业污泥、生活污泥</w:t>
                                  </w:r>
                                </w:p>
                              </w:txbxContent>
                            </wps:txbx>
                            <wps:bodyPr upright="1"/>
                          </wps:wsp>
                        </a:graphicData>
                      </a:graphic>
                    </wp:anchor>
                  </w:drawing>
                </mc:Choice>
                <mc:Fallback>
                  <w:pict>
                    <v:shape id="文本框 3178" o:spid="_x0000_s1026" o:spt="202" type="#_x0000_t202" style="position:absolute;left:0pt;margin-left:132.3pt;margin-top:15.3pt;height:43pt;width:65.6pt;z-index:251660288;mso-width-relative:page;mso-height-relative:page;" fillcolor="#FFFFFF" filled="t" stroked="f" coordsize="21600,21600" o:gfxdata="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05mLhdgAAAAKAQAADwAAAAAAAAABACAAAAAiAAAAZHJzL2Rvd25y&#10;ZXYueG1sUEsBAhQAFAAAAAgAh07iQGAkXe/FAQAAeQMAAA4AAAAAAAAAAQAgAAAAJwEAAGRycy9l&#10;Mm9Eb2MueG1sUEsFBgAAAAAGAAYAWQEAAF4FAAAAAA==&#10;">
                      <v:fill on="t" focussize="0,0"/>
                      <v:stroke on="f"/>
                      <v:imagedata o:title=""/>
                      <o:lock v:ext="edit" aspectratio="f"/>
                      <v:textbox>
                        <w:txbxContent>
                          <w:p w14:paraId="618F2922">
                            <w:r>
                              <w:rPr>
                                <w:rFonts w:hint="eastAsia"/>
                              </w:rPr>
                              <w:t>工业污泥、生活污泥</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3943350</wp:posOffset>
                      </wp:positionH>
                      <wp:positionV relativeFrom="paragraph">
                        <wp:posOffset>121920</wp:posOffset>
                      </wp:positionV>
                      <wp:extent cx="0" cy="189865"/>
                      <wp:effectExtent l="63500" t="0" r="73660" b="8255"/>
                      <wp:wrapNone/>
                      <wp:docPr id="61" name="自选图形 3232"/>
                      <wp:cNvGraphicFramePr/>
                      <a:graphic xmlns:a="http://schemas.openxmlformats.org/drawingml/2006/main">
                        <a:graphicData uri="http://schemas.microsoft.com/office/word/2010/wordprocessingShape">
                          <wps:wsp>
                            <wps:cNvCnPr/>
                            <wps:spPr>
                              <a:xfrm flipV="1">
                                <a:off x="0" y="0"/>
                                <a:ext cx="0" cy="18986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32" o:spid="_x0000_s1026" o:spt="32" type="#_x0000_t32" style="position:absolute;left:0pt;flip:y;margin-left:310.5pt;margin-top:9.6pt;height:14.95pt;width:0pt;z-index:251715584;mso-width-relative:page;mso-height-relative:page;" filled="f" stroked="t" coordsize="21600,21600" o:gfxdata="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4DiI9YAAAAJAQAADwAAAAAAAAABACAAAAAiAAAA&#10;ZHJzL2Rvd25yZXYueG1sUEsBAhQAFAAAAAgAh07iQJYnwjIJAgAA8wMAAA4AAAAAAAAAAQAgAAAA&#10;JQEAAGRycy9lMm9Eb2MueG1sUEsFBgAAAAAGAAYAWQEAAKAFA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3119755</wp:posOffset>
                      </wp:positionH>
                      <wp:positionV relativeFrom="paragraph">
                        <wp:posOffset>121920</wp:posOffset>
                      </wp:positionV>
                      <wp:extent cx="0" cy="189865"/>
                      <wp:effectExtent l="63500" t="0" r="73660" b="8255"/>
                      <wp:wrapNone/>
                      <wp:docPr id="91" name="自选图形 3262"/>
                      <wp:cNvGraphicFramePr/>
                      <a:graphic xmlns:a="http://schemas.openxmlformats.org/drawingml/2006/main">
                        <a:graphicData uri="http://schemas.microsoft.com/office/word/2010/wordprocessingShape">
                          <wps:wsp>
                            <wps:cNvCnPr/>
                            <wps:spPr>
                              <a:xfrm flipV="1">
                                <a:off x="0" y="0"/>
                                <a:ext cx="0" cy="18986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62" o:spid="_x0000_s1026" o:spt="32" type="#_x0000_t32" style="position:absolute;left:0pt;flip:y;margin-left:245.65pt;margin-top:9.6pt;height:14.95pt;width:0pt;z-index:251746304;mso-width-relative:page;mso-height-relative:page;" filled="f" stroked="t" coordsize="21600,21600" o:gfxdata="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ecdh9YAAAAJAQAADwAAAAAAAAABACAAAAAiAAAA&#10;ZHJzL2Rvd25yZXYueG1sUEsBAhQAFAAAAAgAh07iQJDG6twJAgAA8wMAAA4AAAAAAAAAAQAgAAAA&#10;JQEAAGRycy9lMm9Eb2MueG1sUEsFBgAAAAAGAAYAWQEAAKAFA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2485390</wp:posOffset>
                      </wp:positionH>
                      <wp:positionV relativeFrom="paragraph">
                        <wp:posOffset>228600</wp:posOffset>
                      </wp:positionV>
                      <wp:extent cx="568325" cy="234950"/>
                      <wp:effectExtent l="0" t="0" r="0" b="0"/>
                      <wp:wrapNone/>
                      <wp:docPr id="68" name="文本框 3239"/>
                      <wp:cNvGraphicFramePr/>
                      <a:graphic xmlns:a="http://schemas.openxmlformats.org/drawingml/2006/main">
                        <a:graphicData uri="http://schemas.microsoft.com/office/word/2010/wordprocessingShape">
                          <wps:wsp>
                            <wps:cNvSpPr txBox="1"/>
                            <wps:spPr>
                              <a:xfrm>
                                <a:off x="0" y="0"/>
                                <a:ext cx="568325" cy="234950"/>
                              </a:xfrm>
                              <a:prstGeom prst="rect">
                                <a:avLst/>
                              </a:prstGeom>
                              <a:noFill/>
                              <a:ln>
                                <a:noFill/>
                              </a:ln>
                            </wps:spPr>
                            <wps:txbx>
                              <w:txbxContent>
                                <w:p w14:paraId="2CA03AE4">
                                  <w:pPr>
                                    <w:rPr>
                                      <w:sz w:val="18"/>
                                      <w:szCs w:val="18"/>
                                    </w:rPr>
                                  </w:pPr>
                                  <w:r>
                                    <w:rPr>
                                      <w:rFonts w:hint="eastAsia"/>
                                      <w:sz w:val="18"/>
                                      <w:szCs w:val="18"/>
                                    </w:rPr>
                                    <w:t>汽运</w:t>
                                  </w:r>
                                </w:p>
                              </w:txbxContent>
                            </wps:txbx>
                            <wps:bodyPr upright="1"/>
                          </wps:wsp>
                        </a:graphicData>
                      </a:graphic>
                    </wp:anchor>
                  </w:drawing>
                </mc:Choice>
                <mc:Fallback>
                  <w:pict>
                    <v:shape id="文本框 3239" o:spid="_x0000_s1026" o:spt="202" type="#_x0000_t202" style="position:absolute;left:0pt;margin-left:195.7pt;margin-top:18pt;height:18.5pt;width:44.75pt;z-index:251722752;mso-width-relative:page;mso-height-relative:page;" filled="f" stroked="f" coordsize="21600,21600" o:gfxdata="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5jPw&#10;69cAAAAJAQAADwAAAAAAAAABACAAAAAiAAAAZHJzL2Rvd25yZXYueG1sUEsBAhQAFAAAAAgAh07i&#10;QPdnWAaxAQAAUQMAAA4AAAAAAAAAAQAgAAAAJgEAAGRycy9lMm9Eb2MueG1sUEsFBgAAAAAGAAYA&#10;WQEAAEkFAAAAAA==&#10;">
                      <v:fill on="f" focussize="0,0"/>
                      <v:stroke on="f"/>
                      <v:imagedata o:title=""/>
                      <o:lock v:ext="edit" aspectratio="f"/>
                      <v:textbox>
                        <w:txbxContent>
                          <w:p w14:paraId="2CA03AE4">
                            <w:pPr>
                              <w:rPr>
                                <w:sz w:val="18"/>
                                <w:szCs w:val="18"/>
                              </w:rPr>
                            </w:pPr>
                            <w:r>
                              <w:rPr>
                                <w:rFonts w:hint="eastAsia"/>
                                <w:sz w:val="18"/>
                                <w:szCs w:val="18"/>
                              </w:rPr>
                              <w:t>汽运</w:t>
                            </w:r>
                          </w:p>
                        </w:txbxContent>
                      </v:textbox>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4174490</wp:posOffset>
                      </wp:positionH>
                      <wp:positionV relativeFrom="paragraph">
                        <wp:posOffset>228600</wp:posOffset>
                      </wp:positionV>
                      <wp:extent cx="568325" cy="295275"/>
                      <wp:effectExtent l="0" t="0" r="0" b="0"/>
                      <wp:wrapNone/>
                      <wp:docPr id="67" name="文本框 3238"/>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210A76B0">
                                  <w:pPr>
                                    <w:rPr>
                                      <w:sz w:val="18"/>
                                      <w:szCs w:val="18"/>
                                    </w:rPr>
                                  </w:pPr>
                                  <w:r>
                                    <w:rPr>
                                      <w:rFonts w:hint="eastAsia"/>
                                      <w:sz w:val="18"/>
                                      <w:szCs w:val="18"/>
                                    </w:rPr>
                                    <w:t>皮带</w:t>
                                  </w:r>
                                </w:p>
                              </w:txbxContent>
                            </wps:txbx>
                            <wps:bodyPr upright="1"/>
                          </wps:wsp>
                        </a:graphicData>
                      </a:graphic>
                    </wp:anchor>
                  </w:drawing>
                </mc:Choice>
                <mc:Fallback>
                  <w:pict>
                    <v:shape id="文本框 3238" o:spid="_x0000_s1026" o:spt="202" type="#_x0000_t202" style="position:absolute;left:0pt;margin-left:328.7pt;margin-top:18pt;height:23.25pt;width:44.75pt;z-index:251721728;mso-width-relative:page;mso-height-relative:page;" filled="f" stroked="f" coordsize="21600,21600" o:gfxdata="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4yRA&#10;1wAAAAkBAAAPAAAAAAAAAAEAIAAAACIAAABkcnMvZG93bnJldi54bWxQSwECFAAUAAAACACHTuJA&#10;Izdgp7ABAABRAwAADgAAAAAAAAABACAAAAAmAQAAZHJzL2Uyb0RvYy54bWxQSwUGAAAAAAYABgBZ&#10;AQAASAUAAAAA&#10;">
                      <v:fill on="f" focussize="0,0"/>
                      <v:stroke on="f"/>
                      <v:imagedata o:title=""/>
                      <o:lock v:ext="edit" aspectratio="f"/>
                      <v:textbox>
                        <w:txbxContent>
                          <w:p w14:paraId="210A76B0">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3277870</wp:posOffset>
                      </wp:positionH>
                      <wp:positionV relativeFrom="paragraph">
                        <wp:posOffset>228600</wp:posOffset>
                      </wp:positionV>
                      <wp:extent cx="568325" cy="295275"/>
                      <wp:effectExtent l="0" t="0" r="0" b="0"/>
                      <wp:wrapNone/>
                      <wp:docPr id="66" name="文本框 3237"/>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33B0C78D">
                                  <w:pPr>
                                    <w:rPr>
                                      <w:sz w:val="18"/>
                                      <w:szCs w:val="18"/>
                                    </w:rPr>
                                  </w:pPr>
                                  <w:r>
                                    <w:rPr>
                                      <w:rFonts w:hint="eastAsia"/>
                                      <w:sz w:val="18"/>
                                      <w:szCs w:val="18"/>
                                    </w:rPr>
                                    <w:t>铲车</w:t>
                                  </w:r>
                                </w:p>
                              </w:txbxContent>
                            </wps:txbx>
                            <wps:bodyPr upright="1"/>
                          </wps:wsp>
                        </a:graphicData>
                      </a:graphic>
                    </wp:anchor>
                  </w:drawing>
                </mc:Choice>
                <mc:Fallback>
                  <w:pict>
                    <v:shape id="文本框 3237" o:spid="_x0000_s1026" o:spt="202" type="#_x0000_t202" style="position:absolute;left:0pt;margin-left:258.1pt;margin-top:18pt;height:23.25pt;width:44.75pt;z-index:251720704;mso-width-relative:page;mso-height-relative:page;" filled="f" stroked="f" coordsize="21600,21600" o:gfxdata="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SKV&#10;l9cAAAAJAQAADwAAAAAAAAABACAAAAAiAAAAZHJzL2Rvd25yZXYueG1sUEsBAhQAFAAAAAgAh07i&#10;QAxtgd2xAQAAUQMAAA4AAAAAAAAAAQAgAAAAJgEAAGRycy9lMm9Eb2MueG1sUEsFBgAAAAAGAAYA&#10;WQEAAEkFAAAAAA==&#10;">
                      <v:fill on="f" focussize="0,0"/>
                      <v:stroke on="f"/>
                      <v:imagedata o:title=""/>
                      <o:lock v:ext="edit" aspectratio="f"/>
                      <v:textbox>
                        <w:txbxContent>
                          <w:p w14:paraId="33B0C78D">
                            <w:pPr>
                              <w:rPr>
                                <w:sz w:val="18"/>
                                <w:szCs w:val="18"/>
                              </w:rPr>
                            </w:pPr>
                            <w:r>
                              <w:rPr>
                                <w:rFonts w:hint="eastAsia"/>
                                <w:sz w:val="18"/>
                                <w:szCs w:val="18"/>
                              </w:rPr>
                              <w:t>铲车</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5118100</wp:posOffset>
                      </wp:positionH>
                      <wp:positionV relativeFrom="paragraph">
                        <wp:posOffset>43180</wp:posOffset>
                      </wp:positionV>
                      <wp:extent cx="0" cy="260985"/>
                      <wp:effectExtent l="63500" t="0" r="73660" b="13335"/>
                      <wp:wrapNone/>
                      <wp:docPr id="57" name="自选图形 3228"/>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28" o:spid="_x0000_s1026" o:spt="32" type="#_x0000_t32" style="position:absolute;left:0pt;flip:y;margin-left:403pt;margin-top:3.4pt;height:20.55pt;width:0pt;z-index:251711488;mso-width-relative:page;mso-height-relative:page;" filled="f" stroked="t" coordsize="21600,21600" o:gfxdata="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5Bv8tNUAAAAIAQAADwAAAAAAAAABACAAAAAiAAAA&#10;ZHJzL2Rvd25yZXYueG1sUEsBAhQAFAAAAAgAh07iQFfJojMKAgAA8wMAAA4AAAAAAAAAAQAgAAAA&#10;JAEAAGRycy9lMm9Eb2MueG1sUEsFBgAAAAAGAAYAWQEAAKAFAAAAAA==&#10;">
                      <v:fill on="f" focussize="0,0"/>
                      <v:stroke weight="1.25pt" color="#000000" joinstyle="round" dashstyle="1 1" endarrow="classic" endarrowwidth="wide" endarrowlength="long"/>
                      <v:imagedata o:title=""/>
                      <o:lock v:ext="edit" aspectratio="f"/>
                    </v:shape>
                  </w:pict>
                </mc:Fallback>
              </mc:AlternateContent>
            </w:r>
          </w:p>
          <w:p w14:paraId="22A1F7F6">
            <w:pPr>
              <w:topLinePunct/>
              <w:spacing w:line="480" w:lineRule="exact"/>
              <w:ind w:firstLine="560" w:firstLineChars="200"/>
              <w:rPr>
                <w:color w:val="000000" w:themeColor="text1"/>
                <w:highlight w:val="none"/>
                <w14:textFill>
                  <w14:solidFill>
                    <w14:schemeClr w14:val="tx1"/>
                  </w14:solidFill>
                </w14:textFill>
              </w:rPr>
            </w:pP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2688" behindDoc="0" locked="0" layoutInCell="1" allowOverlap="1">
                      <wp:simplePos x="0" y="0"/>
                      <wp:positionH relativeFrom="column">
                        <wp:posOffset>5201920</wp:posOffset>
                      </wp:positionH>
                      <wp:positionV relativeFrom="paragraph">
                        <wp:posOffset>268605</wp:posOffset>
                      </wp:positionV>
                      <wp:extent cx="0" cy="1423035"/>
                      <wp:effectExtent l="4445" t="0" r="10795" b="9525"/>
                      <wp:wrapNone/>
                      <wp:docPr id="107" name="自选图形 3278"/>
                      <wp:cNvGraphicFramePr/>
                      <a:graphic xmlns:a="http://schemas.openxmlformats.org/drawingml/2006/main">
                        <a:graphicData uri="http://schemas.microsoft.com/office/word/2010/wordprocessingShape">
                          <wps:wsp>
                            <wps:cNvCnPr/>
                            <wps:spPr>
                              <a:xfrm>
                                <a:off x="0" y="0"/>
                                <a:ext cx="0" cy="14230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78" o:spid="_x0000_s1026" o:spt="32" type="#_x0000_t32" style="position:absolute;left:0pt;margin-left:409.6pt;margin-top:21.15pt;height:112.05pt;width:0pt;z-index:251762688;mso-width-relative:page;mso-height-relative:page;" filled="f" stroked="t" coordsize="21600,21600" o:gfxdata="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u5VzvXAAAACgEAAA8AAAAAAAAAAQAgAAAAIgAAAGRycy9kb3ducmV2LnhtbFBL&#10;AQIUABQAAAAIAIdO4kDufZJO9wEAAOgDAAAOAAAAAAAAAAEAIAAAACYBAABkcnMvZTJvRG9jLnht&#10;bFBLBQYAAAAABgAGAFkBAACPBQAAAAA=&#10;">
                      <v:fill on="f" focussize="0,0"/>
                      <v:stroke color="#000000" joinstyle="round"/>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5012055</wp:posOffset>
                      </wp:positionH>
                      <wp:positionV relativeFrom="paragraph">
                        <wp:posOffset>268605</wp:posOffset>
                      </wp:positionV>
                      <wp:extent cx="0" cy="420370"/>
                      <wp:effectExtent l="38100" t="0" r="38100" b="6350"/>
                      <wp:wrapNone/>
                      <wp:docPr id="98" name="自选图形 3269"/>
                      <wp:cNvGraphicFramePr/>
                      <a:graphic xmlns:a="http://schemas.openxmlformats.org/drawingml/2006/main">
                        <a:graphicData uri="http://schemas.microsoft.com/office/word/2010/wordprocessingShape">
                          <wps:wsp>
                            <wps:cNvCnPr/>
                            <wps:spPr>
                              <a:xfrm flipV="1">
                                <a:off x="0" y="0"/>
                                <a:ext cx="0" cy="4203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69" o:spid="_x0000_s1026" o:spt="32" type="#_x0000_t32" style="position:absolute;left:0pt;flip:y;margin-left:394.65pt;margin-top:21.15pt;height:33.1pt;width:0pt;z-index:251753472;mso-width-relative:page;mso-height-relative:page;" filled="f" stroked="t" coordsize="21600,21600" o:gfxdata="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frFtcAAAAKAQAADwAAAAAAAAABACAAAAAiAAAAZHJz&#10;L2Rvd25yZXYueG1sUEsBAhQAFAAAAAgAh07iQKwUBzQFAgAA9AMAAA4AAAAAAAAAAQAgAAAAJgEA&#10;AGRycy9lMm9Eb2MueG1sUEsFBgAAAAAGAAYAWQEAAJ0FA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4832350</wp:posOffset>
                      </wp:positionH>
                      <wp:positionV relativeFrom="paragraph">
                        <wp:posOffset>268605</wp:posOffset>
                      </wp:positionV>
                      <wp:extent cx="0" cy="681355"/>
                      <wp:effectExtent l="38100" t="0" r="38100" b="4445"/>
                      <wp:wrapNone/>
                      <wp:docPr id="83" name="自选图形 3254"/>
                      <wp:cNvGraphicFramePr/>
                      <a:graphic xmlns:a="http://schemas.openxmlformats.org/drawingml/2006/main">
                        <a:graphicData uri="http://schemas.microsoft.com/office/word/2010/wordprocessingShape">
                          <wps:wsp>
                            <wps:cNvCnPr/>
                            <wps:spPr>
                              <a:xfrm flipV="1">
                                <a:off x="0" y="0"/>
                                <a:ext cx="0" cy="6813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54" o:spid="_x0000_s1026" o:spt="32" type="#_x0000_t32" style="position:absolute;left:0pt;flip:y;margin-left:380.5pt;margin-top:21.15pt;height:53.65pt;width:0pt;z-index:251738112;mso-width-relative:page;mso-height-relative:page;" filled="f" stroked="t" coordsize="21600,21600" o:gfxdata="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sRw9+dgAAAAKAQAADwAAAAAAAAABACAAAAAiAAAAZHJz&#10;L2Rvd25yZXYueG1sUEsBAhQAFAAAAAgAh07iQHjrQioEAgAA9AMAAA4AAAAAAAAAAQAgAAAAJwEA&#10;AGRycy9lMm9Eb2MueG1sUEsFBgAAAAAGAAYAWQEAAJ0FA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2455545</wp:posOffset>
                      </wp:positionH>
                      <wp:positionV relativeFrom="paragraph">
                        <wp:posOffset>144780</wp:posOffset>
                      </wp:positionV>
                      <wp:extent cx="440690" cy="635"/>
                      <wp:effectExtent l="0" t="37465" r="1270" b="38100"/>
                      <wp:wrapNone/>
                      <wp:docPr id="18" name="自选图形 3189"/>
                      <wp:cNvGraphicFramePr/>
                      <a:graphic xmlns:a="http://schemas.openxmlformats.org/drawingml/2006/main">
                        <a:graphicData uri="http://schemas.microsoft.com/office/word/2010/wordprocessingShape">
                          <wps:wsp>
                            <wps:cNvCnPr/>
                            <wps:spPr>
                              <a:xfrm>
                                <a:off x="0" y="0"/>
                                <a:ext cx="44069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89" o:spid="_x0000_s1026" o:spt="32" type="#_x0000_t32" style="position:absolute;left:0pt;margin-left:193.35pt;margin-top:11.4pt;height:0.05pt;width:34.7pt;z-index:251671552;mso-width-relative:page;mso-height-relative:page;" filled="f" stroked="t" coordsize="21600,21600" o:gfxdata="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HdukNkAAAAJAQAADwAAAAAAAAABACAAAAAiAAAAZHJzL2Rv&#10;d25yZXYueG1sUEsBAhQAFAAAAAgAh07iQKLJbroAAgAA7AMAAA4AAAAAAAAAAQAgAAAAKAEAAGRy&#10;cy9lMm9Eb2MueG1sUEsFBgAAAAAGAAYAWQEAAJoFA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2894965</wp:posOffset>
                      </wp:positionH>
                      <wp:positionV relativeFrom="paragraph">
                        <wp:posOffset>6985</wp:posOffset>
                      </wp:positionV>
                      <wp:extent cx="459105" cy="261620"/>
                      <wp:effectExtent l="9525" t="9525" r="19050" b="18415"/>
                      <wp:wrapNone/>
                      <wp:docPr id="65" name="文本框 3236"/>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38FBBE80">
                                  <w:pPr>
                                    <w:ind w:left="-105" w:leftChars="-50" w:right="-105" w:rightChars="-50" w:firstLine="102" w:firstLineChars="49"/>
                                    <w:rPr>
                                      <w:szCs w:val="21"/>
                                    </w:rPr>
                                  </w:pPr>
                                  <w:r>
                                    <w:rPr>
                                      <w:rFonts w:hint="eastAsia"/>
                                      <w:szCs w:val="21"/>
                                    </w:rPr>
                                    <w:t>储存</w:t>
                                  </w:r>
                                </w:p>
                              </w:txbxContent>
                            </wps:txbx>
                            <wps:bodyPr upright="1"/>
                          </wps:wsp>
                        </a:graphicData>
                      </a:graphic>
                    </wp:anchor>
                  </w:drawing>
                </mc:Choice>
                <mc:Fallback>
                  <w:pict>
                    <v:shape id="文本框 3236" o:spid="_x0000_s1026" o:spt="202" type="#_x0000_t202" style="position:absolute;left:0pt;margin-left:227.95pt;margin-top:0.55pt;height:20.6pt;width:36.15pt;z-index:251719680;mso-width-relative:page;mso-height-relative:page;" fillcolor="#FFFFFF" filled="t" stroked="t" coordsize="21600,21600" o:gfxdata="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vNRQ1AAAAAgBAAAPAAAAAAAAAAEAIAAA&#10;ACIAAABkcnMvZG93bnJldi54bWxQSwECFAAUAAAACACHTuJA0J2I7hACAAA6BAAADgAAAAAAAAAB&#10;ACAAAAAjAQAAZHJzL2Uyb0RvYy54bWxQSwUGAAAAAAYABgBZAQAApQUAAAAA&#10;">
                      <v:fill on="t" focussize="0,0"/>
                      <v:stroke weight="1.5pt" color="#000000" joinstyle="miter"/>
                      <v:imagedata o:title=""/>
                      <o:lock v:ext="edit" aspectratio="f"/>
                      <v:textbox>
                        <w:txbxContent>
                          <w:p w14:paraId="38FBBE80">
                            <w:pPr>
                              <w:ind w:left="-105" w:leftChars="-50" w:right="-105" w:rightChars="-50" w:firstLine="102" w:firstLineChars="49"/>
                              <w:rPr>
                                <w:szCs w:val="21"/>
                              </w:rPr>
                            </w:pPr>
                            <w:r>
                              <w:rPr>
                                <w:rFonts w:hint="eastAsia"/>
                                <w:szCs w:val="21"/>
                              </w:rPr>
                              <w:t>储存</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4655820</wp:posOffset>
                      </wp:positionH>
                      <wp:positionV relativeFrom="paragraph">
                        <wp:posOffset>-635</wp:posOffset>
                      </wp:positionV>
                      <wp:extent cx="744855" cy="269240"/>
                      <wp:effectExtent l="4445" t="4445" r="12700" b="15875"/>
                      <wp:wrapNone/>
                      <wp:docPr id="15" name="文本框 3186"/>
                      <wp:cNvGraphicFramePr/>
                      <a:graphic xmlns:a="http://schemas.openxmlformats.org/drawingml/2006/main">
                        <a:graphicData uri="http://schemas.microsoft.com/office/word/2010/wordprocessingShape">
                          <wps:wsp>
                            <wps:cNvSpPr txBox="1"/>
                            <wps:spPr>
                              <a:xfrm>
                                <a:off x="0" y="0"/>
                                <a:ext cx="744855" cy="2692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E0CBE3">
                                  <w:r>
                                    <w:rPr>
                                      <w:rFonts w:hint="eastAsia"/>
                                    </w:rPr>
                                    <w:t>一次搅拌</w:t>
                                  </w:r>
                                </w:p>
                              </w:txbxContent>
                            </wps:txbx>
                            <wps:bodyPr upright="1"/>
                          </wps:wsp>
                        </a:graphicData>
                      </a:graphic>
                    </wp:anchor>
                  </w:drawing>
                </mc:Choice>
                <mc:Fallback>
                  <w:pict>
                    <v:shape id="文本框 3186" o:spid="_x0000_s1026" o:spt="202" type="#_x0000_t202" style="position:absolute;left:0pt;margin-left:366.6pt;margin-top:-0.05pt;height:21.2pt;width:58.65pt;z-index:251668480;mso-width-relative:page;mso-height-relative:page;" fillcolor="#FFFFFF" filled="t" stroked="t" coordsize="21600,21600" o:gfxdata="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tSwey2AAAAAgBAAAPAAAAAAAAAAEA&#10;IAAAACIAAABkcnMvZG93bnJldi54bWxQSwECFAAUAAAACACHTuJACX3MRA8CAAA5BAAADgAAAAAA&#10;AAABACAAAAAnAQAAZHJzL2Uyb0RvYy54bWxQSwUGAAAAAAYABgBZAQAAqAUAAAAA&#10;">
                      <v:fill on="t" focussize="0,0"/>
                      <v:stroke color="#000000" joinstyle="miter"/>
                      <v:imagedata o:title=""/>
                      <o:lock v:ext="edit" aspectratio="f"/>
                      <v:textbox>
                        <w:txbxContent>
                          <w:p w14:paraId="4AE0CBE3">
                            <w:r>
                              <w:rPr>
                                <w:rFonts w:hint="eastAsia"/>
                              </w:rPr>
                              <w:t>一次搅拌</w:t>
                            </w:r>
                          </w:p>
                        </w:txbxContent>
                      </v:textbox>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4174490</wp:posOffset>
                      </wp:positionH>
                      <wp:positionV relativeFrom="paragraph">
                        <wp:posOffset>142240</wp:posOffset>
                      </wp:positionV>
                      <wp:extent cx="481330" cy="635"/>
                      <wp:effectExtent l="0" t="37465" r="6350" b="38100"/>
                      <wp:wrapNone/>
                      <wp:docPr id="13" name="自选图形 3184"/>
                      <wp:cNvGraphicFramePr/>
                      <a:graphic xmlns:a="http://schemas.openxmlformats.org/drawingml/2006/main">
                        <a:graphicData uri="http://schemas.microsoft.com/office/word/2010/wordprocessingShape">
                          <wps:wsp>
                            <wps:cNvCnPr/>
                            <wps:spPr>
                              <a:xfrm>
                                <a:off x="0" y="0"/>
                                <a:ext cx="4813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84" o:spid="_x0000_s1026" o:spt="32" type="#_x0000_t32" style="position:absolute;left:0pt;margin-left:328.7pt;margin-top:11.2pt;height:0.05pt;width:37.9pt;z-index:251666432;mso-width-relative:page;mso-height-relative:page;" filled="f" stroked="t" coordsize="21600,21600" o:gfxdata="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M8U4DaAAAACQEAAA8AAAAAAAAAAQAgAAAAIgAAAGRycy9k&#10;b3ducmV2LnhtbFBLAQIUABQAAAAIAIdO4kAm7mU/AAIAAOwDAAAOAAAAAAAAAAEAIAAAACkBAABk&#10;cnMvZTJvRG9jLnhtbFBLBQYAAAAABgAGAFkBAACbBQAAAAA=&#10;">
                      <v:fill on="f" focussize="0,0"/>
                      <v:stroke color="#000000" joinstyle="round" endarrow="block"/>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3718560</wp:posOffset>
                      </wp:positionH>
                      <wp:positionV relativeFrom="paragraph">
                        <wp:posOffset>6985</wp:posOffset>
                      </wp:positionV>
                      <wp:extent cx="459105" cy="261620"/>
                      <wp:effectExtent l="4445" t="4445" r="8890" b="8255"/>
                      <wp:wrapNone/>
                      <wp:docPr id="60" name="文本框 3231"/>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EA2AD4">
                                  <w:pPr>
                                    <w:ind w:left="-105" w:leftChars="-50" w:right="-105" w:rightChars="-50" w:firstLine="102" w:firstLineChars="49"/>
                                    <w:rPr>
                                      <w:szCs w:val="21"/>
                                    </w:rPr>
                                  </w:pPr>
                                  <w:r>
                                    <w:rPr>
                                      <w:rFonts w:hint="eastAsia"/>
                                      <w:szCs w:val="21"/>
                                    </w:rPr>
                                    <w:t>给料</w:t>
                                  </w:r>
                                </w:p>
                              </w:txbxContent>
                            </wps:txbx>
                            <wps:bodyPr upright="1"/>
                          </wps:wsp>
                        </a:graphicData>
                      </a:graphic>
                    </wp:anchor>
                  </w:drawing>
                </mc:Choice>
                <mc:Fallback>
                  <w:pict>
                    <v:shape id="文本框 3231" o:spid="_x0000_s1026" o:spt="202" type="#_x0000_t202" style="position:absolute;left:0pt;margin-left:292.8pt;margin-top:0.55pt;height:20.6pt;width:36.15pt;z-index:251714560;mso-width-relative:page;mso-height-relative:page;" fillcolor="#FFFFFF" filled="t" stroked="t" coordsize="21600,21600" o:gfxdata="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okCT2AAAAAgBAAAPAAAAAAAAAAEA&#10;IAAAACIAAABkcnMvZG93bnJldi54bWxQSwECFAAUAAAACACHTuJAqDv8+g8CAAA5BAAADgAAAAAA&#10;AAABACAAAAAnAQAAZHJzL2Uyb0RvYy54bWxQSwUGAAAAAAYABgBZAQAAqAUAAAAA&#10;">
                      <v:fill on="t" focussize="0,0"/>
                      <v:stroke color="#000000" joinstyle="miter"/>
                      <v:imagedata o:title=""/>
                      <o:lock v:ext="edit" aspectratio="f"/>
                      <v:textbox>
                        <w:txbxContent>
                          <w:p w14:paraId="63EA2AD4">
                            <w:pPr>
                              <w:ind w:left="-105" w:leftChars="-50" w:right="-105" w:rightChars="-50" w:firstLine="102" w:firstLineChars="49"/>
                              <w:rPr>
                                <w:szCs w:val="21"/>
                              </w:rPr>
                            </w:pPr>
                            <w:r>
                              <w:rPr>
                                <w:rFonts w:hint="eastAsia"/>
                                <w:szCs w:val="21"/>
                              </w:rPr>
                              <w:t>给料</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3364865</wp:posOffset>
                      </wp:positionH>
                      <wp:positionV relativeFrom="paragraph">
                        <wp:posOffset>143510</wp:posOffset>
                      </wp:positionV>
                      <wp:extent cx="353695" cy="635"/>
                      <wp:effectExtent l="0" t="37465" r="12065" b="38100"/>
                      <wp:wrapNone/>
                      <wp:docPr id="26" name="自选图形 89"/>
                      <wp:cNvGraphicFramePr/>
                      <a:graphic xmlns:a="http://schemas.openxmlformats.org/drawingml/2006/main">
                        <a:graphicData uri="http://schemas.microsoft.com/office/word/2010/wordprocessingShape">
                          <wps:wsp>
                            <wps:cNvCnPr/>
                            <wps:spPr>
                              <a:xfrm>
                                <a:off x="0" y="0"/>
                                <a:ext cx="35369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89" o:spid="_x0000_s1026" o:spt="32" type="#_x0000_t32" style="position:absolute;left:0pt;margin-left:264.95pt;margin-top:11.3pt;height:0.05pt;width:27.85pt;z-index:251679744;mso-width-relative:page;mso-height-relative:page;" filled="f" stroked="t" coordsize="21600,21600" o:gfxdata="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fHRZtkAAAAJAQAADwAAAAAAAAABACAAAAAiAAAAZHJzL2Rvd25y&#10;ZXYueG1sUEsBAhQAFAAAAAgAh07iQO914y/9AQAA6gMAAA4AAAAAAAAAAQAgAAAAKAEAAGRycy9l&#10;Mm9Eb2MueG1sUEsFBgAAAAAGAAYAWQEAAJcFAAAAAA==&#10;">
                      <v:fill on="f" focussize="0,0"/>
                      <v:stroke color="#000000" joinstyle="round" endarrow="block"/>
                      <v:imagedata o:title=""/>
                      <o:lock v:ext="edit" aspectratio="f"/>
                    </v:shape>
                  </w:pict>
                </mc:Fallback>
              </mc:AlternateContent>
            </w:r>
          </w:p>
          <w:p w14:paraId="0B0F6EE5">
            <w:pPr>
              <w:topLinePunct/>
              <w:spacing w:line="480" w:lineRule="exact"/>
              <w:ind w:firstLine="42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761664" behindDoc="0" locked="0" layoutInCell="1" allowOverlap="1">
                      <wp:simplePos x="0" y="0"/>
                      <wp:positionH relativeFrom="column">
                        <wp:posOffset>4211955</wp:posOffset>
                      </wp:positionH>
                      <wp:positionV relativeFrom="paragraph">
                        <wp:posOffset>15240</wp:posOffset>
                      </wp:positionV>
                      <wp:extent cx="530860" cy="295275"/>
                      <wp:effectExtent l="0" t="0" r="0" b="0"/>
                      <wp:wrapNone/>
                      <wp:docPr id="106" name="文本框 3277"/>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1B996417">
                                  <w:pPr>
                                    <w:ind w:left="-105" w:right="-105"/>
                                    <w:rPr>
                                      <w:szCs w:val="21"/>
                                    </w:rPr>
                                  </w:pPr>
                                  <w:r>
                                    <w:rPr>
                                      <w:szCs w:val="21"/>
                                      <w:highlight w:val="lightGray"/>
                                    </w:rPr>
                                    <w:t>G</w:t>
                                  </w:r>
                                  <w:r>
                                    <w:rPr>
                                      <w:rFonts w:hint="eastAsia"/>
                                      <w:szCs w:val="21"/>
                                      <w:highlight w:val="lightGray"/>
                                    </w:rPr>
                                    <w:t>5、N4</w:t>
                                  </w:r>
                                </w:p>
                              </w:txbxContent>
                            </wps:txbx>
                            <wps:bodyPr upright="1"/>
                          </wps:wsp>
                        </a:graphicData>
                      </a:graphic>
                    </wp:anchor>
                  </w:drawing>
                </mc:Choice>
                <mc:Fallback>
                  <w:pict>
                    <v:shape id="文本框 3277" o:spid="_x0000_s1026" o:spt="202" type="#_x0000_t202" style="position:absolute;left:0pt;margin-left:331.65pt;margin-top:1.2pt;height:23.25pt;width:41.8pt;z-index:251761664;mso-width-relative:page;mso-height-relative:page;" filled="f" stroked="f" coordsize="21600,21600" o:gfxdata="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p74re&#10;1wAAAAgBAAAPAAAAAAAAAAEAIAAAACIAAABkcnMvZG93bnJldi54bWxQSwECFAAUAAAACACHTuJA&#10;YcU9SrABAABSAwAADgAAAAAAAAABACAAAAAmAQAAZHJzL2Uyb0RvYy54bWxQSwUGAAAAAAYABgBZ&#10;AQAASAUAAAAA&#10;">
                      <v:fill on="f" focussize="0,0"/>
                      <v:stroke on="f"/>
                      <v:imagedata o:title=""/>
                      <o:lock v:ext="edit" aspectratio="f"/>
                      <v:textbox>
                        <w:txbxContent>
                          <w:p w14:paraId="1B996417">
                            <w:pPr>
                              <w:ind w:left="-105" w:right="-105"/>
                              <w:rPr>
                                <w:szCs w:val="21"/>
                              </w:rPr>
                            </w:pPr>
                            <w:r>
                              <w:rPr>
                                <w:szCs w:val="21"/>
                                <w:highlight w:val="lightGray"/>
                              </w:rPr>
                              <w:t>G</w:t>
                            </w:r>
                            <w:r>
                              <w:rPr>
                                <w:rFonts w:hint="eastAsia"/>
                                <w:szCs w:val="21"/>
                                <w:highlight w:val="lightGray"/>
                              </w:rPr>
                              <w:t>5、N4</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0640" behindDoc="0" locked="0" layoutInCell="1" allowOverlap="1">
                      <wp:simplePos x="0" y="0"/>
                      <wp:positionH relativeFrom="column">
                        <wp:posOffset>4452620</wp:posOffset>
                      </wp:positionH>
                      <wp:positionV relativeFrom="paragraph">
                        <wp:posOffset>259715</wp:posOffset>
                      </wp:positionV>
                      <wp:extent cx="0" cy="260985"/>
                      <wp:effectExtent l="63500" t="0" r="73660" b="13335"/>
                      <wp:wrapNone/>
                      <wp:docPr id="105" name="自选图形 3276"/>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76" o:spid="_x0000_s1026" o:spt="32" type="#_x0000_t32" style="position:absolute;left:0pt;flip:y;margin-left:350.6pt;margin-top:20.45pt;height:20.55pt;width:0pt;z-index:251760640;mso-width-relative:page;mso-height-relative:page;" filled="f" stroked="t" coordsize="21600,21600" o:gfxdata="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82aitYAAAAJAQAADwAAAAAAAAABACAAAAAiAAAA&#10;ZHJzL2Rvd25yZXYueG1sUEsBAhQAFAAAAAgAh07iQAqrlBYJAgAA9AMAAA4AAAAAAAAAAQAgAAAA&#10;JQEAAGRycy9lMm9Eb2MueG1sUEsFBgAAAAAGAAYAWQEAAKAFA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9616" behindDoc="0" locked="0" layoutInCell="1" allowOverlap="1">
                      <wp:simplePos x="0" y="0"/>
                      <wp:positionH relativeFrom="column">
                        <wp:posOffset>3622040</wp:posOffset>
                      </wp:positionH>
                      <wp:positionV relativeFrom="paragraph">
                        <wp:posOffset>267335</wp:posOffset>
                      </wp:positionV>
                      <wp:extent cx="0" cy="260985"/>
                      <wp:effectExtent l="63500" t="0" r="73660" b="13335"/>
                      <wp:wrapNone/>
                      <wp:docPr id="104" name="自选图形 3275"/>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75" o:spid="_x0000_s1026" o:spt="32" type="#_x0000_t32" style="position:absolute;left:0pt;flip:y;margin-left:285.2pt;margin-top:21.05pt;height:20.55pt;width:0pt;z-index:251759616;mso-width-relative:page;mso-height-relative:page;" filled="f" stroked="t" coordsize="21600,21600" o:gfxdata="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G2qL9cAAAAJAQAADwAAAAAAAAABACAAAAAi&#10;AAAAZHJzL2Rvd25yZXYueG1sUEsBAhQAFAAAAAgAh07iQIDObDULAgAA9AMAAA4AAAAAAAAAAQAg&#10;AAAAJgEAAGRycy9lMm9Eb2MueG1sUEsFBgAAAAAGAAYAWQEAAKMFA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8592" behindDoc="0" locked="0" layoutInCell="1" allowOverlap="1">
                      <wp:simplePos x="0" y="0"/>
                      <wp:positionH relativeFrom="column">
                        <wp:posOffset>3315335</wp:posOffset>
                      </wp:positionH>
                      <wp:positionV relativeFrom="paragraph">
                        <wp:posOffset>50800</wp:posOffset>
                      </wp:positionV>
                      <wp:extent cx="530860" cy="295275"/>
                      <wp:effectExtent l="0" t="0" r="0" b="0"/>
                      <wp:wrapNone/>
                      <wp:docPr id="103" name="文本框 3274"/>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51949745">
                                  <w:pPr>
                                    <w:ind w:left="-105" w:right="-105"/>
                                    <w:rPr>
                                      <w:szCs w:val="21"/>
                                    </w:rPr>
                                  </w:pPr>
                                  <w:r>
                                    <w:rPr>
                                      <w:szCs w:val="21"/>
                                      <w:highlight w:val="lightGray"/>
                                    </w:rPr>
                                    <w:t>G</w:t>
                                  </w:r>
                                  <w:r>
                                    <w:rPr>
                                      <w:rFonts w:hint="eastAsia"/>
                                      <w:szCs w:val="21"/>
                                      <w:highlight w:val="lightGray"/>
                                    </w:rPr>
                                    <w:t>4、N3</w:t>
                                  </w:r>
                                </w:p>
                              </w:txbxContent>
                            </wps:txbx>
                            <wps:bodyPr upright="1"/>
                          </wps:wsp>
                        </a:graphicData>
                      </a:graphic>
                    </wp:anchor>
                  </w:drawing>
                </mc:Choice>
                <mc:Fallback>
                  <w:pict>
                    <v:shape id="文本框 3274" o:spid="_x0000_s1026" o:spt="202" type="#_x0000_t202" style="position:absolute;left:0pt;margin-left:261.05pt;margin-top:4pt;height:23.25pt;width:41.8pt;z-index:251758592;mso-width-relative:page;mso-height-relative:page;" filled="f" stroked="f" coordsize="21600,21600" o:gfxdata="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xDXZzW&#10;AAAACAEAAA8AAAAAAAAAAQAgAAAAIgAAAGRycy9kb3ducmV2LnhtbFBLAQIUABQAAAAIAIdO4kCb&#10;CgbMsAEAAFIDAAAOAAAAAAAAAAEAIAAAACUBAABkcnMvZTJvRG9jLnhtbFBLBQYAAAAABgAGAFkB&#10;AABHBQAAAAA=&#10;">
                      <v:fill on="f" focussize="0,0"/>
                      <v:stroke on="f"/>
                      <v:imagedata o:title=""/>
                      <o:lock v:ext="edit" aspectratio="f"/>
                      <v:textbox>
                        <w:txbxContent>
                          <w:p w14:paraId="51949745">
                            <w:pPr>
                              <w:ind w:left="-105" w:right="-105"/>
                              <w:rPr>
                                <w:szCs w:val="21"/>
                              </w:rPr>
                            </w:pPr>
                            <w:r>
                              <w:rPr>
                                <w:szCs w:val="21"/>
                                <w:highlight w:val="lightGray"/>
                              </w:rPr>
                              <w:t>G</w:t>
                            </w:r>
                            <w:r>
                              <w:rPr>
                                <w:rFonts w:hint="eastAsia"/>
                                <w:szCs w:val="21"/>
                                <w:highlight w:val="lightGray"/>
                              </w:rPr>
                              <w:t>4、N3</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7568" behindDoc="0" locked="0" layoutInCell="1" allowOverlap="1">
                      <wp:simplePos x="0" y="0"/>
                      <wp:positionH relativeFrom="column">
                        <wp:posOffset>2732405</wp:posOffset>
                      </wp:positionH>
                      <wp:positionV relativeFrom="paragraph">
                        <wp:posOffset>50800</wp:posOffset>
                      </wp:positionV>
                      <wp:extent cx="530860" cy="295275"/>
                      <wp:effectExtent l="0" t="0" r="0" b="0"/>
                      <wp:wrapNone/>
                      <wp:docPr id="102" name="文本框 3273"/>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1720F691">
                                  <w:pPr>
                                    <w:ind w:left="-105" w:right="-105"/>
                                    <w:rPr>
                                      <w:szCs w:val="21"/>
                                    </w:rPr>
                                  </w:pPr>
                                  <w:r>
                                    <w:rPr>
                                      <w:szCs w:val="21"/>
                                      <w:highlight w:val="lightGray"/>
                                    </w:rPr>
                                    <w:t>G</w:t>
                                  </w:r>
                                  <w:r>
                                    <w:rPr>
                                      <w:rFonts w:hint="eastAsia"/>
                                      <w:szCs w:val="21"/>
                                      <w:highlight w:val="lightGray"/>
                                    </w:rPr>
                                    <w:t>3、N2</w:t>
                                  </w:r>
                                </w:p>
                              </w:txbxContent>
                            </wps:txbx>
                            <wps:bodyPr upright="1"/>
                          </wps:wsp>
                        </a:graphicData>
                      </a:graphic>
                    </wp:anchor>
                  </w:drawing>
                </mc:Choice>
                <mc:Fallback>
                  <w:pict>
                    <v:shape id="文本框 3273" o:spid="_x0000_s1026" o:spt="202" type="#_x0000_t202" style="position:absolute;left:0pt;margin-left:215.15pt;margin-top:4pt;height:23.25pt;width:41.8pt;z-index:251757568;mso-width-relative:page;mso-height-relative:page;" filled="f" stroked="f" coordsize="21600,21600" o:gfxdata="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4UtMbW&#10;AAAACAEAAA8AAAAAAAAAAQAgAAAAIgAAAGRycy9kb3ducmV2LnhtbFBLAQIUABQAAAAIAIdO4kAH&#10;hjoisAEAAFIDAAAOAAAAAAAAAAEAIAAAACUBAABkcnMvZTJvRG9jLnhtbFBLBQYAAAAABgAGAFkB&#10;AABHBQAAAAA=&#10;">
                      <v:fill on="f" focussize="0,0"/>
                      <v:stroke on="f"/>
                      <v:imagedata o:title=""/>
                      <o:lock v:ext="edit" aspectratio="f"/>
                      <v:textbox>
                        <w:txbxContent>
                          <w:p w14:paraId="1720F691">
                            <w:pPr>
                              <w:ind w:left="-105" w:right="-105"/>
                              <w:rPr>
                                <w:szCs w:val="21"/>
                              </w:rPr>
                            </w:pPr>
                            <w:r>
                              <w:rPr>
                                <w:szCs w:val="21"/>
                                <w:highlight w:val="lightGray"/>
                              </w:rPr>
                              <w:t>G</w:t>
                            </w:r>
                            <w:r>
                              <w:rPr>
                                <w:rFonts w:hint="eastAsia"/>
                                <w:szCs w:val="21"/>
                                <w:highlight w:val="lightGray"/>
                              </w:rPr>
                              <w:t>3、N2</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6544" behindDoc="0" locked="0" layoutInCell="1" allowOverlap="1">
                      <wp:simplePos x="0" y="0"/>
                      <wp:positionH relativeFrom="column">
                        <wp:posOffset>1969770</wp:posOffset>
                      </wp:positionH>
                      <wp:positionV relativeFrom="paragraph">
                        <wp:posOffset>50800</wp:posOffset>
                      </wp:positionV>
                      <wp:extent cx="530860" cy="295275"/>
                      <wp:effectExtent l="0" t="0" r="0" b="0"/>
                      <wp:wrapNone/>
                      <wp:docPr id="101" name="文本框 3272"/>
                      <wp:cNvGraphicFramePr/>
                      <a:graphic xmlns:a="http://schemas.openxmlformats.org/drawingml/2006/main">
                        <a:graphicData uri="http://schemas.microsoft.com/office/word/2010/wordprocessingShape">
                          <wps:wsp>
                            <wps:cNvSpPr txBox="1"/>
                            <wps:spPr>
                              <a:xfrm>
                                <a:off x="0" y="0"/>
                                <a:ext cx="530860" cy="295275"/>
                              </a:xfrm>
                              <a:prstGeom prst="rect">
                                <a:avLst/>
                              </a:prstGeom>
                              <a:noFill/>
                              <a:ln>
                                <a:noFill/>
                              </a:ln>
                            </wps:spPr>
                            <wps:txbx>
                              <w:txbxContent>
                                <w:p w14:paraId="38614FDF">
                                  <w:pPr>
                                    <w:ind w:left="-105" w:right="-105"/>
                                    <w:rPr>
                                      <w:szCs w:val="21"/>
                                    </w:rPr>
                                  </w:pPr>
                                  <w:r>
                                    <w:rPr>
                                      <w:szCs w:val="21"/>
                                      <w:highlight w:val="lightGray"/>
                                    </w:rPr>
                                    <w:t>G</w:t>
                                  </w:r>
                                  <w:r>
                                    <w:rPr>
                                      <w:rFonts w:hint="eastAsia"/>
                                      <w:szCs w:val="21"/>
                                      <w:highlight w:val="lightGray"/>
                                    </w:rPr>
                                    <w:t>2、N1</w:t>
                                  </w:r>
                                </w:p>
                              </w:txbxContent>
                            </wps:txbx>
                            <wps:bodyPr upright="1"/>
                          </wps:wsp>
                        </a:graphicData>
                      </a:graphic>
                    </wp:anchor>
                  </w:drawing>
                </mc:Choice>
                <mc:Fallback>
                  <w:pict>
                    <v:shape id="文本框 3272" o:spid="_x0000_s1026" o:spt="202" type="#_x0000_t202" style="position:absolute;left:0pt;margin-left:155.1pt;margin-top:4pt;height:23.25pt;width:41.8pt;z-index:251756544;mso-width-relative:page;mso-height-relative:page;" filled="f" stroked="f" coordsize="21600,21600" o:gfxdata="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fk5fDW&#10;AAAACAEAAA8AAAAAAAAAAQAgAAAAIgAAAGRycy9kb3ducmV2LnhtbFBLAQIUABQAAAAIAIdO4kBR&#10;w9NfsAEAAFIDAAAOAAAAAAAAAAEAIAAAACUBAABkcnMvZTJvRG9jLnhtbFBLBQYAAAAABgAGAFkB&#10;AABHBQAAAAA=&#10;">
                      <v:fill on="f" focussize="0,0"/>
                      <v:stroke on="f"/>
                      <v:imagedata o:title=""/>
                      <o:lock v:ext="edit" aspectratio="f"/>
                      <v:textbox>
                        <w:txbxContent>
                          <w:p w14:paraId="38614FDF">
                            <w:pPr>
                              <w:ind w:left="-105" w:right="-105"/>
                              <w:rPr>
                                <w:szCs w:val="21"/>
                              </w:rPr>
                            </w:pPr>
                            <w:r>
                              <w:rPr>
                                <w:szCs w:val="21"/>
                                <w:highlight w:val="lightGray"/>
                              </w:rPr>
                              <w:t>G</w:t>
                            </w:r>
                            <w:r>
                              <w:rPr>
                                <w:rFonts w:hint="eastAsia"/>
                                <w:szCs w:val="21"/>
                                <w:highlight w:val="lightGray"/>
                              </w:rPr>
                              <w:t>2、N1</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2955925</wp:posOffset>
                      </wp:positionH>
                      <wp:positionV relativeFrom="paragraph">
                        <wp:posOffset>267335</wp:posOffset>
                      </wp:positionV>
                      <wp:extent cx="0" cy="260985"/>
                      <wp:effectExtent l="63500" t="0" r="73660" b="13335"/>
                      <wp:wrapNone/>
                      <wp:docPr id="100" name="自选图形 3271"/>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71" o:spid="_x0000_s1026" o:spt="32" type="#_x0000_t32" style="position:absolute;left:0pt;flip:y;margin-left:232.75pt;margin-top:21.05pt;height:20.55pt;width:0pt;z-index:251755520;mso-width-relative:page;mso-height-relative:page;" filled="f" stroked="t" coordsize="21600,21600" o:gfxdata="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tu5mXXAAAACQEAAA8AAAAAAAAAAQAgAAAAIgAA&#10;AGRycy9kb3ducmV2LnhtbFBLAQIUABQAAAAIAIdO4kD/FrPSCQIAAPQDAAAOAAAAAAAAAAEAIAAA&#10;ACYBAABkcnMvZTJvRG9jLnhtbFBLBQYAAAAABgAGAFkBAAChBQ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4633595</wp:posOffset>
                      </wp:positionH>
                      <wp:positionV relativeFrom="paragraph">
                        <wp:posOffset>184150</wp:posOffset>
                      </wp:positionV>
                      <wp:extent cx="568325" cy="295275"/>
                      <wp:effectExtent l="0" t="0" r="0" b="0"/>
                      <wp:wrapNone/>
                      <wp:docPr id="90" name="文本框 3261"/>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46C65FC5">
                                  <w:pPr>
                                    <w:rPr>
                                      <w:sz w:val="18"/>
                                      <w:szCs w:val="18"/>
                                    </w:rPr>
                                  </w:pPr>
                                  <w:r>
                                    <w:rPr>
                                      <w:rFonts w:hint="eastAsia"/>
                                      <w:sz w:val="18"/>
                                      <w:szCs w:val="18"/>
                                    </w:rPr>
                                    <w:t>皮带</w:t>
                                  </w:r>
                                </w:p>
                              </w:txbxContent>
                            </wps:txbx>
                            <wps:bodyPr upright="1"/>
                          </wps:wsp>
                        </a:graphicData>
                      </a:graphic>
                    </wp:anchor>
                  </w:drawing>
                </mc:Choice>
                <mc:Fallback>
                  <w:pict>
                    <v:shape id="文本框 3261" o:spid="_x0000_s1026" o:spt="202" type="#_x0000_t202" style="position:absolute;left:0pt;margin-left:364.85pt;margin-top:14.5pt;height:23.25pt;width:44.75pt;z-index:251745280;mso-width-relative:page;mso-height-relative:page;" filled="f" stroked="f" coordsize="21600,21600" o:gfxdata="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o0mJnW&#10;AAAACQEAAA8AAAAAAAAAAQAgAAAAIgAAAGRycy9kb3ducmV2LnhtbFBLAQIUABQAAAAIAIdO4kCO&#10;7rdnsAEAAFEDAAAOAAAAAAAAAAEAIAAAACUBAABkcnMvZTJvRG9jLnhtbFBLBQYAAAAABgAGAFkB&#10;AABHBQAAAAA=&#10;">
                      <v:fill on="f" focussize="0,0"/>
                      <v:stroke on="f"/>
                      <v:imagedata o:title=""/>
                      <o:lock v:ext="edit" aspectratio="f"/>
                      <v:textbox>
                        <w:txbxContent>
                          <w:p w14:paraId="46C65FC5">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3774440</wp:posOffset>
                      </wp:positionH>
                      <wp:positionV relativeFrom="paragraph">
                        <wp:posOffset>130175</wp:posOffset>
                      </wp:positionV>
                      <wp:extent cx="568325" cy="295275"/>
                      <wp:effectExtent l="0" t="0" r="0" b="0"/>
                      <wp:wrapNone/>
                      <wp:docPr id="81" name="文本框 3252"/>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28E05AFC">
                                  <w:pPr>
                                    <w:rPr>
                                      <w:sz w:val="18"/>
                                      <w:szCs w:val="18"/>
                                    </w:rPr>
                                  </w:pPr>
                                  <w:r>
                                    <w:rPr>
                                      <w:rFonts w:hint="eastAsia"/>
                                      <w:sz w:val="18"/>
                                      <w:szCs w:val="18"/>
                                    </w:rPr>
                                    <w:t>筛上料</w:t>
                                  </w:r>
                                </w:p>
                              </w:txbxContent>
                            </wps:txbx>
                            <wps:bodyPr upright="1"/>
                          </wps:wsp>
                        </a:graphicData>
                      </a:graphic>
                    </wp:anchor>
                  </w:drawing>
                </mc:Choice>
                <mc:Fallback>
                  <w:pict>
                    <v:shape id="文本框 3252" o:spid="_x0000_s1026" o:spt="202" type="#_x0000_t202" style="position:absolute;left:0pt;margin-left:297.2pt;margin-top:10.25pt;height:23.25pt;width:44.75pt;z-index:251736064;mso-width-relative:page;mso-height-relative:page;" filled="f" stroked="f" coordsize="21600,21600" o:gfxdata="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WK4g4&#10;2AAAAAkBAAAPAAAAAAAAAAEAIAAAACIAAABkcnMvZG93bnJldi54bWxQSwECFAAUAAAACACHTuJA&#10;ePZ0/q8BAABRAwAADgAAAAAAAAABACAAAAAnAQAAZHJzL2Uyb0RvYy54bWxQSwUGAAAAAAYABgBZ&#10;AQAASAUAAAAA&#10;">
                      <v:fill on="f" focussize="0,0"/>
                      <v:stroke on="f"/>
                      <v:imagedata o:title=""/>
                      <o:lock v:ext="edit" aspectratio="f"/>
                      <v:textbox>
                        <w:txbxContent>
                          <w:p w14:paraId="28E05AFC">
                            <w:pPr>
                              <w:rPr>
                                <w:sz w:val="18"/>
                                <w:szCs w:val="18"/>
                              </w:rPr>
                            </w:pPr>
                            <w:r>
                              <w:rPr>
                                <w:rFonts w:hint="eastAsia"/>
                                <w:sz w:val="18"/>
                                <w:szCs w:val="18"/>
                              </w:rPr>
                              <w:t>筛上料</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1423670</wp:posOffset>
                      </wp:positionH>
                      <wp:positionV relativeFrom="paragraph">
                        <wp:posOffset>50800</wp:posOffset>
                      </wp:positionV>
                      <wp:extent cx="396875" cy="295275"/>
                      <wp:effectExtent l="0" t="0" r="0" b="0"/>
                      <wp:wrapNone/>
                      <wp:docPr id="74" name="文本框 3245"/>
                      <wp:cNvGraphicFramePr/>
                      <a:graphic xmlns:a="http://schemas.openxmlformats.org/drawingml/2006/main">
                        <a:graphicData uri="http://schemas.microsoft.com/office/word/2010/wordprocessingShape">
                          <wps:wsp>
                            <wps:cNvSpPr txBox="1"/>
                            <wps:spPr>
                              <a:xfrm>
                                <a:off x="0" y="0"/>
                                <a:ext cx="396875" cy="295275"/>
                              </a:xfrm>
                              <a:prstGeom prst="rect">
                                <a:avLst/>
                              </a:prstGeom>
                              <a:noFill/>
                              <a:ln>
                                <a:noFill/>
                              </a:ln>
                            </wps:spPr>
                            <wps:txbx>
                              <w:txbxContent>
                                <w:p w14:paraId="1EE967A3">
                                  <w:pPr>
                                    <w:ind w:left="-105" w:right="-105"/>
                                    <w:rPr>
                                      <w:szCs w:val="21"/>
                                    </w:rPr>
                                  </w:pPr>
                                  <w:r>
                                    <w:rPr>
                                      <w:szCs w:val="21"/>
                                      <w:highlight w:val="lightGray"/>
                                    </w:rPr>
                                    <w:t>G1</w:t>
                                  </w:r>
                                </w:p>
                              </w:txbxContent>
                            </wps:txbx>
                            <wps:bodyPr upright="1"/>
                          </wps:wsp>
                        </a:graphicData>
                      </a:graphic>
                    </wp:anchor>
                  </w:drawing>
                </mc:Choice>
                <mc:Fallback>
                  <w:pict>
                    <v:shape id="文本框 3245" o:spid="_x0000_s1026" o:spt="202" type="#_x0000_t202" style="position:absolute;left:0pt;margin-left:112.1pt;margin-top:4pt;height:23.25pt;width:31.25pt;z-index:251728896;mso-width-relative:page;mso-height-relative:page;" filled="f" stroked="f" coordsize="21600,21600" o:gfxdata="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BDFVDV&#10;AAAACAEAAA8AAAAAAAAAAQAgAAAAIgAAAGRycy9kb3ducmV2LnhtbFBLAQIUABQAAAAIAIdO4kDK&#10;hkfasQEAAFEDAAAOAAAAAAAAAAEAIAAAACQBAABkcnMvZTJvRG9jLnhtbFBLBQYAAAAABgAGAFkB&#10;AABHBQAAAAA=&#10;">
                      <v:fill on="f" focussize="0,0"/>
                      <v:stroke on="f"/>
                      <v:imagedata o:title=""/>
                      <o:lock v:ext="edit" aspectratio="f"/>
                      <v:textbox>
                        <w:txbxContent>
                          <w:p w14:paraId="1EE967A3">
                            <w:pPr>
                              <w:ind w:left="-105" w:right="-105"/>
                              <w:rPr>
                                <w:szCs w:val="21"/>
                              </w:rPr>
                            </w:pPr>
                            <w:r>
                              <w:rPr>
                                <w:szCs w:val="21"/>
                                <w:highlight w:val="lightGray"/>
                              </w:rPr>
                              <w:t>G1</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1510665</wp:posOffset>
                      </wp:positionH>
                      <wp:positionV relativeFrom="paragraph">
                        <wp:posOffset>259715</wp:posOffset>
                      </wp:positionV>
                      <wp:extent cx="0" cy="260985"/>
                      <wp:effectExtent l="63500" t="0" r="73660" b="13335"/>
                      <wp:wrapNone/>
                      <wp:docPr id="73" name="自选图形 3244"/>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44" o:spid="_x0000_s1026" o:spt="32" type="#_x0000_t32" style="position:absolute;left:0pt;flip:y;margin-left:118.95pt;margin-top:20.45pt;height:20.55pt;width:0pt;z-index:251727872;mso-width-relative:page;mso-height-relative:page;" filled="f" stroked="t" coordsize="21600,21600" o:gfxdata="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wLOK1gAAAAkBAAAPAAAAAAAAAAEAIAAAACIA&#10;AABkcnMvZG93bnJldi54bWxQSwECFAAUAAAACACHTuJAyXvepgsCAADzAwAADgAAAAAAAAABACAA&#10;AAAlAQAAZHJzL2Uyb0RvYy54bWxQSwUGAAAAAAYABgBZAQAAogU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2222500</wp:posOffset>
                      </wp:positionH>
                      <wp:positionV relativeFrom="paragraph">
                        <wp:posOffset>267335</wp:posOffset>
                      </wp:positionV>
                      <wp:extent cx="0" cy="260985"/>
                      <wp:effectExtent l="63500" t="0" r="73660" b="13335"/>
                      <wp:wrapNone/>
                      <wp:docPr id="72" name="自选图形 3243"/>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43" o:spid="_x0000_s1026" o:spt="32" type="#_x0000_t32" style="position:absolute;left:0pt;flip:y;margin-left:175pt;margin-top:21.05pt;height:20.55pt;width:0pt;z-index:251726848;mso-width-relative:page;mso-height-relative:page;" filled="f" stroked="t" coordsize="21600,21600" o:gfxdata="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FfL61wAAAAkBAAAPAAAAAAAAAAEAIAAAACIA&#10;AABkcnMvZG93bnJldi54bWxQSwECFAAUAAAACACHTuJASLqBXAoCAADzAwAADgAAAAAAAAABACAA&#10;AAAmAQAAZHJzL2Uyb0RvYy54bWxQSwUGAAAAAAYABgBZAQAAogUAAAAA&#10;">
                      <v:fill on="f" focussize="0,0"/>
                      <v:stroke weight="1.25pt" color="#000000" joinstyle="round" dashstyle="1 1" endarrow="classic" endarrowwidth="wide" endarrowlength="long"/>
                      <v:imagedata o:title=""/>
                      <o:lock v:ext="edit" aspectratio="f"/>
                    </v:shape>
                  </w:pict>
                </mc:Fallback>
              </mc:AlternateContent>
            </w:r>
          </w:p>
          <w:p w14:paraId="76FB2D53">
            <w:pPr>
              <w:topLinePunct/>
              <w:spacing w:line="480" w:lineRule="exact"/>
              <w:ind w:firstLine="560" w:firstLineChars="200"/>
              <w:rPr>
                <w:color w:val="000000" w:themeColor="text1"/>
                <w:highlight w:val="none"/>
                <w14:textFill>
                  <w14:solidFill>
                    <w14:schemeClr w14:val="tx1"/>
                  </w14:solidFill>
                </w14:textFill>
              </w:rPr>
            </w:pPr>
            <w:r>
              <w:rPr>
                <w:color w:val="000000" w:themeColor="text1"/>
                <w:sz w:val="28"/>
                <w:highlight w:val="none"/>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128905</wp:posOffset>
                      </wp:positionH>
                      <wp:positionV relativeFrom="paragraph">
                        <wp:posOffset>81280</wp:posOffset>
                      </wp:positionV>
                      <wp:extent cx="755015" cy="645795"/>
                      <wp:effectExtent l="0" t="0" r="0" b="0"/>
                      <wp:wrapNone/>
                      <wp:docPr id="38" name="文本框 3209"/>
                      <wp:cNvGraphicFramePr/>
                      <a:graphic xmlns:a="http://schemas.openxmlformats.org/drawingml/2006/main">
                        <a:graphicData uri="http://schemas.microsoft.com/office/word/2010/wordprocessingShape">
                          <wps:wsp>
                            <wps:cNvSpPr txBox="1"/>
                            <wps:spPr>
                              <a:xfrm>
                                <a:off x="0" y="0"/>
                                <a:ext cx="755015" cy="645795"/>
                              </a:xfrm>
                              <a:prstGeom prst="rect">
                                <a:avLst/>
                              </a:prstGeom>
                              <a:noFill/>
                              <a:ln>
                                <a:noFill/>
                              </a:ln>
                            </wps:spPr>
                            <wps:txbx>
                              <w:txbxContent>
                                <w:p w14:paraId="78007E63">
                                  <w:pPr>
                                    <w:ind w:left="-105" w:leftChars="-50" w:right="-105" w:rightChars="-50"/>
                                    <w:jc w:val="center"/>
                                    <w:rPr>
                                      <w:szCs w:val="21"/>
                                    </w:rPr>
                                  </w:pPr>
                                  <w:r>
                                    <w:rPr>
                                      <w:rFonts w:hint="eastAsia"/>
                                      <w:szCs w:val="21"/>
                                    </w:rPr>
                                    <w:t>页岩、</w:t>
                                  </w:r>
                                  <w:r>
                                    <w:rPr>
                                      <w:rFonts w:hint="eastAsia"/>
                                      <w:bCs/>
                                      <w:szCs w:val="21"/>
                                    </w:rPr>
                                    <w:t>剥岩废料、</w:t>
                                  </w:r>
                                  <w:r>
                                    <w:rPr>
                                      <w:rFonts w:hint="eastAsia"/>
                                      <w:szCs w:val="21"/>
                                    </w:rPr>
                                    <w:t>干排淤泥</w:t>
                                  </w:r>
                                </w:p>
                              </w:txbxContent>
                            </wps:txbx>
                            <wps:bodyPr upright="1"/>
                          </wps:wsp>
                        </a:graphicData>
                      </a:graphic>
                    </wp:anchor>
                  </w:drawing>
                </mc:Choice>
                <mc:Fallback>
                  <w:pict>
                    <v:shape id="文本框 3209" o:spid="_x0000_s1026" o:spt="202" type="#_x0000_t202" style="position:absolute;left:0pt;margin-left:10.15pt;margin-top:6.4pt;height:50.85pt;width:59.45pt;z-index:251692032;mso-width-relative:page;mso-height-relative:page;" filled="f" stroked="f" coordsize="21600,21600" o:gfxdata="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yhFO+&#10;1gAAAAkBAAAPAAAAAAAAAAEAIAAAACIAAABkcnMvZG93bnJldi54bWxQSwECFAAUAAAACACHTuJA&#10;0SgNQbEBAABRAwAADgAAAAAAAAABACAAAAAlAQAAZHJzL2Uyb0RvYy54bWxQSwUGAAAAAAYABgBZ&#10;AQAASAUAAAAA&#10;">
                      <v:fill on="f" focussize="0,0"/>
                      <v:stroke on="f"/>
                      <v:imagedata o:title=""/>
                      <o:lock v:ext="edit" aspectratio="f"/>
                      <v:textbox>
                        <w:txbxContent>
                          <w:p w14:paraId="78007E63">
                            <w:pPr>
                              <w:ind w:left="-105" w:leftChars="-50" w:right="-105" w:rightChars="-50"/>
                              <w:jc w:val="center"/>
                              <w:rPr>
                                <w:szCs w:val="21"/>
                              </w:rPr>
                            </w:pPr>
                            <w:r>
                              <w:rPr>
                                <w:rFonts w:hint="eastAsia"/>
                                <w:szCs w:val="21"/>
                              </w:rPr>
                              <w:t>页岩、</w:t>
                            </w:r>
                            <w:r>
                              <w:rPr>
                                <w:rFonts w:hint="eastAsia"/>
                                <w:bCs/>
                                <w:szCs w:val="21"/>
                              </w:rPr>
                              <w:t>剥岩废料、</w:t>
                            </w:r>
                            <w:r>
                              <w:rPr>
                                <w:rFonts w:hint="eastAsia"/>
                                <w:szCs w:val="21"/>
                              </w:rPr>
                              <w:t>干排淤泥</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70880" behindDoc="0" locked="0" layoutInCell="1" allowOverlap="1">
                      <wp:simplePos x="0" y="0"/>
                      <wp:positionH relativeFrom="column">
                        <wp:posOffset>4568190</wp:posOffset>
                      </wp:positionH>
                      <wp:positionV relativeFrom="paragraph">
                        <wp:posOffset>247650</wp:posOffset>
                      </wp:positionV>
                      <wp:extent cx="594995" cy="266700"/>
                      <wp:effectExtent l="0" t="0" r="0" b="0"/>
                      <wp:wrapNone/>
                      <wp:docPr id="115" name="文本框 3286"/>
                      <wp:cNvGraphicFramePr/>
                      <a:graphic xmlns:a="http://schemas.openxmlformats.org/drawingml/2006/main">
                        <a:graphicData uri="http://schemas.microsoft.com/office/word/2010/wordprocessingShape">
                          <wps:wsp>
                            <wps:cNvSpPr txBox="1"/>
                            <wps:spPr>
                              <a:xfrm>
                                <a:off x="0" y="0"/>
                                <a:ext cx="594995" cy="266700"/>
                              </a:xfrm>
                              <a:prstGeom prst="rect">
                                <a:avLst/>
                              </a:prstGeom>
                              <a:noFill/>
                              <a:ln>
                                <a:noFill/>
                              </a:ln>
                            </wps:spPr>
                            <wps:txbx>
                              <w:txbxContent>
                                <w:p w14:paraId="48AAFA73">
                                  <w:pPr>
                                    <w:rPr>
                                      <w:sz w:val="18"/>
                                      <w:szCs w:val="18"/>
                                    </w:rPr>
                                  </w:pPr>
                                  <w:r>
                                    <w:rPr>
                                      <w:rFonts w:hint="eastAsia"/>
                                      <w:sz w:val="18"/>
                                      <w:szCs w:val="18"/>
                                    </w:rPr>
                                    <w:t>筛下料</w:t>
                                  </w:r>
                                </w:p>
                              </w:txbxContent>
                            </wps:txbx>
                            <wps:bodyPr upright="1"/>
                          </wps:wsp>
                        </a:graphicData>
                      </a:graphic>
                    </wp:anchor>
                  </w:drawing>
                </mc:Choice>
                <mc:Fallback>
                  <w:pict>
                    <v:shape id="文本框 3286" o:spid="_x0000_s1026" o:spt="202" type="#_x0000_t202" style="position:absolute;left:0pt;margin-left:359.7pt;margin-top:19.5pt;height:21pt;width:46.85pt;z-index:251770880;mso-width-relative:page;mso-height-relative:page;" filled="f" stroked="f" coordsize="21600,21600" o:gfxdata="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H+xBr&#10;1gAAAAkBAAAPAAAAAAAAAAEAIAAAACIAAABkcnMvZG93bnJldi54bWxQSwECFAAUAAAACACHTuJA&#10;2N1flrEBAABSAwAADgAAAAAAAAABACAAAAAlAQAAZHJzL2Uyb0RvYy54bWxQSwUGAAAAAAYABgBZ&#10;AQAASAUAAAAA&#10;">
                      <v:fill on="f" focussize="0,0"/>
                      <v:stroke on="f"/>
                      <v:imagedata o:title=""/>
                      <o:lock v:ext="edit" aspectratio="f"/>
                      <v:textbox>
                        <w:txbxContent>
                          <w:p w14:paraId="48AAFA73">
                            <w:pPr>
                              <w:rPr>
                                <w:sz w:val="18"/>
                                <w:szCs w:val="18"/>
                              </w:rPr>
                            </w:pPr>
                            <w:r>
                              <w:rPr>
                                <w:rFonts w:hint="eastAsia"/>
                                <w:sz w:val="18"/>
                                <w:szCs w:val="18"/>
                              </w:rPr>
                              <w:t>筛下料</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54496" behindDoc="0" locked="0" layoutInCell="1" allowOverlap="1">
                      <wp:simplePos x="0" y="0"/>
                      <wp:positionH relativeFrom="column">
                        <wp:posOffset>4869815</wp:posOffset>
                      </wp:positionH>
                      <wp:positionV relativeFrom="paragraph">
                        <wp:posOffset>52705</wp:posOffset>
                      </wp:positionV>
                      <wp:extent cx="377825" cy="295275"/>
                      <wp:effectExtent l="0" t="0" r="0" b="0"/>
                      <wp:wrapNone/>
                      <wp:docPr id="99" name="文本框 3270"/>
                      <wp:cNvGraphicFramePr/>
                      <a:graphic xmlns:a="http://schemas.openxmlformats.org/drawingml/2006/main">
                        <a:graphicData uri="http://schemas.microsoft.com/office/word/2010/wordprocessingShape">
                          <wps:wsp>
                            <wps:cNvSpPr txBox="1"/>
                            <wps:spPr>
                              <a:xfrm>
                                <a:off x="0" y="0"/>
                                <a:ext cx="377825" cy="295275"/>
                              </a:xfrm>
                              <a:prstGeom prst="rect">
                                <a:avLst/>
                              </a:prstGeom>
                              <a:noFill/>
                              <a:ln>
                                <a:noFill/>
                              </a:ln>
                            </wps:spPr>
                            <wps:txbx>
                              <w:txbxContent>
                                <w:p w14:paraId="62ACBF50">
                                  <w:pPr>
                                    <w:rPr>
                                      <w:szCs w:val="21"/>
                                    </w:rPr>
                                  </w:pPr>
                                  <w:r>
                                    <w:rPr>
                                      <w:rFonts w:hint="eastAsia"/>
                                      <w:szCs w:val="21"/>
                                    </w:rPr>
                                    <w:t>水</w:t>
                                  </w:r>
                                </w:p>
                              </w:txbxContent>
                            </wps:txbx>
                            <wps:bodyPr upright="1"/>
                          </wps:wsp>
                        </a:graphicData>
                      </a:graphic>
                    </wp:anchor>
                  </w:drawing>
                </mc:Choice>
                <mc:Fallback>
                  <w:pict>
                    <v:shape id="文本框 3270" o:spid="_x0000_s1026" o:spt="202" type="#_x0000_t202" style="position:absolute;left:0pt;margin-left:383.45pt;margin-top:4.15pt;height:23.25pt;width:29.75pt;z-index:251754496;mso-width-relative:page;mso-height-relative:page;" filled="f" stroked="f" coordsize="21600,21600" o:gfxdata="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akE+jX&#10;AAAACAEAAA8AAAAAAAAAAQAgAAAAIgAAAGRycy9kb3ducmV2LnhtbFBLAQIUABQAAAAIAIdO4kA1&#10;nD7frwEAAFEDAAAOAAAAAAAAAAEAIAAAACYBAABkcnMvZTJvRG9jLnhtbFBLBQYAAAAABgAGAFkB&#10;AABHBQAAAAA=&#10;">
                      <v:fill on="f" focussize="0,0"/>
                      <v:stroke on="f"/>
                      <v:imagedata o:title=""/>
                      <o:lock v:ext="edit" aspectratio="f"/>
                      <v:textbox>
                        <w:txbxContent>
                          <w:p w14:paraId="62ACBF50">
                            <w:pPr>
                              <w:rPr>
                                <w:szCs w:val="21"/>
                              </w:rPr>
                            </w:pPr>
                            <w:r>
                              <w:rPr>
                                <w:rFonts w:hint="eastAsia"/>
                                <w:szCs w:val="21"/>
                              </w:rPr>
                              <w:t>水</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3840480</wp:posOffset>
                      </wp:positionH>
                      <wp:positionV relativeFrom="paragraph">
                        <wp:posOffset>120650</wp:posOffset>
                      </wp:positionV>
                      <wp:extent cx="568325" cy="295275"/>
                      <wp:effectExtent l="0" t="0" r="0" b="0"/>
                      <wp:wrapNone/>
                      <wp:docPr id="89" name="文本框 3260"/>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0F9D4BF3">
                                  <w:pPr>
                                    <w:rPr>
                                      <w:sz w:val="18"/>
                                      <w:szCs w:val="18"/>
                                    </w:rPr>
                                  </w:pPr>
                                  <w:r>
                                    <w:rPr>
                                      <w:rFonts w:hint="eastAsia"/>
                                      <w:sz w:val="18"/>
                                      <w:szCs w:val="18"/>
                                    </w:rPr>
                                    <w:t>皮带</w:t>
                                  </w:r>
                                </w:p>
                              </w:txbxContent>
                            </wps:txbx>
                            <wps:bodyPr upright="1"/>
                          </wps:wsp>
                        </a:graphicData>
                      </a:graphic>
                    </wp:anchor>
                  </w:drawing>
                </mc:Choice>
                <mc:Fallback>
                  <w:pict>
                    <v:shape id="文本框 3260" o:spid="_x0000_s1026" o:spt="202" type="#_x0000_t202" style="position:absolute;left:0pt;margin-left:302.4pt;margin-top:9.5pt;height:23.25pt;width:44.75pt;z-index:251744256;mso-width-relative:page;mso-height-relative:page;" filled="f" stroked="f" coordsize="21600,21600" o:gfxdata="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F66ptYA&#10;AAAJAQAADwAAAAAAAAABACAAAAAiAAAAZHJzL2Rvd25yZXYueG1sUEsBAhQAFAAAAAgAh07iQB+Z&#10;FBqvAQAAUQMAAA4AAAAAAAAAAQAgAAAAJQEAAGRycy9lMm9Eb2MueG1sUEsFBgAAAAAGAAYAWQEA&#10;AEYFAAAAAA==&#10;">
                      <v:fill on="f" focussize="0,0"/>
                      <v:stroke on="f"/>
                      <v:imagedata o:title=""/>
                      <o:lock v:ext="edit" aspectratio="f"/>
                      <v:textbox>
                        <w:txbxContent>
                          <w:p w14:paraId="0F9D4BF3">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3119755</wp:posOffset>
                      </wp:positionH>
                      <wp:positionV relativeFrom="paragraph">
                        <wp:posOffset>120650</wp:posOffset>
                      </wp:positionV>
                      <wp:extent cx="568325" cy="295275"/>
                      <wp:effectExtent l="0" t="0" r="0" b="0"/>
                      <wp:wrapNone/>
                      <wp:docPr id="88" name="文本框 3259"/>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4851FC11">
                                  <w:pPr>
                                    <w:rPr>
                                      <w:sz w:val="18"/>
                                      <w:szCs w:val="18"/>
                                    </w:rPr>
                                  </w:pPr>
                                  <w:r>
                                    <w:rPr>
                                      <w:rFonts w:hint="eastAsia"/>
                                      <w:sz w:val="18"/>
                                      <w:szCs w:val="18"/>
                                    </w:rPr>
                                    <w:t>皮带</w:t>
                                  </w:r>
                                </w:p>
                              </w:txbxContent>
                            </wps:txbx>
                            <wps:bodyPr upright="1"/>
                          </wps:wsp>
                        </a:graphicData>
                      </a:graphic>
                    </wp:anchor>
                  </w:drawing>
                </mc:Choice>
                <mc:Fallback>
                  <w:pict>
                    <v:shape id="文本框 3259" o:spid="_x0000_s1026" o:spt="202" type="#_x0000_t202" style="position:absolute;left:0pt;margin-left:245.65pt;margin-top:9.5pt;height:23.25pt;width:44.75pt;z-index:251743232;mso-width-relative:page;mso-height-relative:page;" filled="f" stroked="f" coordsize="21600,21600" o:gfxdata="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v5dp9YA&#10;AAAJAQAADwAAAAAAAAABACAAAAAiAAAAZHJzL2Rvd25yZXYueG1sUEsBAhQAFAAAAAgAh07iQFGU&#10;kGevAQAAUQMAAA4AAAAAAAAAAQAgAAAAJQEAAGRycy9lMm9Eb2MueG1sUEsFBgAAAAAGAAYAWQEA&#10;AEYFAAAAAA==&#10;">
                      <v:fill on="f" focussize="0,0"/>
                      <v:stroke on="f"/>
                      <v:imagedata o:title=""/>
                      <o:lock v:ext="edit" aspectratio="f"/>
                      <v:textbox>
                        <w:txbxContent>
                          <w:p w14:paraId="4851FC11">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2378075</wp:posOffset>
                      </wp:positionH>
                      <wp:positionV relativeFrom="paragraph">
                        <wp:posOffset>120650</wp:posOffset>
                      </wp:positionV>
                      <wp:extent cx="568325" cy="295275"/>
                      <wp:effectExtent l="0" t="0" r="0" b="0"/>
                      <wp:wrapNone/>
                      <wp:docPr id="87" name="文本框 3258"/>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5E327597">
                                  <w:pPr>
                                    <w:rPr>
                                      <w:sz w:val="18"/>
                                      <w:szCs w:val="18"/>
                                    </w:rPr>
                                  </w:pPr>
                                  <w:r>
                                    <w:rPr>
                                      <w:rFonts w:hint="eastAsia"/>
                                      <w:sz w:val="18"/>
                                      <w:szCs w:val="18"/>
                                    </w:rPr>
                                    <w:t>皮带</w:t>
                                  </w:r>
                                </w:p>
                              </w:txbxContent>
                            </wps:txbx>
                            <wps:bodyPr upright="1"/>
                          </wps:wsp>
                        </a:graphicData>
                      </a:graphic>
                    </wp:anchor>
                  </w:drawing>
                </mc:Choice>
                <mc:Fallback>
                  <w:pict>
                    <v:shape id="文本框 3258" o:spid="_x0000_s1026" o:spt="202" type="#_x0000_t202" style="position:absolute;left:0pt;margin-left:187.25pt;margin-top:9.5pt;height:23.25pt;width:44.75pt;z-index:251742208;mso-width-relative:page;mso-height-relative:page;" filled="f" stroked="f" coordsize="21600,21600" o:gfxdata="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4EMitYA&#10;AAAJAQAADwAAAAAAAAABACAAAAAiAAAAZHJzL2Rvd25yZXYueG1sUEsBAhQAFAAAAAgAh07iQGeq&#10;e5GvAQAAUQMAAA4AAAAAAAAAAQAgAAAAJQEAAGRycy9lMm9Eb2MueG1sUEsFBgAAAAAGAAYAWQEA&#10;AEYFAAAAAA==&#10;">
                      <v:fill on="f" focussize="0,0"/>
                      <v:stroke on="f"/>
                      <v:imagedata o:title=""/>
                      <o:lock v:ext="edit" aspectratio="f"/>
                      <v:textbox>
                        <w:txbxContent>
                          <w:p w14:paraId="5E327597">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3775075</wp:posOffset>
                      </wp:positionH>
                      <wp:positionV relativeFrom="paragraph">
                        <wp:posOffset>41275</wp:posOffset>
                      </wp:positionV>
                      <wp:extent cx="0" cy="174625"/>
                      <wp:effectExtent l="38100" t="0" r="38100" b="8255"/>
                      <wp:wrapNone/>
                      <wp:docPr id="86" name="自选图形 3257"/>
                      <wp:cNvGraphicFramePr/>
                      <a:graphic xmlns:a="http://schemas.openxmlformats.org/drawingml/2006/main">
                        <a:graphicData uri="http://schemas.microsoft.com/office/word/2010/wordprocessingShape">
                          <wps:wsp>
                            <wps:cNvCnPr/>
                            <wps:spPr>
                              <a:xfrm>
                                <a:off x="0" y="0"/>
                                <a:ext cx="0" cy="1746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57" o:spid="_x0000_s1026" o:spt="32" type="#_x0000_t32" style="position:absolute;left:0pt;margin-left:297.25pt;margin-top:3.25pt;height:13.75pt;width:0pt;z-index:251741184;mso-width-relative:page;mso-height-relative:page;" filled="f" stroked="t" coordsize="21600,21600" o:gfxdata="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ZovNrYAAAACAEAAA8AAAAAAAAAAQAgAAAAIgAAAGRycy9kb3ducmV2&#10;LnhtbFBLAQIUABQAAAAIAIdO4kBkb+xo/AEAAOoDAAAOAAAAAAAAAAEAIAAAACcBAABkcnMvZTJv&#10;RG9jLnhtbFBLBQYAAAAABgAGAFkBAACVBQ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3775075</wp:posOffset>
                      </wp:positionH>
                      <wp:positionV relativeFrom="paragraph">
                        <wp:posOffset>41275</wp:posOffset>
                      </wp:positionV>
                      <wp:extent cx="473075" cy="0"/>
                      <wp:effectExtent l="0" t="4445" r="0" b="5080"/>
                      <wp:wrapNone/>
                      <wp:docPr id="85" name="自选图形 3256"/>
                      <wp:cNvGraphicFramePr/>
                      <a:graphic xmlns:a="http://schemas.openxmlformats.org/drawingml/2006/main">
                        <a:graphicData uri="http://schemas.microsoft.com/office/word/2010/wordprocessingShape">
                          <wps:wsp>
                            <wps:cNvCnPr/>
                            <wps:spPr>
                              <a:xfrm flipH="1">
                                <a:off x="0" y="0"/>
                                <a:ext cx="47307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56" o:spid="_x0000_s1026" o:spt="32" type="#_x0000_t32" style="position:absolute;left:0pt;flip:x;margin-left:297.25pt;margin-top:3.25pt;height:0pt;width:37.25pt;z-index:251740160;mso-width-relative:page;mso-height-relative:page;" filled="f" stroked="t" coordsize="21600,21600" o:gfxdata="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RID8dUAAAAHAQAADwAAAAAAAAABACAAAAAiAAAAZHJzL2Rvd25yZXYu&#10;eG1sUEsBAhQAFAAAAAgAh07iQC//95j+AQAA8AMAAA4AAAAAAAAAAQAgAAAAJAEAAGRycy9lMm9E&#10;b2MueG1sUEsFBgAAAAAGAAYAWQEAAJQFAAAAAA==&#10;">
                      <v:fill on="f" focussize="0,0"/>
                      <v:stroke color="#000000" joinstyle="round"/>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4248150</wp:posOffset>
                      </wp:positionH>
                      <wp:positionV relativeFrom="paragraph">
                        <wp:posOffset>41275</wp:posOffset>
                      </wp:positionV>
                      <wp:extent cx="0" cy="182245"/>
                      <wp:effectExtent l="4445" t="0" r="10795" b="635"/>
                      <wp:wrapNone/>
                      <wp:docPr id="84" name="自选图形 3255"/>
                      <wp:cNvGraphicFramePr/>
                      <a:graphic xmlns:a="http://schemas.openxmlformats.org/drawingml/2006/main">
                        <a:graphicData uri="http://schemas.microsoft.com/office/word/2010/wordprocessingShape">
                          <wps:wsp>
                            <wps:cNvCnPr/>
                            <wps:spPr>
                              <a:xfrm flipV="1">
                                <a:off x="0" y="0"/>
                                <a:ext cx="0" cy="1822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55" o:spid="_x0000_s1026" o:spt="32" type="#_x0000_t32" style="position:absolute;left:0pt;flip:y;margin-left:334.5pt;margin-top:3.25pt;height:14.35pt;width:0pt;z-index:251739136;mso-width-relative:page;mso-height-relative:page;" filled="f" stroked="t" coordsize="21600,21600" o:gfxdata="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Q0cXM1QAAAAgBAAAPAAAAAAAAAAEAIAAAACIAAABkcnMvZG93bnJldi54&#10;bWxQSwECFAAUAAAACACHTuJA+ZY0Uf0BAADwAwAADgAAAAAAAAABACAAAAAkAQAAZHJzL2Uyb0Rv&#10;Yy54bWxQSwUGAAAAAAYABgBZAQAAkwUAAAAA&#10;">
                      <v:fill on="f" focussize="0,0"/>
                      <v:stroke color="#000000" joinstyle="round"/>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4174490</wp:posOffset>
                      </wp:positionH>
                      <wp:positionV relativeFrom="paragraph">
                        <wp:posOffset>223520</wp:posOffset>
                      </wp:positionV>
                      <wp:extent cx="459105" cy="261620"/>
                      <wp:effectExtent l="4445" t="4445" r="8890" b="8255"/>
                      <wp:wrapNone/>
                      <wp:docPr id="80" name="文本框 3251"/>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BFE7966">
                                  <w:pPr>
                                    <w:ind w:left="-105" w:leftChars="-50" w:right="-105" w:rightChars="-50" w:firstLine="102" w:firstLineChars="49"/>
                                    <w:rPr>
                                      <w:szCs w:val="21"/>
                                    </w:rPr>
                                  </w:pPr>
                                  <w:r>
                                    <w:rPr>
                                      <w:rFonts w:hint="eastAsia"/>
                                      <w:szCs w:val="21"/>
                                    </w:rPr>
                                    <w:t>筛分</w:t>
                                  </w:r>
                                </w:p>
                              </w:txbxContent>
                            </wps:txbx>
                            <wps:bodyPr upright="1"/>
                          </wps:wsp>
                        </a:graphicData>
                      </a:graphic>
                    </wp:anchor>
                  </w:drawing>
                </mc:Choice>
                <mc:Fallback>
                  <w:pict>
                    <v:shape id="文本框 3251" o:spid="_x0000_s1026" o:spt="202" type="#_x0000_t202" style="position:absolute;left:0pt;margin-left:328.7pt;margin-top:17.6pt;height:20.6pt;width:36.15pt;z-index:251735040;mso-width-relative:page;mso-height-relative:page;" fillcolor="#FFFFFF" filled="t" stroked="t" coordsize="21600,21600" o:gfxdata="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7DnUtkAAAAJAQAADwAAAAAAAAAB&#10;ACAAAAAiAAAAZHJzL2Rvd25yZXYueG1sUEsBAhQAFAAAAAgAh07iQEztUWcPAgAAOQQAAA4AAAAA&#10;AAAAAQAgAAAAKAEAAGRycy9lMm9Eb2MueG1sUEsFBgAAAAAGAAYAWQEAAKkFAAAAAA==&#10;">
                      <v:fill on="t" focussize="0,0"/>
                      <v:stroke color="#000000" joinstyle="miter"/>
                      <v:imagedata o:title=""/>
                      <o:lock v:ext="edit" aspectratio="f"/>
                      <v:textbox>
                        <w:txbxContent>
                          <w:p w14:paraId="5BFE7966">
                            <w:pPr>
                              <w:ind w:left="-105" w:leftChars="-50" w:right="-105" w:rightChars="-50" w:firstLine="102" w:firstLineChars="49"/>
                              <w:rPr>
                                <w:szCs w:val="21"/>
                              </w:rPr>
                            </w:pPr>
                            <w:r>
                              <w:rPr>
                                <w:rFonts w:hint="eastAsia"/>
                                <w:szCs w:val="21"/>
                              </w:rPr>
                              <w:t>筛分</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3446145</wp:posOffset>
                      </wp:positionH>
                      <wp:positionV relativeFrom="paragraph">
                        <wp:posOffset>215900</wp:posOffset>
                      </wp:positionV>
                      <wp:extent cx="459105" cy="261620"/>
                      <wp:effectExtent l="4445" t="4445" r="8890" b="8255"/>
                      <wp:wrapNone/>
                      <wp:docPr id="79" name="文本框 3250"/>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722593">
                                  <w:pPr>
                                    <w:ind w:left="-105" w:leftChars="-50" w:right="-105" w:rightChars="-50" w:firstLine="102" w:firstLineChars="49"/>
                                    <w:rPr>
                                      <w:szCs w:val="21"/>
                                    </w:rPr>
                                  </w:pPr>
                                  <w:r>
                                    <w:rPr>
                                      <w:rFonts w:hint="eastAsia"/>
                                      <w:szCs w:val="21"/>
                                    </w:rPr>
                                    <w:t>锤破</w:t>
                                  </w:r>
                                </w:p>
                              </w:txbxContent>
                            </wps:txbx>
                            <wps:bodyPr upright="1"/>
                          </wps:wsp>
                        </a:graphicData>
                      </a:graphic>
                    </wp:anchor>
                  </w:drawing>
                </mc:Choice>
                <mc:Fallback>
                  <w:pict>
                    <v:shape id="文本框 3250" o:spid="_x0000_s1026" o:spt="202" type="#_x0000_t202" style="position:absolute;left:0pt;margin-left:271.35pt;margin-top:17pt;height:20.6pt;width:36.15pt;z-index:251734016;mso-width-relative:page;mso-height-relative:page;" fillcolor="#FFFFFF" filled="t" stroked="t" coordsize="21600,21600" o:gfxdata="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XRUKvZAAAACQEAAA8AAAAAAAAAAQAg&#10;AAAAIgAAAGRycy9kb3ducmV2LnhtbFBLAQIUABQAAAAIAIdO4kAVqIhbDQIAADkEAAAOAAAAAAAA&#10;AAEAIAAAACgBAABkcnMvZTJvRG9jLnhtbFBLBQYAAAAABgAGAFkBAACnBQAAAAA=&#10;">
                      <v:fill on="t" focussize="0,0"/>
                      <v:stroke color="#000000" joinstyle="miter"/>
                      <v:imagedata o:title=""/>
                      <o:lock v:ext="edit" aspectratio="f"/>
                      <v:textbox>
                        <w:txbxContent>
                          <w:p w14:paraId="0D722593">
                            <w:pPr>
                              <w:ind w:left="-105" w:leftChars="-50" w:right="-105" w:rightChars="-50" w:firstLine="102" w:firstLineChars="49"/>
                              <w:rPr>
                                <w:szCs w:val="21"/>
                              </w:rPr>
                            </w:pPr>
                            <w:r>
                              <w:rPr>
                                <w:rFonts w:hint="eastAsia"/>
                                <w:szCs w:val="21"/>
                              </w:rPr>
                              <w:t>锤破</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2732405</wp:posOffset>
                      </wp:positionH>
                      <wp:positionV relativeFrom="paragraph">
                        <wp:posOffset>215900</wp:posOffset>
                      </wp:positionV>
                      <wp:extent cx="459105" cy="261620"/>
                      <wp:effectExtent l="4445" t="4445" r="8890" b="8255"/>
                      <wp:wrapNone/>
                      <wp:docPr id="78" name="文本框 3249"/>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B40E6C0">
                                  <w:pPr>
                                    <w:ind w:left="-105" w:leftChars="-50" w:right="-105" w:rightChars="-50" w:firstLine="102" w:firstLineChars="49"/>
                                    <w:rPr>
                                      <w:szCs w:val="21"/>
                                    </w:rPr>
                                  </w:pPr>
                                  <w:r>
                                    <w:rPr>
                                      <w:rFonts w:hint="eastAsia"/>
                                      <w:szCs w:val="21"/>
                                    </w:rPr>
                                    <w:t>颚破</w:t>
                                  </w:r>
                                </w:p>
                              </w:txbxContent>
                            </wps:txbx>
                            <wps:bodyPr upright="1"/>
                          </wps:wsp>
                        </a:graphicData>
                      </a:graphic>
                    </wp:anchor>
                  </w:drawing>
                </mc:Choice>
                <mc:Fallback>
                  <w:pict>
                    <v:shape id="文本框 3249" o:spid="_x0000_s1026" o:spt="202" type="#_x0000_t202" style="position:absolute;left:0pt;margin-left:215.15pt;margin-top:17pt;height:20.6pt;width:36.15pt;z-index:251732992;mso-width-relative:page;mso-height-relative:page;" fillcolor="#FFFFFF" filled="t" stroked="t" coordsize="21600,21600" o:gfxdata="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fsvzdkAAAAJAQAADwAAAAAAAAAB&#10;ACAAAAAiAAAAZHJzL2Rvd25yZXYueG1sUEsBAhQAFAAAAAgAh07iQPZ3e38PAgAAOQQAAA4AAAAA&#10;AAAAAQAgAAAAKAEAAGRycy9lMm9Eb2MueG1sUEsFBgAAAAAGAAYAWQEAAKkFAAAAAA==&#10;">
                      <v:fill on="t" focussize="0,0"/>
                      <v:stroke color="#000000" joinstyle="miter"/>
                      <v:imagedata o:title=""/>
                      <o:lock v:ext="edit" aspectratio="f"/>
                      <v:textbox>
                        <w:txbxContent>
                          <w:p w14:paraId="5B40E6C0">
                            <w:pPr>
                              <w:ind w:left="-105" w:leftChars="-50" w:right="-105" w:rightChars="-50" w:firstLine="102" w:firstLineChars="49"/>
                              <w:rPr>
                                <w:szCs w:val="21"/>
                              </w:rPr>
                            </w:pPr>
                            <w:r>
                              <w:rPr>
                                <w:rFonts w:hint="eastAsia"/>
                                <w:szCs w:val="21"/>
                              </w:rPr>
                              <w:t>颚破</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1654175</wp:posOffset>
                      </wp:positionH>
                      <wp:positionV relativeFrom="paragraph">
                        <wp:posOffset>120650</wp:posOffset>
                      </wp:positionV>
                      <wp:extent cx="568325" cy="295275"/>
                      <wp:effectExtent l="0" t="0" r="0" b="0"/>
                      <wp:wrapNone/>
                      <wp:docPr id="70" name="文本框 3241"/>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1C15F87D">
                                  <w:pPr>
                                    <w:rPr>
                                      <w:sz w:val="18"/>
                                      <w:szCs w:val="18"/>
                                    </w:rPr>
                                  </w:pPr>
                                  <w:r>
                                    <w:rPr>
                                      <w:rFonts w:hint="eastAsia"/>
                                      <w:sz w:val="18"/>
                                      <w:szCs w:val="18"/>
                                    </w:rPr>
                                    <w:t>铲车</w:t>
                                  </w:r>
                                </w:p>
                              </w:txbxContent>
                            </wps:txbx>
                            <wps:bodyPr upright="1"/>
                          </wps:wsp>
                        </a:graphicData>
                      </a:graphic>
                    </wp:anchor>
                  </w:drawing>
                </mc:Choice>
                <mc:Fallback>
                  <w:pict>
                    <v:shape id="文本框 3241" o:spid="_x0000_s1026" o:spt="202" type="#_x0000_t202" style="position:absolute;left:0pt;margin-left:130.25pt;margin-top:9.5pt;height:23.25pt;width:44.75pt;z-index:251724800;mso-width-relative:page;mso-height-relative:page;" filled="f" stroked="f" coordsize="21600,21600" o:gfxdata="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6MimnW&#10;AAAACQEAAA8AAAAAAAAAAQAgAAAAIgAAAGRycy9kb3ducmV2LnhtbFBLAQIUABQAAAAIAIdO4kA6&#10;bNJ4sAEAAFEDAAAOAAAAAAAAAAEAIAAAACUBAABkcnMvZTJvRG9jLnhtbFBLBQYAAAAABgAGAFkB&#10;AABHBQAAAAA=&#10;">
                      <v:fill on="f" focussize="0,0"/>
                      <v:stroke on="f"/>
                      <v:imagedata o:title=""/>
                      <o:lock v:ext="edit" aspectratio="f"/>
                      <v:textbox>
                        <w:txbxContent>
                          <w:p w14:paraId="1C15F87D">
                            <w:pPr>
                              <w:rPr>
                                <w:sz w:val="18"/>
                                <w:szCs w:val="18"/>
                              </w:rPr>
                            </w:pPr>
                            <w:r>
                              <w:rPr>
                                <w:rFonts w:hint="eastAsia"/>
                                <w:sz w:val="18"/>
                                <w:szCs w:val="18"/>
                              </w:rPr>
                              <w:t>铲车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93056" behindDoc="0" locked="0" layoutInCell="1" allowOverlap="1">
                      <wp:simplePos x="0" y="0"/>
                      <wp:positionH relativeFrom="column">
                        <wp:posOffset>860425</wp:posOffset>
                      </wp:positionH>
                      <wp:positionV relativeFrom="paragraph">
                        <wp:posOffset>120650</wp:posOffset>
                      </wp:positionV>
                      <wp:extent cx="568325" cy="295275"/>
                      <wp:effectExtent l="0" t="0" r="0" b="0"/>
                      <wp:wrapNone/>
                      <wp:docPr id="39" name="文本框 3210"/>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0F561340">
                                  <w:pPr>
                                    <w:rPr>
                                      <w:sz w:val="18"/>
                                      <w:szCs w:val="18"/>
                                    </w:rPr>
                                  </w:pPr>
                                  <w:r>
                                    <w:rPr>
                                      <w:rFonts w:hint="eastAsia"/>
                                      <w:sz w:val="18"/>
                                      <w:szCs w:val="18"/>
                                    </w:rPr>
                                    <w:t>汽运</w:t>
                                  </w:r>
                                </w:p>
                              </w:txbxContent>
                            </wps:txbx>
                            <wps:bodyPr upright="1"/>
                          </wps:wsp>
                        </a:graphicData>
                      </a:graphic>
                    </wp:anchor>
                  </w:drawing>
                </mc:Choice>
                <mc:Fallback>
                  <w:pict>
                    <v:shape id="文本框 3210" o:spid="_x0000_s1026" o:spt="202" type="#_x0000_t202" style="position:absolute;left:0pt;margin-left:67.75pt;margin-top:9.5pt;height:23.25pt;width:44.75pt;z-index:251693056;mso-width-relative:page;mso-height-relative:page;" filled="f" stroked="f" coordsize="21600,21600" o:gfxdata="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LAKmANMAAAAJ&#10;AQAADwAAAAAAAAABACAAAAAiAAAAZHJzL2Rvd25yZXYueG1sUEsBAhQAFAAAAAgAh07iQG4rXmWv&#10;AQAAUQMAAA4AAAAAAAAAAQAgAAAAIgEAAGRycy9lMm9Eb2MueG1sUEsFBgAAAAAGAAYAWQEAAEMF&#10;AAAAAA==&#10;">
                      <v:fill on="f" focussize="0,0"/>
                      <v:stroke on="f"/>
                      <v:imagedata o:title=""/>
                      <o:lock v:ext="edit" aspectratio="f"/>
                      <v:textbox>
                        <w:txbxContent>
                          <w:p w14:paraId="0F561340">
                            <w:pPr>
                              <w:rPr>
                                <w:sz w:val="18"/>
                                <w:szCs w:val="18"/>
                              </w:rPr>
                            </w:pPr>
                            <w:r>
                              <w:rPr>
                                <w:rFonts w:hint="eastAsia"/>
                                <w:sz w:val="18"/>
                                <w:szCs w:val="18"/>
                              </w:rPr>
                              <w:t>汽运</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2006600</wp:posOffset>
                      </wp:positionH>
                      <wp:positionV relativeFrom="paragraph">
                        <wp:posOffset>215900</wp:posOffset>
                      </wp:positionV>
                      <wp:extent cx="459105" cy="261620"/>
                      <wp:effectExtent l="4445" t="4445" r="8890" b="8255"/>
                      <wp:wrapNone/>
                      <wp:docPr id="71" name="文本框 3242"/>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A8DD1C">
                                  <w:pPr>
                                    <w:ind w:left="-105" w:leftChars="-50" w:right="-105" w:rightChars="-50" w:firstLine="102" w:firstLineChars="49"/>
                                    <w:rPr>
                                      <w:szCs w:val="21"/>
                                    </w:rPr>
                                  </w:pPr>
                                  <w:r>
                                    <w:rPr>
                                      <w:rFonts w:hint="eastAsia"/>
                                      <w:szCs w:val="21"/>
                                    </w:rPr>
                                    <w:t>给料</w:t>
                                  </w:r>
                                </w:p>
                              </w:txbxContent>
                            </wps:txbx>
                            <wps:bodyPr upright="1"/>
                          </wps:wsp>
                        </a:graphicData>
                      </a:graphic>
                    </wp:anchor>
                  </w:drawing>
                </mc:Choice>
                <mc:Fallback>
                  <w:pict>
                    <v:shape id="文本框 3242" o:spid="_x0000_s1026" o:spt="202" type="#_x0000_t202" style="position:absolute;left:0pt;margin-left:158pt;margin-top:17pt;height:20.6pt;width:36.15pt;z-index:251725824;mso-width-relative:page;mso-height-relative:page;" fillcolor="#FFFFFF" filled="t" stroked="t" coordsize="21600,21600" o:gfxdata="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aLb0NkAAAAJAQAADwAAAAAAAAAB&#10;ACAAAAAiAAAAZHJzL2Rvd25yZXYueG1sUEsBAhQAFAAAAAgAh07iQKFmT1wPAgAAOQQAAA4AAAAA&#10;AAAAAQAgAAAAKAEAAGRycy9lMm9Eb2MueG1sUEsFBgAAAAAGAAYAWQEAAKkFAAAAAA==&#10;">
                      <v:fill on="t" focussize="0,0"/>
                      <v:stroke color="#000000" joinstyle="miter"/>
                      <v:imagedata o:title=""/>
                      <o:lock v:ext="edit" aspectratio="f"/>
                      <v:textbox>
                        <w:txbxContent>
                          <w:p w14:paraId="3EA8DD1C">
                            <w:pPr>
                              <w:ind w:left="-105" w:leftChars="-50" w:right="-105" w:rightChars="-50" w:firstLine="102" w:firstLineChars="49"/>
                              <w:rPr>
                                <w:szCs w:val="21"/>
                              </w:rPr>
                            </w:pPr>
                            <w:r>
                              <w:rPr>
                                <w:rFonts w:hint="eastAsia"/>
                                <w:szCs w:val="21"/>
                              </w:rPr>
                              <w:t>给料</w:t>
                            </w:r>
                          </w:p>
                        </w:txbxContent>
                      </v:textbox>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1263650</wp:posOffset>
                      </wp:positionH>
                      <wp:positionV relativeFrom="paragraph">
                        <wp:posOffset>215900</wp:posOffset>
                      </wp:positionV>
                      <wp:extent cx="459105" cy="261620"/>
                      <wp:effectExtent l="9525" t="9525" r="19050" b="18415"/>
                      <wp:wrapNone/>
                      <wp:docPr id="64" name="文本框 3235"/>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5D59945B">
                                  <w:pPr>
                                    <w:ind w:left="-105" w:leftChars="-50" w:right="-105" w:rightChars="-50" w:firstLine="102" w:firstLineChars="49"/>
                                    <w:rPr>
                                      <w:szCs w:val="21"/>
                                    </w:rPr>
                                  </w:pPr>
                                  <w:r>
                                    <w:rPr>
                                      <w:rFonts w:hint="eastAsia"/>
                                      <w:szCs w:val="21"/>
                                    </w:rPr>
                                    <w:t>储存</w:t>
                                  </w:r>
                                </w:p>
                              </w:txbxContent>
                            </wps:txbx>
                            <wps:bodyPr upright="1"/>
                          </wps:wsp>
                        </a:graphicData>
                      </a:graphic>
                    </wp:anchor>
                  </w:drawing>
                </mc:Choice>
                <mc:Fallback>
                  <w:pict>
                    <v:shape id="文本框 3235" o:spid="_x0000_s1026" o:spt="202" type="#_x0000_t202" style="position:absolute;left:0pt;margin-left:99.5pt;margin-top:17pt;height:20.6pt;width:36.15pt;z-index:251718656;mso-width-relative:page;mso-height-relative:page;" fillcolor="#FFFFFF" filled="t" stroked="t" coordsize="21600,21600" o:gfxdata="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kbWSM1wAAAAkBAAAPAAAAAAAAAAEA&#10;IAAAACIAAABkcnMvZG93bnJldi54bWxQSwECFAAUAAAACACHTuJAhI0HHhACAAA6BAAADgAAAAAA&#10;AAABACAAAAAmAQAAZHJzL2Uyb0RvYy54bWxQSwUGAAAAAAYABgBZAQAAqAUAAAAA&#10;">
                      <v:fill on="t" focussize="0,0"/>
                      <v:stroke weight="1.5pt" color="#000000" joinstyle="miter"/>
                      <v:imagedata o:title=""/>
                      <o:lock v:ext="edit" aspectratio="f"/>
                      <v:textbox>
                        <w:txbxContent>
                          <w:p w14:paraId="5D59945B">
                            <w:pPr>
                              <w:ind w:left="-105" w:leftChars="-50" w:right="-105" w:rightChars="-50" w:firstLine="102" w:firstLineChars="49"/>
                              <w:rPr>
                                <w:szCs w:val="21"/>
                              </w:rPr>
                            </w:pPr>
                            <w:r>
                              <w:rPr>
                                <w:rFonts w:hint="eastAsia"/>
                                <w:szCs w:val="21"/>
                              </w:rPr>
                              <w:t>储存</w:t>
                            </w:r>
                          </w:p>
                        </w:txbxContent>
                      </v:textbox>
                    </v:shape>
                  </w:pict>
                </mc:Fallback>
              </mc:AlternateContent>
            </w:r>
          </w:p>
          <w:p w14:paraId="05BCE695">
            <w:pPr>
              <w:topLinePunct/>
              <w:spacing w:line="480" w:lineRule="exact"/>
              <w:ind w:firstLine="480" w:firstLineChars="200"/>
              <w:rPr>
                <w:color w:val="000000" w:themeColor="text1"/>
                <w:highlight w:val="none"/>
                <w14:textFill>
                  <w14:solidFill>
                    <w14:schemeClr w14:val="tx1"/>
                  </w14:solidFill>
                </w14:textFill>
              </w:rPr>
            </w:pP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81120" behindDoc="0" locked="0" layoutInCell="1" allowOverlap="1">
                      <wp:simplePos x="0" y="0"/>
                      <wp:positionH relativeFrom="column">
                        <wp:posOffset>2116455</wp:posOffset>
                      </wp:positionH>
                      <wp:positionV relativeFrom="paragraph">
                        <wp:posOffset>172720</wp:posOffset>
                      </wp:positionV>
                      <wp:extent cx="339090" cy="295275"/>
                      <wp:effectExtent l="0" t="0" r="0" b="0"/>
                      <wp:wrapNone/>
                      <wp:docPr id="125" name="文本框 3296"/>
                      <wp:cNvGraphicFramePr/>
                      <a:graphic xmlns:a="http://schemas.openxmlformats.org/drawingml/2006/main">
                        <a:graphicData uri="http://schemas.microsoft.com/office/word/2010/wordprocessingShape">
                          <wps:wsp>
                            <wps:cNvSpPr txBox="1"/>
                            <wps:spPr>
                              <a:xfrm>
                                <a:off x="0" y="0"/>
                                <a:ext cx="339090" cy="295275"/>
                              </a:xfrm>
                              <a:prstGeom prst="rect">
                                <a:avLst/>
                              </a:prstGeom>
                              <a:noFill/>
                              <a:ln>
                                <a:noFill/>
                              </a:ln>
                            </wps:spPr>
                            <wps:txbx>
                              <w:txbxContent>
                                <w:p w14:paraId="7141A933">
                                  <w:pPr>
                                    <w:ind w:left="-105" w:right="-105"/>
                                    <w:rPr>
                                      <w:szCs w:val="21"/>
                                    </w:rPr>
                                  </w:pPr>
                                  <w:r>
                                    <w:rPr>
                                      <w:rFonts w:hint="eastAsia"/>
                                      <w:szCs w:val="21"/>
                                      <w:highlight w:val="lightGray"/>
                                    </w:rPr>
                                    <w:t>N8</w:t>
                                  </w:r>
                                </w:p>
                              </w:txbxContent>
                            </wps:txbx>
                            <wps:bodyPr upright="1"/>
                          </wps:wsp>
                        </a:graphicData>
                      </a:graphic>
                    </wp:anchor>
                  </w:drawing>
                </mc:Choice>
                <mc:Fallback>
                  <w:pict>
                    <v:shape id="文本框 3296" o:spid="_x0000_s1026" o:spt="202" type="#_x0000_t202" style="position:absolute;left:0pt;margin-left:166.65pt;margin-top:13.6pt;height:23.25pt;width:26.7pt;z-index:251781120;mso-width-relative:page;mso-height-relative:page;" filled="f" stroked="f" coordsize="21600,21600" o:gfxdata="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vJ227W&#10;AAAACQEAAA8AAAAAAAAAAQAgAAAAIgAAAGRycy9kb3ducmV2LnhtbFBLAQIUABQAAAAIAIdO4kA3&#10;IsOusAEAAFIDAAAOAAAAAAAAAAEAIAAAACUBAABkcnMvZTJvRG9jLnhtbFBLBQYAAAAABgAGAFkB&#10;AABHBQAAAAA=&#10;">
                      <v:fill on="f" focussize="0,0"/>
                      <v:stroke on="f"/>
                      <v:imagedata o:title=""/>
                      <o:lock v:ext="edit" aspectratio="f"/>
                      <v:textbox>
                        <w:txbxContent>
                          <w:p w14:paraId="7141A933">
                            <w:pPr>
                              <w:ind w:left="-105" w:right="-105"/>
                              <w:rPr>
                                <w:szCs w:val="21"/>
                              </w:rPr>
                            </w:pPr>
                            <w:r>
                              <w:rPr>
                                <w:rFonts w:hint="eastAsia"/>
                                <w:szCs w:val="21"/>
                                <w:highlight w:val="lightGray"/>
                              </w:rPr>
                              <w:t>N8</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77024" behindDoc="0" locked="0" layoutInCell="1" allowOverlap="1">
                      <wp:simplePos x="0" y="0"/>
                      <wp:positionH relativeFrom="column">
                        <wp:posOffset>3048000</wp:posOffset>
                      </wp:positionH>
                      <wp:positionV relativeFrom="paragraph">
                        <wp:posOffset>180340</wp:posOffset>
                      </wp:positionV>
                      <wp:extent cx="339090" cy="295275"/>
                      <wp:effectExtent l="0" t="0" r="0" b="0"/>
                      <wp:wrapNone/>
                      <wp:docPr id="121" name="文本框 3292"/>
                      <wp:cNvGraphicFramePr/>
                      <a:graphic xmlns:a="http://schemas.openxmlformats.org/drawingml/2006/main">
                        <a:graphicData uri="http://schemas.microsoft.com/office/word/2010/wordprocessingShape">
                          <wps:wsp>
                            <wps:cNvSpPr txBox="1"/>
                            <wps:spPr>
                              <a:xfrm>
                                <a:off x="0" y="0"/>
                                <a:ext cx="339090" cy="295275"/>
                              </a:xfrm>
                              <a:prstGeom prst="rect">
                                <a:avLst/>
                              </a:prstGeom>
                              <a:noFill/>
                              <a:ln>
                                <a:noFill/>
                              </a:ln>
                            </wps:spPr>
                            <wps:txbx>
                              <w:txbxContent>
                                <w:p w14:paraId="460648E0">
                                  <w:pPr>
                                    <w:ind w:left="-105" w:right="-105"/>
                                    <w:rPr>
                                      <w:szCs w:val="21"/>
                                    </w:rPr>
                                  </w:pPr>
                                  <w:r>
                                    <w:rPr>
                                      <w:rFonts w:hint="eastAsia"/>
                                      <w:szCs w:val="21"/>
                                      <w:highlight w:val="lightGray"/>
                                    </w:rPr>
                                    <w:t>N7</w:t>
                                  </w:r>
                                </w:p>
                              </w:txbxContent>
                            </wps:txbx>
                            <wps:bodyPr upright="1"/>
                          </wps:wsp>
                        </a:graphicData>
                      </a:graphic>
                    </wp:anchor>
                  </w:drawing>
                </mc:Choice>
                <mc:Fallback>
                  <w:pict>
                    <v:shape id="文本框 3292" o:spid="_x0000_s1026" o:spt="202" type="#_x0000_t202" style="position:absolute;left:0pt;margin-left:240pt;margin-top:14.2pt;height:23.25pt;width:26.7pt;z-index:251777024;mso-width-relative:page;mso-height-relative:page;" filled="f" stroked="f" coordsize="21600,21600" o:gfxdata="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H2j0DX&#10;AAAACQEAAA8AAAAAAAAAAQAgAAAAIgAAAGRycy9kb3ducmV2LnhtbFBLAQIUABQAAAAIAIdO4kBR&#10;YcTGrwEAAFIDAAAOAAAAAAAAAAEAIAAAACYBAABkcnMvZTJvRG9jLnhtbFBLBQYAAAAABgAGAFkB&#10;AABHBQAAAAA=&#10;">
                      <v:fill on="f" focussize="0,0"/>
                      <v:stroke on="f"/>
                      <v:imagedata o:title=""/>
                      <o:lock v:ext="edit" aspectratio="f"/>
                      <v:textbox>
                        <w:txbxContent>
                          <w:p w14:paraId="460648E0">
                            <w:pPr>
                              <w:ind w:left="-105" w:right="-105"/>
                              <w:rPr>
                                <w:szCs w:val="21"/>
                              </w:rPr>
                            </w:pPr>
                            <w:r>
                              <w:rPr>
                                <w:rFonts w:hint="eastAsia"/>
                                <w:szCs w:val="21"/>
                                <w:highlight w:val="lightGray"/>
                              </w:rPr>
                              <w:t>N7</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6784" behindDoc="0" locked="0" layoutInCell="1" allowOverlap="1">
                      <wp:simplePos x="0" y="0"/>
                      <wp:positionH relativeFrom="column">
                        <wp:posOffset>4069715</wp:posOffset>
                      </wp:positionH>
                      <wp:positionV relativeFrom="paragraph">
                        <wp:posOffset>209550</wp:posOffset>
                      </wp:positionV>
                      <wp:extent cx="339090" cy="295275"/>
                      <wp:effectExtent l="0" t="0" r="0" b="0"/>
                      <wp:wrapNone/>
                      <wp:docPr id="111" name="文本框 3282"/>
                      <wp:cNvGraphicFramePr/>
                      <a:graphic xmlns:a="http://schemas.openxmlformats.org/drawingml/2006/main">
                        <a:graphicData uri="http://schemas.microsoft.com/office/word/2010/wordprocessingShape">
                          <wps:wsp>
                            <wps:cNvSpPr txBox="1"/>
                            <wps:spPr>
                              <a:xfrm>
                                <a:off x="0" y="0"/>
                                <a:ext cx="339090" cy="295275"/>
                              </a:xfrm>
                              <a:prstGeom prst="rect">
                                <a:avLst/>
                              </a:prstGeom>
                              <a:noFill/>
                              <a:ln>
                                <a:noFill/>
                              </a:ln>
                            </wps:spPr>
                            <wps:txbx>
                              <w:txbxContent>
                                <w:p w14:paraId="76DF51D2">
                                  <w:pPr>
                                    <w:ind w:left="-105" w:right="-105"/>
                                    <w:rPr>
                                      <w:szCs w:val="21"/>
                                    </w:rPr>
                                  </w:pPr>
                                  <w:r>
                                    <w:rPr>
                                      <w:rFonts w:hint="eastAsia"/>
                                      <w:szCs w:val="21"/>
                                      <w:highlight w:val="lightGray"/>
                                    </w:rPr>
                                    <w:t>N6</w:t>
                                  </w:r>
                                </w:p>
                              </w:txbxContent>
                            </wps:txbx>
                            <wps:bodyPr upright="1"/>
                          </wps:wsp>
                        </a:graphicData>
                      </a:graphic>
                    </wp:anchor>
                  </w:drawing>
                </mc:Choice>
                <mc:Fallback>
                  <w:pict>
                    <v:shape id="文本框 3282" o:spid="_x0000_s1026" o:spt="202" type="#_x0000_t202" style="position:absolute;left:0pt;margin-left:320.45pt;margin-top:16.5pt;height:23.25pt;width:26.7pt;z-index:251766784;mso-width-relative:page;mso-height-relative:page;" filled="f" stroked="f" coordsize="21600,21600" o:gfxdata="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JY7XB&#10;1wAAAAkBAAAPAAAAAAAAAAEAIAAAACIAAABkcnMvZG93bnJldi54bWxQSwECFAAUAAAACACHTuJA&#10;1XyxRLABAABSAwAADgAAAAAAAAABACAAAAAmAQAAZHJzL2Uyb0RvYy54bWxQSwUGAAAAAAYABgBZ&#10;AQAASAUAAAAA&#10;">
                      <v:fill on="f" focussize="0,0"/>
                      <v:stroke on="f"/>
                      <v:imagedata o:title=""/>
                      <o:lock v:ext="edit" aspectratio="f"/>
                      <v:textbox>
                        <w:txbxContent>
                          <w:p w14:paraId="76DF51D2">
                            <w:pPr>
                              <w:ind w:left="-105" w:right="-105"/>
                              <w:rPr>
                                <w:szCs w:val="21"/>
                              </w:rPr>
                            </w:pPr>
                            <w:r>
                              <w:rPr>
                                <w:rFonts w:hint="eastAsia"/>
                                <w:szCs w:val="21"/>
                                <w:highlight w:val="lightGray"/>
                              </w:rPr>
                              <w:t>N6</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4633595</wp:posOffset>
                      </wp:positionH>
                      <wp:positionV relativeFrom="paragraph">
                        <wp:posOffset>35560</wp:posOffset>
                      </wp:positionV>
                      <wp:extent cx="198755" cy="0"/>
                      <wp:effectExtent l="0" t="4445" r="0" b="5080"/>
                      <wp:wrapNone/>
                      <wp:docPr id="82" name="自选图形 3253"/>
                      <wp:cNvGraphicFramePr/>
                      <a:graphic xmlns:a="http://schemas.openxmlformats.org/drawingml/2006/main">
                        <a:graphicData uri="http://schemas.microsoft.com/office/word/2010/wordprocessingShape">
                          <wps:wsp>
                            <wps:cNvCnPr/>
                            <wps:spPr>
                              <a:xfrm>
                                <a:off x="0" y="0"/>
                                <a:ext cx="19875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253" o:spid="_x0000_s1026" o:spt="32" type="#_x0000_t32" style="position:absolute;left:0pt;margin-left:364.85pt;margin-top:2.8pt;height:0pt;width:15.65pt;z-index:251737088;mso-width-relative:page;mso-height-relative:page;" filled="f" stroked="t" coordsize="21600,21600" o:gfxdata="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rOTEQNUAAAAHAQAADwAAAAAAAAABACAAAAAiAAAAZHJzL2Rvd25yZXYueG1sUEsB&#10;AhQAFAAAAAgAh07iQAB6xu/4AQAA5gMAAA4AAAAAAAAAAQAgAAAAJAEAAGRycy9lMm9Eb2MueG1s&#10;UEsFBgAAAAAGAAYAWQEAAI4FAAAAAA==&#10;">
                      <v:fill on="f" focussize="0,0"/>
                      <v:stroke color="#000000" joinstyle="round"/>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3907155</wp:posOffset>
                      </wp:positionH>
                      <wp:positionV relativeFrom="paragraph">
                        <wp:posOffset>35560</wp:posOffset>
                      </wp:positionV>
                      <wp:extent cx="271145" cy="0"/>
                      <wp:effectExtent l="0" t="38100" r="3175" b="38100"/>
                      <wp:wrapNone/>
                      <wp:docPr id="77" name="自选图形 3248"/>
                      <wp:cNvGraphicFramePr/>
                      <a:graphic xmlns:a="http://schemas.openxmlformats.org/drawingml/2006/main">
                        <a:graphicData uri="http://schemas.microsoft.com/office/word/2010/wordprocessingShape">
                          <wps:wsp>
                            <wps:cNvCnPr/>
                            <wps:spPr>
                              <a:xfrm>
                                <a:off x="0" y="0"/>
                                <a:ext cx="27114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48" o:spid="_x0000_s1026" o:spt="32" type="#_x0000_t32" style="position:absolute;left:0pt;margin-left:307.65pt;margin-top:2.8pt;height:0pt;width:21.35pt;z-index:251731968;mso-width-relative:page;mso-height-relative:page;" filled="f" stroked="t" coordsize="21600,21600" o:gfxdata="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vGRp1gAAAAcBAAAPAAAAAAAAAAEAIAAAACIAAABkcnMvZG93bnJl&#10;di54bWxQSwECFAAUAAAACACHTuJAb+SPKv8BAADqAwAADgAAAAAAAAABACAAAAAlAQAAZHJzL2Uy&#10;b0RvYy54bWxQSwUGAAAAAAYABgBZAQAAlgU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3172460</wp:posOffset>
                      </wp:positionH>
                      <wp:positionV relativeFrom="paragraph">
                        <wp:posOffset>43180</wp:posOffset>
                      </wp:positionV>
                      <wp:extent cx="271145" cy="0"/>
                      <wp:effectExtent l="0" t="38100" r="3175" b="38100"/>
                      <wp:wrapNone/>
                      <wp:docPr id="76" name="自选图形 3247"/>
                      <wp:cNvGraphicFramePr/>
                      <a:graphic xmlns:a="http://schemas.openxmlformats.org/drawingml/2006/main">
                        <a:graphicData uri="http://schemas.microsoft.com/office/word/2010/wordprocessingShape">
                          <wps:wsp>
                            <wps:cNvCnPr/>
                            <wps:spPr>
                              <a:xfrm>
                                <a:off x="0" y="0"/>
                                <a:ext cx="27114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47" o:spid="_x0000_s1026" o:spt="32" type="#_x0000_t32" style="position:absolute;left:0pt;margin-left:249.8pt;margin-top:3.4pt;height:0pt;width:21.35pt;z-index:251730944;mso-width-relative:page;mso-height-relative:page;" filled="f" stroked="t" coordsize="21600,21600" o:gfxdata="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KhtdcAAAAHAQAADwAAAAAAAAABACAAAAAiAAAAZHJzL2Rvd25y&#10;ZXYueG1sUEsBAhQAFAAAAAgAh07iQJo0vJv/AQAA6gMAAA4AAAAAAAAAAQAgAAAAJgEAAGRycy9l&#10;Mm9Eb2MueG1sUEsFBgAAAAAGAAYAWQEAAJcFAAAAAA==&#10;">
                      <v:fill on="f" focussize="0,0"/>
                      <v:stroke color="#000000" joinstyle="round" endarrow="block"/>
                      <v:imagedata o:title=""/>
                      <o:lock v:ext="edit" aspectratio="f"/>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2465705</wp:posOffset>
                      </wp:positionH>
                      <wp:positionV relativeFrom="paragraph">
                        <wp:posOffset>35560</wp:posOffset>
                      </wp:positionV>
                      <wp:extent cx="271145" cy="0"/>
                      <wp:effectExtent l="0" t="38100" r="3175" b="38100"/>
                      <wp:wrapNone/>
                      <wp:docPr id="75" name="自选图形 3246"/>
                      <wp:cNvGraphicFramePr/>
                      <a:graphic xmlns:a="http://schemas.openxmlformats.org/drawingml/2006/main">
                        <a:graphicData uri="http://schemas.microsoft.com/office/word/2010/wordprocessingShape">
                          <wps:wsp>
                            <wps:cNvCnPr/>
                            <wps:spPr>
                              <a:xfrm>
                                <a:off x="0" y="0"/>
                                <a:ext cx="27114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46" o:spid="_x0000_s1026" o:spt="32" type="#_x0000_t32" style="position:absolute;left:0pt;margin-left:194.15pt;margin-top:2.8pt;height:0pt;width:21.35pt;z-index:251729920;mso-width-relative:page;mso-height-relative:page;" filled="f" stroked="t" coordsize="21600,21600" o:gfxdata="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Jb0z1wAAAAcBAAAPAAAAAAAAAAEAIAAAACIAAABkcnMvZG93bnJl&#10;di54bWxQSwECFAAUAAAACACHTuJAW12LUf4BAADqAwAADgAAAAAAAAABACAAAAAmAQAAZHJzL2Uy&#10;b0RvYy54bWxQSwUGAAAAAAYABgBZAQAAlgUAAAAA&#10;">
                      <v:fill on="f" focussize="0,0"/>
                      <v:stroke color="#000000" joinstyle="round" endarrow="block"/>
                      <v:imagedata o:title=""/>
                      <o:lock v:ext="edit" aspectratio="f"/>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949325</wp:posOffset>
                      </wp:positionH>
                      <wp:positionV relativeFrom="paragraph">
                        <wp:posOffset>35560</wp:posOffset>
                      </wp:positionV>
                      <wp:extent cx="322580" cy="0"/>
                      <wp:effectExtent l="0" t="38100" r="12700" b="38100"/>
                      <wp:wrapNone/>
                      <wp:docPr id="16" name="自选图形 3187"/>
                      <wp:cNvGraphicFramePr/>
                      <a:graphic xmlns:a="http://schemas.openxmlformats.org/drawingml/2006/main">
                        <a:graphicData uri="http://schemas.microsoft.com/office/word/2010/wordprocessingShape">
                          <wps:wsp>
                            <wps:cNvCnPr/>
                            <wps:spPr>
                              <a:xfrm>
                                <a:off x="0" y="0"/>
                                <a:ext cx="32258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87" o:spid="_x0000_s1026" o:spt="32" type="#_x0000_t32" style="position:absolute;left:0pt;margin-left:74.75pt;margin-top:2.8pt;height:0pt;width:25.4pt;z-index:251669504;mso-width-relative:page;mso-height-relative:page;" filled="f" stroked="t" coordsize="21600,21600" o:gfxdata="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aWcLXVAAAABwEAAA8AAAAAAAAAAQAgAAAAIgAAAGRycy9kb3ducmV2&#10;LnhtbFBLAQIUABQAAAAIAIdO4kBVBtKz/wEAAOoDAAAOAAAAAAAAAAEAIAAAACQBAABkcnMvZTJv&#10;RG9jLnhtbFBLBQYAAAAABgAGAFkBAACVBQ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1722755</wp:posOffset>
                      </wp:positionH>
                      <wp:positionV relativeFrom="paragraph">
                        <wp:posOffset>43180</wp:posOffset>
                      </wp:positionV>
                      <wp:extent cx="283845" cy="0"/>
                      <wp:effectExtent l="0" t="38100" r="5715" b="38100"/>
                      <wp:wrapNone/>
                      <wp:docPr id="69" name="自选图形 3240"/>
                      <wp:cNvGraphicFramePr/>
                      <a:graphic xmlns:a="http://schemas.openxmlformats.org/drawingml/2006/main">
                        <a:graphicData uri="http://schemas.microsoft.com/office/word/2010/wordprocessingShape">
                          <wps:wsp>
                            <wps:cNvCnPr/>
                            <wps:spPr>
                              <a:xfrm>
                                <a:off x="0" y="0"/>
                                <a:ext cx="28384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40" o:spid="_x0000_s1026" o:spt="32" type="#_x0000_t32" style="position:absolute;left:0pt;margin-left:135.65pt;margin-top:3.4pt;height:0pt;width:22.35pt;z-index:251723776;mso-width-relative:page;mso-height-relative:page;" filled="f" stroked="t" coordsize="21600,21600" o:gfxdata="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mSipNYAAAAHAQAADwAAAAAAAAABACAAAAAiAAAAZHJzL2Rvd25yZXYu&#10;eG1sUEsBAhQAFAAAAAgAh07iQPicVQv9AQAA6gMAAA4AAAAAAAAAAQAgAAAAJQEAAGRycy9lMm9E&#10;b2MueG1sUEsFBgAAAAAGAAYAWQEAAJQFAAAAAA==&#10;">
                      <v:fill on="f" focussize="0,0"/>
                      <v:stroke color="#000000" joinstyle="round" endarrow="block"/>
                      <v:imagedata o:title=""/>
                      <o:lock v:ext="edit" aspectratio="f"/>
                    </v:shape>
                  </w:pict>
                </mc:Fallback>
              </mc:AlternateContent>
            </w:r>
          </w:p>
          <w:p w14:paraId="74850F1B">
            <w:pPr>
              <w:topLinePunct/>
              <w:spacing w:line="480" w:lineRule="exact"/>
              <w:ind w:firstLine="42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780096" behindDoc="0" locked="0" layoutInCell="1" allowOverlap="1">
                      <wp:simplePos x="0" y="0"/>
                      <wp:positionH relativeFrom="column">
                        <wp:posOffset>2222500</wp:posOffset>
                      </wp:positionH>
                      <wp:positionV relativeFrom="paragraph">
                        <wp:posOffset>69850</wp:posOffset>
                      </wp:positionV>
                      <wp:extent cx="0" cy="260985"/>
                      <wp:effectExtent l="63500" t="0" r="73660" b="13335"/>
                      <wp:wrapNone/>
                      <wp:docPr id="124" name="自选图形 3295"/>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95" o:spid="_x0000_s1026" o:spt="32" type="#_x0000_t32" style="position:absolute;left:0pt;flip:y;margin-left:175pt;margin-top:5.5pt;height:20.55pt;width:0pt;z-index:251780096;mso-width-relative:page;mso-height-relative:page;" filled="f" stroked="t" coordsize="21600,21600" o:gfxdata="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iM07jdYAAAAJAQAADwAAAAAAAAABACAAAAAi&#10;AAAAZHJzL2Rvd25yZXYueG1sUEsBAhQAFAAAAAgAh07iQC8QltoMAgAA9AMAAA4AAAAAAAAAAQAg&#10;AAAAJQEAAGRycy9lMm9Eb2MueG1sUEsFBgAAAAAGAAYAWQEAAKMFAAAAAA==&#10;">
                      <v:fill on="f" focussize="0,0"/>
                      <v:stroke weight="1.25pt" color="#000000" joinstyle="round" dashstyle="1 1" endarrow="classic" endarrowwidth="wide" endarrowlength="long"/>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3172460</wp:posOffset>
                      </wp:positionH>
                      <wp:positionV relativeFrom="paragraph">
                        <wp:posOffset>81915</wp:posOffset>
                      </wp:positionV>
                      <wp:extent cx="0" cy="260985"/>
                      <wp:effectExtent l="63500" t="0" r="73660" b="13335"/>
                      <wp:wrapNone/>
                      <wp:docPr id="120" name="自选图形 3291"/>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91" o:spid="_x0000_s1026" o:spt="32" type="#_x0000_t32" style="position:absolute;left:0pt;flip:y;margin-left:249.8pt;margin-top:6.45pt;height:20.55pt;width:0pt;z-index:251776000;mso-width-relative:page;mso-height-relative:page;" filled="f" stroked="t" coordsize="21600,21600" o:gfxdata="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ar/d9YAAAAJAQAADwAAAAAAAAABACAAAAAiAAAA&#10;ZHJzL2Rvd25yZXYueG1sUEsBAhQAFAAAAAgAh07iQFDIST0JAgAA9AMAAA4AAAAAAAAAAQAgAAAA&#10;JQEAAGRycy9lMm9Eb2MueG1sUEsFBgAAAAAGAAYAWQEAAKAFA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73952" behindDoc="0" locked="0" layoutInCell="1" allowOverlap="1">
                      <wp:simplePos x="0" y="0"/>
                      <wp:positionH relativeFrom="column">
                        <wp:posOffset>3354070</wp:posOffset>
                      </wp:positionH>
                      <wp:positionV relativeFrom="paragraph">
                        <wp:posOffset>252095</wp:posOffset>
                      </wp:positionV>
                      <wp:extent cx="568325" cy="295275"/>
                      <wp:effectExtent l="0" t="0" r="0" b="0"/>
                      <wp:wrapNone/>
                      <wp:docPr id="118" name="文本框 3289"/>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5A7B3B4A">
                                  <w:pPr>
                                    <w:rPr>
                                      <w:sz w:val="18"/>
                                      <w:szCs w:val="18"/>
                                    </w:rPr>
                                  </w:pPr>
                                  <w:r>
                                    <w:rPr>
                                      <w:rFonts w:hint="eastAsia"/>
                                      <w:sz w:val="18"/>
                                      <w:szCs w:val="18"/>
                                    </w:rPr>
                                    <w:t>挖土机</w:t>
                                  </w:r>
                                </w:p>
                              </w:txbxContent>
                            </wps:txbx>
                            <wps:bodyPr upright="1"/>
                          </wps:wsp>
                        </a:graphicData>
                      </a:graphic>
                    </wp:anchor>
                  </w:drawing>
                </mc:Choice>
                <mc:Fallback>
                  <w:pict>
                    <v:shape id="文本框 3289" o:spid="_x0000_s1026" o:spt="202" type="#_x0000_t202" style="position:absolute;left:0pt;margin-left:264.1pt;margin-top:19.85pt;height:23.25pt;width:44.75pt;z-index:251773952;mso-width-relative:page;mso-height-relative:page;" filled="f" stroked="f" coordsize="21600,21600" o:gfxdata="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YYk&#10;pNgAAAAJAQAADwAAAAAAAAABACAAAAAiAAAAZHJzL2Rvd25yZXYueG1sUEsBAhQAFAAAAAgAh07i&#10;QABMAV6wAQAAUgMAAA4AAAAAAAAAAQAgAAAAJwEAAGRycy9lMm9Eb2MueG1sUEsFBgAAAAAGAAYA&#10;WQEAAEkFAAAAAA==&#10;">
                      <v:fill on="f" focussize="0,0"/>
                      <v:stroke on="f"/>
                      <v:imagedata o:title=""/>
                      <o:lock v:ext="edit" aspectratio="f"/>
                      <v:textbox>
                        <w:txbxContent>
                          <w:p w14:paraId="5A7B3B4A">
                            <w:pPr>
                              <w:rPr>
                                <w:sz w:val="18"/>
                                <w:szCs w:val="18"/>
                              </w:rPr>
                            </w:pPr>
                            <w:r>
                              <w:rPr>
                                <w:rFonts w:hint="eastAsia"/>
                                <w:sz w:val="18"/>
                                <w:szCs w:val="18"/>
                              </w:rPr>
                              <w:t>挖土机</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8832" behindDoc="0" locked="0" layoutInCell="1" allowOverlap="1">
                      <wp:simplePos x="0" y="0"/>
                      <wp:positionH relativeFrom="column">
                        <wp:posOffset>4742815</wp:posOffset>
                      </wp:positionH>
                      <wp:positionV relativeFrom="paragraph">
                        <wp:posOffset>252095</wp:posOffset>
                      </wp:positionV>
                      <wp:extent cx="568325" cy="295275"/>
                      <wp:effectExtent l="0" t="0" r="0" b="0"/>
                      <wp:wrapNone/>
                      <wp:docPr id="113" name="文本框 3284"/>
                      <wp:cNvGraphicFramePr/>
                      <a:graphic xmlns:a="http://schemas.openxmlformats.org/drawingml/2006/main">
                        <a:graphicData uri="http://schemas.microsoft.com/office/word/2010/wordprocessingShape">
                          <wps:wsp>
                            <wps:cNvSpPr txBox="1"/>
                            <wps:spPr>
                              <a:xfrm>
                                <a:off x="0" y="0"/>
                                <a:ext cx="568325" cy="295275"/>
                              </a:xfrm>
                              <a:prstGeom prst="rect">
                                <a:avLst/>
                              </a:prstGeom>
                              <a:noFill/>
                              <a:ln>
                                <a:noFill/>
                              </a:ln>
                            </wps:spPr>
                            <wps:txbx>
                              <w:txbxContent>
                                <w:p w14:paraId="7AE49DDD">
                                  <w:pPr>
                                    <w:rPr>
                                      <w:sz w:val="18"/>
                                      <w:szCs w:val="18"/>
                                    </w:rPr>
                                  </w:pPr>
                                  <w:r>
                                    <w:rPr>
                                      <w:rFonts w:hint="eastAsia"/>
                                      <w:sz w:val="18"/>
                                      <w:szCs w:val="18"/>
                                    </w:rPr>
                                    <w:t>皮带</w:t>
                                  </w:r>
                                </w:p>
                              </w:txbxContent>
                            </wps:txbx>
                            <wps:bodyPr upright="1"/>
                          </wps:wsp>
                        </a:graphicData>
                      </a:graphic>
                    </wp:anchor>
                  </w:drawing>
                </mc:Choice>
                <mc:Fallback>
                  <w:pict>
                    <v:shape id="文本框 3284" o:spid="_x0000_s1026" o:spt="202" type="#_x0000_t202" style="position:absolute;left:0pt;margin-left:373.45pt;margin-top:19.85pt;height:23.25pt;width:44.75pt;z-index:251768832;mso-width-relative:page;mso-height-relative:page;" filled="f" stroked="f" coordsize="21600,21600" o:gfxdata="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3Y&#10;MP/YAAAACQEAAA8AAAAAAAAAAQAgAAAAIgAAAGRycy9kb3ducmV2LnhtbFBLAQIUABQAAAAIAIdO&#10;4kDj5zBUsQEAAFIDAAAOAAAAAAAAAAEAIAAAACcBAABkcnMvZTJvRG9jLnhtbFBLBQYAAAAABgAG&#10;AFkBAABKBQAAAAA=&#10;">
                      <v:fill on="f" focussize="0,0"/>
                      <v:stroke on="f"/>
                      <v:imagedata o:title=""/>
                      <o:lock v:ext="edit" aspectratio="f"/>
                      <v:textbox>
                        <w:txbxContent>
                          <w:p w14:paraId="7AE49DDD">
                            <w:pPr>
                              <w:rPr>
                                <w:sz w:val="18"/>
                                <w:szCs w:val="18"/>
                              </w:rPr>
                            </w:pPr>
                            <w:r>
                              <w:rPr>
                                <w:rFonts w:hint="eastAsia"/>
                                <w:sz w:val="18"/>
                                <w:szCs w:val="18"/>
                              </w:rPr>
                              <w:t>皮带</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5760" behindDoc="0" locked="0" layoutInCell="1" allowOverlap="1">
                      <wp:simplePos x="0" y="0"/>
                      <wp:positionH relativeFrom="column">
                        <wp:posOffset>4173855</wp:posOffset>
                      </wp:positionH>
                      <wp:positionV relativeFrom="paragraph">
                        <wp:posOffset>130810</wp:posOffset>
                      </wp:positionV>
                      <wp:extent cx="0" cy="212090"/>
                      <wp:effectExtent l="63500" t="0" r="73660" b="1270"/>
                      <wp:wrapNone/>
                      <wp:docPr id="110" name="自选图形 3281"/>
                      <wp:cNvGraphicFramePr/>
                      <a:graphic xmlns:a="http://schemas.openxmlformats.org/drawingml/2006/main">
                        <a:graphicData uri="http://schemas.microsoft.com/office/word/2010/wordprocessingShape">
                          <wps:wsp>
                            <wps:cNvCnPr/>
                            <wps:spPr>
                              <a:xfrm flipV="1">
                                <a:off x="0" y="0"/>
                                <a:ext cx="0" cy="212090"/>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281" o:spid="_x0000_s1026" o:spt="32" type="#_x0000_t32" style="position:absolute;left:0pt;flip:y;margin-left:328.65pt;margin-top:10.3pt;height:16.7pt;width:0pt;z-index:251765760;mso-width-relative:page;mso-height-relative:page;" filled="f" stroked="t" coordsize="21600,21600" o:gfxdata="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TzIFdcAAAAJAQAADwAAAAAAAAABACAAAAAi&#10;AAAAZHJzL2Rvd25yZXYueG1sUEsBAhQAFAAAAAgAh07iQJirkAoLAgAA9AMAAA4AAAAAAAAAAQAg&#10;AAAAJgEAAGRycy9lMm9Eb2MueG1sUEsFBgAAAAAGAAYAWQEAAKMFAAAAAA==&#10;">
                      <v:fill on="f" focussize="0,0"/>
                      <v:stroke weight="1.25pt" color="#000000" joinstyle="round" dashstyle="1 1" endarrow="classic" endarrowwidth="wide" endarrowlength="long"/>
                      <v:imagedata o:title=""/>
                      <o:lock v:ext="edit" aspectratio="f"/>
                    </v:shape>
                  </w:pict>
                </mc:Fallback>
              </mc:AlternateContent>
            </w:r>
          </w:p>
          <w:p w14:paraId="53456D3C">
            <w:pPr>
              <w:topLinePunct/>
              <w:spacing w:line="480" w:lineRule="exact"/>
              <w:ind w:firstLine="480" w:firstLineChars="200"/>
              <w:rPr>
                <w:color w:val="000000" w:themeColor="text1"/>
                <w:highlight w:val="none"/>
                <w14:textFill>
                  <w14:solidFill>
                    <w14:schemeClr w14:val="tx1"/>
                  </w14:solidFill>
                </w14:textFill>
              </w:rPr>
            </w:pP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79072" behindDoc="0" locked="0" layoutInCell="1" allowOverlap="1">
                      <wp:simplePos x="0" y="0"/>
                      <wp:positionH relativeFrom="column">
                        <wp:posOffset>1510665</wp:posOffset>
                      </wp:positionH>
                      <wp:positionV relativeFrom="paragraph">
                        <wp:posOffset>167640</wp:posOffset>
                      </wp:positionV>
                      <wp:extent cx="341630" cy="635"/>
                      <wp:effectExtent l="0" t="37465" r="8890" b="38100"/>
                      <wp:wrapNone/>
                      <wp:docPr id="123" name="自选图形 3294"/>
                      <wp:cNvGraphicFramePr/>
                      <a:graphic xmlns:a="http://schemas.openxmlformats.org/drawingml/2006/main">
                        <a:graphicData uri="http://schemas.microsoft.com/office/word/2010/wordprocessingShape">
                          <wps:wsp>
                            <wps:cNvCnPr/>
                            <wps:spPr>
                              <a:xfrm>
                                <a:off x="0" y="0"/>
                                <a:ext cx="34163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94" o:spid="_x0000_s1026" o:spt="32" type="#_x0000_t32" style="position:absolute;left:0pt;margin-left:118.95pt;margin-top:13.2pt;height:0.05pt;width:26.9pt;z-index:251779072;mso-width-relative:page;mso-height-relative:page;" filled="f" stroked="t" coordsize="21600,21600" o:gfxdata="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x7kqTZAAAACQEAAA8AAAAAAAAAAQAgAAAAIgAAAGRycy9k&#10;b3ducmV2LnhtbFBLAQIUABQAAAAIAIdO4kA3IeavAQIAAO0DAAAOAAAAAAAAAAEAIAAAACgBAABk&#10;cnMvZTJvRG9jLnhtbFBLBQYAAAAABgAGAFkBAACbBQAAAAA=&#10;">
                      <v:fill on="f" focussize="0,0"/>
                      <v:stroke color="#000000" joinstyle="round" endarrow="block"/>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1188720</wp:posOffset>
                      </wp:positionH>
                      <wp:positionV relativeFrom="paragraph">
                        <wp:posOffset>30480</wp:posOffset>
                      </wp:positionV>
                      <wp:extent cx="465455" cy="289560"/>
                      <wp:effectExtent l="0" t="0" r="0" b="0"/>
                      <wp:wrapNone/>
                      <wp:docPr id="27" name="文本框 88"/>
                      <wp:cNvGraphicFramePr/>
                      <a:graphic xmlns:a="http://schemas.openxmlformats.org/drawingml/2006/main">
                        <a:graphicData uri="http://schemas.microsoft.com/office/word/2010/wordprocessingShape">
                          <wps:wsp>
                            <wps:cNvSpPr txBox="1"/>
                            <wps:spPr>
                              <a:xfrm>
                                <a:off x="0" y="0"/>
                                <a:ext cx="465455" cy="289560"/>
                              </a:xfrm>
                              <a:prstGeom prst="rect">
                                <a:avLst/>
                              </a:prstGeom>
                              <a:noFill/>
                              <a:ln>
                                <a:noFill/>
                              </a:ln>
                            </wps:spPr>
                            <wps:txbx>
                              <w:txbxContent>
                                <w:p w14:paraId="28C00E71">
                                  <w:r>
                                    <w:rPr>
                                      <w:rFonts w:hint="eastAsia"/>
                                    </w:rPr>
                                    <w:t>水</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文本框 88" o:spid="_x0000_s1026" o:spt="202" type="#_x0000_t202" style="position:absolute;left:0pt;margin-left:93.6pt;margin-top:2.4pt;height:22.8pt;width:36.65pt;z-index:251680768;mso-width-relative:page;mso-height-relative:margin;mso-height-percent:200;" filled="f" stroked="f" coordsize="21600,21600" o:gfxdata="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womjeNYAAAAIAQAADwAAAAAAAAABACAAAAAiAAAAZHJzL2Rvd25yZXYueG1sUEsBAhQA&#10;FAAAAAgAh07iQE2pD3W7AQAAaQMAAA4AAAAAAAAAAQAgAAAAJQEAAGRycy9lMm9Eb2MueG1sUEsF&#10;BgAAAAAGAAYAWQEAAFIFAAAAAA==&#10;">
                      <v:fill on="f" focussize="0,0"/>
                      <v:stroke on="f"/>
                      <v:imagedata o:title=""/>
                      <o:lock v:ext="edit" aspectratio="f"/>
                      <v:textbox style="mso-fit-shape-to-text:t;">
                        <w:txbxContent>
                          <w:p w14:paraId="28C00E71">
                            <w:r>
                              <w:rPr>
                                <w:rFonts w:hint="eastAsia"/>
                              </w:rPr>
                              <w:t>水</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78048" behindDoc="0" locked="0" layoutInCell="1" allowOverlap="1">
                      <wp:simplePos x="0" y="0"/>
                      <wp:positionH relativeFrom="column">
                        <wp:posOffset>2222500</wp:posOffset>
                      </wp:positionH>
                      <wp:positionV relativeFrom="paragraph">
                        <wp:posOffset>299720</wp:posOffset>
                      </wp:positionV>
                      <wp:extent cx="0" cy="232410"/>
                      <wp:effectExtent l="38100" t="0" r="38100" b="11430"/>
                      <wp:wrapNone/>
                      <wp:docPr id="122" name="自选图形 3293"/>
                      <wp:cNvGraphicFramePr/>
                      <a:graphic xmlns:a="http://schemas.openxmlformats.org/drawingml/2006/main">
                        <a:graphicData uri="http://schemas.microsoft.com/office/word/2010/wordprocessingShape">
                          <wps:wsp>
                            <wps:cNvCnPr/>
                            <wps:spPr>
                              <a:xfrm>
                                <a:off x="0" y="0"/>
                                <a:ext cx="0" cy="232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93" o:spid="_x0000_s1026" o:spt="32" type="#_x0000_t32" style="position:absolute;left:0pt;margin-left:175pt;margin-top:23.6pt;height:18.3pt;width:0pt;z-index:251778048;mso-width-relative:page;mso-height-relative:page;" filled="f" stroked="t" coordsize="21600,21600" o:gfxdata="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BUPJz2QAAAAkBAAAPAAAAAAAAAAEAIAAAACIAAABkcnMvZG93&#10;bnJldi54bWxQSwECFAAUAAAACACHTuJAAFZivv8BAADrAwAADgAAAAAAAAABACAAAAAoAQAAZHJz&#10;L2Uyb0RvYy54bWxQSwUGAAAAAAYABgBZAQAAmQUAAAAA&#10;">
                      <v:fill on="f" focussize="0,0"/>
                      <v:stroke color="#000000" joinstyle="round" endarrow="block"/>
                      <v:imagedata o:title=""/>
                      <o:lock v:ext="edit" aspectratio="f"/>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67808" behindDoc="0" locked="0" layoutInCell="1" allowOverlap="1">
                      <wp:simplePos x="0" y="0"/>
                      <wp:positionH relativeFrom="column">
                        <wp:posOffset>1852295</wp:posOffset>
                      </wp:positionH>
                      <wp:positionV relativeFrom="paragraph">
                        <wp:posOffset>30480</wp:posOffset>
                      </wp:positionV>
                      <wp:extent cx="744855" cy="269240"/>
                      <wp:effectExtent l="4445" t="4445" r="12700" b="15875"/>
                      <wp:wrapNone/>
                      <wp:docPr id="112" name="文本框 3283"/>
                      <wp:cNvGraphicFramePr/>
                      <a:graphic xmlns:a="http://schemas.openxmlformats.org/drawingml/2006/main">
                        <a:graphicData uri="http://schemas.microsoft.com/office/word/2010/wordprocessingShape">
                          <wps:wsp>
                            <wps:cNvSpPr txBox="1"/>
                            <wps:spPr>
                              <a:xfrm>
                                <a:off x="0" y="0"/>
                                <a:ext cx="744855" cy="2692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2399B">
                                  <w:r>
                                    <w:rPr>
                                      <w:rFonts w:hint="eastAsia"/>
                                    </w:rPr>
                                    <w:t>二次搅拌</w:t>
                                  </w:r>
                                </w:p>
                              </w:txbxContent>
                            </wps:txbx>
                            <wps:bodyPr upright="1"/>
                          </wps:wsp>
                        </a:graphicData>
                      </a:graphic>
                    </wp:anchor>
                  </w:drawing>
                </mc:Choice>
                <mc:Fallback>
                  <w:pict>
                    <v:shape id="文本框 3283" o:spid="_x0000_s1026" o:spt="202" type="#_x0000_t202" style="position:absolute;left:0pt;margin-left:145.85pt;margin-top:2.4pt;height:21.2pt;width:58.65pt;z-index:251767808;mso-width-relative:page;mso-height-relative:page;" fillcolor="#FFFFFF" filled="t" stroked="t" coordsize="21600,21600" o:gfxdata="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ae8Zk1wAAAAgBAAAPAAAAAAAAAAEA&#10;IAAAACIAAABkcnMvZG93bnJldi54bWxQSwECFAAUAAAACACHTuJAFN6ICxACAAA6BAAADgAAAAAA&#10;AAABACAAAAAmAQAAZHJzL2Uyb0RvYy54bWxQSwUGAAAAAAYABgBZAQAAqAUAAAAA&#10;">
                      <v:fill on="t" focussize="0,0"/>
                      <v:stroke color="#000000" joinstyle="miter"/>
                      <v:imagedata o:title=""/>
                      <o:lock v:ext="edit" aspectratio="f"/>
                      <v:textbox>
                        <w:txbxContent>
                          <w:p w14:paraId="3702399B">
                            <w:r>
                              <w:rPr>
                                <w:rFonts w:hint="eastAsia"/>
                              </w:rPr>
                              <w:t>二次搅拌</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72928" behindDoc="0" locked="0" layoutInCell="1" allowOverlap="1">
                      <wp:simplePos x="0" y="0"/>
                      <wp:positionH relativeFrom="column">
                        <wp:posOffset>2597150</wp:posOffset>
                      </wp:positionH>
                      <wp:positionV relativeFrom="paragraph">
                        <wp:posOffset>168275</wp:posOffset>
                      </wp:positionV>
                      <wp:extent cx="358775" cy="635"/>
                      <wp:effectExtent l="0" t="37465" r="6985" b="38100"/>
                      <wp:wrapNone/>
                      <wp:docPr id="117" name="自选图形 3288"/>
                      <wp:cNvGraphicFramePr/>
                      <a:graphic xmlns:a="http://schemas.openxmlformats.org/drawingml/2006/main">
                        <a:graphicData uri="http://schemas.microsoft.com/office/word/2010/wordprocessingShape">
                          <wps:wsp>
                            <wps:cNvCnPr/>
                            <wps:spPr>
                              <a:xfrm flipH="1">
                                <a:off x="0" y="0"/>
                                <a:ext cx="3587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88" o:spid="_x0000_s1026" o:spt="32" type="#_x0000_t32" style="position:absolute;left:0pt;flip:x;margin-left:204.5pt;margin-top:13.25pt;height:0.05pt;width:28.25pt;z-index:251772928;mso-width-relative:page;mso-height-relative:page;" filled="f" stroked="t" coordsize="21600,21600" o:gfxdata="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nmFJ3ZAAAACQEAAA8AAAAAAAAAAQAgAAAAIgAA&#10;AGRycy9kb3ducmV2LnhtbFBLAQIUABQAAAAIAIdO4kA71Ga/BwIAAPcDAAAOAAAAAAAAAAEAIAAA&#10;ACgBAABkcnMvZTJvRG9jLnhtbFBLBQYAAAAABgAGAFkBAAChBQ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74976" behindDoc="0" locked="0" layoutInCell="1" allowOverlap="1">
                      <wp:simplePos x="0" y="0"/>
                      <wp:positionH relativeFrom="column">
                        <wp:posOffset>2946400</wp:posOffset>
                      </wp:positionH>
                      <wp:positionV relativeFrom="paragraph">
                        <wp:posOffset>38100</wp:posOffset>
                      </wp:positionV>
                      <wp:extent cx="459105" cy="261620"/>
                      <wp:effectExtent l="4445" t="4445" r="8890" b="8255"/>
                      <wp:wrapNone/>
                      <wp:docPr id="119" name="文本框 3290"/>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E6624C">
                                  <w:pPr>
                                    <w:ind w:left="-105" w:leftChars="-50" w:right="-105" w:rightChars="-50" w:firstLine="102" w:firstLineChars="49"/>
                                    <w:rPr>
                                      <w:szCs w:val="21"/>
                                    </w:rPr>
                                  </w:pPr>
                                  <w:r>
                                    <w:rPr>
                                      <w:rFonts w:hint="eastAsia"/>
                                      <w:szCs w:val="21"/>
                                    </w:rPr>
                                    <w:t>给料</w:t>
                                  </w:r>
                                </w:p>
                              </w:txbxContent>
                            </wps:txbx>
                            <wps:bodyPr upright="1"/>
                          </wps:wsp>
                        </a:graphicData>
                      </a:graphic>
                    </wp:anchor>
                  </w:drawing>
                </mc:Choice>
                <mc:Fallback>
                  <w:pict>
                    <v:shape id="文本框 3290" o:spid="_x0000_s1026" o:spt="202" type="#_x0000_t202" style="position:absolute;left:0pt;margin-left:232pt;margin-top:3pt;height:20.6pt;width:36.15pt;z-index:251774976;mso-width-relative:page;mso-height-relative:page;" fillcolor="#FFFFFF" filled="t" stroked="t" coordsize="21600,21600" o:gfxdata="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eYDXrYAAAACAEAAA8AAAAAAAAAAQAg&#10;AAAAIgAAAGRycy9kb3ducmV2LnhtbFBLAQIUABQAAAAIAIdO4kBWQY3ODgIAADoEAAAOAAAAAAAA&#10;AAEAIAAAACcBAABkcnMvZTJvRG9jLnhtbFBLBQYAAAAABgAGAFkBAACnBQAAAAA=&#10;">
                      <v:fill on="t" focussize="0,0"/>
                      <v:stroke color="#000000" joinstyle="miter"/>
                      <v:imagedata o:title=""/>
                      <o:lock v:ext="edit" aspectratio="f"/>
                      <v:textbox>
                        <w:txbxContent>
                          <w:p w14:paraId="2AE6624C">
                            <w:pPr>
                              <w:ind w:left="-105" w:leftChars="-50" w:right="-105" w:rightChars="-50" w:firstLine="102" w:firstLineChars="49"/>
                              <w:rPr>
                                <w:szCs w:val="21"/>
                              </w:rPr>
                            </w:pPr>
                            <w:r>
                              <w:rPr>
                                <w:rFonts w:hint="eastAsia"/>
                                <w:szCs w:val="21"/>
                              </w:rPr>
                              <w:t>给料</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71904" behindDoc="0" locked="0" layoutInCell="1" allowOverlap="1">
                      <wp:simplePos x="0" y="0"/>
                      <wp:positionH relativeFrom="column">
                        <wp:posOffset>3409315</wp:posOffset>
                      </wp:positionH>
                      <wp:positionV relativeFrom="paragraph">
                        <wp:posOffset>167640</wp:posOffset>
                      </wp:positionV>
                      <wp:extent cx="358775" cy="635"/>
                      <wp:effectExtent l="0" t="37465" r="6985" b="38100"/>
                      <wp:wrapNone/>
                      <wp:docPr id="116" name="自选图形 3287"/>
                      <wp:cNvGraphicFramePr/>
                      <a:graphic xmlns:a="http://schemas.openxmlformats.org/drawingml/2006/main">
                        <a:graphicData uri="http://schemas.microsoft.com/office/word/2010/wordprocessingShape">
                          <wps:wsp>
                            <wps:cNvCnPr/>
                            <wps:spPr>
                              <a:xfrm flipH="1">
                                <a:off x="0" y="0"/>
                                <a:ext cx="3587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87" o:spid="_x0000_s1026" o:spt="32" type="#_x0000_t32" style="position:absolute;left:0pt;flip:x;margin-left:268.45pt;margin-top:13.2pt;height:0.05pt;width:28.25pt;z-index:251771904;mso-width-relative:page;mso-height-relative:page;" filled="f" stroked="t" coordsize="21600,21600" o:gfxdata="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&#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vUAUp2AAAAAkBAAAPAAAAAAAAAAEAIAAAACIAAABk&#10;cnMvZG93bnJldi54bWxQSwECFAAUAAAACACHTuJAYUjMsAYCAAD3AwAADgAAAAAAAAABACAAAAAn&#10;AQAAZHJzL2Uyb0RvYy54bWxQSwUGAAAAAAYABgBZAQAAnwUAAAAA&#10;">
                      <v:fill on="f" focussize="0,0"/>
                      <v:stroke color="#000000" joinstyle="round" endarrow="block"/>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3768090</wp:posOffset>
                      </wp:positionH>
                      <wp:positionV relativeFrom="paragraph">
                        <wp:posOffset>38100</wp:posOffset>
                      </wp:positionV>
                      <wp:extent cx="832485" cy="261620"/>
                      <wp:effectExtent l="4445" t="4445" r="16510" b="8255"/>
                      <wp:wrapNone/>
                      <wp:docPr id="108" name="文本框 3279"/>
                      <wp:cNvGraphicFramePr/>
                      <a:graphic xmlns:a="http://schemas.openxmlformats.org/drawingml/2006/main">
                        <a:graphicData uri="http://schemas.microsoft.com/office/word/2010/wordprocessingShape">
                          <wps:wsp>
                            <wps:cNvSpPr txBox="1"/>
                            <wps:spPr>
                              <a:xfrm>
                                <a:off x="0" y="0"/>
                                <a:ext cx="83248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1B8A6AA">
                                  <w:pPr>
                                    <w:ind w:left="-105" w:leftChars="-50" w:right="-105" w:rightChars="-50" w:firstLine="102" w:firstLineChars="49"/>
                                    <w:rPr>
                                      <w:szCs w:val="21"/>
                                    </w:rPr>
                                  </w:pPr>
                                  <w:r>
                                    <w:rPr>
                                      <w:rFonts w:hint="eastAsia"/>
                                      <w:szCs w:val="21"/>
                                    </w:rPr>
                                    <w:t>布料、陈化</w:t>
                                  </w:r>
                                </w:p>
                              </w:txbxContent>
                            </wps:txbx>
                            <wps:bodyPr upright="1"/>
                          </wps:wsp>
                        </a:graphicData>
                      </a:graphic>
                    </wp:anchor>
                  </w:drawing>
                </mc:Choice>
                <mc:Fallback>
                  <w:pict>
                    <v:shape id="文本框 3279" o:spid="_x0000_s1026" o:spt="202" type="#_x0000_t202" style="position:absolute;left:0pt;margin-left:296.7pt;margin-top:3pt;height:20.6pt;width:65.55pt;z-index:251763712;mso-width-relative:page;mso-height-relative:page;" fillcolor="#FFFFFF" filled="t" stroked="t" coordsize="21600,21600" o:gfxdata="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0swcNgAAAAIAQAADwAAAAAAAAAB&#10;ACAAAAAiAAAAZHJzL2Rvd25yZXYueG1sUEsBAhQAFAAAAAgAh07iQBbK2e4QAgAAOgQAAA4AAAAA&#10;AAAAAQAgAAAAJwEAAGRycy9lMm9Eb2MueG1sUEsFBgAAAAAGAAYAWQEAAKkFAAAAAA==&#10;">
                      <v:fill on="t" focussize="0,0"/>
                      <v:stroke color="#000000" joinstyle="miter"/>
                      <v:imagedata o:title=""/>
                      <o:lock v:ext="edit" aspectratio="f"/>
                      <v:textbox>
                        <w:txbxContent>
                          <w:p w14:paraId="71B8A6AA">
                            <w:pPr>
                              <w:ind w:left="-105" w:leftChars="-50" w:right="-105" w:rightChars="-50" w:firstLine="102" w:firstLineChars="49"/>
                              <w:rPr>
                                <w:szCs w:val="21"/>
                              </w:rPr>
                            </w:pPr>
                            <w:r>
                              <w:rPr>
                                <w:rFonts w:hint="eastAsia"/>
                                <w:szCs w:val="21"/>
                              </w:rPr>
                              <w:t>布料、陈化</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4600575</wp:posOffset>
                      </wp:positionH>
                      <wp:positionV relativeFrom="paragraph">
                        <wp:posOffset>167640</wp:posOffset>
                      </wp:positionV>
                      <wp:extent cx="601345" cy="0"/>
                      <wp:effectExtent l="0" t="38100" r="8255" b="38100"/>
                      <wp:wrapNone/>
                      <wp:docPr id="109" name="自选图形 3280"/>
                      <wp:cNvGraphicFramePr/>
                      <a:graphic xmlns:a="http://schemas.openxmlformats.org/drawingml/2006/main">
                        <a:graphicData uri="http://schemas.microsoft.com/office/word/2010/wordprocessingShape">
                          <wps:wsp>
                            <wps:cNvCnPr/>
                            <wps:spPr>
                              <a:xfrm flipH="1">
                                <a:off x="0" y="0"/>
                                <a:ext cx="60134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80" o:spid="_x0000_s1026" o:spt="32" type="#_x0000_t32" style="position:absolute;left:0pt;flip:x;margin-left:362.25pt;margin-top:13.2pt;height:0pt;width:47.35pt;z-index:251764736;mso-width-relative:page;mso-height-relative:page;" filled="f" stroked="t" coordsize="21600,21600" o:gfxdata="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&#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w1MUE2QAAAAkBAAAPAAAAAAAAAAEAIAAAACIAAABk&#10;cnMvZG93bnJldi54bWxQSwECFAAUAAAACACHTuJAEd6ikwUCAAD1AwAADgAAAAAAAAABACAAAAAo&#10;AQAAZHJzL2Uyb0RvYy54bWxQSwUGAAAAAAYABgBZAQAAnwUAAAAA&#10;">
                      <v:fill on="f" focussize="0,0"/>
                      <v:stroke color="#000000" joinstyle="round" endarrow="block"/>
                      <v:imagedata o:title=""/>
                      <o:lock v:ext="edit" aspectratio="f"/>
                    </v:shape>
                  </w:pict>
                </mc:Fallback>
              </mc:AlternateContent>
            </w:r>
          </w:p>
          <w:p w14:paraId="6602EA8E">
            <w:pPr>
              <w:topLinePunct/>
              <w:spacing w:line="480" w:lineRule="exact"/>
              <w:ind w:firstLine="480" w:firstLineChars="200"/>
              <w:rPr>
                <w:color w:val="000000" w:themeColor="text1"/>
                <w:highlight w:val="none"/>
                <w14:textFill>
                  <w14:solidFill>
                    <w14:schemeClr w14:val="tx1"/>
                  </w14:solidFill>
                </w14:textFill>
              </w:rPr>
            </w:pP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90336" behindDoc="0" locked="0" layoutInCell="1" allowOverlap="1">
                      <wp:simplePos x="0" y="0"/>
                      <wp:positionH relativeFrom="column">
                        <wp:posOffset>2833370</wp:posOffset>
                      </wp:positionH>
                      <wp:positionV relativeFrom="paragraph">
                        <wp:posOffset>260350</wp:posOffset>
                      </wp:positionV>
                      <wp:extent cx="339090" cy="295275"/>
                      <wp:effectExtent l="0" t="0" r="0" b="0"/>
                      <wp:wrapNone/>
                      <wp:docPr id="134" name="文本框 3305"/>
                      <wp:cNvGraphicFramePr/>
                      <a:graphic xmlns:a="http://schemas.openxmlformats.org/drawingml/2006/main">
                        <a:graphicData uri="http://schemas.microsoft.com/office/word/2010/wordprocessingShape">
                          <wps:wsp>
                            <wps:cNvSpPr txBox="1"/>
                            <wps:spPr>
                              <a:xfrm>
                                <a:off x="0" y="0"/>
                                <a:ext cx="339090" cy="295275"/>
                              </a:xfrm>
                              <a:prstGeom prst="rect">
                                <a:avLst/>
                              </a:prstGeom>
                              <a:noFill/>
                              <a:ln>
                                <a:noFill/>
                              </a:ln>
                            </wps:spPr>
                            <wps:txbx>
                              <w:txbxContent>
                                <w:p w14:paraId="0D32B32F">
                                  <w:pPr>
                                    <w:ind w:left="-105" w:right="-105"/>
                                    <w:rPr>
                                      <w:szCs w:val="21"/>
                                    </w:rPr>
                                  </w:pPr>
                                  <w:r>
                                    <w:rPr>
                                      <w:rFonts w:hint="eastAsia"/>
                                      <w:szCs w:val="21"/>
                                      <w:highlight w:val="lightGray"/>
                                    </w:rPr>
                                    <w:t>N9</w:t>
                                  </w:r>
                                </w:p>
                              </w:txbxContent>
                            </wps:txbx>
                            <wps:bodyPr upright="1"/>
                          </wps:wsp>
                        </a:graphicData>
                      </a:graphic>
                    </wp:anchor>
                  </w:drawing>
                </mc:Choice>
                <mc:Fallback>
                  <w:pict>
                    <v:shape id="文本框 3305" o:spid="_x0000_s1026" o:spt="202" type="#_x0000_t202" style="position:absolute;left:0pt;margin-left:223.1pt;margin-top:20.5pt;height:23.25pt;width:26.7pt;z-index:251790336;mso-width-relative:page;mso-height-relative:page;" filled="f" stroked="f" coordsize="21600,21600" o:gfxdata="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RQ3x8&#10;1wAAAAkBAAAPAAAAAAAAAAEAIAAAACIAAABkcnMvZG93bnJldi54bWxQSwECFAAUAAAACACHTuJA&#10;aetCxbABAABSAwAADgAAAAAAAAABACAAAAAmAQAAZHJzL2Uyb0RvYy54bWxQSwUGAAAAAAYABgBZ&#10;AQAASAUAAAAA&#10;">
                      <v:fill on="f" focussize="0,0"/>
                      <v:stroke on="f"/>
                      <v:imagedata o:title=""/>
                      <o:lock v:ext="edit" aspectratio="f"/>
                      <v:textbox>
                        <w:txbxContent>
                          <w:p w14:paraId="0D32B32F">
                            <w:pPr>
                              <w:ind w:left="-105" w:right="-105"/>
                              <w:rPr>
                                <w:szCs w:val="21"/>
                              </w:rPr>
                            </w:pPr>
                            <w:r>
                              <w:rPr>
                                <w:rFonts w:hint="eastAsia"/>
                                <w:szCs w:val="21"/>
                                <w:highlight w:val="lightGray"/>
                              </w:rPr>
                              <w:t>N9</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82144" behindDoc="0" locked="0" layoutInCell="1" allowOverlap="1">
                      <wp:simplePos x="0" y="0"/>
                      <wp:positionH relativeFrom="column">
                        <wp:posOffset>1996440</wp:posOffset>
                      </wp:positionH>
                      <wp:positionV relativeFrom="paragraph">
                        <wp:posOffset>227330</wp:posOffset>
                      </wp:positionV>
                      <wp:extent cx="459105" cy="261620"/>
                      <wp:effectExtent l="4445" t="4445" r="8890" b="8255"/>
                      <wp:wrapNone/>
                      <wp:docPr id="126" name="文本框 3297"/>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1C1B94">
                                  <w:pPr>
                                    <w:ind w:left="-105" w:leftChars="-50" w:right="-105" w:rightChars="-50" w:firstLine="102" w:firstLineChars="49"/>
                                    <w:rPr>
                                      <w:szCs w:val="21"/>
                                    </w:rPr>
                                  </w:pPr>
                                  <w:r>
                                    <w:rPr>
                                      <w:rFonts w:hint="eastAsia"/>
                                      <w:szCs w:val="21"/>
                                    </w:rPr>
                                    <w:t>制坯</w:t>
                                  </w:r>
                                </w:p>
                              </w:txbxContent>
                            </wps:txbx>
                            <wps:bodyPr upright="1"/>
                          </wps:wsp>
                        </a:graphicData>
                      </a:graphic>
                    </wp:anchor>
                  </w:drawing>
                </mc:Choice>
                <mc:Fallback>
                  <w:pict>
                    <v:shape id="文本框 3297" o:spid="_x0000_s1026" o:spt="202" type="#_x0000_t202" style="position:absolute;left:0pt;margin-left:157.2pt;margin-top:17.9pt;height:20.6pt;width:36.15pt;z-index:251782144;mso-width-relative:page;mso-height-relative:page;" fillcolor="#FFFFFF" filled="t" stroked="t" coordsize="21600,21600" o:gfxdata="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7Tl7D2AAAAAkBAAAPAAAAAAAAAAEA&#10;IAAAACIAAABkcnMvZG93bnJldi54bWxQSwECFAAUAAAACACHTuJAAPV8Wg8CAAA6BAAADgAAAAAA&#10;AAABACAAAAAnAQAAZHJzL2Uyb0RvYy54bWxQSwUGAAAAAAYABgBZAQAAqAUAAAAA&#10;">
                      <v:fill on="t" focussize="0,0"/>
                      <v:stroke color="#000000" joinstyle="miter"/>
                      <v:imagedata o:title=""/>
                      <o:lock v:ext="edit" aspectratio="f"/>
                      <v:textbox>
                        <w:txbxContent>
                          <w:p w14:paraId="011C1B94">
                            <w:pPr>
                              <w:ind w:left="-105" w:leftChars="-50" w:right="-105" w:rightChars="-50" w:firstLine="102" w:firstLineChars="49"/>
                              <w:rPr>
                                <w:szCs w:val="21"/>
                              </w:rPr>
                            </w:pPr>
                            <w:r>
                              <w:rPr>
                                <w:rFonts w:hint="eastAsia"/>
                                <w:szCs w:val="21"/>
                              </w:rPr>
                              <w:t>制坯</w:t>
                            </w:r>
                          </w:p>
                        </w:txbxContent>
                      </v:textbox>
                    </v:shape>
                  </w:pict>
                </mc:Fallback>
              </mc:AlternateContent>
            </w:r>
          </w:p>
          <w:p w14:paraId="54A96DA4">
            <w:pPr>
              <w:topLinePunct/>
              <w:spacing w:line="480" w:lineRule="exact"/>
              <w:ind w:firstLine="480" w:firstLineChars="200"/>
              <w:rPr>
                <w:color w:val="000000" w:themeColor="text1"/>
                <w:highlight w:val="none"/>
                <w14:textFill>
                  <w14:solidFill>
                    <w14:schemeClr w14:val="tx1"/>
                  </w14:solidFill>
                </w14:textFill>
              </w:rPr>
            </w:pP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89312" behindDoc="0" locked="0" layoutInCell="1" allowOverlap="1">
                      <wp:simplePos x="0" y="0"/>
                      <wp:positionH relativeFrom="column">
                        <wp:posOffset>2465705</wp:posOffset>
                      </wp:positionH>
                      <wp:positionV relativeFrom="paragraph">
                        <wp:posOffset>60325</wp:posOffset>
                      </wp:positionV>
                      <wp:extent cx="368935" cy="9525"/>
                      <wp:effectExtent l="0" t="60325" r="12065" b="67310"/>
                      <wp:wrapNone/>
                      <wp:docPr id="133" name="自选图形 3304"/>
                      <wp:cNvGraphicFramePr/>
                      <a:graphic xmlns:a="http://schemas.openxmlformats.org/drawingml/2006/main">
                        <a:graphicData uri="http://schemas.microsoft.com/office/word/2010/wordprocessingShape">
                          <wps:wsp>
                            <wps:cNvCnPr/>
                            <wps:spPr>
                              <a:xfrm flipV="1">
                                <a:off x="0" y="0"/>
                                <a:ext cx="368935" cy="952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304" o:spid="_x0000_s1026" o:spt="32" type="#_x0000_t32" style="position:absolute;left:0pt;flip:y;margin-left:194.15pt;margin-top:4.75pt;height:0.75pt;width:29.05pt;z-index:251789312;mso-width-relative:page;mso-height-relative:page;" filled="f" stroked="t" coordsize="21600,21600" o:gfxdata="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6ZyXwtcAAAAIAQAADwAAAAAAAAABACAA&#10;AAAiAAAAZHJzL2Rvd25yZXYueG1sUEsBAhQAFAAAAAgAh07iQDF/97AOAgAA9wMAAA4AAAAAAAAA&#10;AQAgAAAAJgEAAGRycy9lMm9Eb2MueG1sUEsFBgAAAAAGAAYAWQEAAKYFAAAAAA==&#10;">
                      <v:fill on="f" focussize="0,0"/>
                      <v:stroke weight="1.25pt" color="#000000" joinstyle="round" dashstyle="1 1" endarrow="classic" endarrowwidth="wide" endarrowlength="long"/>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783168" behindDoc="0" locked="0" layoutInCell="1" allowOverlap="1">
                      <wp:simplePos x="0" y="0"/>
                      <wp:positionH relativeFrom="column">
                        <wp:posOffset>2222500</wp:posOffset>
                      </wp:positionH>
                      <wp:positionV relativeFrom="paragraph">
                        <wp:posOffset>184150</wp:posOffset>
                      </wp:positionV>
                      <wp:extent cx="0" cy="232410"/>
                      <wp:effectExtent l="38100" t="0" r="38100" b="11430"/>
                      <wp:wrapNone/>
                      <wp:docPr id="127" name="自选图形 3298"/>
                      <wp:cNvGraphicFramePr/>
                      <a:graphic xmlns:a="http://schemas.openxmlformats.org/drawingml/2006/main">
                        <a:graphicData uri="http://schemas.microsoft.com/office/word/2010/wordprocessingShape">
                          <wps:wsp>
                            <wps:cNvCnPr/>
                            <wps:spPr>
                              <a:xfrm>
                                <a:off x="0" y="0"/>
                                <a:ext cx="0" cy="232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98" o:spid="_x0000_s1026" o:spt="32" type="#_x0000_t32" style="position:absolute;left:0pt;margin-left:175pt;margin-top:14.5pt;height:18.3pt;width:0pt;z-index:251783168;mso-width-relative:page;mso-height-relative:page;" filled="f" stroked="t" coordsize="21600,21600" o:gfxdata="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q0ey2AAAAAkBAAAPAAAAAAAAAAEAIAAAACIAAABkcnMvZG93&#10;bnJldi54bWxQSwECFAAUAAAACACHTuJAbWb7twACAADrAwAADgAAAAAAAAABACAAAAAnAQAAZHJz&#10;L2Uyb0RvYy54bWxQSwUGAAAAAAYABgBZAQAAmQUAAAAA&#10;">
                      <v:fill on="f" focussize="0,0"/>
                      <v:stroke color="#000000" joinstyle="round" endarrow="block"/>
                      <v:imagedata o:title=""/>
                      <o:lock v:ext="edit" aspectratio="f"/>
                    </v:shape>
                  </w:pict>
                </mc:Fallback>
              </mc:AlternateContent>
            </w:r>
          </w:p>
          <w:p w14:paraId="6C598FDC">
            <w:pPr>
              <w:topLinePunct/>
              <w:spacing w:line="480" w:lineRule="exact"/>
              <w:ind w:firstLine="560" w:firstLineChars="200"/>
              <w:rPr>
                <w:color w:val="000000" w:themeColor="text1"/>
                <w:highlight w:val="none"/>
                <w14:textFill>
                  <w14:solidFill>
                    <w14:schemeClr w14:val="tx1"/>
                  </w14:solidFill>
                </w14:textFill>
              </w:rPr>
            </w:pP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93408" behindDoc="0" locked="0" layoutInCell="1" allowOverlap="1">
                      <wp:simplePos x="0" y="0"/>
                      <wp:positionH relativeFrom="column">
                        <wp:posOffset>3263265</wp:posOffset>
                      </wp:positionH>
                      <wp:positionV relativeFrom="paragraph">
                        <wp:posOffset>111760</wp:posOffset>
                      </wp:positionV>
                      <wp:extent cx="641985" cy="295275"/>
                      <wp:effectExtent l="0" t="0" r="0" b="0"/>
                      <wp:wrapNone/>
                      <wp:docPr id="137" name="文本框 3308"/>
                      <wp:cNvGraphicFramePr/>
                      <a:graphic xmlns:a="http://schemas.openxmlformats.org/drawingml/2006/main">
                        <a:graphicData uri="http://schemas.microsoft.com/office/word/2010/wordprocessingShape">
                          <wps:wsp>
                            <wps:cNvSpPr txBox="1"/>
                            <wps:spPr>
                              <a:xfrm>
                                <a:off x="0" y="0"/>
                                <a:ext cx="641985" cy="295275"/>
                              </a:xfrm>
                              <a:prstGeom prst="rect">
                                <a:avLst/>
                              </a:prstGeom>
                              <a:noFill/>
                              <a:ln>
                                <a:noFill/>
                              </a:ln>
                            </wps:spPr>
                            <wps:txbx>
                              <w:txbxContent>
                                <w:p w14:paraId="096B060D">
                                  <w:pPr>
                                    <w:ind w:left="-105" w:right="-105"/>
                                    <w:rPr>
                                      <w:szCs w:val="21"/>
                                    </w:rPr>
                                  </w:pPr>
                                  <w:r>
                                    <w:rPr>
                                      <w:rFonts w:hint="eastAsia"/>
                                      <w:szCs w:val="21"/>
                                      <w:highlight w:val="lightGray"/>
                                    </w:rPr>
                                    <w:t>N10、S1</w:t>
                                  </w:r>
                                </w:p>
                              </w:txbxContent>
                            </wps:txbx>
                            <wps:bodyPr upright="1"/>
                          </wps:wsp>
                        </a:graphicData>
                      </a:graphic>
                    </wp:anchor>
                  </w:drawing>
                </mc:Choice>
                <mc:Fallback>
                  <w:pict>
                    <v:shape id="文本框 3308" o:spid="_x0000_s1026" o:spt="202" type="#_x0000_t202" style="position:absolute;left:0pt;margin-left:256.95pt;margin-top:8.8pt;height:23.25pt;width:50.55pt;z-index:251793408;mso-width-relative:page;mso-height-relative:page;" filled="f" stroked="f" coordsize="21600,21600" o:gfxdata="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GMoal&#10;1gAAAAkBAAAPAAAAAAAAAAEAIAAAACIAAABkcnMvZG93bnJldi54bWxQSwECFAAUAAAACACHTuJA&#10;bGW2xLEBAABSAwAADgAAAAAAAAABACAAAAAlAQAAZHJzL2Uyb0RvYy54bWxQSwUGAAAAAAYABgBZ&#10;AQAASAUAAAAA&#10;">
                      <v:fill on="f" focussize="0,0"/>
                      <v:stroke on="f"/>
                      <v:imagedata o:title=""/>
                      <o:lock v:ext="edit" aspectratio="f"/>
                      <v:textbox>
                        <w:txbxContent>
                          <w:p w14:paraId="096B060D">
                            <w:pPr>
                              <w:ind w:left="-105" w:right="-105"/>
                              <w:rPr>
                                <w:szCs w:val="21"/>
                              </w:rPr>
                            </w:pPr>
                            <w:r>
                              <w:rPr>
                                <w:rFonts w:hint="eastAsia"/>
                                <w:szCs w:val="21"/>
                                <w:highlight w:val="lightGray"/>
                              </w:rPr>
                              <w:t>N10、S1</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91360" behindDoc="0" locked="0" layoutInCell="1" allowOverlap="1">
                      <wp:simplePos x="0" y="0"/>
                      <wp:positionH relativeFrom="column">
                        <wp:posOffset>2896235</wp:posOffset>
                      </wp:positionH>
                      <wp:positionV relativeFrom="paragraph">
                        <wp:posOffset>250825</wp:posOffset>
                      </wp:positionV>
                      <wp:extent cx="368935" cy="9525"/>
                      <wp:effectExtent l="0" t="60325" r="12065" b="67310"/>
                      <wp:wrapNone/>
                      <wp:docPr id="135" name="自选图形 3306"/>
                      <wp:cNvGraphicFramePr/>
                      <a:graphic xmlns:a="http://schemas.openxmlformats.org/drawingml/2006/main">
                        <a:graphicData uri="http://schemas.microsoft.com/office/word/2010/wordprocessingShape">
                          <wps:wsp>
                            <wps:cNvCnPr/>
                            <wps:spPr>
                              <a:xfrm flipV="1">
                                <a:off x="0" y="0"/>
                                <a:ext cx="368935" cy="952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306" o:spid="_x0000_s1026" o:spt="32" type="#_x0000_t32" style="position:absolute;left:0pt;flip:y;margin-left:228.05pt;margin-top:19.75pt;height:0.75pt;width:29.05pt;z-index:251791360;mso-width-relative:page;mso-height-relative:page;" filled="f" stroked="t" coordsize="21600,21600" o:gfxdata="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hGD07XAAAACQEAAA8AAAAAAAAAAQAgAAAA&#10;IgAAAGRycy9kb3ducmV2LnhtbFBLAQIUABQAAAAIAIdO4kCbJ0s+DAIAAPcDAAAOAAAAAAAAAAEA&#10;IAAAACYBAABkcnMvZTJvRG9jLnhtbFBLBQYAAAAABgAGAFkBAACkBQAAAAA=&#10;">
                      <v:fill on="f" focussize="0,0"/>
                      <v:stroke weight="1.25pt" color="#000000" joinstyle="round" dashstyle="1 1" endarrow="classic" endarrowwidth="wide" endarrowlength="long"/>
                      <v:imagedata o:title=""/>
                      <o:lock v:ext="edit" aspectratio="f"/>
                    </v:shape>
                  </w:pict>
                </mc:Fallback>
              </mc:AlternateContent>
            </w:r>
            <w:r>
              <w:rPr>
                <w:bCs/>
                <w:color w:val="000000" w:themeColor="text1"/>
                <w:sz w:val="24"/>
                <w:highlight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1668780</wp:posOffset>
                      </wp:positionH>
                      <wp:positionV relativeFrom="paragraph">
                        <wp:posOffset>111760</wp:posOffset>
                      </wp:positionV>
                      <wp:extent cx="1226185" cy="274955"/>
                      <wp:effectExtent l="4445" t="4445" r="19050" b="10160"/>
                      <wp:wrapNone/>
                      <wp:docPr id="10" name="文本框 3181"/>
                      <wp:cNvGraphicFramePr/>
                      <a:graphic xmlns:a="http://schemas.openxmlformats.org/drawingml/2006/main">
                        <a:graphicData uri="http://schemas.microsoft.com/office/word/2010/wordprocessingShape">
                          <wps:wsp>
                            <wps:cNvSpPr txBox="1"/>
                            <wps:spPr>
                              <a:xfrm>
                                <a:off x="0" y="0"/>
                                <a:ext cx="1226185" cy="2749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FDFA8D">
                                  <w:pPr>
                                    <w:rPr>
                                      <w:szCs w:val="21"/>
                                    </w:rPr>
                                  </w:pPr>
                                  <w:r>
                                    <w:rPr>
                                      <w:rFonts w:hint="eastAsia"/>
                                      <w:szCs w:val="21"/>
                                    </w:rPr>
                                    <w:t>全</w:t>
                                  </w:r>
                                  <w:r>
                                    <w:rPr>
                                      <w:szCs w:val="21"/>
                                    </w:rPr>
                                    <w:t>自动切坯</w:t>
                                  </w:r>
                                  <w:r>
                                    <w:rPr>
                                      <w:rFonts w:hint="eastAsia"/>
                                      <w:szCs w:val="21"/>
                                    </w:rPr>
                                    <w:t>、</w:t>
                                  </w:r>
                                  <w:r>
                                    <w:rPr>
                                      <w:szCs w:val="21"/>
                                    </w:rPr>
                                    <w:t>切条</w:t>
                                  </w:r>
                                </w:p>
                              </w:txbxContent>
                            </wps:txbx>
                            <wps:bodyPr upright="1"/>
                          </wps:wsp>
                        </a:graphicData>
                      </a:graphic>
                    </wp:anchor>
                  </w:drawing>
                </mc:Choice>
                <mc:Fallback>
                  <w:pict>
                    <v:shape id="文本框 3181" o:spid="_x0000_s1026" o:spt="202" type="#_x0000_t202" style="position:absolute;left:0pt;margin-left:131.4pt;margin-top:8.8pt;height:21.65pt;width:96.55pt;z-index:251663360;mso-width-relative:page;mso-height-relative:page;" fillcolor="#FFFFFF" filled="t" stroked="t" coordsize="21600,21600" o:gfxdata="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oKPID2AAAAAkBAAAPAAAAAAAAAAEAIAAA&#10;ACIAAABkcnMvZG93bnJldi54bWxQSwECFAAUAAAACACHTuJArzzZbQwCAAA6BAAADgAAAAAAAAAB&#10;ACAAAAAnAQAAZHJzL2Uyb0RvYy54bWxQSwUGAAAAAAYABgBZAQAApQUAAAAA&#10;">
                      <v:fill on="t" focussize="0,0"/>
                      <v:stroke color="#000000" joinstyle="miter"/>
                      <v:imagedata o:title=""/>
                      <o:lock v:ext="edit" aspectratio="f"/>
                      <v:textbox>
                        <w:txbxContent>
                          <w:p w14:paraId="16FDFA8D">
                            <w:pPr>
                              <w:rPr>
                                <w:szCs w:val="21"/>
                              </w:rPr>
                            </w:pPr>
                            <w:r>
                              <w:rPr>
                                <w:rFonts w:hint="eastAsia"/>
                                <w:szCs w:val="21"/>
                              </w:rPr>
                              <w:t>全</w:t>
                            </w:r>
                            <w:r>
                              <w:rPr>
                                <w:szCs w:val="21"/>
                              </w:rPr>
                              <w:t>自动切坯</w:t>
                            </w:r>
                            <w:r>
                              <w:rPr>
                                <w:rFonts w:hint="eastAsia"/>
                                <w:szCs w:val="21"/>
                              </w:rPr>
                              <w:t>、</w:t>
                            </w:r>
                            <w:r>
                              <w:rPr>
                                <w:szCs w:val="21"/>
                              </w:rPr>
                              <w:t>切条</w:t>
                            </w:r>
                          </w:p>
                        </w:txbxContent>
                      </v:textbox>
                    </v:shape>
                  </w:pict>
                </mc:Fallback>
              </mc:AlternateContent>
            </w:r>
          </w:p>
          <w:p w14:paraId="672A7FAF">
            <w:pPr>
              <w:topLinePunct/>
              <w:spacing w:line="480" w:lineRule="exact"/>
              <w:ind w:firstLine="560" w:firstLineChars="200"/>
              <w:rPr>
                <w:color w:val="000000" w:themeColor="text1"/>
                <w:highlight w:val="none"/>
                <w14:textFill>
                  <w14:solidFill>
                    <w14:schemeClr w14:val="tx1"/>
                  </w14:solidFill>
                </w14:textFill>
              </w:rPr>
            </w:pP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86240" behindDoc="0" locked="0" layoutInCell="1" allowOverlap="1">
                      <wp:simplePos x="0" y="0"/>
                      <wp:positionH relativeFrom="column">
                        <wp:posOffset>2228850</wp:posOffset>
                      </wp:positionH>
                      <wp:positionV relativeFrom="paragraph">
                        <wp:posOffset>81915</wp:posOffset>
                      </wp:positionV>
                      <wp:extent cx="0" cy="232410"/>
                      <wp:effectExtent l="38100" t="0" r="38100" b="11430"/>
                      <wp:wrapNone/>
                      <wp:docPr id="130" name="自选图形 3301"/>
                      <wp:cNvGraphicFramePr/>
                      <a:graphic xmlns:a="http://schemas.openxmlformats.org/drawingml/2006/main">
                        <a:graphicData uri="http://schemas.microsoft.com/office/word/2010/wordprocessingShape">
                          <wps:wsp>
                            <wps:cNvCnPr/>
                            <wps:spPr>
                              <a:xfrm>
                                <a:off x="0" y="0"/>
                                <a:ext cx="0" cy="232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301" o:spid="_x0000_s1026" o:spt="32" type="#_x0000_t32" style="position:absolute;left:0pt;margin-left:175.5pt;margin-top:6.45pt;height:18.3pt;width:0pt;z-index:251786240;mso-width-relative:page;mso-height-relative:page;" filled="f" stroked="t" coordsize="21600,21600" o:gfxdata="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zP6rZAAAACQEAAA8AAAAAAAAAAQAgAAAAIgAAAGRycy9kb3du&#10;cmV2LnhtbFBLAQIUABQAAAAIAIdO4kBGY4Sb/gEAAOsDAAAOAAAAAAAAAAEAIAAAACgBAABkcnMv&#10;ZTJvRG9jLnhtbFBLBQYAAAAABgAGAFkBAACYBQAAAAA=&#10;">
                      <v:fill on="f" focussize="0,0"/>
                      <v:stroke color="#000000" joinstyle="round" endarrow="block"/>
                      <v:imagedata o:title=""/>
                      <o:lock v:ext="edit" aspectratio="f"/>
                    </v:shape>
                  </w:pict>
                </mc:Fallback>
              </mc:AlternateContent>
            </w:r>
          </w:p>
          <w:p w14:paraId="7A24E29B">
            <w:pPr>
              <w:rPr>
                <w:color w:val="000000" w:themeColor="text1"/>
                <w:highlight w:val="none"/>
                <w14:textFill>
                  <w14:solidFill>
                    <w14:schemeClr w14:val="tx1"/>
                  </w14:solidFill>
                </w14:textFill>
              </w:rPr>
            </w:pP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94432" behindDoc="0" locked="0" layoutInCell="1" allowOverlap="1">
                      <wp:simplePos x="0" y="0"/>
                      <wp:positionH relativeFrom="column">
                        <wp:posOffset>2973705</wp:posOffset>
                      </wp:positionH>
                      <wp:positionV relativeFrom="paragraph">
                        <wp:posOffset>7620</wp:posOffset>
                      </wp:positionV>
                      <wp:extent cx="339090" cy="295275"/>
                      <wp:effectExtent l="0" t="0" r="0" b="0"/>
                      <wp:wrapNone/>
                      <wp:docPr id="138" name="文本框 3309"/>
                      <wp:cNvGraphicFramePr/>
                      <a:graphic xmlns:a="http://schemas.openxmlformats.org/drawingml/2006/main">
                        <a:graphicData uri="http://schemas.microsoft.com/office/word/2010/wordprocessingShape">
                          <wps:wsp>
                            <wps:cNvSpPr txBox="1"/>
                            <wps:spPr>
                              <a:xfrm>
                                <a:off x="0" y="0"/>
                                <a:ext cx="339090" cy="295275"/>
                              </a:xfrm>
                              <a:prstGeom prst="rect">
                                <a:avLst/>
                              </a:prstGeom>
                              <a:noFill/>
                              <a:ln>
                                <a:noFill/>
                              </a:ln>
                            </wps:spPr>
                            <wps:txbx>
                              <w:txbxContent>
                                <w:p w14:paraId="4141F7B5">
                                  <w:pPr>
                                    <w:ind w:left="-105" w:right="-105"/>
                                    <w:rPr>
                                      <w:szCs w:val="21"/>
                                    </w:rPr>
                                  </w:pPr>
                                  <w:r>
                                    <w:rPr>
                                      <w:rFonts w:hint="eastAsia"/>
                                      <w:szCs w:val="21"/>
                                      <w:highlight w:val="lightGray"/>
                                    </w:rPr>
                                    <w:t>N11</w:t>
                                  </w:r>
                                </w:p>
                              </w:txbxContent>
                            </wps:txbx>
                            <wps:bodyPr upright="1"/>
                          </wps:wsp>
                        </a:graphicData>
                      </a:graphic>
                    </wp:anchor>
                  </w:drawing>
                </mc:Choice>
                <mc:Fallback>
                  <w:pict>
                    <v:shape id="文本框 3309" o:spid="_x0000_s1026" o:spt="202" type="#_x0000_t202" style="position:absolute;left:0pt;margin-left:234.15pt;margin-top:0.6pt;height:23.25pt;width:26.7pt;z-index:251794432;mso-width-relative:page;mso-height-relative:page;" filled="f" stroked="f" coordsize="21600,21600" o:gfxdata="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JVgPdYA&#10;AAAIAQAADwAAAAAAAAABACAAAAAiAAAAZHJzL2Rvd25yZXYueG1sUEsBAhQAFAAAAAgAh07iQMMu&#10;S32vAQAAUgMAAA4AAAAAAAAAAQAgAAAAJQEAAGRycy9lMm9Eb2MueG1sUEsFBgAAAAAGAAYAWQEA&#10;AEYFAAAAAA==&#10;">
                      <v:fill on="f" focussize="0,0"/>
                      <v:stroke on="f"/>
                      <v:imagedata o:title=""/>
                      <o:lock v:ext="edit" aspectratio="f"/>
                      <v:textbox>
                        <w:txbxContent>
                          <w:p w14:paraId="4141F7B5">
                            <w:pPr>
                              <w:ind w:left="-105" w:right="-105"/>
                              <w:rPr>
                                <w:szCs w:val="21"/>
                              </w:rPr>
                            </w:pPr>
                            <w:r>
                              <w:rPr>
                                <w:rFonts w:hint="eastAsia"/>
                                <w:szCs w:val="21"/>
                                <w:highlight w:val="lightGray"/>
                              </w:rPr>
                              <w:t>N11</w:t>
                            </w:r>
                          </w:p>
                        </w:txbxContent>
                      </v:textbox>
                    </v:shape>
                  </w:pict>
                </mc:Fallback>
              </mc:AlternateContent>
            </w:r>
            <w:r>
              <w:rPr>
                <w:b/>
                <w:bCs/>
                <w:color w:val="000000" w:themeColor="text1"/>
                <w:szCs w:val="21"/>
                <w:highlight w:val="none"/>
                <w14:textFill>
                  <w14:solidFill>
                    <w14:schemeClr w14:val="tx1"/>
                  </w14:solidFill>
                </w14:textFill>
              </w:rPr>
              <mc:AlternateContent>
                <mc:Choice Requires="wps">
                  <w:drawing>
                    <wp:anchor distT="0" distB="0" distL="114300" distR="114300" simplePos="0" relativeHeight="251792384" behindDoc="0" locked="0" layoutInCell="1" allowOverlap="1">
                      <wp:simplePos x="0" y="0"/>
                      <wp:positionH relativeFrom="column">
                        <wp:posOffset>2597150</wp:posOffset>
                      </wp:positionH>
                      <wp:positionV relativeFrom="paragraph">
                        <wp:posOffset>127000</wp:posOffset>
                      </wp:positionV>
                      <wp:extent cx="368935" cy="9525"/>
                      <wp:effectExtent l="0" t="60325" r="12065" b="67310"/>
                      <wp:wrapNone/>
                      <wp:docPr id="136" name="自选图形 3307"/>
                      <wp:cNvGraphicFramePr/>
                      <a:graphic xmlns:a="http://schemas.openxmlformats.org/drawingml/2006/main">
                        <a:graphicData uri="http://schemas.microsoft.com/office/word/2010/wordprocessingShape">
                          <wps:wsp>
                            <wps:cNvCnPr/>
                            <wps:spPr>
                              <a:xfrm flipV="1">
                                <a:off x="0" y="0"/>
                                <a:ext cx="368935" cy="952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307" o:spid="_x0000_s1026" o:spt="32" type="#_x0000_t32" style="position:absolute;left:0pt;flip:y;margin-left:204.5pt;margin-top:10pt;height:0.75pt;width:29.05pt;z-index:251792384;mso-width-relative:page;mso-height-relative:page;" filled="f" stroked="t" coordsize="21600,21600" o:gfxdata="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YpaNNcAAAAJAQAADwAAAAAAAAABACAA&#10;AAAiAAAAZHJzL2Rvd25yZXYueG1sUEsBAhQAFAAAAAgAh07iQM4LFXkOAgAA9wMAAA4AAAAAAAAA&#10;AQAgAAAAJgEAAGRycy9lMm9Eb2MueG1sUEsFBgAAAAAGAAYAWQEAAKYFAAAAAA==&#10;">
                      <v:fill on="f" focussize="0,0"/>
                      <v:stroke weight="1.25pt" color="#000000" joinstyle="round" dashstyle="1 1" endarrow="classic" endarrowwidth="wide" endarrowlength="long"/>
                      <v:imagedata o:title=""/>
                      <o:lock v:ext="edit" aspectratio="f"/>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84192" behindDoc="0" locked="0" layoutInCell="1" allowOverlap="1">
                      <wp:simplePos x="0" y="0"/>
                      <wp:positionH relativeFrom="column">
                        <wp:posOffset>1906270</wp:posOffset>
                      </wp:positionH>
                      <wp:positionV relativeFrom="paragraph">
                        <wp:posOffset>9525</wp:posOffset>
                      </wp:positionV>
                      <wp:extent cx="690880" cy="261620"/>
                      <wp:effectExtent l="4445" t="4445" r="5715" b="8255"/>
                      <wp:wrapNone/>
                      <wp:docPr id="128" name="文本框 3299"/>
                      <wp:cNvGraphicFramePr/>
                      <a:graphic xmlns:a="http://schemas.openxmlformats.org/drawingml/2006/main">
                        <a:graphicData uri="http://schemas.microsoft.com/office/word/2010/wordprocessingShape">
                          <wps:wsp>
                            <wps:cNvSpPr txBox="1"/>
                            <wps:spPr>
                              <a:xfrm>
                                <a:off x="0" y="0"/>
                                <a:ext cx="690880"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34F8CB">
                                  <w:pPr>
                                    <w:ind w:left="-105" w:leftChars="-50" w:right="-105" w:rightChars="-50" w:firstLine="102" w:firstLineChars="49"/>
                                    <w:rPr>
                                      <w:szCs w:val="21"/>
                                    </w:rPr>
                                  </w:pPr>
                                  <w:r>
                                    <w:rPr>
                                      <w:rFonts w:hint="eastAsia"/>
                                      <w:szCs w:val="21"/>
                                    </w:rPr>
                                    <w:t>自动码</w:t>
                                  </w:r>
                                  <w:r>
                                    <w:rPr>
                                      <w:szCs w:val="21"/>
                                    </w:rPr>
                                    <w:t>坯</w:t>
                                  </w:r>
                                </w:p>
                              </w:txbxContent>
                            </wps:txbx>
                            <wps:bodyPr upright="1"/>
                          </wps:wsp>
                        </a:graphicData>
                      </a:graphic>
                    </wp:anchor>
                  </w:drawing>
                </mc:Choice>
                <mc:Fallback>
                  <w:pict>
                    <v:shape id="文本框 3299" o:spid="_x0000_s1026" o:spt="202" type="#_x0000_t202" style="position:absolute;left:0pt;margin-left:150.1pt;margin-top:0.75pt;height:20.6pt;width:54.4pt;z-index:251784192;mso-width-relative:page;mso-height-relative:page;" fillcolor="#FFFFFF" filled="t" stroked="t" coordsize="21600,21600" o:gfxdata="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rWSjXAAAACAEAAA8AAAAAAAAAAQAg&#10;AAAAIgAAAGRycy9kb3ducmV2LnhtbFBLAQIUABQAAAAIAIdO4kCiSTRfDwIAADoEAAAOAAAAAAAA&#10;AAEAIAAAACYBAABkcnMvZTJvRG9jLnhtbFBLBQYAAAAABgAGAFkBAACnBQAAAAA=&#10;">
                      <v:fill on="t" focussize="0,0"/>
                      <v:stroke color="#000000" joinstyle="miter"/>
                      <v:imagedata o:title=""/>
                      <o:lock v:ext="edit" aspectratio="f"/>
                      <v:textbox>
                        <w:txbxContent>
                          <w:p w14:paraId="1C34F8CB">
                            <w:pPr>
                              <w:ind w:left="-105" w:leftChars="-50" w:right="-105" w:rightChars="-50" w:firstLine="102" w:firstLineChars="49"/>
                              <w:rPr>
                                <w:szCs w:val="21"/>
                              </w:rPr>
                            </w:pPr>
                            <w:r>
                              <w:rPr>
                                <w:rFonts w:hint="eastAsia"/>
                                <w:szCs w:val="21"/>
                              </w:rPr>
                              <w:t>自动码</w:t>
                            </w:r>
                            <w:r>
                              <w:rPr>
                                <w:szCs w:val="21"/>
                              </w:rPr>
                              <w:t>坯</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3660140</wp:posOffset>
                      </wp:positionH>
                      <wp:positionV relativeFrom="paragraph">
                        <wp:posOffset>5337175</wp:posOffset>
                      </wp:positionV>
                      <wp:extent cx="385445" cy="243840"/>
                      <wp:effectExtent l="0" t="0" r="0" b="0"/>
                      <wp:wrapNone/>
                      <wp:docPr id="29" name="文本框 70"/>
                      <wp:cNvGraphicFramePr/>
                      <a:graphic xmlns:a="http://schemas.openxmlformats.org/drawingml/2006/main">
                        <a:graphicData uri="http://schemas.microsoft.com/office/word/2010/wordprocessingShape">
                          <wps:wsp>
                            <wps:cNvSpPr txBox="1"/>
                            <wps:spPr>
                              <a:xfrm>
                                <a:off x="0" y="0"/>
                                <a:ext cx="385445" cy="243840"/>
                              </a:xfrm>
                              <a:prstGeom prst="rect">
                                <a:avLst/>
                              </a:prstGeom>
                              <a:noFill/>
                              <a:ln>
                                <a:noFill/>
                              </a:ln>
                            </wps:spPr>
                            <wps:txbx>
                              <w:txbxContent>
                                <w:p w14:paraId="03DDEAC4">
                                  <w:pPr>
                                    <w:rPr>
                                      <w:sz w:val="18"/>
                                      <w:szCs w:val="18"/>
                                    </w:rPr>
                                  </w:pPr>
                                  <w:r>
                                    <w:rPr>
                                      <w:sz w:val="18"/>
                                      <w:szCs w:val="18"/>
                                    </w:rPr>
                                    <w:t>S</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文本框 70" o:spid="_x0000_s1026" o:spt="202" type="#_x0000_t202" style="position:absolute;left:0pt;margin-left:288.2pt;margin-top:420.25pt;height:19.2pt;width:30.35pt;z-index:251682816;mso-width-relative:page;mso-height-relative:margin;mso-height-percent:200;" filled="f" stroked="f" coordsize="21600,21600" o:gfxdata="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03wfR9oAAAALAQAADwAAAAAAAAABACAAAAAiAAAAZHJzL2Rvd25yZXYueG1sUEsB&#10;AhQAFAAAAAgAh07iQBJ9WzC6AQAAaQMAAA4AAAAAAAAAAQAgAAAAKQEAAGRycy9lMm9Eb2MueG1s&#10;UEsFBgAAAAAGAAYAWQEAAFUFAAAAAA==&#10;">
                      <v:fill on="f" focussize="0,0"/>
                      <v:stroke on="f"/>
                      <v:imagedata o:title=""/>
                      <o:lock v:ext="edit" aspectratio="f"/>
                      <v:textbox style="mso-fit-shape-to-text:t;">
                        <w:txbxContent>
                          <w:p w14:paraId="03DDEAC4">
                            <w:pPr>
                              <w:rPr>
                                <w:sz w:val="18"/>
                                <w:szCs w:val="18"/>
                              </w:rPr>
                            </w:pPr>
                            <w:r>
                              <w:rPr>
                                <w:sz w:val="18"/>
                                <w:szCs w:val="18"/>
                              </w:rPr>
                              <w:t>S</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2834640</wp:posOffset>
                      </wp:positionH>
                      <wp:positionV relativeFrom="paragraph">
                        <wp:posOffset>5480050</wp:posOffset>
                      </wp:positionV>
                      <wp:extent cx="825500" cy="0"/>
                      <wp:effectExtent l="0" t="38100" r="12700" b="38100"/>
                      <wp:wrapNone/>
                      <wp:docPr id="28" name="自选图形 78"/>
                      <wp:cNvGraphicFramePr/>
                      <a:graphic xmlns:a="http://schemas.openxmlformats.org/drawingml/2006/main">
                        <a:graphicData uri="http://schemas.microsoft.com/office/word/2010/wordprocessingShape">
                          <wps:wsp>
                            <wps:cNvCnPr/>
                            <wps:spPr>
                              <a:xfrm>
                                <a:off x="0" y="0"/>
                                <a:ext cx="825500" cy="0"/>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自选图形 78" o:spid="_x0000_s1026" o:spt="32" type="#_x0000_t32" style="position:absolute;left:0pt;margin-left:223.2pt;margin-top:431.5pt;height:0pt;width:65pt;z-index:251681792;mso-width-relative:page;mso-height-relative:page;" filled="f" stroked="t" coordsize="21600,21600" o:gfxdata="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MqD7/VAAAACwEAAA8AAAAAAAAAAQAgAAAAIgAAAGRycy9kb3ducmV2Lnht&#10;bFBLAQIUABQAAAAIAIdO4kAb0pr3/AEAAOcDAAAOAAAAAAAAAAEAIAAAACQBAABkcnMvZTJvRG9j&#10;LnhtbFBLBQYAAAAABgAGAFkBAACSBQAAAAA=&#10;">
                      <v:fill on="f" focussize="0,0"/>
                      <v:stroke color="#000000" joinstyle="round" dashstyle="dash" endarrow="block"/>
                      <v:imagedata o:title=""/>
                      <o:lock v:ext="edit" aspectratio="f"/>
                    </v:shape>
                  </w:pict>
                </mc:Fallback>
              </mc:AlternateContent>
            </w:r>
          </w:p>
          <w:p w14:paraId="3240680F">
            <w:pPr>
              <w:tabs>
                <w:tab w:val="left" w:pos="4788"/>
              </w:tabs>
              <w:topLinePunct/>
              <w:spacing w:beforeLines="50" w:line="360" w:lineRule="auto"/>
              <w:rPr>
                <w:b/>
                <w:bCs/>
                <w:color w:val="000000" w:themeColor="text1"/>
                <w:szCs w:val="21"/>
                <w:highlight w:val="none"/>
                <w14:textFill>
                  <w14:solidFill>
                    <w14:schemeClr w14:val="tx1"/>
                  </w14:solidFill>
                </w14:textFill>
              </w:rPr>
            </w:pP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787264" behindDoc="0" locked="0" layoutInCell="1" allowOverlap="1">
                      <wp:simplePos x="0" y="0"/>
                      <wp:positionH relativeFrom="column">
                        <wp:posOffset>2247900</wp:posOffset>
                      </wp:positionH>
                      <wp:positionV relativeFrom="paragraph">
                        <wp:posOffset>117475</wp:posOffset>
                      </wp:positionV>
                      <wp:extent cx="0" cy="232410"/>
                      <wp:effectExtent l="38100" t="0" r="38100" b="11430"/>
                      <wp:wrapNone/>
                      <wp:docPr id="131" name="自选图形 3302"/>
                      <wp:cNvGraphicFramePr/>
                      <a:graphic xmlns:a="http://schemas.openxmlformats.org/drawingml/2006/main">
                        <a:graphicData uri="http://schemas.microsoft.com/office/word/2010/wordprocessingShape">
                          <wps:wsp>
                            <wps:cNvCnPr/>
                            <wps:spPr>
                              <a:xfrm>
                                <a:off x="0" y="0"/>
                                <a:ext cx="0" cy="232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302" o:spid="_x0000_s1026" o:spt="32" type="#_x0000_t32" style="position:absolute;left:0pt;margin-left:177pt;margin-top:9.25pt;height:18.3pt;width:0pt;z-index:251787264;mso-width-relative:page;mso-height-relative:page;" filled="f" stroked="t" coordsize="21600,21600" o:gfxdata="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xmQwbYAAAACQEAAA8AAAAAAAAAAQAgAAAAIgAAAGRycy9kb3du&#10;cmV2LnhtbFBLAQIUABQAAAAIAIdO4kDLeuYN/wEAAOsDAAAOAAAAAAAAAAEAIAAAACcBAABkcnMv&#10;ZTJvRG9jLnhtbFBLBQYAAAAABgAGAFkBAACYBQAAAAA=&#10;">
                      <v:fill on="f" focussize="0,0"/>
                      <v:stroke color="#000000" joinstyle="round" endarrow="block"/>
                      <v:imagedata o:title=""/>
                      <o:lock v:ext="edit" aspectratio="f"/>
                    </v:shape>
                  </w:pict>
                </mc:Fallback>
              </mc:AlternateContent>
            </w:r>
          </w:p>
          <w:p w14:paraId="30554101">
            <w:pPr>
              <w:tabs>
                <w:tab w:val="left" w:pos="4788"/>
              </w:tabs>
              <w:topLinePunct/>
              <w:spacing w:beforeLines="50" w:line="360" w:lineRule="auto"/>
              <w:rPr>
                <w:b/>
                <w:bCs/>
                <w:color w:val="000000" w:themeColor="text1"/>
                <w:highlight w:val="none"/>
                <w14:textFill>
                  <w14:solidFill>
                    <w14:schemeClr w14:val="tx1"/>
                  </w14:solidFill>
                </w14:textFill>
              </w:rPr>
            </w:pPr>
            <w:r>
              <w:rPr>
                <w:b/>
                <w:bCs/>
                <w:color w:val="000000" w:themeColor="text1"/>
                <w:szCs w:val="21"/>
                <w:highlight w:val="none"/>
                <w14:textFill>
                  <w14:solidFill>
                    <w14:schemeClr w14:val="tx1"/>
                  </w14:solidFill>
                </w14:textFill>
              </w:rPr>
              <mc:AlternateContent>
                <mc:Choice Requires="wps">
                  <w:drawing>
                    <wp:anchor distT="0" distB="0" distL="114300" distR="114300" simplePos="0" relativeHeight="251785216" behindDoc="0" locked="0" layoutInCell="1" allowOverlap="1">
                      <wp:simplePos x="0" y="0"/>
                      <wp:positionH relativeFrom="column">
                        <wp:posOffset>2035810</wp:posOffset>
                      </wp:positionH>
                      <wp:positionV relativeFrom="paragraph">
                        <wp:posOffset>42545</wp:posOffset>
                      </wp:positionV>
                      <wp:extent cx="459105" cy="261620"/>
                      <wp:effectExtent l="9525" t="9525" r="19050" b="18415"/>
                      <wp:wrapNone/>
                      <wp:docPr id="129" name="文本框 3300"/>
                      <wp:cNvGraphicFramePr/>
                      <a:graphic xmlns:a="http://schemas.openxmlformats.org/drawingml/2006/main">
                        <a:graphicData uri="http://schemas.microsoft.com/office/word/2010/wordprocessingShape">
                          <wps:wsp>
                            <wps:cNvSpPr txBox="1"/>
                            <wps:spPr>
                              <a:xfrm>
                                <a:off x="0" y="0"/>
                                <a:ext cx="459105" cy="261620"/>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22AB06F9">
                                  <w:pPr>
                                    <w:ind w:left="-105" w:leftChars="-50" w:right="-105" w:rightChars="-50" w:firstLine="102" w:firstLineChars="49"/>
                                    <w:rPr>
                                      <w:szCs w:val="21"/>
                                    </w:rPr>
                                  </w:pPr>
                                  <w:r>
                                    <w:rPr>
                                      <w:rFonts w:hint="eastAsia"/>
                                      <w:szCs w:val="21"/>
                                    </w:rPr>
                                    <w:t>窑车</w:t>
                                  </w:r>
                                </w:p>
                              </w:txbxContent>
                            </wps:txbx>
                            <wps:bodyPr upright="1"/>
                          </wps:wsp>
                        </a:graphicData>
                      </a:graphic>
                    </wp:anchor>
                  </w:drawing>
                </mc:Choice>
                <mc:Fallback>
                  <w:pict>
                    <v:shape id="文本框 3300" o:spid="_x0000_s1026" o:spt="202" type="#_x0000_t202" style="position:absolute;left:0pt;margin-left:160.3pt;margin-top:3.35pt;height:20.6pt;width:36.15pt;z-index:251785216;mso-width-relative:page;mso-height-relative:page;" fillcolor="#FFFFFF" filled="t" stroked="t" coordsize="21600,21600" o:gfxdata="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dV36n1gAAAAgBAAAPAAAAAAAAAAEAIAAA&#10;ACIAAABkcnMvZG93bnJldi54bWxQSwECFAAUAAAACACHTuJAdyy2aw4CAAA7BAAADgAAAAAAAAAB&#10;ACAAAAAlAQAAZHJzL2Uyb0RvYy54bWxQSwUGAAAAAAYABgBZAQAApQUAAAAA&#10;">
                      <v:fill on="t" focussize="0,0"/>
                      <v:stroke weight="1.5pt" color="#000000" joinstyle="miter"/>
                      <v:imagedata o:title=""/>
                      <o:lock v:ext="edit" aspectratio="f"/>
                      <v:textbox>
                        <w:txbxContent>
                          <w:p w14:paraId="22AB06F9">
                            <w:pPr>
                              <w:ind w:left="-105" w:leftChars="-50" w:right="-105" w:rightChars="-50" w:firstLine="102" w:firstLineChars="49"/>
                              <w:rPr>
                                <w:szCs w:val="21"/>
                              </w:rPr>
                            </w:pPr>
                            <w:r>
                              <w:rPr>
                                <w:rFonts w:hint="eastAsia"/>
                                <w:szCs w:val="21"/>
                              </w:rPr>
                              <w:t>窑车</w:t>
                            </w:r>
                          </w:p>
                        </w:txbxContent>
                      </v:textbox>
                    </v:shape>
                  </w:pict>
                </mc:Fallback>
              </mc:AlternateContent>
            </w:r>
          </w:p>
          <w:p w14:paraId="2473F8B6">
            <w:pPr>
              <w:tabs>
                <w:tab w:val="left" w:pos="4788"/>
              </w:tabs>
              <w:topLinePunct/>
              <w:spacing w:beforeLines="50" w:line="360" w:lineRule="auto"/>
              <w:rPr>
                <w:b/>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2033270</wp:posOffset>
                      </wp:positionH>
                      <wp:positionV relativeFrom="paragraph">
                        <wp:posOffset>226695</wp:posOffset>
                      </wp:positionV>
                      <wp:extent cx="504190" cy="273050"/>
                      <wp:effectExtent l="9525" t="9525" r="19685" b="22225"/>
                      <wp:wrapNone/>
                      <wp:docPr id="32" name="文本框 3203"/>
                      <wp:cNvGraphicFramePr/>
                      <a:graphic xmlns:a="http://schemas.openxmlformats.org/drawingml/2006/main">
                        <a:graphicData uri="http://schemas.microsoft.com/office/word/2010/wordprocessingShape">
                          <wps:wsp>
                            <wps:cNvSpPr txBox="1"/>
                            <wps:spPr>
                              <a:xfrm>
                                <a:off x="0" y="0"/>
                                <a:ext cx="504190" cy="273050"/>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3A88E24F">
                                  <w:pPr>
                                    <w:rPr>
                                      <w:color w:val="000000"/>
                                    </w:rPr>
                                  </w:pPr>
                                  <w:r>
                                    <w:rPr>
                                      <w:rFonts w:hint="eastAsia"/>
                                      <w:color w:val="000000"/>
                                    </w:rPr>
                                    <w:t>干燥</w:t>
                                  </w:r>
                                </w:p>
                              </w:txbxContent>
                            </wps:txbx>
                            <wps:bodyPr upright="1"/>
                          </wps:wsp>
                        </a:graphicData>
                      </a:graphic>
                    </wp:anchor>
                  </w:drawing>
                </mc:Choice>
                <mc:Fallback>
                  <w:pict>
                    <v:shape id="文本框 3203" o:spid="_x0000_s1026" o:spt="202" type="#_x0000_t202" style="position:absolute;left:0pt;margin-left:160.1pt;margin-top:17.85pt;height:21.5pt;width:39.7pt;z-index:251685888;mso-width-relative:page;mso-height-relative:page;" fillcolor="#FFFFFF" filled="t" stroked="t" coordsize="21600,21600" o:gfxdata="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N9mKNcAAAAJAQAADwAAAAAAAAABACAA&#10;AAAiAAAAZHJzL2Rvd25yZXYueG1sUEsBAhQAFAAAAAgAh07iQBkDygQOAgAAOgQAAA4AAAAAAAAA&#10;AQAgAAAAJgEAAGRycy9lMm9Eb2MueG1sUEsFBgAAAAAGAAYAWQEAAKYFAAAAAA==&#10;">
                      <v:fill on="t" focussize="0,0"/>
                      <v:stroke weight="1.5pt" color="#000000" joinstyle="miter"/>
                      <v:imagedata o:title=""/>
                      <o:lock v:ext="edit" aspectratio="f"/>
                      <v:textbox>
                        <w:txbxContent>
                          <w:p w14:paraId="3A88E24F">
                            <w:pPr>
                              <w:rPr>
                                <w:color w:val="000000"/>
                              </w:rPr>
                            </w:pPr>
                            <w:r>
                              <w:rPr>
                                <w:rFonts w:hint="eastAsia"/>
                                <w:color w:val="000000"/>
                              </w:rPr>
                              <w:t>干燥</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1671955</wp:posOffset>
                      </wp:positionH>
                      <wp:positionV relativeFrom="paragraph">
                        <wp:posOffset>111125</wp:posOffset>
                      </wp:positionV>
                      <wp:extent cx="1235710" cy="1093470"/>
                      <wp:effectExtent l="5080" t="4445" r="8890" b="14605"/>
                      <wp:wrapNone/>
                      <wp:docPr id="34" name="矩形 3205"/>
                      <wp:cNvGraphicFramePr/>
                      <a:graphic xmlns:a="http://schemas.openxmlformats.org/drawingml/2006/main">
                        <a:graphicData uri="http://schemas.microsoft.com/office/word/2010/wordprocessingShape">
                          <wps:wsp>
                            <wps:cNvSpPr/>
                            <wps:spPr>
                              <a:xfrm>
                                <a:off x="0" y="0"/>
                                <a:ext cx="1235710" cy="1093470"/>
                              </a:xfrm>
                              <a:prstGeom prst="rect">
                                <a:avLst/>
                              </a:prstGeom>
                              <a:noFill/>
                              <a:ln w="9525" cap="flat" cmpd="sng">
                                <a:solidFill>
                                  <a:srgbClr val="000000"/>
                                </a:solidFill>
                                <a:prstDash val="dash"/>
                                <a:miter/>
                                <a:headEnd type="none" w="med" len="med"/>
                                <a:tailEnd type="none" w="med" len="med"/>
                              </a:ln>
                            </wps:spPr>
                            <wps:bodyPr upright="1"/>
                          </wps:wsp>
                        </a:graphicData>
                      </a:graphic>
                    </wp:anchor>
                  </w:drawing>
                </mc:Choice>
                <mc:Fallback>
                  <w:pict>
                    <v:rect id="矩形 3205" o:spid="_x0000_s1026" o:spt="1" style="position:absolute;left:0pt;margin-left:131.65pt;margin-top:8.75pt;height:86.1pt;width:97.3pt;z-index:251687936;mso-width-relative:page;mso-height-relative:page;" filled="f" stroked="t" coordsize="21600,21600" o:gfxdata="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ZWGmtcAAAAKAQAADwAAAAAAAAABACAAAAAiAAAAZHJzL2Rvd25yZXYu&#10;eG1sUEsBAhQAFAAAAAgAh07iQPNILB38AQAA+QMAAA4AAAAAAAAAAQAgAAAAJgEAAGRycy9lMm9E&#10;b2MueG1sUEsFBgAAAAAGAAYAWQEAAJQFAAAAAA==&#10;">
                      <v:fill on="f" focussize="0,0"/>
                      <v:stroke color="#000000" joinstyle="miter" dashstyle="dash"/>
                      <v:imagedata o:title=""/>
                      <o:lock v:ext="edit" aspectratio="f"/>
                    </v:rect>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788288" behindDoc="0" locked="0" layoutInCell="1" allowOverlap="1">
                      <wp:simplePos x="0" y="0"/>
                      <wp:positionH relativeFrom="column">
                        <wp:posOffset>2267585</wp:posOffset>
                      </wp:positionH>
                      <wp:positionV relativeFrom="paragraph">
                        <wp:posOffset>-3810</wp:posOffset>
                      </wp:positionV>
                      <wp:extent cx="0" cy="232410"/>
                      <wp:effectExtent l="38100" t="0" r="38100" b="11430"/>
                      <wp:wrapNone/>
                      <wp:docPr id="132" name="自选图形 3303"/>
                      <wp:cNvGraphicFramePr/>
                      <a:graphic xmlns:a="http://schemas.openxmlformats.org/drawingml/2006/main">
                        <a:graphicData uri="http://schemas.microsoft.com/office/word/2010/wordprocessingShape">
                          <wps:wsp>
                            <wps:cNvCnPr/>
                            <wps:spPr>
                              <a:xfrm>
                                <a:off x="0" y="0"/>
                                <a:ext cx="0" cy="2324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303" o:spid="_x0000_s1026" o:spt="32" type="#_x0000_t32" style="position:absolute;left:0pt;margin-left:178.55pt;margin-top:-0.3pt;height:18.3pt;width:0pt;z-index:251788288;mso-width-relative:page;mso-height-relative:page;" filled="f" stroked="t" coordsize="21600,21600" o:gfxdata="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qpHtcAAAAIAQAADwAAAAAAAAABACAAAAAiAAAAZHJzL2Rvd25y&#10;ZXYueG1sUEsBAhQAFAAAAAgAh07iQAoT0cf/AQAA6wMAAA4AAAAAAAAAAQAgAAAAJgEAAGRycy9l&#10;Mm9Eb2MueG1sUEsFBgAAAAAGAAYAWQEAAJcFAAAAAA==&#10;">
                      <v:fill on="f" focussize="0,0"/>
                      <v:stroke color="#000000" joinstyle="round" endarrow="block"/>
                      <v:imagedata o:title=""/>
                      <o:lock v:ext="edit" aspectratio="f"/>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4655820</wp:posOffset>
                      </wp:positionH>
                      <wp:positionV relativeFrom="paragraph">
                        <wp:posOffset>225425</wp:posOffset>
                      </wp:positionV>
                      <wp:extent cx="831850" cy="257175"/>
                      <wp:effectExtent l="0" t="0" r="0" b="0"/>
                      <wp:wrapNone/>
                      <wp:docPr id="24" name="文本框 3195"/>
                      <wp:cNvGraphicFramePr/>
                      <a:graphic xmlns:a="http://schemas.openxmlformats.org/drawingml/2006/main">
                        <a:graphicData uri="http://schemas.microsoft.com/office/word/2010/wordprocessingShape">
                          <wps:wsp>
                            <wps:cNvSpPr txBox="1"/>
                            <wps:spPr>
                              <a:xfrm>
                                <a:off x="0" y="0"/>
                                <a:ext cx="831850" cy="257175"/>
                              </a:xfrm>
                              <a:prstGeom prst="rect">
                                <a:avLst/>
                              </a:prstGeom>
                              <a:noFill/>
                              <a:ln>
                                <a:noFill/>
                              </a:ln>
                            </wps:spPr>
                            <wps:txbx>
                              <w:txbxContent>
                                <w:p w14:paraId="4C79E929">
                                  <w:pPr>
                                    <w:ind w:left="-105" w:leftChars="-50" w:right="-105" w:rightChars="-50"/>
                                    <w:jc w:val="center"/>
                                  </w:pPr>
                                  <w:r>
                                    <w:rPr>
                                      <w:rFonts w:hint="eastAsia"/>
                                    </w:rPr>
                                    <w:t>更换设备</w:t>
                                  </w:r>
                                </w:p>
                              </w:txbxContent>
                            </wps:txbx>
                            <wps:bodyPr upright="1"/>
                          </wps:wsp>
                        </a:graphicData>
                      </a:graphic>
                    </wp:anchor>
                  </w:drawing>
                </mc:Choice>
                <mc:Fallback>
                  <w:pict>
                    <v:shape id="文本框 3195" o:spid="_x0000_s1026" o:spt="202" type="#_x0000_t202" style="position:absolute;left:0pt;margin-left:366.6pt;margin-top:17.75pt;height:20.25pt;width:65.5pt;z-index:251677696;mso-width-relative:page;mso-height-relative:page;" filled="f" stroked="f" coordsize="21600,21600" o:gfxdata="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A07cf&#10;1wAAAAkBAAAPAAAAAAAAAAEAIAAAACIAAABkcnMvZG93bnJldi54bWxQSwECFAAUAAAACACHTuJA&#10;Fq1FfrABAABRAwAADgAAAAAAAAABACAAAAAmAQAAZHJzL2Uyb0RvYy54bWxQSwUGAAAAAAYABgBZ&#10;AQAASAUAAAAA&#10;">
                      <v:fill on="f" focussize="0,0"/>
                      <v:stroke on="f"/>
                      <v:imagedata o:title=""/>
                      <o:lock v:ext="edit" aspectratio="f"/>
                      <v:textbox>
                        <w:txbxContent>
                          <w:p w14:paraId="4C79E929">
                            <w:pPr>
                              <w:ind w:left="-105" w:leftChars="-50" w:right="-105" w:rightChars="-50"/>
                              <w:jc w:val="center"/>
                            </w:pPr>
                            <w:r>
                              <w:rPr>
                                <w:rFonts w:hint="eastAsia"/>
                              </w:rPr>
                              <w:t>更换设备</w:t>
                            </w:r>
                          </w:p>
                        </w:txbxContent>
                      </v:textbox>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4293870</wp:posOffset>
                      </wp:positionH>
                      <wp:positionV relativeFrom="paragraph">
                        <wp:posOffset>225425</wp:posOffset>
                      </wp:positionV>
                      <wp:extent cx="448945" cy="273050"/>
                      <wp:effectExtent l="4445" t="4445" r="19050" b="12065"/>
                      <wp:wrapNone/>
                      <wp:docPr id="23" name="文本框 3194"/>
                      <wp:cNvGraphicFramePr/>
                      <a:graphic xmlns:a="http://schemas.openxmlformats.org/drawingml/2006/main">
                        <a:graphicData uri="http://schemas.microsoft.com/office/word/2010/wordprocessingShape">
                          <wps:wsp>
                            <wps:cNvSpPr txBox="1"/>
                            <wps:spPr>
                              <a:xfrm>
                                <a:off x="0" y="0"/>
                                <a:ext cx="448945" cy="2730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03F139"/>
                              </w:txbxContent>
                            </wps:txbx>
                            <wps:bodyPr upright="1"/>
                          </wps:wsp>
                        </a:graphicData>
                      </a:graphic>
                    </wp:anchor>
                  </w:drawing>
                </mc:Choice>
                <mc:Fallback>
                  <w:pict>
                    <v:shape id="文本框 3194" o:spid="_x0000_s1026" o:spt="202" type="#_x0000_t202" style="position:absolute;left:0pt;margin-left:338.1pt;margin-top:17.75pt;height:21.5pt;width:35.35pt;z-index:251676672;mso-width-relative:page;mso-height-relative:page;" fillcolor="#FFFFFF" filled="t" stroked="t" coordsize="21600,21600" o:gfxdata="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yWpIbZAAAACQEAAA8AAAAAAAAA&#10;AQAgAAAAIgAAAGRycy9kb3ducmV2LnhtbFBLAQIUABQAAAAIAIdO4kBRNyc5EAIAADkEAAAOAAAA&#10;AAAAAAEAIAAAACgBAABkcnMvZTJvRG9jLnhtbFBLBQYAAAAABgAGAFkBAACqBQAAAAA=&#10;">
                      <v:fill on="t" focussize="0,0"/>
                      <v:stroke color="#000000" joinstyle="miter"/>
                      <v:imagedata o:title=""/>
                      <o:lock v:ext="edit" aspectratio="f"/>
                      <v:textbox>
                        <w:txbxContent>
                          <w:p w14:paraId="7603F139"/>
                        </w:txbxContent>
                      </v:textbox>
                    </v:shape>
                  </w:pict>
                </mc:Fallback>
              </mc:AlternateContent>
            </w:r>
          </w:p>
          <w:p w14:paraId="1E7BEE32">
            <w:pPr>
              <w:tabs>
                <w:tab w:val="left" w:pos="4788"/>
              </w:tabs>
              <w:topLinePunct/>
              <w:spacing w:beforeLines="50" w:line="360" w:lineRule="auto"/>
              <w:rPr>
                <w:b/>
                <w:bCs/>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4740275</wp:posOffset>
                      </wp:positionH>
                      <wp:positionV relativeFrom="paragraph">
                        <wp:posOffset>245110</wp:posOffset>
                      </wp:positionV>
                      <wp:extent cx="665480" cy="589280"/>
                      <wp:effectExtent l="0" t="0" r="0" b="0"/>
                      <wp:wrapNone/>
                      <wp:docPr id="25" name="文本框 3196"/>
                      <wp:cNvGraphicFramePr/>
                      <a:graphic xmlns:a="http://schemas.openxmlformats.org/drawingml/2006/main">
                        <a:graphicData uri="http://schemas.microsoft.com/office/word/2010/wordprocessingShape">
                          <wps:wsp>
                            <wps:cNvSpPr txBox="1"/>
                            <wps:spPr>
                              <a:xfrm>
                                <a:off x="0" y="0"/>
                                <a:ext cx="665480" cy="589280"/>
                              </a:xfrm>
                              <a:prstGeom prst="rect">
                                <a:avLst/>
                              </a:prstGeom>
                              <a:noFill/>
                              <a:ln>
                                <a:noFill/>
                              </a:ln>
                            </wps:spPr>
                            <wps:txbx>
                              <w:txbxContent>
                                <w:p w14:paraId="23544B3A">
                                  <w:pPr>
                                    <w:ind w:left="-105" w:leftChars="-50" w:right="-105" w:rightChars="-50"/>
                                    <w:jc w:val="center"/>
                                  </w:pPr>
                                  <w:r>
                                    <w:rPr>
                                      <w:rFonts w:hint="eastAsia"/>
                                    </w:rPr>
                                    <w:t>利用现有设备设施</w:t>
                                  </w:r>
                                </w:p>
                              </w:txbxContent>
                            </wps:txbx>
                            <wps:bodyPr upright="1"/>
                          </wps:wsp>
                        </a:graphicData>
                      </a:graphic>
                    </wp:anchor>
                  </w:drawing>
                </mc:Choice>
                <mc:Fallback>
                  <w:pict>
                    <v:shape id="文本框 3196" o:spid="_x0000_s1026" o:spt="202" type="#_x0000_t202" style="position:absolute;left:0pt;margin-left:373.25pt;margin-top:19.3pt;height:46.4pt;width:52.4pt;z-index:251678720;mso-width-relative:page;mso-height-relative:page;" filled="f" stroked="f" coordsize="21600,21600" o:gfxdata="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3aPPjX&#10;AAAACgEAAA8AAAAAAAAAAQAgAAAAIgAAAGRycy9kb3ducmV2LnhtbFBLAQIUABQAAAAIAIdO4kCK&#10;F+8qrwEAAFEDAAAOAAAAAAAAAAEAIAAAACYBAABkcnMvZTJvRG9jLnhtbFBLBQYAAAAABgAGAFkB&#10;AABHBQAAAAA=&#10;">
                      <v:fill on="f" focussize="0,0"/>
                      <v:stroke on="f"/>
                      <v:imagedata o:title=""/>
                      <o:lock v:ext="edit" aspectratio="f"/>
                      <v:textbox>
                        <w:txbxContent>
                          <w:p w14:paraId="23544B3A">
                            <w:pPr>
                              <w:ind w:left="-105" w:leftChars="-50" w:right="-105" w:rightChars="-50"/>
                              <w:jc w:val="center"/>
                            </w:pPr>
                            <w:r>
                              <w:rPr>
                                <w:rFonts w:hint="eastAsia"/>
                              </w:rPr>
                              <w:t>利用现有设备设施</w:t>
                            </w:r>
                          </w:p>
                        </w:txbxContent>
                      </v:textbox>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801600" behindDoc="0" locked="0" layoutInCell="1" allowOverlap="1">
                      <wp:simplePos x="0" y="0"/>
                      <wp:positionH relativeFrom="column">
                        <wp:posOffset>3310255</wp:posOffset>
                      </wp:positionH>
                      <wp:positionV relativeFrom="paragraph">
                        <wp:posOffset>182245</wp:posOffset>
                      </wp:positionV>
                      <wp:extent cx="665480" cy="295275"/>
                      <wp:effectExtent l="0" t="0" r="0" b="0"/>
                      <wp:wrapNone/>
                      <wp:docPr id="145" name="文本框 3316"/>
                      <wp:cNvGraphicFramePr/>
                      <a:graphic xmlns:a="http://schemas.openxmlformats.org/drawingml/2006/main">
                        <a:graphicData uri="http://schemas.microsoft.com/office/word/2010/wordprocessingShape">
                          <wps:wsp>
                            <wps:cNvSpPr txBox="1"/>
                            <wps:spPr>
                              <a:xfrm>
                                <a:off x="0" y="0"/>
                                <a:ext cx="665480" cy="295275"/>
                              </a:xfrm>
                              <a:prstGeom prst="rect">
                                <a:avLst/>
                              </a:prstGeom>
                              <a:noFill/>
                              <a:ln>
                                <a:noFill/>
                              </a:ln>
                            </wps:spPr>
                            <wps:txbx>
                              <w:txbxContent>
                                <w:p w14:paraId="75069F1A">
                                  <w:pPr>
                                    <w:ind w:left="-105" w:right="-105"/>
                                    <w:rPr>
                                      <w:szCs w:val="21"/>
                                    </w:rPr>
                                  </w:pPr>
                                  <w:r>
                                    <w:rPr>
                                      <w:rFonts w:hint="eastAsia"/>
                                      <w:szCs w:val="21"/>
                                      <w:highlight w:val="lightGray"/>
                                    </w:rPr>
                                    <w:t>G7、N12</w:t>
                                  </w:r>
                                </w:p>
                              </w:txbxContent>
                            </wps:txbx>
                            <wps:bodyPr upright="1"/>
                          </wps:wsp>
                        </a:graphicData>
                      </a:graphic>
                    </wp:anchor>
                  </w:drawing>
                </mc:Choice>
                <mc:Fallback>
                  <w:pict>
                    <v:shape id="文本框 3316" o:spid="_x0000_s1026" o:spt="202" type="#_x0000_t202" style="position:absolute;left:0pt;margin-left:260.65pt;margin-top:14.35pt;height:23.25pt;width:52.4pt;z-index:251801600;mso-width-relative:page;mso-height-relative:page;" filled="f" stroked="f" coordsize="21600,21600" o:gfxdata="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XJFzH&#10;1wAAAAkBAAAPAAAAAAAAAAEAIAAAACIAAABkcnMvZG93bnJldi54bWxQSwECFAAUAAAACACHTuJA&#10;MZdUj7ABAABSAwAADgAAAAAAAAABACAAAAAmAQAAZHJzL2Uyb0RvYy54bWxQSwUGAAAAAAYABgBZ&#10;AQAASAUAAAAA&#10;">
                      <v:fill on="f" focussize="0,0"/>
                      <v:stroke on="f"/>
                      <v:imagedata o:title=""/>
                      <o:lock v:ext="edit" aspectratio="f"/>
                      <v:textbox>
                        <w:txbxContent>
                          <w:p w14:paraId="75069F1A">
                            <w:pPr>
                              <w:ind w:left="-105" w:right="-105"/>
                              <w:rPr>
                                <w:szCs w:val="21"/>
                              </w:rPr>
                            </w:pPr>
                            <w:r>
                              <w:rPr>
                                <w:rFonts w:hint="eastAsia"/>
                                <w:szCs w:val="21"/>
                                <w:highlight w:val="lightGray"/>
                              </w:rPr>
                              <w:t>G7、N12</w:t>
                            </w:r>
                          </w:p>
                        </w:txbxContent>
                      </v:textbox>
                    </v:shape>
                  </w:pict>
                </mc:Fallback>
              </mc:AlternateContent>
            </w:r>
            <w:r>
              <w:rPr>
                <w:b/>
                <w:bCs/>
                <w:color w:val="000000" w:themeColor="text1"/>
                <w:highlight w:val="none"/>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2265045</wp:posOffset>
                      </wp:positionH>
                      <wp:positionV relativeFrom="paragraph">
                        <wp:posOffset>192405</wp:posOffset>
                      </wp:positionV>
                      <wp:extent cx="0" cy="288925"/>
                      <wp:effectExtent l="38100" t="0" r="38100" b="635"/>
                      <wp:wrapNone/>
                      <wp:docPr id="33" name="自选图形 3204"/>
                      <wp:cNvGraphicFramePr/>
                      <a:graphic xmlns:a="http://schemas.openxmlformats.org/drawingml/2006/main">
                        <a:graphicData uri="http://schemas.microsoft.com/office/word/2010/wordprocessingShape">
                          <wps:wsp>
                            <wps:cNvCnPr/>
                            <wps:spPr>
                              <a:xfrm>
                                <a:off x="0" y="0"/>
                                <a:ext cx="0" cy="2889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04" o:spid="_x0000_s1026" o:spt="32" type="#_x0000_t32" style="position:absolute;left:0pt;margin-left:178.35pt;margin-top:15.15pt;height:22.75pt;width:0pt;z-index:251686912;mso-width-relative:page;mso-height-relative:page;" filled="f" stroked="t" coordsize="21600,21600" o:gfxdata="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Ae+XLYAAAACQEAAA8AAAAAAAAAAQAgAAAAIgAAAGRycy9kb3ducmV2&#10;LnhtbFBLAQIUABQAAAAIAIdO4kDcPz4E/AEAAOoDAAAOAAAAAAAAAAEAIAAAACcBAABkcnMvZTJv&#10;RG9jLnhtbFBLBQYAAAAABgAGAFkBAACVBQAAAAA=&#10;">
                      <v:fill on="f" focussize="0,0"/>
                      <v:stroke color="#000000" joinstyle="round" endarrow="block"/>
                      <v:imagedata o:title=""/>
                      <o:lock v:ext="edit" aspectratio="f"/>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4293870</wp:posOffset>
                      </wp:positionH>
                      <wp:positionV relativeFrom="paragraph">
                        <wp:posOffset>316230</wp:posOffset>
                      </wp:positionV>
                      <wp:extent cx="448945" cy="257175"/>
                      <wp:effectExtent l="10795" t="10795" r="12700" b="21590"/>
                      <wp:wrapNone/>
                      <wp:docPr id="22" name="文本框 3193"/>
                      <wp:cNvGraphicFramePr/>
                      <a:graphic xmlns:a="http://schemas.openxmlformats.org/drawingml/2006/main">
                        <a:graphicData uri="http://schemas.microsoft.com/office/word/2010/wordprocessingShape">
                          <wps:wsp>
                            <wps:cNvSpPr txBox="1"/>
                            <wps:spPr>
                              <a:xfrm>
                                <a:off x="0" y="0"/>
                                <a:ext cx="448945" cy="257175"/>
                              </a:xfrm>
                              <a:prstGeom prst="rect">
                                <a:avLst/>
                              </a:prstGeom>
                              <a:solidFill>
                                <a:srgbClr val="FFFFFF"/>
                              </a:solidFill>
                              <a:ln w="22225" cap="flat" cmpd="sng">
                                <a:solidFill>
                                  <a:srgbClr val="000000"/>
                                </a:solidFill>
                                <a:prstDash val="solid"/>
                                <a:miter/>
                                <a:headEnd type="none" w="med" len="med"/>
                                <a:tailEnd type="none" w="med" len="med"/>
                              </a:ln>
                            </wps:spPr>
                            <wps:txbx>
                              <w:txbxContent>
                                <w:p w14:paraId="3FD790EE"/>
                              </w:txbxContent>
                            </wps:txbx>
                            <wps:bodyPr upright="1"/>
                          </wps:wsp>
                        </a:graphicData>
                      </a:graphic>
                    </wp:anchor>
                  </w:drawing>
                </mc:Choice>
                <mc:Fallback>
                  <w:pict>
                    <v:shape id="文本框 3193" o:spid="_x0000_s1026" o:spt="202" type="#_x0000_t202" style="position:absolute;left:0pt;margin-left:338.1pt;margin-top:24.9pt;height:20.25pt;width:35.35pt;z-index:251675648;mso-width-relative:page;mso-height-relative:page;" fillcolor="#FFFFFF" filled="t" stroked="t" coordsize="21600,21600" o:gfxdata="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ZmA/doAAAAJAQAADwAAAAAAAAAB&#10;ACAAAAAiAAAAZHJzL2Rvd25yZXYueG1sUEsBAhQAFAAAAAgAh07iQEI+H5oOAgAAOgQAAA4AAAAA&#10;AAAAAQAgAAAAKQEAAGRycy9lMm9Eb2MueG1sUEsFBgAAAAAGAAYAWQEAAKkFAAAAAA==&#10;">
                      <v:fill on="t" focussize="0,0"/>
                      <v:stroke weight="1.75pt" color="#000000" joinstyle="miter"/>
                      <v:imagedata o:title=""/>
                      <o:lock v:ext="edit" aspectratio="f"/>
                      <v:textbox>
                        <w:txbxContent>
                          <w:p w14:paraId="3FD790EE"/>
                        </w:txbxContent>
                      </v:textbox>
                    </v:shape>
                  </w:pict>
                </mc:Fallback>
              </mc:AlternateContent>
            </w:r>
          </w:p>
          <w:p w14:paraId="5728E48C">
            <w:pPr>
              <w:tabs>
                <w:tab w:val="left" w:pos="4788"/>
              </w:tabs>
              <w:topLinePunct/>
              <w:spacing w:beforeLines="50" w:line="360" w:lineRule="auto"/>
              <w:rPr>
                <w:b/>
                <w:bCs/>
                <w:color w:val="000000" w:themeColor="text1"/>
                <w:highlight w:val="none"/>
                <w14:textFill>
                  <w14:solidFill>
                    <w14:schemeClr w14:val="tx1"/>
                  </w14:solidFill>
                </w14:textFill>
              </w:rPr>
            </w:pPr>
            <w:r>
              <w:rPr>
                <w:b/>
                <w:bCs/>
                <w:color w:val="000000" w:themeColor="text1"/>
                <w:szCs w:val="21"/>
                <w:highlight w:val="none"/>
                <w14:textFill>
                  <w14:solidFill>
                    <w14:schemeClr w14:val="tx1"/>
                  </w14:solidFill>
                </w14:textFill>
              </w:rPr>
              <mc:AlternateContent>
                <mc:Choice Requires="wps">
                  <w:drawing>
                    <wp:anchor distT="0" distB="0" distL="114300" distR="114300" simplePos="0" relativeHeight="251800576" behindDoc="0" locked="0" layoutInCell="1" allowOverlap="1">
                      <wp:simplePos x="0" y="0"/>
                      <wp:positionH relativeFrom="column">
                        <wp:posOffset>2906395</wp:posOffset>
                      </wp:positionH>
                      <wp:positionV relativeFrom="paragraph">
                        <wp:posOffset>6350</wp:posOffset>
                      </wp:positionV>
                      <wp:extent cx="406400" cy="0"/>
                      <wp:effectExtent l="0" t="63500" r="5080" b="73660"/>
                      <wp:wrapNone/>
                      <wp:docPr id="144" name="自选图形 3315"/>
                      <wp:cNvGraphicFramePr/>
                      <a:graphic xmlns:a="http://schemas.openxmlformats.org/drawingml/2006/main">
                        <a:graphicData uri="http://schemas.microsoft.com/office/word/2010/wordprocessingShape">
                          <wps:wsp>
                            <wps:cNvCnPr/>
                            <wps:spPr>
                              <a:xfrm>
                                <a:off x="0" y="0"/>
                                <a:ext cx="406400" cy="0"/>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315" o:spid="_x0000_s1026" o:spt="32" type="#_x0000_t32" style="position:absolute;left:0pt;margin-left:228.85pt;margin-top:0.5pt;height:0pt;width:32pt;z-index:251800576;mso-width-relative:page;mso-height-relative:page;" filled="f" stroked="t" coordsize="21600,21600" o:gfxdata="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qg4w/UAAAABwEAAA8AAAAAAAAAAQAgAAAAIgAAAGRycy9k&#10;b3ducmV2LnhtbFBLAQIUABQAAAAIAIdO4kAKyVq8BgIAAOoDAAAOAAAAAAAAAAEAIAAAACMBAABk&#10;cnMvZTJvRG9jLnhtbFBLBQYAAAAABgAGAFkBAACbBQAAAAA=&#10;">
                      <v:fill on="f" focussize="0,0"/>
                      <v:stroke weight="1.25pt" color="#000000" joinstyle="round" dashstyle="1 1" endarrow="classic" endarrowwidth="wide" endarrowlength="long"/>
                      <v:imagedata o:title=""/>
                      <o:lock v:ext="edit" aspectratio="f"/>
                    </v:shape>
                  </w:pict>
                </mc:Fallback>
              </mc:AlternateContent>
            </w:r>
            <w:r>
              <w:rPr>
                <w:b/>
                <w:bCs/>
                <w:color w:val="000000" w:themeColor="text1"/>
                <w:szCs w:val="21"/>
                <w:highlight w:val="none"/>
                <w14:textFill>
                  <w14:solidFill>
                    <w14:schemeClr w14:val="tx1"/>
                  </w14:solidFill>
                </w14:textFill>
              </w:rPr>
              <mc:AlternateContent>
                <mc:Choice Requires="wps">
                  <w:drawing>
                    <wp:anchor distT="0" distB="0" distL="114300" distR="114300" simplePos="0" relativeHeight="251799552" behindDoc="0" locked="0" layoutInCell="1" allowOverlap="1">
                      <wp:simplePos x="0" y="0"/>
                      <wp:positionH relativeFrom="column">
                        <wp:posOffset>819150</wp:posOffset>
                      </wp:positionH>
                      <wp:positionV relativeFrom="paragraph">
                        <wp:posOffset>8255</wp:posOffset>
                      </wp:positionV>
                      <wp:extent cx="601980" cy="295275"/>
                      <wp:effectExtent l="0" t="0" r="0" b="0"/>
                      <wp:wrapNone/>
                      <wp:docPr id="143" name="文本框 3314"/>
                      <wp:cNvGraphicFramePr/>
                      <a:graphic xmlns:a="http://schemas.openxmlformats.org/drawingml/2006/main">
                        <a:graphicData uri="http://schemas.microsoft.com/office/word/2010/wordprocessingShape">
                          <wps:wsp>
                            <wps:cNvSpPr txBox="1"/>
                            <wps:spPr>
                              <a:xfrm>
                                <a:off x="0" y="0"/>
                                <a:ext cx="601980" cy="295275"/>
                              </a:xfrm>
                              <a:prstGeom prst="rect">
                                <a:avLst/>
                              </a:prstGeom>
                              <a:noFill/>
                              <a:ln>
                                <a:noFill/>
                              </a:ln>
                            </wps:spPr>
                            <wps:txbx>
                              <w:txbxContent>
                                <w:p w14:paraId="22A6C6A9">
                                  <w:pPr>
                                    <w:ind w:left="-105" w:right="-105"/>
                                    <w:rPr>
                                      <w:szCs w:val="21"/>
                                    </w:rPr>
                                  </w:pPr>
                                  <w:r>
                                    <w:rPr>
                                      <w:rFonts w:hint="eastAsia"/>
                                      <w:szCs w:val="21"/>
                                      <w:highlight w:val="lightGray"/>
                                    </w:rPr>
                                    <w:t>G8、N13</w:t>
                                  </w:r>
                                </w:p>
                              </w:txbxContent>
                            </wps:txbx>
                            <wps:bodyPr upright="1"/>
                          </wps:wsp>
                        </a:graphicData>
                      </a:graphic>
                    </wp:anchor>
                  </w:drawing>
                </mc:Choice>
                <mc:Fallback>
                  <w:pict>
                    <v:shape id="文本框 3314" o:spid="_x0000_s1026" o:spt="202" type="#_x0000_t202" style="position:absolute;left:0pt;margin-left:64.5pt;margin-top:0.65pt;height:23.25pt;width:47.4pt;z-index:251799552;mso-width-relative:page;mso-height-relative:page;" filled="f" stroked="f" coordsize="21600,21600" o:gfxdata="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2/YFtUA&#10;AAAIAQAADwAAAAAAAAABACAAAAAiAAAAZHJzL2Rvd25yZXYueG1sUEsBAhQAFAAAAAgAh07iQGV7&#10;uJewAQAAUgMAAA4AAAAAAAAAAQAgAAAAJAEAAGRycy9lMm9Eb2MueG1sUEsFBgAAAAAGAAYAWQEA&#10;AEYFAAAAAA==&#10;">
                      <v:fill on="f" focussize="0,0"/>
                      <v:stroke on="f"/>
                      <v:imagedata o:title=""/>
                      <o:lock v:ext="edit" aspectratio="f"/>
                      <v:textbox>
                        <w:txbxContent>
                          <w:p w14:paraId="22A6C6A9">
                            <w:pPr>
                              <w:ind w:left="-105" w:right="-105"/>
                              <w:rPr>
                                <w:szCs w:val="21"/>
                              </w:rPr>
                            </w:pPr>
                            <w:r>
                              <w:rPr>
                                <w:rFonts w:hint="eastAsia"/>
                                <w:szCs w:val="21"/>
                                <w:highlight w:val="lightGray"/>
                              </w:rPr>
                              <w:t>G8、N13</w:t>
                            </w:r>
                          </w:p>
                        </w:txbxContent>
                      </v:textbox>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798528" behindDoc="0" locked="0" layoutInCell="1" allowOverlap="1">
                      <wp:simplePos x="0" y="0"/>
                      <wp:positionH relativeFrom="column">
                        <wp:posOffset>1100455</wp:posOffset>
                      </wp:positionH>
                      <wp:positionV relativeFrom="paragraph">
                        <wp:posOffset>210820</wp:posOffset>
                      </wp:positionV>
                      <wp:extent cx="0" cy="315595"/>
                      <wp:effectExtent l="63500" t="0" r="73660" b="4445"/>
                      <wp:wrapNone/>
                      <wp:docPr id="142" name="自选图形 3313"/>
                      <wp:cNvGraphicFramePr/>
                      <a:graphic xmlns:a="http://schemas.openxmlformats.org/drawingml/2006/main">
                        <a:graphicData uri="http://schemas.microsoft.com/office/word/2010/wordprocessingShape">
                          <wps:wsp>
                            <wps:cNvCnPr/>
                            <wps:spPr>
                              <a:xfrm flipV="1">
                                <a:off x="0" y="0"/>
                                <a:ext cx="0" cy="315595"/>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313" o:spid="_x0000_s1026" o:spt="32" type="#_x0000_t32" style="position:absolute;left:0pt;flip:y;margin-left:86.65pt;margin-top:16.6pt;height:24.85pt;width:0pt;z-index:251798528;mso-width-relative:page;mso-height-relative:page;" filled="f" stroked="t" coordsize="21600,21600" o:gfxdata="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G18pNYAAAAJAQAADwAAAAAAAAABACAAAAAiAAAA&#10;ZHJzL2Rvd25yZXYueG1sUEsBAhQAFAAAAAgAh07iQJARulkJAgAA9AMAAA4AAAAAAAAAAQAgAAAA&#10;JQEAAGRycy9lMm9Eb2MueG1sUEsFBgAAAAAGAAYAWQEAAKAFAAAAAA==&#10;">
                      <v:fill on="f" focussize="0,0"/>
                      <v:stroke weight="1.25pt" color="#000000" joinstyle="round" dashstyle="1 1" endarrow="classic" endarrowwidth="wide" endarrowlength="long"/>
                      <v:imagedata o:title=""/>
                      <o:lock v:ext="edit" aspectratio="f"/>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796480" behindDoc="0" locked="0" layoutInCell="1" allowOverlap="1">
                      <wp:simplePos x="0" y="0"/>
                      <wp:positionH relativeFrom="column">
                        <wp:posOffset>1350010</wp:posOffset>
                      </wp:positionH>
                      <wp:positionV relativeFrom="paragraph">
                        <wp:posOffset>271145</wp:posOffset>
                      </wp:positionV>
                      <wp:extent cx="0" cy="257175"/>
                      <wp:effectExtent l="38100" t="0" r="38100" b="1905"/>
                      <wp:wrapNone/>
                      <wp:docPr id="140" name="自选图形 3311"/>
                      <wp:cNvGraphicFramePr/>
                      <a:graphic xmlns:a="http://schemas.openxmlformats.org/drawingml/2006/main">
                        <a:graphicData uri="http://schemas.microsoft.com/office/word/2010/wordprocessingShape">
                          <wps:wsp>
                            <wps:cNvCnPr/>
                            <wps:spPr>
                              <a:xfrm>
                                <a:off x="0" y="0"/>
                                <a:ext cx="0" cy="2571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311" o:spid="_x0000_s1026" o:spt="32" type="#_x0000_t32" style="position:absolute;left:0pt;margin-left:106.3pt;margin-top:21.35pt;height:20.25pt;width:0pt;z-index:251796480;mso-width-relative:page;mso-height-relative:page;" filled="f" stroked="t" coordsize="21600,21600" o:gfxdata="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4E27TYAAAACQEAAA8AAAAAAAAAAQAgAAAAIgAAAGRycy9kb3ducmV2&#10;LnhtbFBLAQIUABQAAAAIAIdO4kCWghh+/AEAAOsDAAAOAAAAAAAAAAEAIAAAACcBAABkcnMvZTJv&#10;RG9jLnhtbFBLBQYAAAAABgAGAFkBAACVBQAAAAA=&#10;">
                      <v:fill on="f" focussize="0,0"/>
                      <v:stroke color="#000000" joinstyle="round" endarrow="block"/>
                      <v:imagedata o:title=""/>
                      <o:lock v:ext="edit" aspectratio="f"/>
                    </v:shape>
                  </w:pict>
                </mc:Fallback>
              </mc:AlternateContent>
            </w: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795456" behindDoc="0" locked="0" layoutInCell="1" allowOverlap="1">
                      <wp:simplePos x="0" y="0"/>
                      <wp:positionH relativeFrom="column">
                        <wp:posOffset>1355090</wp:posOffset>
                      </wp:positionH>
                      <wp:positionV relativeFrom="paragraph">
                        <wp:posOffset>274955</wp:posOffset>
                      </wp:positionV>
                      <wp:extent cx="680720" cy="0"/>
                      <wp:effectExtent l="0" t="4445" r="0" b="5080"/>
                      <wp:wrapNone/>
                      <wp:docPr id="139" name="自选图形 3310"/>
                      <wp:cNvGraphicFramePr/>
                      <a:graphic xmlns:a="http://schemas.openxmlformats.org/drawingml/2006/main">
                        <a:graphicData uri="http://schemas.microsoft.com/office/word/2010/wordprocessingShape">
                          <wps:wsp>
                            <wps:cNvCnPr/>
                            <wps:spPr>
                              <a:xfrm flipH="1">
                                <a:off x="0" y="0"/>
                                <a:ext cx="68072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310" o:spid="_x0000_s1026" o:spt="32" type="#_x0000_t32" style="position:absolute;left:0pt;flip:x;margin-left:106.7pt;margin-top:21.65pt;height:0pt;width:53.6pt;z-index:251795456;mso-width-relative:page;mso-height-relative:page;" filled="f" stroked="t" coordsize="21600,21600" o:gfxdata="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8Dl+R1wAAAAkBAAAPAAAAAAAAAAEAIAAAACIAAABkcnMvZG93bnJl&#10;di54bWxQSwECFAAUAAAACACHTuJAf8+pDP4BAADxAwAADgAAAAAAAAABACAAAAAmAQAAZHJzL2Uy&#10;b0RvYy54bWxQSwUGAAAAAAYABgBZAQAAlgUAAAAA&#10;">
                      <v:fill on="f" focussize="0,0"/>
                      <v:stroke color="#000000" joinstyle="round"/>
                      <v:imagedata o:title=""/>
                      <o:lock v:ext="edit" aspectratio="f"/>
                    </v:shape>
                  </w:pict>
                </mc:Fallback>
              </mc:AlternateContent>
            </w:r>
            <w:r>
              <w:rPr>
                <w:color w:val="000000" w:themeColor="text1"/>
                <w:sz w:val="28"/>
                <w:highlight w:val="none"/>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2040890</wp:posOffset>
                      </wp:positionH>
                      <wp:positionV relativeFrom="paragraph">
                        <wp:posOffset>173355</wp:posOffset>
                      </wp:positionV>
                      <wp:extent cx="494030" cy="273050"/>
                      <wp:effectExtent l="9525" t="9525" r="14605" b="22225"/>
                      <wp:wrapNone/>
                      <wp:docPr id="17" name="文本框 3188"/>
                      <wp:cNvGraphicFramePr/>
                      <a:graphic xmlns:a="http://schemas.openxmlformats.org/drawingml/2006/main">
                        <a:graphicData uri="http://schemas.microsoft.com/office/word/2010/wordprocessingShape">
                          <wps:wsp>
                            <wps:cNvSpPr txBox="1"/>
                            <wps:spPr>
                              <a:xfrm>
                                <a:off x="0" y="0"/>
                                <a:ext cx="494030" cy="273050"/>
                              </a:xfrm>
                              <a:prstGeom prst="rect">
                                <a:avLst/>
                              </a:prstGeom>
                              <a:solidFill>
                                <a:srgbClr val="FFFFFF"/>
                              </a:solidFill>
                              <a:ln w="19050" cap="flat" cmpd="sng">
                                <a:solidFill>
                                  <a:srgbClr val="000000"/>
                                </a:solidFill>
                                <a:prstDash val="solid"/>
                                <a:miter/>
                                <a:headEnd type="none" w="med" len="med"/>
                                <a:tailEnd type="none" w="med" len="med"/>
                              </a:ln>
                            </wps:spPr>
                            <wps:txbx>
                              <w:txbxContent>
                                <w:p w14:paraId="4EF9A5A5">
                                  <w:r>
                                    <w:rPr>
                                      <w:rFonts w:hint="eastAsia"/>
                                    </w:rPr>
                                    <w:t>焙烧</w:t>
                                  </w:r>
                                </w:p>
                              </w:txbxContent>
                            </wps:txbx>
                            <wps:bodyPr upright="1"/>
                          </wps:wsp>
                        </a:graphicData>
                      </a:graphic>
                    </wp:anchor>
                  </w:drawing>
                </mc:Choice>
                <mc:Fallback>
                  <w:pict>
                    <v:shape id="文本框 3188" o:spid="_x0000_s1026" o:spt="202" type="#_x0000_t202" style="position:absolute;left:0pt;margin-left:160.7pt;margin-top:13.65pt;height:21.5pt;width:38.9pt;z-index:251670528;mso-width-relative:page;mso-height-relative:page;" fillcolor="#FFFFFF" filled="t" stroked="t" coordsize="21600,21600" o:gfxdata="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9buw3XAAAACQEAAA8AAAAAAAAAAQAg&#10;AAAAIgAAAGRycy9kb3ducmV2LnhtbFBLAQIUABQAAAAIAIdO4kBptDJdDwIAADoEAAAOAAAAAAAA&#10;AAEAIAAAACYBAABkcnMvZTJvRG9jLnhtbFBLBQYAAAAABgAGAFkBAACnBQAAAAA=&#10;">
                      <v:fill on="t" focussize="0,0"/>
                      <v:stroke weight="1.5pt" color="#000000" joinstyle="miter"/>
                      <v:imagedata o:title=""/>
                      <o:lock v:ext="edit" aspectratio="f"/>
                      <v:textbox>
                        <w:txbxContent>
                          <w:p w14:paraId="4EF9A5A5">
                            <w:r>
                              <w:rPr>
                                <w:rFonts w:hint="eastAsia"/>
                              </w:rPr>
                              <w:t>焙烧</w:t>
                            </w:r>
                          </w:p>
                        </w:txbxContent>
                      </v:textbox>
                    </v:shape>
                  </w:pict>
                </mc:Fallback>
              </mc:AlternateContent>
            </w:r>
          </w:p>
          <w:p w14:paraId="451B34B7">
            <w:pPr>
              <w:tabs>
                <w:tab w:val="left" w:pos="4788"/>
              </w:tabs>
              <w:topLinePunct/>
              <w:spacing w:beforeLines="50" w:line="360" w:lineRule="auto"/>
              <w:rPr>
                <w:b/>
                <w:bCs/>
                <w:color w:val="000000" w:themeColor="text1"/>
                <w:highlight w:val="none"/>
                <w14:textFill>
                  <w14:solidFill>
                    <w14:schemeClr w14:val="tx1"/>
                  </w14:solidFill>
                </w14:textFill>
              </w:rPr>
            </w:pPr>
            <w:r>
              <w:rPr>
                <w:color w:val="000000" w:themeColor="text1"/>
                <w:szCs w:val="21"/>
                <w:highlight w:val="none"/>
                <w14:textFill>
                  <w14:solidFill>
                    <w14:schemeClr w14:val="tx1"/>
                  </w14:solidFill>
                </w14:textFill>
              </w:rPr>
              <mc:AlternateContent>
                <mc:Choice Requires="wps">
                  <w:drawing>
                    <wp:anchor distT="0" distB="0" distL="114300" distR="114300" simplePos="0" relativeHeight="251797504" behindDoc="0" locked="0" layoutInCell="1" allowOverlap="1">
                      <wp:simplePos x="0" y="0"/>
                      <wp:positionH relativeFrom="column">
                        <wp:posOffset>875665</wp:posOffset>
                      </wp:positionH>
                      <wp:positionV relativeFrom="paragraph">
                        <wp:posOffset>209550</wp:posOffset>
                      </wp:positionV>
                      <wp:extent cx="690880" cy="261620"/>
                      <wp:effectExtent l="4445" t="4445" r="5715" b="8255"/>
                      <wp:wrapNone/>
                      <wp:docPr id="141" name="文本框 3312"/>
                      <wp:cNvGraphicFramePr/>
                      <a:graphic xmlns:a="http://schemas.openxmlformats.org/drawingml/2006/main">
                        <a:graphicData uri="http://schemas.microsoft.com/office/word/2010/wordprocessingShape">
                          <wps:wsp>
                            <wps:cNvSpPr txBox="1"/>
                            <wps:spPr>
                              <a:xfrm>
                                <a:off x="0" y="0"/>
                                <a:ext cx="690880" cy="2616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8DAF9F">
                                  <w:pPr>
                                    <w:ind w:left="-105" w:leftChars="-50" w:right="-105" w:rightChars="-50" w:firstLine="102" w:firstLineChars="49"/>
                                    <w:rPr>
                                      <w:szCs w:val="21"/>
                                    </w:rPr>
                                  </w:pPr>
                                  <w:r>
                                    <w:rPr>
                                      <w:rFonts w:hint="eastAsia"/>
                                      <w:szCs w:val="21"/>
                                    </w:rPr>
                                    <w:t>窑车吹扫</w:t>
                                  </w:r>
                                </w:p>
                              </w:txbxContent>
                            </wps:txbx>
                            <wps:bodyPr upright="1"/>
                          </wps:wsp>
                        </a:graphicData>
                      </a:graphic>
                    </wp:anchor>
                  </w:drawing>
                </mc:Choice>
                <mc:Fallback>
                  <w:pict>
                    <v:shape id="文本框 3312" o:spid="_x0000_s1026" o:spt="202" type="#_x0000_t202" style="position:absolute;left:0pt;margin-left:68.95pt;margin-top:16.5pt;height:20.6pt;width:54.4pt;z-index:251797504;mso-width-relative:page;mso-height-relative:page;" fillcolor="#FFFFFF" filled="t" stroked="t" coordsize="21600,21600" o:gfxdata="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183hA9gAAAAJAQAADwAAAAAAAAAB&#10;ACAAAAAiAAAAZHJzL2Rvd25yZXYueG1sUEsBAhQAFAAAAAgAh07iQFzeFo0QAgAAOgQAAA4AAAAA&#10;AAAAAQAgAAAAJwEAAGRycy9lMm9Eb2MueG1sUEsFBgAAAAAGAAYAWQEAAKkFAAAAAA==&#10;">
                      <v:fill on="t" focussize="0,0"/>
                      <v:stroke color="#000000" joinstyle="miter"/>
                      <v:imagedata o:title=""/>
                      <o:lock v:ext="edit" aspectratio="f"/>
                      <v:textbox>
                        <w:txbxContent>
                          <w:p w14:paraId="768DAF9F">
                            <w:pPr>
                              <w:ind w:left="-105" w:leftChars="-50" w:right="-105" w:rightChars="-50" w:firstLine="102" w:firstLineChars="49"/>
                              <w:rPr>
                                <w:szCs w:val="21"/>
                              </w:rPr>
                            </w:pPr>
                            <w:r>
                              <w:rPr>
                                <w:rFonts w:hint="eastAsia"/>
                                <w:szCs w:val="21"/>
                              </w:rPr>
                              <w:t>窑车吹扫</w:t>
                            </w:r>
                          </w:p>
                        </w:txbxContent>
                      </v:textbox>
                    </v:shape>
                  </w:pict>
                </mc:Fallback>
              </mc:AlternateContent>
            </w:r>
            <w:r>
              <w:rPr>
                <w:rFonts w:hAnsi="宋体"/>
                <w:color w:val="000000" w:themeColor="text1"/>
                <w:sz w:val="28"/>
                <w:highlight w:val="none"/>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2265045</wp:posOffset>
                      </wp:positionH>
                      <wp:positionV relativeFrom="paragraph">
                        <wp:posOffset>138430</wp:posOffset>
                      </wp:positionV>
                      <wp:extent cx="0" cy="334645"/>
                      <wp:effectExtent l="38100" t="0" r="38100" b="635"/>
                      <wp:wrapNone/>
                      <wp:docPr id="19" name="自选图形 3190"/>
                      <wp:cNvGraphicFramePr/>
                      <a:graphic xmlns:a="http://schemas.openxmlformats.org/drawingml/2006/main">
                        <a:graphicData uri="http://schemas.microsoft.com/office/word/2010/wordprocessingShape">
                          <wps:wsp>
                            <wps:cNvCnPr/>
                            <wps:spPr>
                              <a:xfrm>
                                <a:off x="0" y="0"/>
                                <a:ext cx="0" cy="3346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190" o:spid="_x0000_s1026" o:spt="32" type="#_x0000_t32" style="position:absolute;left:0pt;margin-left:178.35pt;margin-top:10.9pt;height:26.35pt;width:0pt;z-index:251672576;mso-width-relative:page;mso-height-relative:page;" filled="f" stroked="t" coordsize="21600,21600" o:gfxdata="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JWNOdgAAAAJAQAADwAAAAAAAAABACAAAAAiAAAAZHJzL2Rvd25yZXYu&#10;eG1sUEsBAhQAFAAAAAgAh07iQMuPD6D7AQAA6gMAAA4AAAAAAAAAAQAgAAAAJwEAAGRycy9lMm9E&#10;b2MueG1sUEsFBgAAAAAGAAYAWQEAAJQFAAAAAA==&#10;">
                      <v:fill on="f" focussize="0,0"/>
                      <v:stroke color="#000000" joinstyle="round" endarrow="block"/>
                      <v:imagedata o:title=""/>
                      <o:lock v:ext="edit" aspectratio="f"/>
                    </v:shape>
                  </w:pict>
                </mc:Fallback>
              </mc:AlternateContent>
            </w:r>
          </w:p>
          <w:p w14:paraId="7DDC7956">
            <w:pPr>
              <w:tabs>
                <w:tab w:val="left" w:pos="4788"/>
              </w:tabs>
              <w:topLinePunct/>
              <w:spacing w:beforeLines="50" w:line="360" w:lineRule="auto"/>
              <w:rPr>
                <w:b/>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803648" behindDoc="0" locked="0" layoutInCell="1" allowOverlap="1">
                      <wp:simplePos x="0" y="0"/>
                      <wp:positionH relativeFrom="column">
                        <wp:posOffset>2892425</wp:posOffset>
                      </wp:positionH>
                      <wp:positionV relativeFrom="paragraph">
                        <wp:posOffset>167005</wp:posOffset>
                      </wp:positionV>
                      <wp:extent cx="521970" cy="338455"/>
                      <wp:effectExtent l="0" t="0" r="0" b="0"/>
                      <wp:wrapNone/>
                      <wp:docPr id="147" name="文本框 3491"/>
                      <wp:cNvGraphicFramePr/>
                      <a:graphic xmlns:a="http://schemas.openxmlformats.org/drawingml/2006/main">
                        <a:graphicData uri="http://schemas.microsoft.com/office/word/2010/wordprocessingShape">
                          <wps:wsp>
                            <wps:cNvSpPr txBox="1"/>
                            <wps:spPr>
                              <a:xfrm>
                                <a:off x="0" y="0"/>
                                <a:ext cx="521970" cy="338455"/>
                              </a:xfrm>
                              <a:prstGeom prst="rect">
                                <a:avLst/>
                              </a:prstGeom>
                              <a:noFill/>
                              <a:ln>
                                <a:noFill/>
                              </a:ln>
                            </wps:spPr>
                            <wps:txbx>
                              <w:txbxContent>
                                <w:p w14:paraId="79C44DA9">
                                  <w:r>
                                    <w:rPr>
                                      <w:rFonts w:hint="eastAsia"/>
                                      <w:highlight w:val="lightGray"/>
                                    </w:rPr>
                                    <w:t>S2</w:t>
                                  </w:r>
                                </w:p>
                              </w:txbxContent>
                            </wps:txbx>
                            <wps:bodyPr upright="1"/>
                          </wps:wsp>
                        </a:graphicData>
                      </a:graphic>
                    </wp:anchor>
                  </w:drawing>
                </mc:Choice>
                <mc:Fallback>
                  <w:pict>
                    <v:shape id="文本框 3491" o:spid="_x0000_s1026" o:spt="202" type="#_x0000_t202" style="position:absolute;left:0pt;margin-left:227.75pt;margin-top:13.15pt;height:26.65pt;width:41.1pt;z-index:251803648;mso-width-relative:page;mso-height-relative:page;" filled="f" stroked="f" coordsize="21600,21600" o:gfxdata="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zNjPl&#10;1wAAAAkBAAAPAAAAAAAAAAEAIAAAACIAAABkcnMvZG93bnJldi54bWxQSwECFAAUAAAACACHTuJA&#10;+7c0GbABAABSAwAADgAAAAAAAAABACAAAAAmAQAAZHJzL2Uyb0RvYy54bWxQSwUGAAAAAAYABgBZ&#10;AQAASAUAAAAA&#10;">
                      <v:fill on="f" focussize="0,0"/>
                      <v:stroke on="f"/>
                      <v:imagedata o:title=""/>
                      <o:lock v:ext="edit" aspectratio="f"/>
                      <v:textbox>
                        <w:txbxContent>
                          <w:p w14:paraId="79C44DA9">
                            <w:r>
                              <w:rPr>
                                <w:rFonts w:hint="eastAsia"/>
                                <w:highlight w:val="lightGray"/>
                              </w:rPr>
                              <w:t>S2</w:t>
                            </w:r>
                          </w:p>
                        </w:txbxContent>
                      </v:textbox>
                    </v:shape>
                  </w:pict>
                </mc:Fallback>
              </mc:AlternateContent>
            </w:r>
            <w:r>
              <w:rPr>
                <w:color w:val="000000" w:themeColor="text1"/>
                <w:highlight w:val="none"/>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2038350</wp:posOffset>
                      </wp:positionH>
                      <wp:positionV relativeFrom="paragraph">
                        <wp:posOffset>165100</wp:posOffset>
                      </wp:positionV>
                      <wp:extent cx="499745" cy="260985"/>
                      <wp:effectExtent l="4445" t="4445" r="13970" b="8890"/>
                      <wp:wrapNone/>
                      <wp:docPr id="35" name="文本框 3206"/>
                      <wp:cNvGraphicFramePr/>
                      <a:graphic xmlns:a="http://schemas.openxmlformats.org/drawingml/2006/main">
                        <a:graphicData uri="http://schemas.microsoft.com/office/word/2010/wordprocessingShape">
                          <wps:wsp>
                            <wps:cNvSpPr txBox="1"/>
                            <wps:spPr>
                              <a:xfrm>
                                <a:off x="0" y="0"/>
                                <a:ext cx="499745" cy="2609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D8408C">
                                  <w:pPr>
                                    <w:ind w:left="-105" w:leftChars="-50" w:right="-105" w:rightChars="-50"/>
                                    <w:jc w:val="center"/>
                                  </w:pPr>
                                  <w:r>
                                    <w:rPr>
                                      <w:rFonts w:hint="eastAsia"/>
                                    </w:rPr>
                                    <w:t>检验</w:t>
                                  </w:r>
                                </w:p>
                              </w:txbxContent>
                            </wps:txbx>
                            <wps:bodyPr upright="1"/>
                          </wps:wsp>
                        </a:graphicData>
                      </a:graphic>
                    </wp:anchor>
                  </w:drawing>
                </mc:Choice>
                <mc:Fallback>
                  <w:pict>
                    <v:shape id="文本框 3206" o:spid="_x0000_s1026" o:spt="202" type="#_x0000_t202" style="position:absolute;left:0pt;margin-left:160.5pt;margin-top:13pt;height:20.55pt;width:39.35pt;z-index:251688960;mso-width-relative:page;mso-height-relative:page;" fillcolor="#FFFFFF" filled="t" stroked="t" coordsize="21600,21600" o:gfxdata="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MMiku2QAAAAkBAAAPAAAAAAAAAAEA&#10;IAAAACIAAABkcnMvZG93bnJldi54bWxQSwECFAAUAAAACACHTuJARYfQgg4CAAA5BAAADgAAAAAA&#10;AAABACAAAAAoAQAAZHJzL2Uyb0RvYy54bWxQSwUGAAAAAAYABgBZAQAAqAUAAAAA&#10;">
                      <v:fill on="t" focussize="0,0"/>
                      <v:stroke color="#000000" joinstyle="miter"/>
                      <v:imagedata o:title=""/>
                      <o:lock v:ext="edit" aspectratio="f"/>
                      <v:textbox>
                        <w:txbxContent>
                          <w:p w14:paraId="68D8408C">
                            <w:pPr>
                              <w:ind w:left="-105" w:leftChars="-50" w:right="-105" w:rightChars="-50"/>
                              <w:jc w:val="center"/>
                            </w:pPr>
                            <w:r>
                              <w:rPr>
                                <w:rFonts w:hint="eastAsia"/>
                              </w:rPr>
                              <w:t>检验</w:t>
                            </w:r>
                          </w:p>
                        </w:txbxContent>
                      </v:textbox>
                    </v:shape>
                  </w:pict>
                </mc:Fallback>
              </mc:AlternateContent>
            </w:r>
          </w:p>
          <w:p w14:paraId="1F46F573">
            <w:pPr>
              <w:tabs>
                <w:tab w:val="left" w:pos="4788"/>
              </w:tabs>
              <w:topLinePunct/>
              <w:spacing w:beforeLines="50" w:line="360" w:lineRule="auto"/>
              <w:rPr>
                <w:b/>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802624" behindDoc="0" locked="0" layoutInCell="1" allowOverlap="1">
                      <wp:simplePos x="0" y="0"/>
                      <wp:positionH relativeFrom="column">
                        <wp:posOffset>2540000</wp:posOffset>
                      </wp:positionH>
                      <wp:positionV relativeFrom="paragraph">
                        <wp:posOffset>-3810</wp:posOffset>
                      </wp:positionV>
                      <wp:extent cx="360045" cy="0"/>
                      <wp:effectExtent l="0" t="63500" r="5715" b="73660"/>
                      <wp:wrapNone/>
                      <wp:docPr id="146" name="自选图形 3490"/>
                      <wp:cNvGraphicFramePr/>
                      <a:graphic xmlns:a="http://schemas.openxmlformats.org/drawingml/2006/main">
                        <a:graphicData uri="http://schemas.microsoft.com/office/word/2010/wordprocessingShape">
                          <wps:wsp>
                            <wps:cNvCnPr/>
                            <wps:spPr>
                              <a:xfrm>
                                <a:off x="0" y="0"/>
                                <a:ext cx="360045" cy="0"/>
                              </a:xfrm>
                              <a:prstGeom prst="straightConnector1">
                                <a:avLst/>
                              </a:prstGeom>
                              <a:ln w="15875" cap="flat" cmpd="sng">
                                <a:solidFill>
                                  <a:srgbClr val="000000"/>
                                </a:solidFill>
                                <a:prstDash val="sysDot"/>
                                <a:headEnd type="none" w="med" len="med"/>
                                <a:tailEnd type="stealth" w="lg" len="lg"/>
                              </a:ln>
                            </wps:spPr>
                            <wps:bodyPr/>
                          </wps:wsp>
                        </a:graphicData>
                      </a:graphic>
                    </wp:anchor>
                  </w:drawing>
                </mc:Choice>
                <mc:Fallback>
                  <w:pict>
                    <v:shape id="自选图形 3490" o:spid="_x0000_s1026" o:spt="32" type="#_x0000_t32" style="position:absolute;left:0pt;margin-left:200pt;margin-top:-0.3pt;height:0pt;width:28.35pt;z-index:251802624;mso-width-relative:page;mso-height-relative:page;" filled="f" stroked="t" coordsize="21600,21600" o:gfxdata="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iLb4s1gAAAAcBAAAPAAAAAAAAAAEAIAAAACIAAABkcnMv&#10;ZG93bnJldi54bWxQSwECFAAUAAAACACHTuJADAr7UwUCAADqAwAADgAAAAAAAAABACAAAAAlAQAA&#10;ZHJzL2Uyb0RvYy54bWxQSwUGAAAAAAYABgBZAQAAnAUAAAAA&#10;">
                      <v:fill on="f" focussize="0,0"/>
                      <v:stroke weight="1.25pt" color="#000000" joinstyle="round" dashstyle="1 1" endarrow="classic" endarrowwidth="wide" endarrowlength="long"/>
                      <v:imagedata o:title=""/>
                      <o:lock v:ext="edit" aspectratio="f"/>
                    </v:shape>
                  </w:pict>
                </mc:Fallback>
              </mc:AlternateContent>
            </w:r>
            <w:r>
              <w:rPr>
                <w:b/>
                <w:bCs/>
                <w:color w:val="000000" w:themeColor="text1"/>
                <w:highlight w:val="none"/>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2265045</wp:posOffset>
                      </wp:positionH>
                      <wp:positionV relativeFrom="paragraph">
                        <wp:posOffset>118110</wp:posOffset>
                      </wp:positionV>
                      <wp:extent cx="6350" cy="260985"/>
                      <wp:effectExtent l="33655" t="0" r="36195" b="13335"/>
                      <wp:wrapNone/>
                      <wp:docPr id="36" name="自选图形 3207"/>
                      <wp:cNvGraphicFramePr/>
                      <a:graphic xmlns:a="http://schemas.openxmlformats.org/drawingml/2006/main">
                        <a:graphicData uri="http://schemas.microsoft.com/office/word/2010/wordprocessingShape">
                          <wps:wsp>
                            <wps:cNvCnPr/>
                            <wps:spPr>
                              <a:xfrm>
                                <a:off x="0" y="0"/>
                                <a:ext cx="6350" cy="2609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207" o:spid="_x0000_s1026" o:spt="32" type="#_x0000_t32" style="position:absolute;left:0pt;margin-left:178.35pt;margin-top:9.3pt;height:20.55pt;width:0.5pt;z-index:251689984;mso-width-relative:page;mso-height-relative:page;" filled="f" stroked="t" coordsize="21600,21600" o:gfxdata="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slce22gAAAAkBAAAPAAAAAAAAAAEAIAAAACIAAABkcnMv&#10;ZG93bnJldi54bWxQSwECFAAUAAAACACHTuJAbo2h8gECAADtAwAADgAAAAAAAAABACAAAAApAQAA&#10;ZHJzL2Uyb0RvYy54bWxQSwUGAAAAAAYABgBZAQAAnAUAAAAA&#10;">
                      <v:fill on="f" focussize="0,0"/>
                      <v:stroke color="#000000" joinstyle="round" endarrow="block"/>
                      <v:imagedata o:title=""/>
                      <o:lock v:ext="edit" aspectratio="f"/>
                    </v:shape>
                  </w:pict>
                </mc:Fallback>
              </mc:AlternateContent>
            </w:r>
          </w:p>
          <w:p w14:paraId="6EFAFB3B">
            <w:pPr>
              <w:pStyle w:val="52"/>
              <w:spacing w:line="480" w:lineRule="exact"/>
              <w:jc w:val="left"/>
              <w:rPr>
                <w:color w:val="000000" w:themeColor="text1"/>
                <w:sz w:val="24"/>
                <w:highlight w:val="none"/>
                <w14:textFill>
                  <w14:solidFill>
                    <w14:schemeClr w14:val="tx1"/>
                  </w14:solidFill>
                </w14:textFill>
              </w:rPr>
            </w:pPr>
            <w:r>
              <w:rPr>
                <w:rFonts w:hAnsi="宋体"/>
                <w:color w:val="000000" w:themeColor="text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2038350</wp:posOffset>
                      </wp:positionH>
                      <wp:positionV relativeFrom="paragraph">
                        <wp:posOffset>40005</wp:posOffset>
                      </wp:positionV>
                      <wp:extent cx="595630" cy="264795"/>
                      <wp:effectExtent l="0" t="0" r="0" b="0"/>
                      <wp:wrapNone/>
                      <wp:docPr id="9" name="文本框 3180"/>
                      <wp:cNvGraphicFramePr/>
                      <a:graphic xmlns:a="http://schemas.openxmlformats.org/drawingml/2006/main">
                        <a:graphicData uri="http://schemas.microsoft.com/office/word/2010/wordprocessingShape">
                          <wps:wsp>
                            <wps:cNvSpPr txBox="1"/>
                            <wps:spPr>
                              <a:xfrm>
                                <a:off x="0" y="0"/>
                                <a:ext cx="595630" cy="264795"/>
                              </a:xfrm>
                              <a:prstGeom prst="rect">
                                <a:avLst/>
                              </a:prstGeom>
                              <a:noFill/>
                              <a:ln>
                                <a:noFill/>
                              </a:ln>
                            </wps:spPr>
                            <wps:txbx>
                              <w:txbxContent>
                                <w:p w14:paraId="03A15A04">
                                  <w:r>
                                    <w:rPr>
                                      <w:rFonts w:hint="eastAsia"/>
                                    </w:rPr>
                                    <w:t>成品</w:t>
                                  </w:r>
                                </w:p>
                              </w:txbxContent>
                            </wps:txbx>
                            <wps:bodyPr upright="1"/>
                          </wps:wsp>
                        </a:graphicData>
                      </a:graphic>
                    </wp:anchor>
                  </w:drawing>
                </mc:Choice>
                <mc:Fallback>
                  <w:pict>
                    <v:shape id="文本框 3180" o:spid="_x0000_s1026" o:spt="202" type="#_x0000_t202" style="position:absolute;left:0pt;margin-left:160.5pt;margin-top:3.15pt;height:20.85pt;width:46.9pt;z-index:251662336;mso-width-relative:page;mso-height-relative:page;" filled="f" stroked="f" coordsize="21600,21600" o:gfxdata="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BLNArVAAAA&#10;CAEAAA8AAAAAAAAAAQAgAAAAIgAAAGRycy9kb3ducmV2LnhtbFBLAQIUABQAAAAIAIdO4kA1MMtM&#10;rgEAAFADAAAOAAAAAAAAAAEAIAAAACQBAABkcnMvZTJvRG9jLnhtbFBLBQYAAAAABgAGAFkBAABE&#10;BQAAAAA=&#10;">
                      <v:fill on="f" focussize="0,0"/>
                      <v:stroke on="f"/>
                      <v:imagedata o:title=""/>
                      <o:lock v:ext="edit" aspectratio="f"/>
                      <v:textbox>
                        <w:txbxContent>
                          <w:p w14:paraId="03A15A04">
                            <w:r>
                              <w:rPr>
                                <w:rFonts w:hint="eastAsia"/>
                              </w:rPr>
                              <w:t>成品</w:t>
                            </w:r>
                          </w:p>
                        </w:txbxContent>
                      </v:textbox>
                    </v:shape>
                  </w:pict>
                </mc:Fallback>
              </mc:AlternateContent>
            </w:r>
          </w:p>
          <w:p w14:paraId="1FE8405B">
            <w:pPr>
              <w:adjustRightInd w:val="0"/>
              <w:snapToGrid w:val="0"/>
              <w:spacing w:line="48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图</w:t>
            </w:r>
            <w:r>
              <w:rPr>
                <w:rFonts w:hint="eastAsia"/>
                <w:b/>
                <w:color w:val="000000" w:themeColor="text1"/>
                <w:sz w:val="24"/>
                <w:highlight w:val="none"/>
                <w14:textFill>
                  <w14:solidFill>
                    <w14:schemeClr w14:val="tx1"/>
                  </w14:solidFill>
                </w14:textFill>
              </w:rPr>
              <w:t>2-3生产</w:t>
            </w:r>
            <w:r>
              <w:rPr>
                <w:b/>
                <w:color w:val="000000" w:themeColor="text1"/>
                <w:sz w:val="24"/>
                <w:highlight w:val="none"/>
                <w14:textFill>
                  <w14:solidFill>
                    <w14:schemeClr w14:val="tx1"/>
                  </w14:solidFill>
                </w14:textFill>
              </w:rPr>
              <w:t>工艺流程及产排污节点图</w:t>
            </w:r>
          </w:p>
          <w:p w14:paraId="64FA105F">
            <w:pPr>
              <w:spacing w:line="480" w:lineRule="exact"/>
              <w:ind w:firstLine="480" w:firstLineChars="200"/>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本项目产排污情况及治理设施一览表见表2-2</w:t>
            </w:r>
            <w:r>
              <w:rPr>
                <w:rFonts w:hint="eastAsia" w:cs="宋体"/>
                <w:color w:val="000000" w:themeColor="text1"/>
                <w:kern w:val="0"/>
                <w:sz w:val="24"/>
                <w:highlight w:val="none"/>
                <w:lang w:val="en-US" w:eastAsia="zh-CN"/>
                <w14:textFill>
                  <w14:solidFill>
                    <w14:schemeClr w14:val="tx1"/>
                  </w14:solidFill>
                </w14:textFill>
              </w:rPr>
              <w:t>8</w:t>
            </w:r>
            <w:r>
              <w:rPr>
                <w:rFonts w:hint="eastAsia" w:cs="宋体"/>
                <w:color w:val="000000" w:themeColor="text1"/>
                <w:kern w:val="0"/>
                <w:sz w:val="24"/>
                <w:highlight w:val="none"/>
                <w14:textFill>
                  <w14:solidFill>
                    <w14:schemeClr w14:val="tx1"/>
                  </w14:solidFill>
                </w14:textFill>
              </w:rPr>
              <w:t>。</w:t>
            </w:r>
          </w:p>
          <w:p w14:paraId="4DFC575E">
            <w:pPr>
              <w:spacing w:line="560" w:lineRule="exact"/>
              <w:ind w:firstLine="1077" w:firstLineChars="449"/>
              <w:rPr>
                <w:rFonts w:ascii="黑体" w:hAnsi="黑体" w:eastAsia="黑体" w:cs="宋体"/>
                <w:color w:val="000000" w:themeColor="text1"/>
                <w:kern w:val="0"/>
                <w:sz w:val="24"/>
                <w:highlight w:val="none"/>
                <w14:textFill>
                  <w14:solidFill>
                    <w14:schemeClr w14:val="tx1"/>
                  </w14:solidFill>
                </w14:textFill>
              </w:rPr>
            </w:pPr>
            <w:r>
              <w:rPr>
                <w:rFonts w:hint="eastAsia" w:ascii="黑体" w:hAnsi="黑体" w:eastAsia="黑体" w:cs="宋体"/>
                <w:color w:val="000000" w:themeColor="text1"/>
                <w:kern w:val="0"/>
                <w:sz w:val="24"/>
                <w:highlight w:val="none"/>
                <w14:textFill>
                  <w14:solidFill>
                    <w14:schemeClr w14:val="tx1"/>
                  </w14:solidFill>
                </w14:textFill>
              </w:rPr>
              <w:t>表2-2</w:t>
            </w:r>
            <w:r>
              <w:rPr>
                <w:rFonts w:hint="eastAsia" w:ascii="黑体" w:hAnsi="黑体" w:eastAsia="黑体" w:cs="宋体"/>
                <w:color w:val="000000" w:themeColor="text1"/>
                <w:kern w:val="0"/>
                <w:sz w:val="24"/>
                <w:highlight w:val="none"/>
                <w:lang w:val="en-US" w:eastAsia="zh-CN"/>
                <w14:textFill>
                  <w14:solidFill>
                    <w14:schemeClr w14:val="tx1"/>
                  </w14:solidFill>
                </w14:textFill>
              </w:rPr>
              <w:t>8</w:t>
            </w:r>
            <w:r>
              <w:rPr>
                <w:rFonts w:hint="eastAsia" w:ascii="黑体" w:hAnsi="黑体" w:eastAsia="黑体" w:cs="宋体"/>
                <w:color w:val="000000" w:themeColor="text1"/>
                <w:kern w:val="0"/>
                <w:sz w:val="24"/>
                <w:highlight w:val="none"/>
                <w14:textFill>
                  <w14:solidFill>
                    <w14:schemeClr w14:val="tx1"/>
                  </w14:solidFill>
                </w14:textFill>
              </w:rPr>
              <w:t xml:space="preserve">         本项目产排污情况及治理设施一览表</w:t>
            </w:r>
          </w:p>
          <w:tbl>
            <w:tblPr>
              <w:tblStyle w:val="24"/>
              <w:tblW w:w="8854"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422"/>
              <w:gridCol w:w="434"/>
              <w:gridCol w:w="1276"/>
              <w:gridCol w:w="1842"/>
              <w:gridCol w:w="567"/>
              <w:gridCol w:w="567"/>
              <w:gridCol w:w="3746"/>
            </w:tblGrid>
            <w:tr w14:paraId="5BEAF9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tcBorders>
                    <w:top w:val="single" w:color="000000" w:sz="12" w:space="0"/>
                    <w:tl2br w:val="nil"/>
                    <w:tr2bl w:val="nil"/>
                  </w:tcBorders>
                  <w:vAlign w:val="center"/>
                </w:tcPr>
                <w:p w14:paraId="5CCF362C">
                  <w:pPr>
                    <w:pStyle w:val="53"/>
                    <w:ind w:left="-105" w:leftChars="-50" w:right="-105" w:rightChars="-50"/>
                    <w:jc w:val="center"/>
                    <w:rPr>
                      <w:caps/>
                      <w:color w:val="000000" w:themeColor="text1"/>
                      <w:spacing w:val="-4"/>
                      <w:sz w:val="18"/>
                      <w:szCs w:val="18"/>
                      <w:highlight w:val="none"/>
                      <w14:textFill>
                        <w14:solidFill>
                          <w14:schemeClr w14:val="tx1"/>
                        </w14:solidFill>
                      </w14:textFill>
                    </w:rPr>
                  </w:pPr>
                  <w:r>
                    <w:rPr>
                      <w:caps/>
                      <w:color w:val="000000" w:themeColor="text1"/>
                      <w:spacing w:val="-4"/>
                      <w:sz w:val="18"/>
                      <w:szCs w:val="18"/>
                      <w:highlight w:val="none"/>
                      <w14:textFill>
                        <w14:solidFill>
                          <w14:schemeClr w14:val="tx1"/>
                        </w14:solidFill>
                      </w14:textFill>
                    </w:rPr>
                    <w:t>类别</w:t>
                  </w:r>
                </w:p>
              </w:tc>
              <w:tc>
                <w:tcPr>
                  <w:tcW w:w="434" w:type="dxa"/>
                  <w:tcBorders>
                    <w:top w:val="single" w:color="000000" w:sz="12" w:space="0"/>
                    <w:tl2br w:val="nil"/>
                    <w:tr2bl w:val="nil"/>
                  </w:tcBorders>
                  <w:vAlign w:val="center"/>
                </w:tcPr>
                <w:p w14:paraId="280F6FDB">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序号</w:t>
                  </w:r>
                </w:p>
              </w:tc>
              <w:tc>
                <w:tcPr>
                  <w:tcW w:w="1276" w:type="dxa"/>
                  <w:tcBorders>
                    <w:top w:val="single" w:color="000000" w:sz="12" w:space="0"/>
                    <w:tl2br w:val="nil"/>
                    <w:tr2bl w:val="nil"/>
                  </w:tcBorders>
                  <w:vAlign w:val="center"/>
                </w:tcPr>
                <w:p w14:paraId="19924430">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产生点</w:t>
                  </w:r>
                </w:p>
              </w:tc>
              <w:tc>
                <w:tcPr>
                  <w:tcW w:w="1842" w:type="dxa"/>
                  <w:tcBorders>
                    <w:top w:val="single" w:color="000000" w:sz="12" w:space="0"/>
                    <w:tl2br w:val="nil"/>
                    <w:tr2bl w:val="nil"/>
                  </w:tcBorders>
                  <w:vAlign w:val="center"/>
                </w:tcPr>
                <w:p w14:paraId="2BF2E41C">
                  <w:pPr>
                    <w:pStyle w:val="53"/>
                    <w:ind w:left="-105" w:leftChars="-50" w:right="-105" w:rightChars="-50"/>
                    <w:jc w:val="center"/>
                    <w:rPr>
                      <w:caps/>
                      <w:color w:val="000000" w:themeColor="text1"/>
                      <w:spacing w:val="-12"/>
                      <w:sz w:val="18"/>
                      <w:szCs w:val="18"/>
                      <w:highlight w:val="none"/>
                      <w14:textFill>
                        <w14:solidFill>
                          <w14:schemeClr w14:val="tx1"/>
                        </w14:solidFill>
                      </w14:textFill>
                    </w:rPr>
                  </w:pPr>
                  <w:r>
                    <w:rPr>
                      <w:caps/>
                      <w:color w:val="000000" w:themeColor="text1"/>
                      <w:spacing w:val="-12"/>
                      <w:sz w:val="18"/>
                      <w:szCs w:val="18"/>
                      <w:highlight w:val="none"/>
                      <w14:textFill>
                        <w14:solidFill>
                          <w14:schemeClr w14:val="tx1"/>
                        </w14:solidFill>
                      </w14:textFill>
                    </w:rPr>
                    <w:t>主要污染因子</w:t>
                  </w:r>
                </w:p>
              </w:tc>
              <w:tc>
                <w:tcPr>
                  <w:tcW w:w="567" w:type="dxa"/>
                  <w:tcBorders>
                    <w:top w:val="single" w:color="000000" w:sz="12" w:space="0"/>
                    <w:tl2br w:val="nil"/>
                    <w:tr2bl w:val="nil"/>
                  </w:tcBorders>
                  <w:vAlign w:val="center"/>
                </w:tcPr>
                <w:p w14:paraId="6A730F0F">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产生</w:t>
                  </w:r>
                </w:p>
                <w:p w14:paraId="37862BF5">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特征</w:t>
                  </w:r>
                </w:p>
              </w:tc>
              <w:tc>
                <w:tcPr>
                  <w:tcW w:w="567" w:type="dxa"/>
                  <w:tcBorders>
                    <w:top w:val="single" w:color="000000" w:sz="12" w:space="0"/>
                    <w:tl2br w:val="nil"/>
                    <w:tr2bl w:val="nil"/>
                  </w:tcBorders>
                  <w:vAlign w:val="center"/>
                </w:tcPr>
                <w:p w14:paraId="75A763E1">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排放</w:t>
                  </w:r>
                </w:p>
                <w:p w14:paraId="2F3CDD89">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去向</w:t>
                  </w:r>
                </w:p>
              </w:tc>
              <w:tc>
                <w:tcPr>
                  <w:tcW w:w="3746" w:type="dxa"/>
                  <w:tcBorders>
                    <w:top w:val="single" w:color="000000" w:sz="12" w:space="0"/>
                    <w:tl2br w:val="nil"/>
                    <w:tr2bl w:val="nil"/>
                  </w:tcBorders>
                  <w:vAlign w:val="center"/>
                </w:tcPr>
                <w:p w14:paraId="1B2FA19E">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治理措施</w:t>
                  </w:r>
                </w:p>
              </w:tc>
            </w:tr>
            <w:tr w14:paraId="15CC73E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restart"/>
                  <w:tcBorders>
                    <w:tl2br w:val="nil"/>
                    <w:tr2bl w:val="nil"/>
                  </w:tcBorders>
                  <w:vAlign w:val="center"/>
                </w:tcPr>
                <w:p w14:paraId="5383C39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废气</w:t>
                  </w:r>
                </w:p>
              </w:tc>
              <w:tc>
                <w:tcPr>
                  <w:tcW w:w="434" w:type="dxa"/>
                  <w:tcBorders>
                    <w:tl2br w:val="nil"/>
                    <w:tr2bl w:val="nil"/>
                  </w:tcBorders>
                  <w:vAlign w:val="center"/>
                </w:tcPr>
                <w:p w14:paraId="16620FBC">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G1</w:t>
                  </w:r>
                </w:p>
              </w:tc>
              <w:tc>
                <w:tcPr>
                  <w:tcW w:w="1276" w:type="dxa"/>
                  <w:tcBorders>
                    <w:tl2br w:val="nil"/>
                    <w:tr2bl w:val="nil"/>
                  </w:tcBorders>
                  <w:vAlign w:val="center"/>
                </w:tcPr>
                <w:p w14:paraId="0E656214">
                  <w:pPr>
                    <w:pStyle w:val="53"/>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原料储存</w:t>
                  </w:r>
                </w:p>
              </w:tc>
              <w:tc>
                <w:tcPr>
                  <w:tcW w:w="1842" w:type="dxa"/>
                  <w:tcBorders>
                    <w:tl2br w:val="nil"/>
                    <w:tr2bl w:val="nil"/>
                  </w:tcBorders>
                  <w:vAlign w:val="center"/>
                </w:tcPr>
                <w:p w14:paraId="2FCCA64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颗粒物</w:t>
                  </w:r>
                </w:p>
              </w:tc>
              <w:tc>
                <w:tcPr>
                  <w:tcW w:w="567" w:type="dxa"/>
                  <w:tcBorders>
                    <w:tl2br w:val="nil"/>
                    <w:tr2bl w:val="nil"/>
                  </w:tcBorders>
                  <w:vAlign w:val="center"/>
                </w:tcPr>
                <w:p w14:paraId="1FA8AE6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vMerge w:val="restart"/>
                  <w:tcBorders>
                    <w:tl2br w:val="nil"/>
                    <w:tr2bl w:val="nil"/>
                  </w:tcBorders>
                  <w:vAlign w:val="center"/>
                </w:tcPr>
                <w:p w14:paraId="139878B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排入大气</w:t>
                  </w:r>
                </w:p>
              </w:tc>
              <w:tc>
                <w:tcPr>
                  <w:tcW w:w="3746" w:type="dxa"/>
                  <w:tcBorders>
                    <w:tl2br w:val="nil"/>
                    <w:tr2bl w:val="nil"/>
                  </w:tcBorders>
                  <w:vAlign w:val="center"/>
                </w:tcPr>
                <w:p w14:paraId="73713350">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原料</w:t>
                  </w:r>
                  <w:r>
                    <w:rPr>
                      <w:rFonts w:hint="eastAsia"/>
                      <w:color w:val="000000" w:themeColor="text1"/>
                      <w:sz w:val="18"/>
                      <w:szCs w:val="18"/>
                      <w:highlight w:val="none"/>
                      <w14:textFill>
                        <w14:solidFill>
                          <w14:schemeClr w14:val="tx1"/>
                        </w14:solidFill>
                      </w14:textFill>
                    </w:rPr>
                    <w:t>库</w:t>
                  </w:r>
                  <w:r>
                    <w:rPr>
                      <w:color w:val="000000" w:themeColor="text1"/>
                      <w:sz w:val="18"/>
                      <w:szCs w:val="18"/>
                      <w:highlight w:val="none"/>
                      <w14:textFill>
                        <w14:solidFill>
                          <w14:schemeClr w14:val="tx1"/>
                        </w14:solidFill>
                      </w14:textFill>
                    </w:rPr>
                    <w:t>为封闭库房，顶部设置可覆盖整个</w:t>
                  </w:r>
                  <w:r>
                    <w:rPr>
                      <w:rFonts w:hint="eastAsia"/>
                      <w:color w:val="000000" w:themeColor="text1"/>
                      <w:sz w:val="18"/>
                      <w:szCs w:val="18"/>
                      <w:highlight w:val="none"/>
                      <w14:textFill>
                        <w14:solidFill>
                          <w14:schemeClr w14:val="tx1"/>
                        </w14:solidFill>
                      </w14:textFill>
                    </w:rPr>
                    <w:t>原料库</w:t>
                  </w:r>
                  <w:r>
                    <w:rPr>
                      <w:color w:val="000000" w:themeColor="text1"/>
                      <w:sz w:val="18"/>
                      <w:szCs w:val="18"/>
                      <w:highlight w:val="none"/>
                      <w14:textFill>
                        <w14:solidFill>
                          <w14:schemeClr w14:val="tx1"/>
                        </w14:solidFill>
                      </w14:textFill>
                    </w:rPr>
                    <w:t>的喷淋装置；厂区内汽车运输采取苫盖措施，装载机卸料及倒运均在已封闭的原料</w:t>
                  </w:r>
                  <w:r>
                    <w:rPr>
                      <w:rFonts w:hint="eastAsia"/>
                      <w:color w:val="000000" w:themeColor="text1"/>
                      <w:sz w:val="18"/>
                      <w:szCs w:val="18"/>
                      <w:highlight w:val="none"/>
                      <w14:textFill>
                        <w14:solidFill>
                          <w14:schemeClr w14:val="tx1"/>
                        </w14:solidFill>
                      </w14:textFill>
                    </w:rPr>
                    <w:t>库</w:t>
                  </w:r>
                  <w:r>
                    <w:rPr>
                      <w:color w:val="000000" w:themeColor="text1"/>
                      <w:sz w:val="18"/>
                      <w:szCs w:val="18"/>
                      <w:highlight w:val="none"/>
                      <w14:textFill>
                        <w14:solidFill>
                          <w14:schemeClr w14:val="tx1"/>
                        </w14:solidFill>
                      </w14:textFill>
                    </w:rPr>
                    <w:t>内进行</w:t>
                  </w:r>
                </w:p>
              </w:tc>
            </w:tr>
            <w:tr w14:paraId="3E4FF67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4501EF33">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5503721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G</w:t>
                  </w:r>
                  <w:r>
                    <w:rPr>
                      <w:rFonts w:hint="eastAsia"/>
                      <w:color w:val="000000" w:themeColor="text1"/>
                      <w:sz w:val="18"/>
                      <w:szCs w:val="18"/>
                      <w:highlight w:val="none"/>
                      <w14:textFill>
                        <w14:solidFill>
                          <w14:schemeClr w14:val="tx1"/>
                        </w14:solidFill>
                      </w14:textFill>
                    </w:rPr>
                    <w:t>2~G6</w:t>
                  </w:r>
                </w:p>
              </w:tc>
              <w:tc>
                <w:tcPr>
                  <w:tcW w:w="1276" w:type="dxa"/>
                  <w:tcBorders>
                    <w:tl2br w:val="nil"/>
                    <w:tr2bl w:val="nil"/>
                  </w:tcBorders>
                  <w:vAlign w:val="center"/>
                </w:tcPr>
                <w:p w14:paraId="797F6CF8">
                  <w:pPr>
                    <w:pStyle w:val="53"/>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煤矸石</w:t>
                  </w:r>
                  <w:r>
                    <w:rPr>
                      <w:rFonts w:hint="eastAsia"/>
                      <w:color w:val="000000" w:themeColor="text1"/>
                      <w:sz w:val="18"/>
                      <w:szCs w:val="18"/>
                      <w:highlight w:val="none"/>
                      <w14:textFill>
                        <w14:solidFill>
                          <w14:schemeClr w14:val="tx1"/>
                        </w14:solidFill>
                      </w14:textFill>
                    </w:rPr>
                    <w:t>、页岩、污泥等原料上料、</w:t>
                  </w:r>
                  <w:r>
                    <w:rPr>
                      <w:color w:val="000000" w:themeColor="text1"/>
                      <w:sz w:val="18"/>
                      <w:szCs w:val="18"/>
                      <w:highlight w:val="none"/>
                      <w14:textFill>
                        <w14:solidFill>
                          <w14:schemeClr w14:val="tx1"/>
                        </w14:solidFill>
                      </w14:textFill>
                    </w:rPr>
                    <w:t>破碎、筛分、落料</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搅拌废气</w:t>
                  </w:r>
                </w:p>
              </w:tc>
              <w:tc>
                <w:tcPr>
                  <w:tcW w:w="1842" w:type="dxa"/>
                  <w:tcBorders>
                    <w:tl2br w:val="nil"/>
                    <w:tr2bl w:val="nil"/>
                  </w:tcBorders>
                  <w:vAlign w:val="center"/>
                </w:tcPr>
                <w:p w14:paraId="34DF162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567" w:type="dxa"/>
                  <w:tcBorders>
                    <w:tl2br w:val="nil"/>
                    <w:tr2bl w:val="nil"/>
                  </w:tcBorders>
                  <w:vAlign w:val="center"/>
                </w:tcPr>
                <w:p w14:paraId="470E387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vMerge w:val="continue"/>
                  <w:tcBorders>
                    <w:tl2br w:val="nil"/>
                    <w:tr2bl w:val="nil"/>
                  </w:tcBorders>
                  <w:vAlign w:val="center"/>
                </w:tcPr>
                <w:p w14:paraId="1A22CF87">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2BF2023">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上料口采取三面封闭+喷淋；颚式破碎机、锤式破碎机、圆滚筛、搅拌机均封闭处理+集尘管；</w:t>
                  </w:r>
                  <w:r>
                    <w:rPr>
                      <w:rFonts w:hint="eastAsia"/>
                      <w:color w:val="000000" w:themeColor="text1"/>
                      <w:sz w:val="18"/>
                      <w:szCs w:val="18"/>
                      <w:highlight w:val="none"/>
                      <w14:textFill>
                        <w14:solidFill>
                          <w14:schemeClr w14:val="tx1"/>
                        </w14:solidFill>
                      </w14:textFill>
                    </w:rPr>
                    <w:t>煤矸石储料仓封闭设集尘管；</w:t>
                  </w:r>
                  <w:r>
                    <w:rPr>
                      <w:color w:val="000000" w:themeColor="text1"/>
                      <w:sz w:val="18"/>
                      <w:szCs w:val="18"/>
                      <w:highlight w:val="none"/>
                      <w14:textFill>
                        <w14:solidFill>
                          <w14:schemeClr w14:val="tx1"/>
                        </w14:solidFill>
                      </w14:textFill>
                    </w:rPr>
                    <w:t>皮带通廊全封闭；皮带转运点均设置集气罩，收集后经脉冲布袋除尘器处理后</w:t>
                  </w:r>
                  <w:r>
                    <w:rPr>
                      <w:rFonts w:hint="eastAsia"/>
                      <w:color w:val="000000" w:themeColor="text1"/>
                      <w:sz w:val="18"/>
                      <w:szCs w:val="18"/>
                      <w:highlight w:val="none"/>
                      <w14:textFill>
                        <w14:solidFill>
                          <w14:schemeClr w14:val="tx1"/>
                        </w14:solidFill>
                      </w14:textFill>
                    </w:rPr>
                    <w:t>经2根</w:t>
                  </w:r>
                  <w:r>
                    <w:rPr>
                      <w:color w:val="000000" w:themeColor="text1"/>
                      <w:sz w:val="18"/>
                      <w:szCs w:val="18"/>
                      <w:highlight w:val="none"/>
                      <w14:textFill>
                        <w14:solidFill>
                          <w14:schemeClr w14:val="tx1"/>
                        </w14:solidFill>
                      </w14:textFill>
                    </w:rPr>
                    <w:t>15m高排气筒（DA00</w:t>
                  </w:r>
                  <w:r>
                    <w:rPr>
                      <w:rFonts w:hint="eastAsia"/>
                      <w:color w:val="000000" w:themeColor="text1"/>
                      <w:sz w:val="18"/>
                      <w:szCs w:val="18"/>
                      <w:highlight w:val="none"/>
                      <w14:textFill>
                        <w14:solidFill>
                          <w14:schemeClr w14:val="tx1"/>
                        </w14:solidFill>
                      </w14:textFill>
                    </w:rPr>
                    <w:t>1、</w:t>
                  </w:r>
                  <w:r>
                    <w:rPr>
                      <w:color w:val="000000" w:themeColor="text1"/>
                      <w:sz w:val="18"/>
                      <w:szCs w:val="18"/>
                      <w:highlight w:val="none"/>
                      <w14:textFill>
                        <w14:solidFill>
                          <w14:schemeClr w14:val="tx1"/>
                        </w14:solidFill>
                      </w14:textFill>
                    </w:rPr>
                    <w:t>DA00</w:t>
                  </w:r>
                  <w:r>
                    <w:rPr>
                      <w:rFonts w:hint="eastAsia"/>
                      <w:color w:val="000000" w:themeColor="text1"/>
                      <w:sz w:val="18"/>
                      <w:szCs w:val="18"/>
                      <w:highlight w:val="none"/>
                      <w14:textFill>
                        <w14:solidFill>
                          <w14:schemeClr w14:val="tx1"/>
                        </w14:solidFill>
                      </w14:textFill>
                    </w:rPr>
                    <w:t>2</w:t>
                  </w:r>
                  <w:r>
                    <w:rPr>
                      <w:color w:val="000000" w:themeColor="text1"/>
                      <w:sz w:val="18"/>
                      <w:szCs w:val="18"/>
                      <w:highlight w:val="none"/>
                      <w14:textFill>
                        <w14:solidFill>
                          <w14:schemeClr w14:val="tx1"/>
                        </w14:solidFill>
                      </w14:textFill>
                    </w:rPr>
                    <w:t>）排放</w:t>
                  </w:r>
                </w:p>
              </w:tc>
            </w:tr>
            <w:tr w14:paraId="7829E45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22B69542">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3C43D7AB">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G7</w:t>
                  </w:r>
                </w:p>
              </w:tc>
              <w:tc>
                <w:tcPr>
                  <w:tcW w:w="1276" w:type="dxa"/>
                  <w:tcBorders>
                    <w:tl2br w:val="nil"/>
                    <w:tr2bl w:val="nil"/>
                  </w:tcBorders>
                  <w:vAlign w:val="center"/>
                </w:tcPr>
                <w:p w14:paraId="64328C3C">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干燥及焙烧隧道窑（1#、2#、3#、4#隧道窑）废气</w:t>
                  </w:r>
                </w:p>
              </w:tc>
              <w:tc>
                <w:tcPr>
                  <w:tcW w:w="1842" w:type="dxa"/>
                  <w:tcBorders>
                    <w:tl2br w:val="nil"/>
                    <w:tr2bl w:val="nil"/>
                  </w:tcBorders>
                  <w:vAlign w:val="center"/>
                </w:tcPr>
                <w:p w14:paraId="16036D3D">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SO</w:t>
                  </w:r>
                  <w:r>
                    <w:rPr>
                      <w:color w:val="000000" w:themeColor="text1"/>
                      <w:sz w:val="18"/>
                      <w:szCs w:val="18"/>
                      <w:highlight w:val="none"/>
                      <w:vertAlign w:val="subscript"/>
                      <w14:textFill>
                        <w14:solidFill>
                          <w14:schemeClr w14:val="tx1"/>
                        </w14:solidFill>
                      </w14:textFill>
                    </w:rPr>
                    <w:t>2</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NOx</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氟化物</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氯化氢</w:t>
                  </w: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氨、</w:t>
                  </w:r>
                  <w:r>
                    <w:rPr>
                      <w:color w:val="000000" w:themeColor="text1"/>
                      <w:sz w:val="18"/>
                      <w:szCs w:val="18"/>
                      <w:highlight w:val="none"/>
                      <w14:textFill>
                        <w14:solidFill>
                          <w14:schemeClr w14:val="tx1"/>
                        </w14:solidFill>
                      </w14:textFill>
                    </w:rPr>
                    <w:t>二噁英类</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汞及其化合物</w:t>
                  </w:r>
                  <w:r>
                    <w:rPr>
                      <w:rFonts w:hint="eastAsia"/>
                      <w:color w:val="000000" w:themeColor="text1"/>
                      <w:sz w:val="18"/>
                      <w:szCs w:val="18"/>
                      <w:highlight w:val="none"/>
                      <w14:textFill>
                        <w14:solidFill>
                          <w14:schemeClr w14:val="tx1"/>
                        </w14:solidFill>
                      </w14:textFill>
                    </w:rPr>
                    <w:t>、镉、铊及其化合物</w:t>
                  </w:r>
                  <w:r>
                    <w:rPr>
                      <w:color w:val="000000" w:themeColor="text1"/>
                      <w:sz w:val="18"/>
                      <w:szCs w:val="18"/>
                      <w:highlight w:val="none"/>
                      <w14:textFill>
                        <w14:solidFill>
                          <w14:schemeClr w14:val="tx1"/>
                        </w14:solidFill>
                      </w14:textFill>
                    </w:rPr>
                    <w:t>（以Cd+Tl计）</w:t>
                  </w:r>
                  <w:r>
                    <w:rPr>
                      <w:rFonts w:hint="eastAsia"/>
                      <w:color w:val="000000" w:themeColor="text1"/>
                      <w:sz w:val="18"/>
                      <w:szCs w:val="18"/>
                      <w:highlight w:val="none"/>
                      <w14:textFill>
                        <w14:solidFill>
                          <w14:schemeClr w14:val="tx1"/>
                        </w14:solidFill>
                      </w14:textFill>
                    </w:rPr>
                    <w:t>、锑、砷、铅、铬、钴、铜、锰、镍及其化合物</w:t>
                  </w:r>
                  <w:r>
                    <w:rPr>
                      <w:color w:val="000000" w:themeColor="text1"/>
                      <w:sz w:val="18"/>
                      <w:szCs w:val="18"/>
                      <w:highlight w:val="none"/>
                      <w14:textFill>
                        <w14:solidFill>
                          <w14:schemeClr w14:val="tx1"/>
                        </w14:solidFill>
                      </w14:textFill>
                    </w:rPr>
                    <w:t>（以Sb+As+Pb+Cr+Co+Cu+Mn+Ni计）</w:t>
                  </w:r>
                </w:p>
              </w:tc>
              <w:tc>
                <w:tcPr>
                  <w:tcW w:w="567" w:type="dxa"/>
                  <w:tcBorders>
                    <w:tl2br w:val="nil"/>
                    <w:tr2bl w:val="nil"/>
                  </w:tcBorders>
                  <w:vAlign w:val="center"/>
                </w:tcPr>
                <w:p w14:paraId="14A143C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vMerge w:val="continue"/>
                  <w:tcBorders>
                    <w:tl2br w:val="nil"/>
                    <w:tr2bl w:val="nil"/>
                  </w:tcBorders>
                  <w:vAlign w:val="center"/>
                </w:tcPr>
                <w:p w14:paraId="0CE04DD1">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243432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通过窑体内置烟道，隧道窑废气</w:t>
                  </w:r>
                  <w:r>
                    <w:rPr>
                      <w:rFonts w:hint="eastAsia"/>
                      <w:color w:val="000000" w:themeColor="text1"/>
                      <w:sz w:val="18"/>
                      <w:szCs w:val="18"/>
                      <w:highlight w:val="none"/>
                      <w:lang w:val="en-US" w:eastAsia="zh-CN"/>
                      <w14:textFill>
                        <w14:solidFill>
                          <w14:schemeClr w14:val="tx1"/>
                        </w14:solidFill>
                      </w14:textFill>
                    </w:rPr>
                    <w:t>经SNCR脱硝+</w:t>
                  </w:r>
                  <w:r>
                    <w:rPr>
                      <w:rFonts w:hint="eastAsia"/>
                      <w:color w:val="000000" w:themeColor="text1"/>
                      <w:sz w:val="18"/>
                      <w:szCs w:val="18"/>
                      <w:highlight w:val="none"/>
                      <w14:textFill>
                        <w14:solidFill>
                          <w14:schemeClr w14:val="tx1"/>
                        </w14:solidFill>
                      </w14:textFill>
                    </w:rPr>
                    <w:t>石灰-石膏法脱硫</w:t>
                  </w:r>
                  <w:r>
                    <w:rPr>
                      <w:color w:val="000000" w:themeColor="text1"/>
                      <w:sz w:val="18"/>
                      <w:szCs w:val="18"/>
                      <w:highlight w:val="none"/>
                      <w14:textFill>
                        <w14:solidFill>
                          <w14:schemeClr w14:val="tx1"/>
                        </w14:solidFill>
                      </w14:textFill>
                    </w:rPr>
                    <w:t>+湿式电除尘处理后经</w:t>
                  </w:r>
                  <w:r>
                    <w:rPr>
                      <w:rFonts w:hint="eastAsia"/>
                      <w:color w:val="000000" w:themeColor="text1"/>
                      <w:sz w:val="18"/>
                      <w:szCs w:val="18"/>
                      <w:highlight w:val="none"/>
                      <w14:textFill>
                        <w14:solidFill>
                          <w14:schemeClr w14:val="tx1"/>
                        </w14:solidFill>
                      </w14:textFill>
                    </w:rPr>
                    <w:t>2根</w:t>
                  </w:r>
                  <w:r>
                    <w:rPr>
                      <w:color w:val="000000" w:themeColor="text1"/>
                      <w:sz w:val="18"/>
                      <w:szCs w:val="18"/>
                      <w:highlight w:val="none"/>
                      <w14:textFill>
                        <w14:solidFill>
                          <w14:schemeClr w14:val="tx1"/>
                        </w14:solidFill>
                      </w14:textFill>
                    </w:rPr>
                    <w:t>38m高排气筒（DA00</w:t>
                  </w:r>
                  <w:r>
                    <w:rPr>
                      <w:rFonts w:hint="eastAsia"/>
                      <w:color w:val="000000" w:themeColor="text1"/>
                      <w:sz w:val="18"/>
                      <w:szCs w:val="18"/>
                      <w:highlight w:val="none"/>
                      <w14:textFill>
                        <w14:solidFill>
                          <w14:schemeClr w14:val="tx1"/>
                        </w14:solidFill>
                      </w14:textFill>
                    </w:rPr>
                    <w:t>3</w:t>
                  </w:r>
                  <w:r>
                    <w:rPr>
                      <w:color w:val="000000" w:themeColor="text1"/>
                      <w:sz w:val="18"/>
                      <w:szCs w:val="18"/>
                      <w:highlight w:val="none"/>
                      <w14:textFill>
                        <w14:solidFill>
                          <w14:schemeClr w14:val="tx1"/>
                        </w14:solidFill>
                      </w14:textFill>
                    </w:rPr>
                    <w:t>、DA00</w:t>
                  </w:r>
                  <w:r>
                    <w:rPr>
                      <w:rFonts w:hint="eastAsia"/>
                      <w:color w:val="000000" w:themeColor="text1"/>
                      <w:sz w:val="18"/>
                      <w:szCs w:val="18"/>
                      <w:highlight w:val="none"/>
                      <w14:textFill>
                        <w14:solidFill>
                          <w14:schemeClr w14:val="tx1"/>
                        </w14:solidFill>
                      </w14:textFill>
                    </w:rPr>
                    <w:t>4</w:t>
                  </w:r>
                  <w:r>
                    <w:rPr>
                      <w:color w:val="000000" w:themeColor="text1"/>
                      <w:sz w:val="18"/>
                      <w:szCs w:val="18"/>
                      <w:highlight w:val="none"/>
                      <w14:textFill>
                        <w14:solidFill>
                          <w14:schemeClr w14:val="tx1"/>
                        </w14:solidFill>
                      </w14:textFill>
                    </w:rPr>
                    <w:t>）排放</w:t>
                  </w:r>
                </w:p>
              </w:tc>
            </w:tr>
            <w:tr w14:paraId="2FC85D5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6C1B17BB">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4690CD2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G8</w:t>
                  </w:r>
                </w:p>
              </w:tc>
              <w:tc>
                <w:tcPr>
                  <w:tcW w:w="1276" w:type="dxa"/>
                  <w:tcBorders>
                    <w:tl2br w:val="nil"/>
                    <w:tr2bl w:val="nil"/>
                  </w:tcBorders>
                  <w:vAlign w:val="center"/>
                </w:tcPr>
                <w:p w14:paraId="3C4CDAAF">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窑车吹扫废气</w:t>
                  </w:r>
                </w:p>
              </w:tc>
              <w:tc>
                <w:tcPr>
                  <w:tcW w:w="1842" w:type="dxa"/>
                  <w:tcBorders>
                    <w:tl2br w:val="nil"/>
                    <w:tr2bl w:val="nil"/>
                  </w:tcBorders>
                  <w:vAlign w:val="center"/>
                </w:tcPr>
                <w:p w14:paraId="31114A69">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567" w:type="dxa"/>
                  <w:tcBorders>
                    <w:tl2br w:val="nil"/>
                    <w:tr2bl w:val="nil"/>
                  </w:tcBorders>
                  <w:vAlign w:val="center"/>
                </w:tcPr>
                <w:p w14:paraId="2A9C53C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vMerge w:val="continue"/>
                  <w:tcBorders>
                    <w:tl2br w:val="nil"/>
                    <w:tr2bl w:val="nil"/>
                  </w:tcBorders>
                  <w:vAlign w:val="center"/>
                </w:tcPr>
                <w:p w14:paraId="3C567373">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2AE9FD00">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固定、封闭工位，收集后经脉冲布袋除尘器处理后，经</w:t>
                  </w:r>
                  <w:r>
                    <w:rPr>
                      <w:rFonts w:hint="eastAsia"/>
                      <w:color w:val="000000" w:themeColor="text1"/>
                      <w:sz w:val="18"/>
                      <w:szCs w:val="18"/>
                      <w:highlight w:val="none"/>
                      <w14:textFill>
                        <w14:solidFill>
                          <w14:schemeClr w14:val="tx1"/>
                        </w14:solidFill>
                      </w14:textFill>
                    </w:rPr>
                    <w:t>2</w:t>
                  </w:r>
                  <w:r>
                    <w:rPr>
                      <w:color w:val="000000" w:themeColor="text1"/>
                      <w:sz w:val="18"/>
                      <w:szCs w:val="18"/>
                      <w:highlight w:val="none"/>
                      <w14:textFill>
                        <w14:solidFill>
                          <w14:schemeClr w14:val="tx1"/>
                        </w14:solidFill>
                      </w14:textFill>
                    </w:rPr>
                    <w:t>根15m高排气筒（DA005</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DA00</w:t>
                  </w:r>
                  <w:r>
                    <w:rPr>
                      <w:rFonts w:hint="eastAsia"/>
                      <w:color w:val="000000" w:themeColor="text1"/>
                      <w:sz w:val="18"/>
                      <w:szCs w:val="18"/>
                      <w:highlight w:val="none"/>
                      <w14:textFill>
                        <w14:solidFill>
                          <w14:schemeClr w14:val="tx1"/>
                        </w14:solidFill>
                      </w14:textFill>
                    </w:rPr>
                    <w:t>6</w:t>
                  </w:r>
                  <w:r>
                    <w:rPr>
                      <w:color w:val="000000" w:themeColor="text1"/>
                      <w:sz w:val="18"/>
                      <w:szCs w:val="18"/>
                      <w:highlight w:val="none"/>
                      <w14:textFill>
                        <w14:solidFill>
                          <w14:schemeClr w14:val="tx1"/>
                        </w14:solidFill>
                      </w14:textFill>
                    </w:rPr>
                    <w:t>）排放</w:t>
                  </w:r>
                </w:p>
              </w:tc>
            </w:tr>
            <w:tr w14:paraId="20B0C13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610952FF">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05437AC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G9</w:t>
                  </w:r>
                </w:p>
              </w:tc>
              <w:tc>
                <w:tcPr>
                  <w:tcW w:w="1276" w:type="dxa"/>
                  <w:tcBorders>
                    <w:tl2br w:val="nil"/>
                    <w:tr2bl w:val="nil"/>
                  </w:tcBorders>
                  <w:vAlign w:val="center"/>
                </w:tcPr>
                <w:p w14:paraId="2CFCBAFC">
                  <w:pPr>
                    <w:pStyle w:val="53"/>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污泥</w:t>
                  </w:r>
                  <w:r>
                    <w:rPr>
                      <w:rFonts w:hint="eastAsia"/>
                      <w:color w:val="000000" w:themeColor="text1"/>
                      <w:sz w:val="18"/>
                      <w:szCs w:val="18"/>
                      <w:highlight w:val="none"/>
                      <w14:textFill>
                        <w14:solidFill>
                          <w14:schemeClr w14:val="tx1"/>
                        </w14:solidFill>
                      </w14:textFill>
                    </w:rPr>
                    <w:t>储存恶臭</w:t>
                  </w:r>
                </w:p>
              </w:tc>
              <w:tc>
                <w:tcPr>
                  <w:tcW w:w="1842" w:type="dxa"/>
                  <w:tcBorders>
                    <w:tl2br w:val="nil"/>
                    <w:tr2bl w:val="nil"/>
                  </w:tcBorders>
                  <w:vAlign w:val="center"/>
                </w:tcPr>
                <w:p w14:paraId="1BAA667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氨、硫化氢、臭气浓度</w:t>
                  </w:r>
                </w:p>
              </w:tc>
              <w:tc>
                <w:tcPr>
                  <w:tcW w:w="567" w:type="dxa"/>
                  <w:tcBorders>
                    <w:tl2br w:val="nil"/>
                    <w:tr2bl w:val="nil"/>
                  </w:tcBorders>
                  <w:vAlign w:val="center"/>
                </w:tcPr>
                <w:p w14:paraId="67845B7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vMerge w:val="continue"/>
                  <w:tcBorders>
                    <w:tl2br w:val="nil"/>
                    <w:tr2bl w:val="nil"/>
                  </w:tcBorders>
                  <w:vAlign w:val="center"/>
                </w:tcPr>
                <w:p w14:paraId="191FFDDD">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728FE2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现有</w:t>
                  </w:r>
                  <w:r>
                    <w:rPr>
                      <w:color w:val="000000" w:themeColor="text1"/>
                      <w:sz w:val="18"/>
                      <w:szCs w:val="18"/>
                      <w:highlight w:val="none"/>
                      <w14:textFill>
                        <w14:solidFill>
                          <w14:schemeClr w14:val="tx1"/>
                        </w14:solidFill>
                      </w14:textFill>
                    </w:rPr>
                    <w:t>污泥</w:t>
                  </w:r>
                  <w:r>
                    <w:rPr>
                      <w:rFonts w:hint="eastAsia"/>
                      <w:color w:val="000000" w:themeColor="text1"/>
                      <w:sz w:val="18"/>
                      <w:szCs w:val="18"/>
                      <w:highlight w:val="none"/>
                      <w14:textFill>
                        <w14:solidFill>
                          <w14:schemeClr w14:val="tx1"/>
                        </w14:solidFill>
                      </w14:textFill>
                    </w:rPr>
                    <w:t>库及本项目新增污泥库</w:t>
                  </w:r>
                  <w:r>
                    <w:rPr>
                      <w:color w:val="000000" w:themeColor="text1"/>
                      <w:sz w:val="18"/>
                      <w:szCs w:val="18"/>
                      <w:highlight w:val="none"/>
                      <w14:textFill>
                        <w14:solidFill>
                          <w14:schemeClr w14:val="tx1"/>
                        </w14:solidFill>
                      </w14:textFill>
                    </w:rPr>
                    <w:t>封闭，负压收集，正常生产时将恶臭气体引至</w:t>
                  </w:r>
                  <w:r>
                    <w:rPr>
                      <w:bCs/>
                      <w:color w:val="000000" w:themeColor="text1"/>
                      <w:sz w:val="18"/>
                      <w:szCs w:val="18"/>
                      <w:highlight w:val="none"/>
                      <w14:textFill>
                        <w14:solidFill>
                          <w14:schemeClr w14:val="tx1"/>
                        </w14:solidFill>
                      </w14:textFill>
                    </w:rPr>
                    <w:t>1#</w:t>
                  </w:r>
                  <w:r>
                    <w:rPr>
                      <w:color w:val="000000" w:themeColor="text1"/>
                      <w:sz w:val="18"/>
                      <w:szCs w:val="18"/>
                      <w:highlight w:val="none"/>
                      <w14:textFill>
                        <w14:solidFill>
                          <w14:schemeClr w14:val="tx1"/>
                        </w14:solidFill>
                      </w14:textFill>
                    </w:rPr>
                    <w:t>隧道窑进行高温焙烧处理，随隧道窑废气经过现有环保工程后经38m高排气筒排放。停产时将恶臭气体引至两级活性炭吸附装置处理后，经1根15m高排气筒（DA007）排放</w:t>
                  </w:r>
                </w:p>
              </w:tc>
            </w:tr>
            <w:tr w14:paraId="7C751F0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62AA9E48">
                  <w:pPr>
                    <w:ind w:left="-105" w:leftChars="-50" w:right="-105" w:rightChars="-50"/>
                    <w:jc w:val="center"/>
                    <w:rPr>
                      <w:color w:val="000000" w:themeColor="text1"/>
                      <w:sz w:val="18"/>
                      <w:szCs w:val="18"/>
                      <w:highlight w:val="none"/>
                      <w14:textFill>
                        <w14:solidFill>
                          <w14:schemeClr w14:val="tx1"/>
                        </w14:solidFill>
                      </w14:textFill>
                    </w:rPr>
                  </w:pPr>
                </w:p>
              </w:tc>
              <w:tc>
                <w:tcPr>
                  <w:tcW w:w="1710" w:type="dxa"/>
                  <w:gridSpan w:val="2"/>
                  <w:tcBorders>
                    <w:tl2br w:val="nil"/>
                    <w:tr2bl w:val="nil"/>
                  </w:tcBorders>
                  <w:vAlign w:val="center"/>
                </w:tcPr>
                <w:p w14:paraId="74BBE137">
                  <w:pPr>
                    <w:pStyle w:val="53"/>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无组织废气</w:t>
                  </w:r>
                </w:p>
              </w:tc>
              <w:tc>
                <w:tcPr>
                  <w:tcW w:w="1842" w:type="dxa"/>
                  <w:tcBorders>
                    <w:tl2br w:val="nil"/>
                    <w:tr2bl w:val="nil"/>
                  </w:tcBorders>
                  <w:vAlign w:val="center"/>
                </w:tcPr>
                <w:p w14:paraId="27E6A16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氨、硫化氢、臭气浓度</w:t>
                  </w:r>
                </w:p>
              </w:tc>
              <w:tc>
                <w:tcPr>
                  <w:tcW w:w="567" w:type="dxa"/>
                  <w:tcBorders>
                    <w:tl2br w:val="nil"/>
                    <w:tr2bl w:val="nil"/>
                  </w:tcBorders>
                  <w:vAlign w:val="center"/>
                </w:tcPr>
                <w:p w14:paraId="7510E0C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vMerge w:val="continue"/>
                  <w:tcBorders>
                    <w:tl2br w:val="nil"/>
                    <w:tr2bl w:val="nil"/>
                  </w:tcBorders>
                  <w:vAlign w:val="center"/>
                </w:tcPr>
                <w:p w14:paraId="054A901B">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1D11F995">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原料</w:t>
                  </w:r>
                  <w:r>
                    <w:rPr>
                      <w:rFonts w:hint="eastAsia"/>
                      <w:color w:val="000000" w:themeColor="text1"/>
                      <w:sz w:val="18"/>
                      <w:szCs w:val="18"/>
                      <w:highlight w:val="none"/>
                      <w14:textFill>
                        <w14:solidFill>
                          <w14:schemeClr w14:val="tx1"/>
                        </w14:solidFill>
                      </w14:textFill>
                    </w:rPr>
                    <w:t>库</w:t>
                  </w:r>
                  <w:r>
                    <w:rPr>
                      <w:color w:val="000000" w:themeColor="text1"/>
                      <w:sz w:val="18"/>
                      <w:szCs w:val="18"/>
                      <w:highlight w:val="none"/>
                      <w14:textFill>
                        <w14:solidFill>
                          <w14:schemeClr w14:val="tx1"/>
                        </w14:solidFill>
                      </w14:textFill>
                    </w:rPr>
                    <w:t>为封闭库房，顶部设置可覆盖整个</w:t>
                  </w:r>
                  <w:r>
                    <w:rPr>
                      <w:rFonts w:hint="eastAsia"/>
                      <w:color w:val="000000" w:themeColor="text1"/>
                      <w:sz w:val="18"/>
                      <w:szCs w:val="18"/>
                      <w:highlight w:val="none"/>
                      <w14:textFill>
                        <w14:solidFill>
                          <w14:schemeClr w14:val="tx1"/>
                        </w14:solidFill>
                      </w14:textFill>
                    </w:rPr>
                    <w:t>原料库</w:t>
                  </w:r>
                  <w:r>
                    <w:rPr>
                      <w:color w:val="000000" w:themeColor="text1"/>
                      <w:sz w:val="18"/>
                      <w:szCs w:val="18"/>
                      <w:highlight w:val="none"/>
                      <w14:textFill>
                        <w14:solidFill>
                          <w14:schemeClr w14:val="tx1"/>
                        </w14:solidFill>
                      </w14:textFill>
                    </w:rPr>
                    <w:t>的喷淋装置；物料转运采用全封闭皮带通廊；厂区内汽车运输采取苫盖措施，装载机卸料及倒运均在封闭原料</w:t>
                  </w:r>
                  <w:r>
                    <w:rPr>
                      <w:rFonts w:hint="eastAsia"/>
                      <w:color w:val="000000" w:themeColor="text1"/>
                      <w:sz w:val="18"/>
                      <w:szCs w:val="18"/>
                      <w:highlight w:val="none"/>
                      <w14:textFill>
                        <w14:solidFill>
                          <w14:schemeClr w14:val="tx1"/>
                        </w14:solidFill>
                      </w14:textFill>
                    </w:rPr>
                    <w:t>库</w:t>
                  </w:r>
                  <w:r>
                    <w:rPr>
                      <w:color w:val="000000" w:themeColor="text1"/>
                      <w:sz w:val="18"/>
                      <w:szCs w:val="18"/>
                      <w:highlight w:val="none"/>
                      <w14:textFill>
                        <w14:solidFill>
                          <w14:schemeClr w14:val="tx1"/>
                        </w14:solidFill>
                      </w14:textFill>
                    </w:rPr>
                    <w:t>内进行</w:t>
                  </w:r>
                  <w:r>
                    <w:rPr>
                      <w:rFonts w:hint="eastAsia"/>
                      <w:color w:val="000000" w:themeColor="text1"/>
                      <w:sz w:val="18"/>
                      <w:szCs w:val="18"/>
                      <w:highlight w:val="none"/>
                      <w14:textFill>
                        <w14:solidFill>
                          <w14:schemeClr w14:val="tx1"/>
                        </w14:solidFill>
                      </w14:textFill>
                    </w:rPr>
                    <w:t>；生产车间封闭；上料口设置喷淋；</w:t>
                  </w:r>
                  <w:r>
                    <w:rPr>
                      <w:rFonts w:hint="eastAsia"/>
                      <w:bCs/>
                      <w:color w:val="000000" w:themeColor="text1"/>
                      <w:sz w:val="18"/>
                      <w:szCs w:val="18"/>
                      <w:highlight w:val="none"/>
                      <w14:textFill>
                        <w14:solidFill>
                          <w14:schemeClr w14:val="tx1"/>
                        </w14:solidFill>
                      </w14:textFill>
                    </w:rPr>
                    <w:t>2座</w:t>
                  </w:r>
                  <w:r>
                    <w:rPr>
                      <w:bCs/>
                      <w:color w:val="000000" w:themeColor="text1"/>
                      <w:sz w:val="18"/>
                      <w:szCs w:val="18"/>
                      <w:highlight w:val="none"/>
                      <w14:textFill>
                        <w14:solidFill>
                          <w14:schemeClr w14:val="tx1"/>
                        </w14:solidFill>
                      </w14:textFill>
                    </w:rPr>
                    <w:t>污泥</w:t>
                  </w:r>
                  <w:r>
                    <w:rPr>
                      <w:rFonts w:hint="eastAsia"/>
                      <w:bCs/>
                      <w:color w:val="000000" w:themeColor="text1"/>
                      <w:sz w:val="18"/>
                      <w:szCs w:val="18"/>
                      <w:highlight w:val="none"/>
                      <w14:textFill>
                        <w14:solidFill>
                          <w14:schemeClr w14:val="tx1"/>
                        </w14:solidFill>
                      </w14:textFill>
                    </w:rPr>
                    <w:t>库</w:t>
                  </w:r>
                  <w:r>
                    <w:rPr>
                      <w:bCs/>
                      <w:color w:val="000000" w:themeColor="text1"/>
                      <w:sz w:val="18"/>
                      <w:szCs w:val="18"/>
                      <w:highlight w:val="none"/>
                      <w14:textFill>
                        <w14:solidFill>
                          <w14:schemeClr w14:val="tx1"/>
                        </w14:solidFill>
                      </w14:textFill>
                    </w:rPr>
                    <w:t>整体密闭，</w:t>
                  </w:r>
                  <w:r>
                    <w:rPr>
                      <w:rFonts w:hint="eastAsia"/>
                      <w:bCs/>
                      <w:color w:val="000000" w:themeColor="text1"/>
                      <w:sz w:val="18"/>
                      <w:szCs w:val="18"/>
                      <w:highlight w:val="none"/>
                      <w14:textFill>
                        <w14:solidFill>
                          <w14:schemeClr w14:val="tx1"/>
                        </w14:solidFill>
                      </w14:textFill>
                    </w:rPr>
                    <w:t>设自动感应门，仅车辆进出时开启</w:t>
                  </w:r>
                </w:p>
              </w:tc>
            </w:tr>
            <w:tr w14:paraId="1F57975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restart"/>
                  <w:tcBorders>
                    <w:tl2br w:val="nil"/>
                    <w:tr2bl w:val="nil"/>
                  </w:tcBorders>
                  <w:vAlign w:val="center"/>
                </w:tcPr>
                <w:p w14:paraId="34DA170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废水</w:t>
                  </w:r>
                </w:p>
              </w:tc>
              <w:tc>
                <w:tcPr>
                  <w:tcW w:w="434" w:type="dxa"/>
                  <w:tcBorders>
                    <w:tl2br w:val="nil"/>
                    <w:tr2bl w:val="nil"/>
                  </w:tcBorders>
                  <w:vAlign w:val="center"/>
                </w:tcPr>
                <w:p w14:paraId="516B15D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W1</w:t>
                  </w:r>
                </w:p>
              </w:tc>
              <w:tc>
                <w:tcPr>
                  <w:tcW w:w="1276" w:type="dxa"/>
                  <w:tcBorders>
                    <w:tl2br w:val="nil"/>
                    <w:tr2bl w:val="nil"/>
                  </w:tcBorders>
                  <w:vAlign w:val="center"/>
                </w:tcPr>
                <w:p w14:paraId="7A921355">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设备清洗废水</w:t>
                  </w:r>
                </w:p>
              </w:tc>
              <w:tc>
                <w:tcPr>
                  <w:tcW w:w="1842" w:type="dxa"/>
                  <w:tcBorders>
                    <w:tl2br w:val="nil"/>
                    <w:tr2bl w:val="nil"/>
                  </w:tcBorders>
                  <w:vAlign w:val="center"/>
                </w:tcPr>
                <w:p w14:paraId="333D2D1E">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SS</w:t>
                  </w:r>
                </w:p>
              </w:tc>
              <w:tc>
                <w:tcPr>
                  <w:tcW w:w="567" w:type="dxa"/>
                  <w:tcBorders>
                    <w:tl2br w:val="nil"/>
                    <w:tr2bl w:val="nil"/>
                  </w:tcBorders>
                  <w:vAlign w:val="center"/>
                </w:tcPr>
                <w:p w14:paraId="5B74A04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restart"/>
                  <w:tcBorders>
                    <w:tl2br w:val="nil"/>
                    <w:tr2bl w:val="nil"/>
                  </w:tcBorders>
                  <w:vAlign w:val="center"/>
                </w:tcPr>
                <w:p w14:paraId="0090DBB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不外排</w:t>
                  </w:r>
                </w:p>
              </w:tc>
              <w:tc>
                <w:tcPr>
                  <w:tcW w:w="3746" w:type="dxa"/>
                  <w:tcBorders>
                    <w:tl2br w:val="nil"/>
                    <w:tr2bl w:val="nil"/>
                  </w:tcBorders>
                  <w:vAlign w:val="center"/>
                </w:tcPr>
                <w:p w14:paraId="01431B27">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经沉淀池沉淀后，回用于设备清洗</w:t>
                  </w:r>
                </w:p>
              </w:tc>
            </w:tr>
            <w:tr w14:paraId="75CB2B3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58064199">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205B13F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W2</w:t>
                  </w:r>
                </w:p>
              </w:tc>
              <w:tc>
                <w:tcPr>
                  <w:tcW w:w="1276" w:type="dxa"/>
                  <w:tcBorders>
                    <w:tl2br w:val="nil"/>
                    <w:tr2bl w:val="nil"/>
                  </w:tcBorders>
                  <w:vAlign w:val="center"/>
                </w:tcPr>
                <w:p w14:paraId="348ADA9A">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脱硫废水</w:t>
                  </w:r>
                </w:p>
              </w:tc>
              <w:tc>
                <w:tcPr>
                  <w:tcW w:w="1842" w:type="dxa"/>
                  <w:tcBorders>
                    <w:tl2br w:val="nil"/>
                    <w:tr2bl w:val="nil"/>
                  </w:tcBorders>
                  <w:vAlign w:val="center"/>
                </w:tcPr>
                <w:p w14:paraId="371ACFA5">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p</w:t>
                  </w:r>
                  <w:r>
                    <w:rPr>
                      <w:color w:val="000000" w:themeColor="text1"/>
                      <w:sz w:val="18"/>
                      <w:szCs w:val="18"/>
                      <w:highlight w:val="none"/>
                      <w14:textFill>
                        <w14:solidFill>
                          <w14:schemeClr w14:val="tx1"/>
                        </w14:solidFill>
                      </w14:textFill>
                    </w:rPr>
                    <w:t>H、SS、COD、氨氮</w:t>
                  </w:r>
                </w:p>
              </w:tc>
              <w:tc>
                <w:tcPr>
                  <w:tcW w:w="567" w:type="dxa"/>
                  <w:tcBorders>
                    <w:tl2br w:val="nil"/>
                    <w:tr2bl w:val="nil"/>
                  </w:tcBorders>
                  <w:vAlign w:val="center"/>
                </w:tcPr>
                <w:p w14:paraId="388C3FE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54058026">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6D58CCF">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经脱硫池沉淀后，回用于脱硫</w:t>
                  </w:r>
                </w:p>
              </w:tc>
            </w:tr>
            <w:tr w14:paraId="1FB089C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4216A9DE">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79D47DA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W3</w:t>
                  </w:r>
                </w:p>
              </w:tc>
              <w:tc>
                <w:tcPr>
                  <w:tcW w:w="1276" w:type="dxa"/>
                  <w:tcBorders>
                    <w:tl2br w:val="nil"/>
                    <w:tr2bl w:val="nil"/>
                  </w:tcBorders>
                  <w:vAlign w:val="center"/>
                </w:tcPr>
                <w:p w14:paraId="419330E8">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洗车废水</w:t>
                  </w:r>
                </w:p>
              </w:tc>
              <w:tc>
                <w:tcPr>
                  <w:tcW w:w="1842" w:type="dxa"/>
                  <w:tcBorders>
                    <w:tl2br w:val="nil"/>
                    <w:tr2bl w:val="nil"/>
                  </w:tcBorders>
                  <w:vAlign w:val="center"/>
                </w:tcPr>
                <w:p w14:paraId="764A811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SS</w:t>
                  </w:r>
                </w:p>
              </w:tc>
              <w:tc>
                <w:tcPr>
                  <w:tcW w:w="567" w:type="dxa"/>
                  <w:tcBorders>
                    <w:tl2br w:val="nil"/>
                    <w:tr2bl w:val="nil"/>
                  </w:tcBorders>
                  <w:vAlign w:val="center"/>
                </w:tcPr>
                <w:p w14:paraId="74F872DD">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333B2AFF">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3D266FEC">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经洗车平台沉淀池沉淀处理后，回用于洗车</w:t>
                  </w:r>
                </w:p>
              </w:tc>
            </w:tr>
            <w:tr w14:paraId="17A32C2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64F45AA7">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7DB1BE6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W4</w:t>
                  </w:r>
                </w:p>
              </w:tc>
              <w:tc>
                <w:tcPr>
                  <w:tcW w:w="1276" w:type="dxa"/>
                  <w:tcBorders>
                    <w:tl2br w:val="nil"/>
                    <w:tr2bl w:val="nil"/>
                  </w:tcBorders>
                  <w:vAlign w:val="center"/>
                </w:tcPr>
                <w:p w14:paraId="562FF375">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职工生活污水</w:t>
                  </w:r>
                </w:p>
              </w:tc>
              <w:tc>
                <w:tcPr>
                  <w:tcW w:w="1842" w:type="dxa"/>
                  <w:tcBorders>
                    <w:tl2br w:val="nil"/>
                    <w:tr2bl w:val="nil"/>
                  </w:tcBorders>
                  <w:vAlign w:val="center"/>
                </w:tcPr>
                <w:p w14:paraId="587A2A96">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SS、COD、氨氮</w:t>
                  </w:r>
                </w:p>
              </w:tc>
              <w:tc>
                <w:tcPr>
                  <w:tcW w:w="567" w:type="dxa"/>
                  <w:tcBorders>
                    <w:tl2br w:val="nil"/>
                    <w:tr2bl w:val="nil"/>
                  </w:tcBorders>
                  <w:vAlign w:val="center"/>
                </w:tcPr>
                <w:p w14:paraId="3EC5C80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3587A4EC">
                  <w:pPr>
                    <w:ind w:left="-105" w:leftChars="-50" w:right="-105" w:rightChars="-50"/>
                    <w:jc w:val="center"/>
                    <w:rPr>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31CF7FF">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厂区内泼洒地面抑尘</w:t>
                  </w:r>
                </w:p>
              </w:tc>
            </w:tr>
            <w:tr w14:paraId="278EC5E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tcBorders>
                    <w:tl2br w:val="nil"/>
                    <w:tr2bl w:val="nil"/>
                  </w:tcBorders>
                  <w:vAlign w:val="center"/>
                </w:tcPr>
                <w:p w14:paraId="457E252A">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噪声</w:t>
                  </w:r>
                </w:p>
              </w:tc>
              <w:tc>
                <w:tcPr>
                  <w:tcW w:w="434" w:type="dxa"/>
                  <w:tcBorders>
                    <w:tl2br w:val="nil"/>
                    <w:tr2bl w:val="nil"/>
                  </w:tcBorders>
                  <w:vAlign w:val="center"/>
                </w:tcPr>
                <w:p w14:paraId="492267C5">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N1~N15</w:t>
                  </w:r>
                </w:p>
              </w:tc>
              <w:tc>
                <w:tcPr>
                  <w:tcW w:w="1276" w:type="dxa"/>
                  <w:tcBorders>
                    <w:tl2br w:val="nil"/>
                    <w:tr2bl w:val="nil"/>
                  </w:tcBorders>
                  <w:vAlign w:val="center"/>
                </w:tcPr>
                <w:p w14:paraId="32BD7248">
                  <w:pPr>
                    <w:pStyle w:val="53"/>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生产设备</w:t>
                  </w:r>
                </w:p>
              </w:tc>
              <w:tc>
                <w:tcPr>
                  <w:tcW w:w="1842" w:type="dxa"/>
                  <w:tcBorders>
                    <w:tl2br w:val="nil"/>
                    <w:tr2bl w:val="nil"/>
                  </w:tcBorders>
                  <w:vAlign w:val="center"/>
                </w:tcPr>
                <w:p w14:paraId="698B27C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噪声</w:t>
                  </w:r>
                </w:p>
              </w:tc>
              <w:tc>
                <w:tcPr>
                  <w:tcW w:w="567" w:type="dxa"/>
                  <w:tcBorders>
                    <w:tl2br w:val="nil"/>
                    <w:tr2bl w:val="nil"/>
                  </w:tcBorders>
                  <w:vAlign w:val="center"/>
                </w:tcPr>
                <w:p w14:paraId="7A83A7A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连续</w:t>
                  </w:r>
                </w:p>
              </w:tc>
              <w:tc>
                <w:tcPr>
                  <w:tcW w:w="567" w:type="dxa"/>
                  <w:tcBorders>
                    <w:tl2br w:val="nil"/>
                    <w:tr2bl w:val="nil"/>
                  </w:tcBorders>
                  <w:vAlign w:val="center"/>
                </w:tcPr>
                <w:p w14:paraId="357FEDA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排入</w:t>
                  </w:r>
                </w:p>
                <w:p w14:paraId="37810D78">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环境</w:t>
                  </w:r>
                </w:p>
              </w:tc>
              <w:tc>
                <w:tcPr>
                  <w:tcW w:w="3746" w:type="dxa"/>
                  <w:tcBorders>
                    <w:tl2br w:val="nil"/>
                    <w:tr2bl w:val="nil"/>
                  </w:tcBorders>
                  <w:vAlign w:val="center"/>
                </w:tcPr>
                <w:p w14:paraId="77E3C486">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全部置于车间内，经合理布局、厂房隔声、基础减振，风机</w:t>
                  </w:r>
                  <w:r>
                    <w:rPr>
                      <w:rFonts w:hint="eastAsia"/>
                      <w:color w:val="000000" w:themeColor="text1"/>
                      <w:sz w:val="18"/>
                      <w:szCs w:val="18"/>
                      <w:highlight w:val="none"/>
                      <w14:textFill>
                        <w14:solidFill>
                          <w14:schemeClr w14:val="tx1"/>
                        </w14:solidFill>
                      </w14:textFill>
                    </w:rPr>
                    <w:t>软连接</w:t>
                  </w:r>
                </w:p>
              </w:tc>
            </w:tr>
            <w:tr w14:paraId="0D6E4F2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restart"/>
                  <w:tcBorders>
                    <w:tl2br w:val="nil"/>
                    <w:tr2bl w:val="nil"/>
                  </w:tcBorders>
                  <w:vAlign w:val="center"/>
                </w:tcPr>
                <w:p w14:paraId="1E90C4DC">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固废</w:t>
                  </w:r>
                </w:p>
              </w:tc>
              <w:tc>
                <w:tcPr>
                  <w:tcW w:w="434" w:type="dxa"/>
                  <w:tcBorders>
                    <w:tl2br w:val="nil"/>
                    <w:tr2bl w:val="nil"/>
                  </w:tcBorders>
                  <w:vAlign w:val="center"/>
                </w:tcPr>
                <w:p w14:paraId="0BD9DAE4">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S1</w:t>
                  </w:r>
                </w:p>
              </w:tc>
              <w:tc>
                <w:tcPr>
                  <w:tcW w:w="1276" w:type="dxa"/>
                  <w:tcBorders>
                    <w:bottom w:val="single" w:color="auto" w:sz="4" w:space="0"/>
                    <w:tl2br w:val="nil"/>
                    <w:tr2bl w:val="nil"/>
                  </w:tcBorders>
                  <w:vAlign w:val="center"/>
                </w:tcPr>
                <w:p w14:paraId="1DAA9AD8">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切条、切坯工序</w:t>
                  </w:r>
                </w:p>
              </w:tc>
              <w:tc>
                <w:tcPr>
                  <w:tcW w:w="1842" w:type="dxa"/>
                  <w:tcBorders>
                    <w:tl2br w:val="nil"/>
                    <w:tr2bl w:val="nil"/>
                  </w:tcBorders>
                  <w:vAlign w:val="center"/>
                </w:tcPr>
                <w:p w14:paraId="4FAF1C27">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废砖坯</w:t>
                  </w:r>
                </w:p>
              </w:tc>
              <w:tc>
                <w:tcPr>
                  <w:tcW w:w="567" w:type="dxa"/>
                  <w:tcBorders>
                    <w:tl2br w:val="nil"/>
                    <w:tr2bl w:val="nil"/>
                  </w:tcBorders>
                  <w:vAlign w:val="center"/>
                </w:tcPr>
                <w:p w14:paraId="48BD661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restart"/>
                  <w:tcBorders>
                    <w:tl2br w:val="nil"/>
                    <w:tr2bl w:val="nil"/>
                  </w:tcBorders>
                  <w:vAlign w:val="center"/>
                </w:tcPr>
                <w:p w14:paraId="5B4D2155">
                  <w:pPr>
                    <w:ind w:left="-105" w:leftChars="-50" w:right="-105" w:rightChars="-50"/>
                    <w:jc w:val="center"/>
                    <w:rPr>
                      <w:caps/>
                      <w:color w:val="000000" w:themeColor="text1"/>
                      <w:sz w:val="18"/>
                      <w:szCs w:val="18"/>
                      <w:highlight w:val="none"/>
                      <w14:textFill>
                        <w14:solidFill>
                          <w14:schemeClr w14:val="tx1"/>
                        </w14:solidFill>
                      </w14:textFill>
                    </w:rPr>
                  </w:pPr>
                  <w:r>
                    <w:rPr>
                      <w:caps/>
                      <w:color w:val="000000" w:themeColor="text1"/>
                      <w:sz w:val="18"/>
                      <w:szCs w:val="18"/>
                      <w:highlight w:val="none"/>
                      <w14:textFill>
                        <w14:solidFill>
                          <w14:schemeClr w14:val="tx1"/>
                        </w14:solidFill>
                      </w14:textFill>
                    </w:rPr>
                    <w:t>不排放</w:t>
                  </w:r>
                </w:p>
              </w:tc>
              <w:tc>
                <w:tcPr>
                  <w:tcW w:w="3746" w:type="dxa"/>
                  <w:tcBorders>
                    <w:tl2br w:val="nil"/>
                    <w:tr2bl w:val="nil"/>
                  </w:tcBorders>
                  <w:vAlign w:val="center"/>
                </w:tcPr>
                <w:p w14:paraId="1D6D67DA">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集中收集后送入搅拌工序，回用于生产</w:t>
                  </w:r>
                </w:p>
              </w:tc>
            </w:tr>
            <w:tr w14:paraId="1185959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3A39A5B0">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6BAD8355">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S2</w:t>
                  </w:r>
                </w:p>
              </w:tc>
              <w:tc>
                <w:tcPr>
                  <w:tcW w:w="1276" w:type="dxa"/>
                  <w:tcBorders>
                    <w:top w:val="single" w:color="auto" w:sz="4" w:space="0"/>
                    <w:tl2br w:val="nil"/>
                    <w:tr2bl w:val="nil"/>
                  </w:tcBorders>
                  <w:vAlign w:val="center"/>
                </w:tcPr>
                <w:p w14:paraId="75980E66">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检验工序</w:t>
                  </w:r>
                </w:p>
              </w:tc>
              <w:tc>
                <w:tcPr>
                  <w:tcW w:w="1842" w:type="dxa"/>
                  <w:tcBorders>
                    <w:tl2br w:val="nil"/>
                    <w:tr2bl w:val="nil"/>
                  </w:tcBorders>
                  <w:vAlign w:val="center"/>
                </w:tcPr>
                <w:p w14:paraId="7E35F145">
                  <w:pPr>
                    <w:ind w:left="-50" w:right="-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废砖</w:t>
                  </w:r>
                </w:p>
              </w:tc>
              <w:tc>
                <w:tcPr>
                  <w:tcW w:w="567" w:type="dxa"/>
                  <w:tcBorders>
                    <w:tl2br w:val="nil"/>
                    <w:tr2bl w:val="nil"/>
                  </w:tcBorders>
                  <w:vAlign w:val="center"/>
                </w:tcPr>
                <w:p w14:paraId="4E78F285">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7A6099DF">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50B10D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集中收集外售</w:t>
                  </w:r>
                </w:p>
              </w:tc>
            </w:tr>
            <w:tr w14:paraId="21B7F70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67D0729F">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794830C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S3</w:t>
                  </w:r>
                </w:p>
              </w:tc>
              <w:tc>
                <w:tcPr>
                  <w:tcW w:w="1276" w:type="dxa"/>
                  <w:vMerge w:val="restart"/>
                  <w:tcBorders>
                    <w:tl2br w:val="nil"/>
                    <w:tr2bl w:val="nil"/>
                  </w:tcBorders>
                  <w:vAlign w:val="center"/>
                </w:tcPr>
                <w:p w14:paraId="536DE80B">
                  <w:pPr>
                    <w:ind w:left="-105" w:leftChars="-50" w:right="-105" w:rightChars="-50"/>
                    <w:jc w:val="center"/>
                    <w:rPr>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脉冲</w:t>
                  </w:r>
                  <w:r>
                    <w:rPr>
                      <w:bCs/>
                      <w:color w:val="000000" w:themeColor="text1"/>
                      <w:sz w:val="18"/>
                      <w:szCs w:val="18"/>
                      <w:highlight w:val="none"/>
                      <w14:textFill>
                        <w14:solidFill>
                          <w14:schemeClr w14:val="tx1"/>
                        </w14:solidFill>
                      </w14:textFill>
                    </w:rPr>
                    <w:t>布袋除尘器</w:t>
                  </w:r>
                </w:p>
              </w:tc>
              <w:tc>
                <w:tcPr>
                  <w:tcW w:w="1842" w:type="dxa"/>
                  <w:tcBorders>
                    <w:tl2br w:val="nil"/>
                    <w:tr2bl w:val="nil"/>
                  </w:tcBorders>
                  <w:vAlign w:val="center"/>
                </w:tcPr>
                <w:p w14:paraId="30E79FC0">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除尘灰</w:t>
                  </w:r>
                </w:p>
              </w:tc>
              <w:tc>
                <w:tcPr>
                  <w:tcW w:w="567" w:type="dxa"/>
                  <w:tcBorders>
                    <w:tl2br w:val="nil"/>
                    <w:tr2bl w:val="nil"/>
                  </w:tcBorders>
                  <w:vAlign w:val="center"/>
                </w:tcPr>
                <w:p w14:paraId="4C902BC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4BF508A0">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3FE5720A">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集中收集后送入搅拌工序，回用于生产</w:t>
                  </w:r>
                </w:p>
              </w:tc>
            </w:tr>
            <w:tr w14:paraId="1563030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673AF2D6">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3B250C9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S4</w:t>
                  </w:r>
                </w:p>
              </w:tc>
              <w:tc>
                <w:tcPr>
                  <w:tcW w:w="1276" w:type="dxa"/>
                  <w:vMerge w:val="continue"/>
                  <w:tcBorders>
                    <w:tl2br w:val="nil"/>
                    <w:tr2bl w:val="nil"/>
                  </w:tcBorders>
                  <w:vAlign w:val="center"/>
                </w:tcPr>
                <w:p w14:paraId="7C40E41C">
                  <w:pPr>
                    <w:ind w:left="-105" w:leftChars="-50" w:right="-105" w:rightChars="-50"/>
                    <w:jc w:val="center"/>
                    <w:rPr>
                      <w:color w:val="000000" w:themeColor="text1"/>
                      <w:sz w:val="18"/>
                      <w:szCs w:val="18"/>
                      <w:highlight w:val="none"/>
                      <w14:textFill>
                        <w14:solidFill>
                          <w14:schemeClr w14:val="tx1"/>
                        </w14:solidFill>
                      </w14:textFill>
                    </w:rPr>
                  </w:pPr>
                </w:p>
              </w:tc>
              <w:tc>
                <w:tcPr>
                  <w:tcW w:w="1842" w:type="dxa"/>
                  <w:tcBorders>
                    <w:tl2br w:val="nil"/>
                    <w:tr2bl w:val="nil"/>
                  </w:tcBorders>
                  <w:vAlign w:val="center"/>
                </w:tcPr>
                <w:p w14:paraId="580A3D82">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废滤袋</w:t>
                  </w:r>
                </w:p>
              </w:tc>
              <w:tc>
                <w:tcPr>
                  <w:tcW w:w="567" w:type="dxa"/>
                  <w:tcBorders>
                    <w:tl2br w:val="nil"/>
                    <w:tr2bl w:val="nil"/>
                  </w:tcBorders>
                  <w:vAlign w:val="center"/>
                </w:tcPr>
                <w:p w14:paraId="41A3444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401425AF">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644F92D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集中收集外售相关单位</w:t>
                  </w:r>
                </w:p>
              </w:tc>
            </w:tr>
            <w:tr w14:paraId="64EC8A0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27CD1E11">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00C8039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S5</w:t>
                  </w:r>
                </w:p>
              </w:tc>
              <w:tc>
                <w:tcPr>
                  <w:tcW w:w="1276" w:type="dxa"/>
                  <w:vMerge w:val="restart"/>
                  <w:tcBorders>
                    <w:tl2br w:val="nil"/>
                    <w:tr2bl w:val="nil"/>
                  </w:tcBorders>
                  <w:vAlign w:val="center"/>
                </w:tcPr>
                <w:p w14:paraId="3E781AED">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脱硫</w:t>
                  </w:r>
                  <w:r>
                    <w:rPr>
                      <w:rFonts w:hint="eastAsia"/>
                      <w:bCs/>
                      <w:color w:val="000000" w:themeColor="text1"/>
                      <w:sz w:val="18"/>
                      <w:szCs w:val="18"/>
                      <w:highlight w:val="none"/>
                      <w14:textFill>
                        <w14:solidFill>
                          <w14:schemeClr w14:val="tx1"/>
                        </w14:solidFill>
                      </w14:textFill>
                    </w:rPr>
                    <w:t>除尘</w:t>
                  </w:r>
                  <w:r>
                    <w:rPr>
                      <w:bCs/>
                      <w:color w:val="000000" w:themeColor="text1"/>
                      <w:sz w:val="18"/>
                      <w:szCs w:val="18"/>
                      <w:highlight w:val="none"/>
                      <w14:textFill>
                        <w14:solidFill>
                          <w14:schemeClr w14:val="tx1"/>
                        </w14:solidFill>
                      </w14:textFill>
                    </w:rPr>
                    <w:t>设施</w:t>
                  </w:r>
                </w:p>
              </w:tc>
              <w:tc>
                <w:tcPr>
                  <w:tcW w:w="1842" w:type="dxa"/>
                  <w:tcBorders>
                    <w:tl2br w:val="nil"/>
                    <w:tr2bl w:val="nil"/>
                  </w:tcBorders>
                  <w:vAlign w:val="center"/>
                </w:tcPr>
                <w:p w14:paraId="7A052431">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脱硫石膏</w:t>
                  </w:r>
                </w:p>
              </w:tc>
              <w:tc>
                <w:tcPr>
                  <w:tcW w:w="567" w:type="dxa"/>
                  <w:tcBorders>
                    <w:tl2br w:val="nil"/>
                    <w:tr2bl w:val="nil"/>
                  </w:tcBorders>
                  <w:vAlign w:val="center"/>
                </w:tcPr>
                <w:p w14:paraId="7B970FB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50F59D5C">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2FD5F7BF">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集中收集后送入搅拌工序，回用于生产</w:t>
                  </w:r>
                </w:p>
              </w:tc>
            </w:tr>
            <w:tr w14:paraId="5E6810A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454BDE99">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630E31F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S6</w:t>
                  </w:r>
                </w:p>
              </w:tc>
              <w:tc>
                <w:tcPr>
                  <w:tcW w:w="1276" w:type="dxa"/>
                  <w:vMerge w:val="continue"/>
                  <w:tcBorders>
                    <w:tl2br w:val="nil"/>
                    <w:tr2bl w:val="nil"/>
                  </w:tcBorders>
                  <w:vAlign w:val="center"/>
                </w:tcPr>
                <w:p w14:paraId="3952DE2E">
                  <w:pPr>
                    <w:ind w:left="-105" w:leftChars="-50" w:right="-105" w:rightChars="-50"/>
                    <w:jc w:val="center"/>
                    <w:rPr>
                      <w:color w:val="000000" w:themeColor="text1"/>
                      <w:sz w:val="18"/>
                      <w:szCs w:val="18"/>
                      <w:highlight w:val="none"/>
                      <w14:textFill>
                        <w14:solidFill>
                          <w14:schemeClr w14:val="tx1"/>
                        </w14:solidFill>
                      </w14:textFill>
                    </w:rPr>
                  </w:pPr>
                </w:p>
              </w:tc>
              <w:tc>
                <w:tcPr>
                  <w:tcW w:w="1842" w:type="dxa"/>
                  <w:tcBorders>
                    <w:tl2br w:val="nil"/>
                    <w:tr2bl w:val="nil"/>
                  </w:tcBorders>
                  <w:vAlign w:val="center"/>
                </w:tcPr>
                <w:p w14:paraId="3A36EC50">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除尘灰浆</w:t>
                  </w:r>
                </w:p>
              </w:tc>
              <w:tc>
                <w:tcPr>
                  <w:tcW w:w="567" w:type="dxa"/>
                  <w:tcBorders>
                    <w:tl2br w:val="nil"/>
                    <w:tr2bl w:val="nil"/>
                  </w:tcBorders>
                  <w:vAlign w:val="center"/>
                </w:tcPr>
                <w:p w14:paraId="2BD0DDF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4DC7612B">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7A2AC62E">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集中收集后送入搅拌工序，回用于生产</w:t>
                  </w:r>
                </w:p>
              </w:tc>
            </w:tr>
            <w:tr w14:paraId="6139371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44DB9F77">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1519001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S7</w:t>
                  </w:r>
                </w:p>
              </w:tc>
              <w:tc>
                <w:tcPr>
                  <w:tcW w:w="1276" w:type="dxa"/>
                  <w:vMerge w:val="restart"/>
                  <w:tcBorders>
                    <w:tl2br w:val="nil"/>
                    <w:tr2bl w:val="nil"/>
                  </w:tcBorders>
                  <w:vAlign w:val="center"/>
                </w:tcPr>
                <w:p w14:paraId="65AB4703">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设备维修保养</w:t>
                  </w:r>
                </w:p>
              </w:tc>
              <w:tc>
                <w:tcPr>
                  <w:tcW w:w="1842" w:type="dxa"/>
                  <w:tcBorders>
                    <w:tl2br w:val="nil"/>
                    <w:tr2bl w:val="nil"/>
                  </w:tcBorders>
                  <w:vAlign w:val="center"/>
                </w:tcPr>
                <w:p w14:paraId="55927EB8">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废润滑油</w:t>
                  </w:r>
                </w:p>
              </w:tc>
              <w:tc>
                <w:tcPr>
                  <w:tcW w:w="567" w:type="dxa"/>
                  <w:tcBorders>
                    <w:tl2br w:val="nil"/>
                    <w:tr2bl w:val="nil"/>
                  </w:tcBorders>
                  <w:vAlign w:val="center"/>
                </w:tcPr>
                <w:p w14:paraId="1125130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4C2EA942">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7AE1F8C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采用专用容器贮存，暂存危废间，交有资质单位处理</w:t>
                  </w:r>
                </w:p>
              </w:tc>
            </w:tr>
            <w:tr w14:paraId="39266BA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115AB285">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74059DC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S8</w:t>
                  </w:r>
                </w:p>
              </w:tc>
              <w:tc>
                <w:tcPr>
                  <w:tcW w:w="1276" w:type="dxa"/>
                  <w:vMerge w:val="continue"/>
                  <w:tcBorders>
                    <w:tl2br w:val="nil"/>
                    <w:tr2bl w:val="nil"/>
                  </w:tcBorders>
                  <w:vAlign w:val="center"/>
                </w:tcPr>
                <w:p w14:paraId="22D08870">
                  <w:pPr>
                    <w:ind w:left="-105" w:leftChars="-50" w:right="-105" w:rightChars="-50"/>
                    <w:jc w:val="center"/>
                    <w:rPr>
                      <w:color w:val="000000" w:themeColor="text1"/>
                      <w:sz w:val="18"/>
                      <w:szCs w:val="18"/>
                      <w:highlight w:val="none"/>
                      <w14:textFill>
                        <w14:solidFill>
                          <w14:schemeClr w14:val="tx1"/>
                        </w14:solidFill>
                      </w14:textFill>
                    </w:rPr>
                  </w:pPr>
                </w:p>
              </w:tc>
              <w:tc>
                <w:tcPr>
                  <w:tcW w:w="1842" w:type="dxa"/>
                  <w:tcBorders>
                    <w:tl2br w:val="nil"/>
                    <w:tr2bl w:val="nil"/>
                  </w:tcBorders>
                  <w:vAlign w:val="center"/>
                </w:tcPr>
                <w:p w14:paraId="32A4A3D9">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废润滑油桶</w:t>
                  </w:r>
                </w:p>
              </w:tc>
              <w:tc>
                <w:tcPr>
                  <w:tcW w:w="567" w:type="dxa"/>
                  <w:tcBorders>
                    <w:tl2br w:val="nil"/>
                    <w:tr2bl w:val="nil"/>
                  </w:tcBorders>
                  <w:vAlign w:val="center"/>
                </w:tcPr>
                <w:p w14:paraId="1E74173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62189D4B">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F2F493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密封，暂存危废间，交有资质单位处理</w:t>
                  </w:r>
                </w:p>
              </w:tc>
            </w:tr>
            <w:tr w14:paraId="5DCF9A3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01E0DD65">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6F54B8C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S9</w:t>
                  </w:r>
                </w:p>
              </w:tc>
              <w:tc>
                <w:tcPr>
                  <w:tcW w:w="1276" w:type="dxa"/>
                  <w:tcBorders>
                    <w:tl2br w:val="nil"/>
                    <w:tr2bl w:val="nil"/>
                  </w:tcBorders>
                  <w:vAlign w:val="center"/>
                </w:tcPr>
                <w:p w14:paraId="4D54DE93">
                  <w:pPr>
                    <w:ind w:left="-105" w:leftChars="-50" w:right="-105" w:rightChars="-50"/>
                    <w:jc w:val="center"/>
                    <w:rPr>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铲车产生</w:t>
                  </w:r>
                </w:p>
              </w:tc>
              <w:tc>
                <w:tcPr>
                  <w:tcW w:w="1842" w:type="dxa"/>
                  <w:tcBorders>
                    <w:tl2br w:val="nil"/>
                    <w:tr2bl w:val="nil"/>
                  </w:tcBorders>
                  <w:vAlign w:val="center"/>
                </w:tcPr>
                <w:p w14:paraId="6DCCC619">
                  <w:pPr>
                    <w:ind w:left="-105" w:leftChars="-50" w:right="-105" w:rightChars="-50"/>
                    <w:jc w:val="center"/>
                    <w:rPr>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废电瓶</w:t>
                  </w:r>
                </w:p>
              </w:tc>
              <w:tc>
                <w:tcPr>
                  <w:tcW w:w="567" w:type="dxa"/>
                  <w:tcBorders>
                    <w:tl2br w:val="nil"/>
                    <w:tr2bl w:val="nil"/>
                  </w:tcBorders>
                  <w:vAlign w:val="center"/>
                </w:tcPr>
                <w:p w14:paraId="4E1B283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16AEA99C">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5BAC609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暂存危废间，交有资质单位处理</w:t>
                  </w:r>
                </w:p>
              </w:tc>
            </w:tr>
            <w:tr w14:paraId="7E63490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2710404F">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1631A23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S10</w:t>
                  </w:r>
                </w:p>
              </w:tc>
              <w:tc>
                <w:tcPr>
                  <w:tcW w:w="1276" w:type="dxa"/>
                  <w:tcBorders>
                    <w:tl2br w:val="nil"/>
                    <w:tr2bl w:val="nil"/>
                  </w:tcBorders>
                  <w:vAlign w:val="center"/>
                </w:tcPr>
                <w:p w14:paraId="31D719DD">
                  <w:pPr>
                    <w:ind w:left="-105" w:leftChars="-50" w:right="-105" w:rightChars="-50"/>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脱硫脱硝工序</w:t>
                  </w:r>
                </w:p>
              </w:tc>
              <w:tc>
                <w:tcPr>
                  <w:tcW w:w="1842" w:type="dxa"/>
                  <w:tcBorders>
                    <w:tl2br w:val="nil"/>
                    <w:tr2bl w:val="nil"/>
                  </w:tcBorders>
                  <w:vAlign w:val="center"/>
                </w:tcPr>
                <w:p w14:paraId="12EA6885">
                  <w:pPr>
                    <w:ind w:left="-105" w:leftChars="-50" w:right="-105" w:rightChars="-50"/>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废包装袋</w:t>
                  </w:r>
                </w:p>
              </w:tc>
              <w:tc>
                <w:tcPr>
                  <w:tcW w:w="567" w:type="dxa"/>
                  <w:tcBorders>
                    <w:tl2br w:val="nil"/>
                    <w:tr2bl w:val="nil"/>
                  </w:tcBorders>
                  <w:vAlign w:val="center"/>
                </w:tcPr>
                <w:p w14:paraId="25D655E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348A8E64">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FED843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集中收集，定期外售</w:t>
                  </w:r>
                </w:p>
              </w:tc>
            </w:tr>
            <w:tr w14:paraId="011CCE7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53806287">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43BFEC3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S11</w:t>
                  </w:r>
                </w:p>
              </w:tc>
              <w:tc>
                <w:tcPr>
                  <w:tcW w:w="1276" w:type="dxa"/>
                  <w:tcBorders>
                    <w:tl2br w:val="nil"/>
                    <w:tr2bl w:val="nil"/>
                  </w:tcBorders>
                  <w:vAlign w:val="center"/>
                </w:tcPr>
                <w:p w14:paraId="513297B4">
                  <w:pPr>
                    <w:ind w:left="-105" w:leftChars="-50" w:right="-105" w:rightChars="-50"/>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洗车平台</w:t>
                  </w:r>
                </w:p>
              </w:tc>
              <w:tc>
                <w:tcPr>
                  <w:tcW w:w="1842" w:type="dxa"/>
                  <w:tcBorders>
                    <w:tl2br w:val="nil"/>
                    <w:tr2bl w:val="nil"/>
                  </w:tcBorders>
                  <w:vAlign w:val="center"/>
                </w:tcPr>
                <w:p w14:paraId="3097D283">
                  <w:pPr>
                    <w:ind w:left="-105" w:leftChars="-50" w:right="-105" w:rightChars="-50"/>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污泥</w:t>
                  </w:r>
                </w:p>
              </w:tc>
              <w:tc>
                <w:tcPr>
                  <w:tcW w:w="567" w:type="dxa"/>
                  <w:tcBorders>
                    <w:tl2br w:val="nil"/>
                    <w:tr2bl w:val="nil"/>
                  </w:tcBorders>
                  <w:vAlign w:val="center"/>
                </w:tcPr>
                <w:p w14:paraId="0B24935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4EA44FCD">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64FAB91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定期清理，作为原料回用生产</w:t>
                  </w:r>
                </w:p>
              </w:tc>
            </w:tr>
            <w:tr w14:paraId="0EFD997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70CD8B81">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2670BD75">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S12</w:t>
                  </w:r>
                </w:p>
              </w:tc>
              <w:tc>
                <w:tcPr>
                  <w:tcW w:w="1276" w:type="dxa"/>
                  <w:tcBorders>
                    <w:tl2br w:val="nil"/>
                    <w:tr2bl w:val="nil"/>
                  </w:tcBorders>
                  <w:vAlign w:val="center"/>
                </w:tcPr>
                <w:p w14:paraId="1A9C2583">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恶臭气体除臭设施</w:t>
                  </w:r>
                </w:p>
              </w:tc>
              <w:tc>
                <w:tcPr>
                  <w:tcW w:w="1842" w:type="dxa"/>
                  <w:tcBorders>
                    <w:tl2br w:val="nil"/>
                    <w:tr2bl w:val="nil"/>
                  </w:tcBorders>
                  <w:vAlign w:val="center"/>
                </w:tcPr>
                <w:p w14:paraId="500215B5">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废活性炭</w:t>
                  </w:r>
                </w:p>
              </w:tc>
              <w:tc>
                <w:tcPr>
                  <w:tcW w:w="567" w:type="dxa"/>
                  <w:tcBorders>
                    <w:tl2br w:val="nil"/>
                    <w:tr2bl w:val="nil"/>
                  </w:tcBorders>
                  <w:vAlign w:val="center"/>
                </w:tcPr>
                <w:p w14:paraId="41D5FA4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411548AD">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6A3A7C2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采用专用容器贮存，暂存危废间，交有资质单位处理</w:t>
                  </w:r>
                </w:p>
              </w:tc>
            </w:tr>
            <w:tr w14:paraId="078C751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4" w:hRule="atLeast"/>
                <w:jc w:val="center"/>
              </w:trPr>
              <w:tc>
                <w:tcPr>
                  <w:tcW w:w="422" w:type="dxa"/>
                  <w:vMerge w:val="continue"/>
                  <w:tcBorders>
                    <w:tl2br w:val="nil"/>
                    <w:tr2bl w:val="nil"/>
                  </w:tcBorders>
                  <w:vAlign w:val="center"/>
                </w:tcPr>
                <w:p w14:paraId="122181B2">
                  <w:pPr>
                    <w:ind w:left="-105" w:leftChars="-50" w:right="-105" w:rightChars="-50"/>
                    <w:jc w:val="center"/>
                    <w:rPr>
                      <w:color w:val="000000" w:themeColor="text1"/>
                      <w:sz w:val="18"/>
                      <w:szCs w:val="18"/>
                      <w:highlight w:val="none"/>
                      <w14:textFill>
                        <w14:solidFill>
                          <w14:schemeClr w14:val="tx1"/>
                        </w14:solidFill>
                      </w14:textFill>
                    </w:rPr>
                  </w:pPr>
                </w:p>
              </w:tc>
              <w:tc>
                <w:tcPr>
                  <w:tcW w:w="434" w:type="dxa"/>
                  <w:tcBorders>
                    <w:tl2br w:val="nil"/>
                    <w:tr2bl w:val="nil"/>
                  </w:tcBorders>
                  <w:vAlign w:val="center"/>
                </w:tcPr>
                <w:p w14:paraId="5B0652A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S13</w:t>
                  </w:r>
                </w:p>
              </w:tc>
              <w:tc>
                <w:tcPr>
                  <w:tcW w:w="1276" w:type="dxa"/>
                  <w:tcBorders>
                    <w:tl2br w:val="nil"/>
                    <w:tr2bl w:val="nil"/>
                  </w:tcBorders>
                  <w:vAlign w:val="center"/>
                </w:tcPr>
                <w:p w14:paraId="614D107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职工生活</w:t>
                  </w:r>
                </w:p>
              </w:tc>
              <w:tc>
                <w:tcPr>
                  <w:tcW w:w="1842" w:type="dxa"/>
                  <w:tcBorders>
                    <w:tl2br w:val="nil"/>
                    <w:tr2bl w:val="nil"/>
                  </w:tcBorders>
                  <w:vAlign w:val="center"/>
                </w:tcPr>
                <w:p w14:paraId="3C4ECD6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生活垃圾</w:t>
                  </w:r>
                </w:p>
              </w:tc>
              <w:tc>
                <w:tcPr>
                  <w:tcW w:w="567" w:type="dxa"/>
                  <w:tcBorders>
                    <w:tl2br w:val="nil"/>
                    <w:tr2bl w:val="nil"/>
                  </w:tcBorders>
                  <w:vAlign w:val="center"/>
                </w:tcPr>
                <w:p w14:paraId="6025FD4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间断</w:t>
                  </w:r>
                </w:p>
              </w:tc>
              <w:tc>
                <w:tcPr>
                  <w:tcW w:w="567" w:type="dxa"/>
                  <w:vMerge w:val="continue"/>
                  <w:tcBorders>
                    <w:tl2br w:val="nil"/>
                    <w:tr2bl w:val="nil"/>
                  </w:tcBorders>
                  <w:vAlign w:val="center"/>
                </w:tcPr>
                <w:p w14:paraId="2F44E997">
                  <w:pPr>
                    <w:ind w:left="-105" w:leftChars="-50" w:right="-105" w:rightChars="-50"/>
                    <w:jc w:val="center"/>
                    <w:rPr>
                      <w:caps/>
                      <w:color w:val="000000" w:themeColor="text1"/>
                      <w:sz w:val="18"/>
                      <w:szCs w:val="18"/>
                      <w:highlight w:val="none"/>
                      <w14:textFill>
                        <w14:solidFill>
                          <w14:schemeClr w14:val="tx1"/>
                        </w14:solidFill>
                      </w14:textFill>
                    </w:rPr>
                  </w:pPr>
                </w:p>
              </w:tc>
              <w:tc>
                <w:tcPr>
                  <w:tcW w:w="3746" w:type="dxa"/>
                  <w:tcBorders>
                    <w:tl2br w:val="nil"/>
                    <w:tr2bl w:val="nil"/>
                  </w:tcBorders>
                  <w:vAlign w:val="center"/>
                </w:tcPr>
                <w:p w14:paraId="4B73D39B">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集中收集，由环卫部门统一清运处理</w:t>
                  </w:r>
                </w:p>
              </w:tc>
            </w:tr>
          </w:tbl>
          <w:p w14:paraId="4942675D">
            <w:pPr>
              <w:spacing w:line="480" w:lineRule="exact"/>
              <w:rPr>
                <w:rFonts w:ascii="宋体" w:hAnsi="宋体"/>
                <w:bCs/>
                <w:color w:val="000000" w:themeColor="text1"/>
                <w:sz w:val="24"/>
                <w:highlight w:val="none"/>
                <w14:textFill>
                  <w14:solidFill>
                    <w14:schemeClr w14:val="tx1"/>
                  </w14:solidFill>
                </w14:textFill>
              </w:rPr>
            </w:pPr>
          </w:p>
        </w:tc>
      </w:tr>
      <w:tr w14:paraId="08FDC9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984" w:type="dxa"/>
            <w:vAlign w:val="center"/>
          </w:tcPr>
          <w:p w14:paraId="5762DD7D">
            <w:pPr>
              <w:pStyle w:val="20"/>
              <w:adjustRightInd w:val="0"/>
              <w:snapToGrid w:val="0"/>
              <w:spacing w:before="0" w:beforeAutospacing="0" w:after="0" w:afterAutospacing="0" w:line="480" w:lineRule="exact"/>
              <w:rPr>
                <w:rFonts w:ascii="黑体" w:hAnsi="黑体" w:eastAsia="黑体" w:cs="宋体"/>
                <w:b/>
                <w:color w:val="000000" w:themeColor="text1"/>
                <w:sz w:val="28"/>
                <w:szCs w:val="28"/>
                <w:highlight w:val="none"/>
                <w14:textFill>
                  <w14:solidFill>
                    <w14:schemeClr w14:val="tx1"/>
                  </w14:solidFill>
                </w14:textFill>
              </w:rPr>
            </w:pPr>
            <w:r>
              <w:rPr>
                <w:rFonts w:hint="eastAsia" w:ascii="黑体" w:hAnsi="黑体" w:eastAsia="黑体" w:cs="宋体"/>
                <w:b/>
                <w:bCs/>
                <w:color w:val="000000" w:themeColor="text1"/>
                <w:kern w:val="2"/>
                <w:sz w:val="28"/>
                <w:szCs w:val="28"/>
                <w:highlight w:val="none"/>
                <w14:textFill>
                  <w14:solidFill>
                    <w14:schemeClr w14:val="tx1"/>
                  </w14:solidFill>
                </w14:textFill>
              </w:rPr>
              <w:t>与项目有关的原有环境污染问题</w:t>
            </w:r>
          </w:p>
          <w:p w14:paraId="11179FE0">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滦县翼翔新型建材有限公司始建于2010年，</w:t>
            </w:r>
            <w:r>
              <w:rPr>
                <w:rFonts w:hint="eastAsia"/>
                <w:bCs/>
                <w:color w:val="000000" w:themeColor="text1"/>
                <w:sz w:val="24"/>
                <w:highlight w:val="none"/>
                <w14:textFill>
                  <w14:solidFill>
                    <w14:schemeClr w14:val="tx1"/>
                  </w14:solidFill>
                </w14:textFill>
              </w:rPr>
              <w:t>现有工程</w:t>
            </w:r>
            <w:r>
              <w:rPr>
                <w:bCs/>
                <w:color w:val="000000" w:themeColor="text1"/>
                <w:sz w:val="24"/>
                <w:highlight w:val="none"/>
                <w14:textFill>
                  <w14:solidFill>
                    <w14:schemeClr w14:val="tx1"/>
                  </w14:solidFill>
                </w14:textFill>
              </w:rPr>
              <w:t>生产240×115×53mm及240×115×90mm两种规格的页岩砖，产能为5000万块</w:t>
            </w:r>
            <w:r>
              <w:rPr>
                <w:rFonts w:hint="eastAsia"/>
                <w:bCs/>
                <w:color w:val="000000" w:themeColor="text1"/>
                <w:sz w:val="24"/>
                <w:highlight w:val="none"/>
                <w14:textFill>
                  <w14:solidFill>
                    <w14:schemeClr w14:val="tx1"/>
                  </w14:solidFill>
                </w14:textFill>
              </w:rPr>
              <w:t>/年</w:t>
            </w:r>
            <w:r>
              <w:rPr>
                <w:bCs/>
                <w:color w:val="000000" w:themeColor="text1"/>
                <w:sz w:val="24"/>
                <w:highlight w:val="none"/>
                <w14:textFill>
                  <w14:solidFill>
                    <w14:schemeClr w14:val="tx1"/>
                  </w14:solidFill>
                </w14:textFill>
              </w:rPr>
              <w:t>。</w:t>
            </w:r>
          </w:p>
          <w:p w14:paraId="38A2C24E">
            <w:pPr>
              <w:adjustRightInd w:val="0"/>
              <w:snapToGrid w:val="0"/>
              <w:spacing w:line="480" w:lineRule="exact"/>
              <w:rPr>
                <w:rFonts w:hAnsi="宋体"/>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一</w:t>
            </w:r>
            <w:r>
              <w:rPr>
                <w:rFonts w:hAnsi="宋体"/>
                <w:b/>
                <w:bCs/>
                <w:color w:val="000000" w:themeColor="text1"/>
                <w:sz w:val="24"/>
                <w:highlight w:val="none"/>
                <w14:textFill>
                  <w14:solidFill>
                    <w14:schemeClr w14:val="tx1"/>
                  </w14:solidFill>
                </w14:textFill>
              </w:rPr>
              <w:t>、现有工程环保手续履行情况</w:t>
            </w:r>
          </w:p>
          <w:p w14:paraId="04B74DCF">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Ansi="宋体"/>
                <w:bCs/>
                <w:color w:val="000000" w:themeColor="text1"/>
                <w:sz w:val="24"/>
                <w:highlight w:val="none"/>
                <w14:textFill>
                  <w14:solidFill>
                    <w14:schemeClr w14:val="tx1"/>
                  </w14:solidFill>
                </w14:textFill>
              </w:rPr>
              <w:t>现有工程环保手续情况详见下表</w:t>
            </w:r>
            <w:r>
              <w:rPr>
                <w:rFonts w:hint="eastAsia" w:hAnsi="宋体"/>
                <w:bCs/>
                <w:color w:val="000000" w:themeColor="text1"/>
                <w:sz w:val="24"/>
                <w:highlight w:val="none"/>
                <w14:textFill>
                  <w14:solidFill>
                    <w14:schemeClr w14:val="tx1"/>
                  </w14:solidFill>
                </w14:textFill>
              </w:rPr>
              <w:t>。</w:t>
            </w:r>
          </w:p>
          <w:p w14:paraId="3933EF33">
            <w:pPr>
              <w:pStyle w:val="6"/>
              <w:spacing w:line="480" w:lineRule="exact"/>
              <w:ind w:firstLine="1320" w:firstLineChars="550"/>
              <w:jc w:val="left"/>
              <w:rPr>
                <w:rFonts w:eastAsia="黑体"/>
                <w:color w:val="000000" w:themeColor="text1"/>
                <w:sz w:val="24"/>
                <w:highlight w:val="none"/>
                <w14:textFill>
                  <w14:solidFill>
                    <w14:schemeClr w14:val="tx1"/>
                  </w14:solidFill>
                </w14:textFill>
              </w:rPr>
            </w:pPr>
            <w:r>
              <w:rPr>
                <w:rFonts w:hint="eastAsia" w:eastAsia="黑体"/>
                <w:color w:val="000000" w:themeColor="text1"/>
                <w:sz w:val="24"/>
                <w:highlight w:val="none"/>
                <w14:textFill>
                  <w14:solidFill>
                    <w14:schemeClr w14:val="tx1"/>
                  </w14:solidFill>
                </w14:textFill>
              </w:rPr>
              <w:t>表2-2</w:t>
            </w:r>
            <w:r>
              <w:rPr>
                <w:rFonts w:hint="eastAsia" w:eastAsia="黑体"/>
                <w:color w:val="000000" w:themeColor="text1"/>
                <w:sz w:val="24"/>
                <w:highlight w:val="none"/>
                <w:lang w:val="en-US" w:eastAsia="zh-CN"/>
                <w14:textFill>
                  <w14:solidFill>
                    <w14:schemeClr w14:val="tx1"/>
                  </w14:solidFill>
                </w14:textFill>
              </w:rPr>
              <w:t>9</w:t>
            </w:r>
            <w:r>
              <w:rPr>
                <w:rFonts w:hint="eastAsia" w:eastAsia="黑体"/>
                <w:color w:val="000000" w:themeColor="text1"/>
                <w:sz w:val="24"/>
                <w:highlight w:val="none"/>
                <w14:textFill>
                  <w14:solidFill>
                    <w14:schemeClr w14:val="tx1"/>
                  </w14:solidFill>
                </w14:textFill>
              </w:rPr>
              <w:t xml:space="preserve">              企业环保手续一览表</w:t>
            </w:r>
          </w:p>
          <w:tbl>
            <w:tblPr>
              <w:tblStyle w:val="24"/>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056"/>
              <w:gridCol w:w="1173"/>
              <w:gridCol w:w="1260"/>
              <w:gridCol w:w="1001"/>
              <w:gridCol w:w="1029"/>
              <w:gridCol w:w="1113"/>
              <w:gridCol w:w="1131"/>
            </w:tblGrid>
            <w:tr w14:paraId="7315FC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vMerge w:val="restart"/>
                  <w:tcMar>
                    <w:top w:w="15" w:type="dxa"/>
                    <w:left w:w="15" w:type="dxa"/>
                    <w:right w:w="15" w:type="dxa"/>
                  </w:tcMar>
                  <w:vAlign w:val="center"/>
                </w:tcPr>
                <w:p w14:paraId="0A4D02D0">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建设项目名称</w:t>
                  </w:r>
                </w:p>
              </w:tc>
              <w:tc>
                <w:tcPr>
                  <w:tcW w:w="1959" w:type="pct"/>
                  <w:gridSpan w:val="3"/>
                  <w:tcMar>
                    <w:top w:w="15" w:type="dxa"/>
                    <w:left w:w="15" w:type="dxa"/>
                    <w:right w:w="15" w:type="dxa"/>
                  </w:tcMar>
                  <w:vAlign w:val="center"/>
                </w:tcPr>
                <w:p w14:paraId="6FF72BB8">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环评文件</w:t>
                  </w:r>
                </w:p>
              </w:tc>
              <w:tc>
                <w:tcPr>
                  <w:tcW w:w="1867" w:type="pct"/>
                  <w:gridSpan w:val="3"/>
                  <w:tcMar>
                    <w:top w:w="15" w:type="dxa"/>
                    <w:left w:w="15" w:type="dxa"/>
                    <w:right w:w="15" w:type="dxa"/>
                  </w:tcMar>
                  <w:vAlign w:val="center"/>
                </w:tcPr>
                <w:p w14:paraId="052A6970">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验收文件</w:t>
                  </w:r>
                </w:p>
              </w:tc>
            </w:tr>
            <w:tr w14:paraId="19F5DF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vMerge w:val="continue"/>
                  <w:tcMar>
                    <w:top w:w="15" w:type="dxa"/>
                    <w:left w:w="15" w:type="dxa"/>
                    <w:right w:w="15" w:type="dxa"/>
                  </w:tcMar>
                  <w:vAlign w:val="center"/>
                </w:tcPr>
                <w:p w14:paraId="60FB7D9C">
                  <w:pPr>
                    <w:widowControl/>
                    <w:jc w:val="center"/>
                    <w:textAlignment w:val="center"/>
                    <w:rPr>
                      <w:color w:val="000000" w:themeColor="text1"/>
                      <w:spacing w:val="-11"/>
                      <w:sz w:val="18"/>
                      <w:szCs w:val="18"/>
                      <w:highlight w:val="none"/>
                      <w14:textFill>
                        <w14:solidFill>
                          <w14:schemeClr w14:val="tx1"/>
                        </w14:solidFill>
                      </w14:textFill>
                    </w:rPr>
                  </w:pPr>
                </w:p>
              </w:tc>
              <w:tc>
                <w:tcPr>
                  <w:tcW w:w="669" w:type="pct"/>
                  <w:tcMar>
                    <w:top w:w="15" w:type="dxa"/>
                    <w:left w:w="15" w:type="dxa"/>
                    <w:right w:w="15" w:type="dxa"/>
                  </w:tcMar>
                  <w:vAlign w:val="center"/>
                </w:tcPr>
                <w:p w14:paraId="0452AF6D">
                  <w:pPr>
                    <w:widowControl/>
                    <w:jc w:val="center"/>
                    <w:textAlignment w:val="center"/>
                    <w:rPr>
                      <w:color w:val="000000" w:themeColor="text1"/>
                      <w:spacing w:val="-11"/>
                      <w:sz w:val="18"/>
                      <w:szCs w:val="18"/>
                      <w:highlight w:val="none"/>
                      <w14:textFill>
                        <w14:solidFill>
                          <w14:schemeClr w14:val="tx1"/>
                        </w14:solidFill>
                      </w14:textFill>
                    </w:rPr>
                  </w:pPr>
                  <w:r>
                    <w:rPr>
                      <w:color w:val="000000" w:themeColor="text1"/>
                      <w:spacing w:val="-11"/>
                      <w:sz w:val="18"/>
                      <w:szCs w:val="18"/>
                      <w:highlight w:val="none"/>
                      <w14:textFill>
                        <w14:solidFill>
                          <w14:schemeClr w14:val="tx1"/>
                        </w14:solidFill>
                      </w14:textFill>
                    </w:rPr>
                    <w:t>审批单位</w:t>
                  </w:r>
                </w:p>
              </w:tc>
              <w:tc>
                <w:tcPr>
                  <w:tcW w:w="718" w:type="pct"/>
                  <w:tcMar>
                    <w:top w:w="15" w:type="dxa"/>
                    <w:left w:w="15" w:type="dxa"/>
                    <w:right w:w="15" w:type="dxa"/>
                  </w:tcMar>
                  <w:vAlign w:val="center"/>
                </w:tcPr>
                <w:p w14:paraId="388FE3B5">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批准文号</w:t>
                  </w:r>
                </w:p>
              </w:tc>
              <w:tc>
                <w:tcPr>
                  <w:tcW w:w="571" w:type="pct"/>
                  <w:tcMar>
                    <w:top w:w="15" w:type="dxa"/>
                    <w:left w:w="15" w:type="dxa"/>
                    <w:right w:w="15" w:type="dxa"/>
                  </w:tcMar>
                  <w:vAlign w:val="center"/>
                </w:tcPr>
                <w:p w14:paraId="1AA91968">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批准时间</w:t>
                  </w:r>
                </w:p>
              </w:tc>
              <w:tc>
                <w:tcPr>
                  <w:tcW w:w="587" w:type="pct"/>
                  <w:tcMar>
                    <w:top w:w="15" w:type="dxa"/>
                    <w:left w:w="15" w:type="dxa"/>
                    <w:right w:w="15" w:type="dxa"/>
                  </w:tcMar>
                  <w:vAlign w:val="center"/>
                </w:tcPr>
                <w:p w14:paraId="75A40FB4">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验收单位</w:t>
                  </w:r>
                </w:p>
              </w:tc>
              <w:tc>
                <w:tcPr>
                  <w:tcW w:w="635" w:type="pct"/>
                  <w:tcMar>
                    <w:top w:w="15" w:type="dxa"/>
                    <w:left w:w="15" w:type="dxa"/>
                    <w:right w:w="15" w:type="dxa"/>
                  </w:tcMar>
                  <w:vAlign w:val="center"/>
                </w:tcPr>
                <w:p w14:paraId="148EB39E">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验收文号</w:t>
                  </w:r>
                </w:p>
              </w:tc>
              <w:tc>
                <w:tcPr>
                  <w:tcW w:w="645" w:type="pct"/>
                  <w:noWrap/>
                  <w:tcMar>
                    <w:top w:w="15" w:type="dxa"/>
                    <w:left w:w="15" w:type="dxa"/>
                    <w:right w:w="15" w:type="dxa"/>
                  </w:tcMar>
                  <w:vAlign w:val="center"/>
                </w:tcPr>
                <w:p w14:paraId="541E5A50">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验收时间</w:t>
                  </w:r>
                </w:p>
              </w:tc>
            </w:tr>
            <w:tr w14:paraId="6A5480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Borders>
                    <w:bottom w:val="single" w:color="000000" w:sz="4" w:space="0"/>
                  </w:tcBorders>
                  <w:tcMar>
                    <w:top w:w="15" w:type="dxa"/>
                    <w:left w:w="15" w:type="dxa"/>
                    <w:right w:w="15" w:type="dxa"/>
                  </w:tcMar>
                  <w:vAlign w:val="center"/>
                </w:tcPr>
                <w:p w14:paraId="2ADB268D">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滦县翼翔新型建材有限公司年产5000万块页岩砖项目</w:t>
                  </w:r>
                </w:p>
              </w:tc>
              <w:tc>
                <w:tcPr>
                  <w:tcW w:w="669" w:type="pct"/>
                  <w:tcBorders>
                    <w:bottom w:val="single" w:color="000000" w:sz="4" w:space="0"/>
                  </w:tcBorders>
                  <w:tcMar>
                    <w:top w:w="15" w:type="dxa"/>
                    <w:left w:w="15" w:type="dxa"/>
                    <w:right w:w="15" w:type="dxa"/>
                  </w:tcMar>
                  <w:vAlign w:val="center"/>
                </w:tcPr>
                <w:p w14:paraId="0D2E42D3">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滦县环境保护局</w:t>
                  </w:r>
                </w:p>
              </w:tc>
              <w:tc>
                <w:tcPr>
                  <w:tcW w:w="718" w:type="pct"/>
                  <w:tcBorders>
                    <w:bottom w:val="single" w:color="000000" w:sz="4" w:space="0"/>
                  </w:tcBorders>
                  <w:tcMar>
                    <w:top w:w="15" w:type="dxa"/>
                    <w:left w:w="15" w:type="dxa"/>
                    <w:right w:w="15" w:type="dxa"/>
                  </w:tcMar>
                  <w:vAlign w:val="center"/>
                </w:tcPr>
                <w:p w14:paraId="4B66750B">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滦环表[2011]005号</w:t>
                  </w:r>
                </w:p>
              </w:tc>
              <w:tc>
                <w:tcPr>
                  <w:tcW w:w="571" w:type="pct"/>
                  <w:tcBorders>
                    <w:bottom w:val="single" w:color="000000" w:sz="4" w:space="0"/>
                  </w:tcBorders>
                  <w:tcMar>
                    <w:top w:w="15" w:type="dxa"/>
                    <w:left w:w="15" w:type="dxa"/>
                    <w:right w:w="15" w:type="dxa"/>
                  </w:tcMar>
                  <w:vAlign w:val="center"/>
                </w:tcPr>
                <w:p w14:paraId="0D99C27C">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2011.1.12</w:t>
                  </w:r>
                </w:p>
              </w:tc>
              <w:tc>
                <w:tcPr>
                  <w:tcW w:w="587" w:type="pct"/>
                  <w:tcBorders>
                    <w:bottom w:val="single" w:color="000000" w:sz="4" w:space="0"/>
                  </w:tcBorders>
                  <w:tcMar>
                    <w:top w:w="15" w:type="dxa"/>
                    <w:left w:w="15" w:type="dxa"/>
                    <w:right w:w="15" w:type="dxa"/>
                  </w:tcMar>
                  <w:vAlign w:val="center"/>
                </w:tcPr>
                <w:p w14:paraId="55E4AB9D">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滦县环境保护局</w:t>
                  </w:r>
                </w:p>
              </w:tc>
              <w:tc>
                <w:tcPr>
                  <w:tcW w:w="635" w:type="pct"/>
                  <w:tcBorders>
                    <w:bottom w:val="single" w:color="000000" w:sz="4" w:space="0"/>
                  </w:tcBorders>
                  <w:tcMar>
                    <w:top w:w="15" w:type="dxa"/>
                    <w:left w:w="15" w:type="dxa"/>
                    <w:right w:w="15" w:type="dxa"/>
                  </w:tcMar>
                  <w:vAlign w:val="center"/>
                </w:tcPr>
                <w:p w14:paraId="6E41C073">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滦环验[2012]002号</w:t>
                  </w:r>
                </w:p>
              </w:tc>
              <w:tc>
                <w:tcPr>
                  <w:tcW w:w="645" w:type="pct"/>
                  <w:tcBorders>
                    <w:bottom w:val="single" w:color="000000" w:sz="4" w:space="0"/>
                  </w:tcBorders>
                  <w:noWrap/>
                  <w:tcMar>
                    <w:top w:w="15" w:type="dxa"/>
                    <w:left w:w="15" w:type="dxa"/>
                    <w:right w:w="15" w:type="dxa"/>
                  </w:tcMar>
                  <w:vAlign w:val="center"/>
                </w:tcPr>
                <w:p w14:paraId="55BF4514">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2012.3.7</w:t>
                  </w:r>
                </w:p>
              </w:tc>
            </w:tr>
            <w:tr w14:paraId="2E68B6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Mar>
                    <w:top w:w="15" w:type="dxa"/>
                    <w:left w:w="15" w:type="dxa"/>
                    <w:right w:w="15" w:type="dxa"/>
                  </w:tcMar>
                  <w:vAlign w:val="center"/>
                </w:tcPr>
                <w:p w14:paraId="5F4DEBD1">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滦县翼翔新型建材有限公司年产5000万块页岩砖项目环境影响变更分析报告</w:t>
                  </w:r>
                </w:p>
              </w:tc>
              <w:tc>
                <w:tcPr>
                  <w:tcW w:w="1959" w:type="pct"/>
                  <w:gridSpan w:val="3"/>
                  <w:tcMar>
                    <w:top w:w="15" w:type="dxa"/>
                    <w:left w:w="15" w:type="dxa"/>
                    <w:right w:w="15" w:type="dxa"/>
                  </w:tcMar>
                  <w:vAlign w:val="center"/>
                </w:tcPr>
                <w:p w14:paraId="332670E6">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变更分析报告</w:t>
                  </w:r>
                </w:p>
              </w:tc>
              <w:tc>
                <w:tcPr>
                  <w:tcW w:w="587" w:type="pct"/>
                  <w:tcMar>
                    <w:top w:w="15" w:type="dxa"/>
                    <w:left w:w="15" w:type="dxa"/>
                    <w:right w:w="15" w:type="dxa"/>
                  </w:tcMar>
                  <w:vAlign w:val="center"/>
                </w:tcPr>
                <w:p w14:paraId="53882269">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635" w:type="pct"/>
                  <w:tcMar>
                    <w:top w:w="15" w:type="dxa"/>
                    <w:left w:w="15" w:type="dxa"/>
                    <w:right w:w="15" w:type="dxa"/>
                  </w:tcMar>
                  <w:vAlign w:val="center"/>
                </w:tcPr>
                <w:p w14:paraId="26438E97">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645" w:type="pct"/>
                  <w:noWrap/>
                  <w:tcMar>
                    <w:top w:w="15" w:type="dxa"/>
                    <w:left w:w="15" w:type="dxa"/>
                    <w:right w:w="15" w:type="dxa"/>
                  </w:tcMar>
                  <w:vAlign w:val="center"/>
                </w:tcPr>
                <w:p w14:paraId="7400DC37">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r>
            <w:tr w14:paraId="1158C8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Mar>
                    <w:top w:w="15" w:type="dxa"/>
                    <w:left w:w="15" w:type="dxa"/>
                    <w:right w:w="15" w:type="dxa"/>
                  </w:tcMar>
                  <w:vAlign w:val="center"/>
                </w:tcPr>
                <w:p w14:paraId="4F71580C">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滦县翼翔新型建材有限公司烟气达标治理项目</w:t>
                  </w:r>
                </w:p>
              </w:tc>
              <w:tc>
                <w:tcPr>
                  <w:tcW w:w="669" w:type="pct"/>
                  <w:tcMar>
                    <w:top w:w="15" w:type="dxa"/>
                    <w:left w:w="15" w:type="dxa"/>
                    <w:right w:w="15" w:type="dxa"/>
                  </w:tcMar>
                  <w:vAlign w:val="center"/>
                </w:tcPr>
                <w:p w14:paraId="54019119">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唐山市生态环境局滦州市</w:t>
                  </w:r>
                  <w:r>
                    <w:rPr>
                      <w:rFonts w:hint="eastAsia"/>
                      <w:bCs/>
                      <w:color w:val="000000" w:themeColor="text1"/>
                      <w:sz w:val="18"/>
                      <w:szCs w:val="18"/>
                      <w:highlight w:val="none"/>
                      <w14:textFill>
                        <w14:solidFill>
                          <w14:schemeClr w14:val="tx1"/>
                        </w14:solidFill>
                      </w14:textFill>
                    </w:rPr>
                    <w:t>分局</w:t>
                  </w:r>
                </w:p>
              </w:tc>
              <w:tc>
                <w:tcPr>
                  <w:tcW w:w="718" w:type="pct"/>
                  <w:tcMar>
                    <w:top w:w="15" w:type="dxa"/>
                    <w:left w:w="15" w:type="dxa"/>
                    <w:right w:w="15" w:type="dxa"/>
                  </w:tcMar>
                  <w:vAlign w:val="center"/>
                </w:tcPr>
                <w:p w14:paraId="6B2BFB63">
                  <w:pPr>
                    <w:widowControl/>
                    <w:jc w:val="center"/>
                    <w:textAlignment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滦环表[2020]1号</w:t>
                  </w:r>
                </w:p>
              </w:tc>
              <w:tc>
                <w:tcPr>
                  <w:tcW w:w="571" w:type="pct"/>
                  <w:tcMar>
                    <w:top w:w="15" w:type="dxa"/>
                    <w:left w:w="15" w:type="dxa"/>
                    <w:right w:w="15" w:type="dxa"/>
                  </w:tcMar>
                  <w:vAlign w:val="center"/>
                </w:tcPr>
                <w:p w14:paraId="1F49F93A">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2020.1.3</w:t>
                  </w:r>
                </w:p>
              </w:tc>
              <w:tc>
                <w:tcPr>
                  <w:tcW w:w="587" w:type="pct"/>
                  <w:tcMar>
                    <w:top w:w="15" w:type="dxa"/>
                    <w:left w:w="15" w:type="dxa"/>
                    <w:right w:w="15" w:type="dxa"/>
                  </w:tcMar>
                  <w:vAlign w:val="center"/>
                </w:tcPr>
                <w:p w14:paraId="610735E7">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自主验收</w:t>
                  </w:r>
                </w:p>
              </w:tc>
              <w:tc>
                <w:tcPr>
                  <w:tcW w:w="635" w:type="pct"/>
                  <w:tcMar>
                    <w:top w:w="15" w:type="dxa"/>
                    <w:left w:w="15" w:type="dxa"/>
                    <w:right w:w="15" w:type="dxa"/>
                  </w:tcMar>
                  <w:vAlign w:val="center"/>
                </w:tcPr>
                <w:p w14:paraId="14F46386">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自主验收</w:t>
                  </w:r>
                </w:p>
              </w:tc>
              <w:tc>
                <w:tcPr>
                  <w:tcW w:w="645" w:type="pct"/>
                  <w:noWrap/>
                  <w:tcMar>
                    <w:top w:w="15" w:type="dxa"/>
                    <w:left w:w="15" w:type="dxa"/>
                    <w:right w:w="15" w:type="dxa"/>
                  </w:tcMar>
                  <w:vAlign w:val="center"/>
                </w:tcPr>
                <w:p w14:paraId="3AE96136">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2020.4.24</w:t>
                  </w:r>
                </w:p>
              </w:tc>
            </w:tr>
            <w:tr w14:paraId="11DB45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Mar>
                    <w:top w:w="15" w:type="dxa"/>
                    <w:left w:w="15" w:type="dxa"/>
                    <w:right w:w="15" w:type="dxa"/>
                  </w:tcMar>
                  <w:vAlign w:val="center"/>
                </w:tcPr>
                <w:p w14:paraId="319A86EF">
                  <w:pPr>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滦县</w:t>
                  </w:r>
                  <w:r>
                    <w:rPr>
                      <w:color w:val="000000" w:themeColor="text1"/>
                      <w:sz w:val="18"/>
                      <w:szCs w:val="18"/>
                      <w:highlight w:val="none"/>
                      <w14:textFill>
                        <w14:solidFill>
                          <w14:schemeClr w14:val="tx1"/>
                        </w14:solidFill>
                      </w14:textFill>
                    </w:rPr>
                    <w:t>翼翔</w:t>
                  </w:r>
                  <w:r>
                    <w:rPr>
                      <w:bCs/>
                      <w:color w:val="000000" w:themeColor="text1"/>
                      <w:sz w:val="18"/>
                      <w:szCs w:val="18"/>
                      <w:highlight w:val="none"/>
                      <w14:textFill>
                        <w14:solidFill>
                          <w14:schemeClr w14:val="tx1"/>
                        </w14:solidFill>
                      </w14:textFill>
                    </w:rPr>
                    <w:t>新型建材有限公司整治提升</w:t>
                  </w:r>
                </w:p>
              </w:tc>
              <w:tc>
                <w:tcPr>
                  <w:tcW w:w="669" w:type="pct"/>
                  <w:tcMar>
                    <w:top w:w="15" w:type="dxa"/>
                    <w:left w:w="15" w:type="dxa"/>
                    <w:right w:w="15" w:type="dxa"/>
                  </w:tcMar>
                  <w:vAlign w:val="center"/>
                </w:tcPr>
                <w:p w14:paraId="621932A6">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718" w:type="pct"/>
                  <w:tcMar>
                    <w:top w:w="15" w:type="dxa"/>
                    <w:left w:w="15" w:type="dxa"/>
                    <w:right w:w="15" w:type="dxa"/>
                  </w:tcMar>
                  <w:vAlign w:val="center"/>
                </w:tcPr>
                <w:p w14:paraId="7862FF65">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571" w:type="pct"/>
                  <w:tcMar>
                    <w:top w:w="15" w:type="dxa"/>
                    <w:left w:w="15" w:type="dxa"/>
                    <w:right w:w="15" w:type="dxa"/>
                  </w:tcMar>
                  <w:vAlign w:val="center"/>
                </w:tcPr>
                <w:p w14:paraId="685FBA27">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587" w:type="pct"/>
                  <w:tcMar>
                    <w:top w:w="15" w:type="dxa"/>
                    <w:left w:w="15" w:type="dxa"/>
                    <w:right w:w="15" w:type="dxa"/>
                  </w:tcMar>
                  <w:vAlign w:val="center"/>
                </w:tcPr>
                <w:p w14:paraId="35102853">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自主验收</w:t>
                  </w:r>
                </w:p>
              </w:tc>
              <w:tc>
                <w:tcPr>
                  <w:tcW w:w="635" w:type="pct"/>
                  <w:tcMar>
                    <w:top w:w="15" w:type="dxa"/>
                    <w:left w:w="15" w:type="dxa"/>
                    <w:right w:w="15" w:type="dxa"/>
                  </w:tcMar>
                  <w:vAlign w:val="center"/>
                </w:tcPr>
                <w:p w14:paraId="66BB8051">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自主验收</w:t>
                  </w:r>
                </w:p>
              </w:tc>
              <w:tc>
                <w:tcPr>
                  <w:tcW w:w="645" w:type="pct"/>
                  <w:noWrap/>
                  <w:tcMar>
                    <w:top w:w="15" w:type="dxa"/>
                    <w:left w:w="15" w:type="dxa"/>
                    <w:right w:w="15" w:type="dxa"/>
                  </w:tcMar>
                  <w:vAlign w:val="center"/>
                </w:tcPr>
                <w:p w14:paraId="6AB83F5D">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2021.7.9</w:t>
                  </w:r>
                </w:p>
              </w:tc>
            </w:tr>
            <w:tr w14:paraId="5FB2BB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Mar>
                    <w:top w:w="15" w:type="dxa"/>
                    <w:left w:w="15" w:type="dxa"/>
                    <w:right w:w="15" w:type="dxa"/>
                  </w:tcMar>
                  <w:vAlign w:val="center"/>
                </w:tcPr>
                <w:p w14:paraId="31746B06">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隧道窑窑车吹扫除尘器2台、湿式电除尘2台</w:t>
                  </w:r>
                </w:p>
              </w:tc>
              <w:tc>
                <w:tcPr>
                  <w:tcW w:w="1388" w:type="pct"/>
                  <w:gridSpan w:val="2"/>
                  <w:tcMar>
                    <w:top w:w="15" w:type="dxa"/>
                    <w:left w:w="15" w:type="dxa"/>
                    <w:right w:w="15" w:type="dxa"/>
                  </w:tcMar>
                  <w:vAlign w:val="center"/>
                </w:tcPr>
                <w:p w14:paraId="648349F4">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建设项目环境影响登记表</w:t>
                  </w:r>
                </w:p>
              </w:tc>
              <w:tc>
                <w:tcPr>
                  <w:tcW w:w="571" w:type="pct"/>
                  <w:tcMar>
                    <w:top w:w="15" w:type="dxa"/>
                    <w:left w:w="15" w:type="dxa"/>
                    <w:right w:w="15" w:type="dxa"/>
                  </w:tcMar>
                  <w:vAlign w:val="center"/>
                </w:tcPr>
                <w:p w14:paraId="1C35C279">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2021.9.24</w:t>
                  </w:r>
                </w:p>
              </w:tc>
              <w:tc>
                <w:tcPr>
                  <w:tcW w:w="587" w:type="pct"/>
                  <w:tcMar>
                    <w:top w:w="15" w:type="dxa"/>
                    <w:left w:w="15" w:type="dxa"/>
                    <w:right w:w="15" w:type="dxa"/>
                  </w:tcMar>
                  <w:vAlign w:val="center"/>
                </w:tcPr>
                <w:p w14:paraId="60EEED32">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635" w:type="pct"/>
                  <w:tcMar>
                    <w:top w:w="15" w:type="dxa"/>
                    <w:left w:w="15" w:type="dxa"/>
                    <w:right w:w="15" w:type="dxa"/>
                  </w:tcMar>
                  <w:vAlign w:val="center"/>
                </w:tcPr>
                <w:p w14:paraId="496DCE5D">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c>
                <w:tcPr>
                  <w:tcW w:w="645" w:type="pct"/>
                  <w:noWrap/>
                  <w:tcMar>
                    <w:top w:w="15" w:type="dxa"/>
                    <w:left w:w="15" w:type="dxa"/>
                    <w:right w:w="15" w:type="dxa"/>
                  </w:tcMar>
                  <w:vAlign w:val="center"/>
                </w:tcPr>
                <w:p w14:paraId="482C338C">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w:t>
                  </w:r>
                </w:p>
              </w:tc>
            </w:tr>
            <w:tr w14:paraId="738B3F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Mar>
                    <w:top w:w="15" w:type="dxa"/>
                    <w:left w:w="15" w:type="dxa"/>
                    <w:right w:w="15" w:type="dxa"/>
                  </w:tcMar>
                  <w:vAlign w:val="center"/>
                </w:tcPr>
                <w:p w14:paraId="3CD01223">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滦县翼翔新型建材有限公司固体废物综合利用技改项目</w:t>
                  </w:r>
                </w:p>
              </w:tc>
              <w:tc>
                <w:tcPr>
                  <w:tcW w:w="669" w:type="pct"/>
                  <w:tcMar>
                    <w:top w:w="15" w:type="dxa"/>
                    <w:left w:w="15" w:type="dxa"/>
                    <w:right w:w="15" w:type="dxa"/>
                  </w:tcMar>
                  <w:vAlign w:val="center"/>
                </w:tcPr>
                <w:p w14:paraId="3F679EDD">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滦州市行政审批局</w:t>
                  </w:r>
                </w:p>
              </w:tc>
              <w:tc>
                <w:tcPr>
                  <w:tcW w:w="718" w:type="pct"/>
                  <w:tcMar>
                    <w:top w:w="15" w:type="dxa"/>
                    <w:left w:w="15" w:type="dxa"/>
                    <w:right w:w="15" w:type="dxa"/>
                  </w:tcMar>
                  <w:vAlign w:val="center"/>
                </w:tcPr>
                <w:p w14:paraId="7D04CAAB">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滦审批表[2024]2号</w:t>
                  </w:r>
                </w:p>
              </w:tc>
              <w:tc>
                <w:tcPr>
                  <w:tcW w:w="571" w:type="pct"/>
                  <w:tcMar>
                    <w:top w:w="15" w:type="dxa"/>
                    <w:left w:w="15" w:type="dxa"/>
                    <w:right w:w="15" w:type="dxa"/>
                  </w:tcMar>
                  <w:vAlign w:val="center"/>
                </w:tcPr>
                <w:p w14:paraId="3D72BB1C">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2024.1.15</w:t>
                  </w:r>
                </w:p>
              </w:tc>
              <w:tc>
                <w:tcPr>
                  <w:tcW w:w="587" w:type="pct"/>
                  <w:tcMar>
                    <w:top w:w="15" w:type="dxa"/>
                    <w:left w:w="15" w:type="dxa"/>
                    <w:right w:w="15" w:type="dxa"/>
                  </w:tcMar>
                  <w:vAlign w:val="center"/>
                </w:tcPr>
                <w:p w14:paraId="5D9CFEEE">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自主验收</w:t>
                  </w:r>
                </w:p>
              </w:tc>
              <w:tc>
                <w:tcPr>
                  <w:tcW w:w="635" w:type="pct"/>
                  <w:tcMar>
                    <w:top w:w="15" w:type="dxa"/>
                    <w:left w:w="15" w:type="dxa"/>
                    <w:right w:w="15" w:type="dxa"/>
                  </w:tcMar>
                  <w:vAlign w:val="center"/>
                </w:tcPr>
                <w:p w14:paraId="55272A7B">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自主验收</w:t>
                  </w:r>
                </w:p>
              </w:tc>
              <w:tc>
                <w:tcPr>
                  <w:tcW w:w="645" w:type="pct"/>
                  <w:noWrap/>
                  <w:tcMar>
                    <w:top w:w="15" w:type="dxa"/>
                    <w:left w:w="15" w:type="dxa"/>
                    <w:right w:w="15" w:type="dxa"/>
                  </w:tcMar>
                  <w:vAlign w:val="center"/>
                </w:tcPr>
                <w:p w14:paraId="5EA75CD2">
                  <w:pPr>
                    <w:widowControl/>
                    <w:jc w:val="center"/>
                    <w:textAlignment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2024.5.16</w:t>
                  </w:r>
                </w:p>
              </w:tc>
            </w:tr>
            <w:tr w14:paraId="58A36D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7" w:hRule="atLeast"/>
              </w:trPr>
              <w:tc>
                <w:tcPr>
                  <w:tcW w:w="1173" w:type="pct"/>
                  <w:tcMar>
                    <w:top w:w="15" w:type="dxa"/>
                    <w:left w:w="15" w:type="dxa"/>
                    <w:right w:w="15" w:type="dxa"/>
                  </w:tcMar>
                  <w:vAlign w:val="center"/>
                </w:tcPr>
                <w:p w14:paraId="0528314D">
                  <w:pPr>
                    <w:jc w:val="center"/>
                    <w:rPr>
                      <w:rFonts w:hint="eastAsia"/>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年产32000万块烧结粉煤灰页岩多孔砖生产线及10万立方米加气混凝土砌块建设项目</w:t>
                  </w:r>
                </w:p>
              </w:tc>
              <w:tc>
                <w:tcPr>
                  <w:tcW w:w="669" w:type="pct"/>
                  <w:shd w:val="clear" w:color="auto" w:fill="auto"/>
                  <w:tcMar>
                    <w:top w:w="15" w:type="dxa"/>
                    <w:left w:w="15" w:type="dxa"/>
                    <w:right w:w="15" w:type="dxa"/>
                  </w:tcMar>
                  <w:vAlign w:val="center"/>
                </w:tcPr>
                <w:p w14:paraId="19F4B4C6">
                  <w:pPr>
                    <w:widowControl/>
                    <w:jc w:val="center"/>
                    <w:textAlignment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bCs/>
                      <w:color w:val="000000" w:themeColor="text1"/>
                      <w:sz w:val="18"/>
                      <w:szCs w:val="18"/>
                      <w:highlight w:val="none"/>
                      <w14:textFill>
                        <w14:solidFill>
                          <w14:schemeClr w14:val="tx1"/>
                        </w14:solidFill>
                      </w14:textFill>
                    </w:rPr>
                    <w:t>滦州市行政审批局</w:t>
                  </w:r>
                </w:p>
              </w:tc>
              <w:tc>
                <w:tcPr>
                  <w:tcW w:w="718" w:type="pct"/>
                  <w:shd w:val="clear" w:color="auto" w:fill="auto"/>
                  <w:tcMar>
                    <w:top w:w="15" w:type="dxa"/>
                    <w:left w:w="15" w:type="dxa"/>
                    <w:right w:w="15" w:type="dxa"/>
                  </w:tcMar>
                  <w:vAlign w:val="center"/>
                </w:tcPr>
                <w:p w14:paraId="521EEB95">
                  <w:pPr>
                    <w:widowControl/>
                    <w:jc w:val="center"/>
                    <w:textAlignment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bCs/>
                      <w:color w:val="000000" w:themeColor="text1"/>
                      <w:sz w:val="18"/>
                      <w:szCs w:val="18"/>
                      <w:highlight w:val="none"/>
                      <w14:textFill>
                        <w14:solidFill>
                          <w14:schemeClr w14:val="tx1"/>
                        </w14:solidFill>
                      </w14:textFill>
                    </w:rPr>
                    <w:t>滦审批表[202</w:t>
                  </w:r>
                  <w:r>
                    <w:rPr>
                      <w:rFonts w:hint="eastAsia"/>
                      <w:bCs/>
                      <w:color w:val="000000" w:themeColor="text1"/>
                      <w:sz w:val="18"/>
                      <w:szCs w:val="18"/>
                      <w:highlight w:val="none"/>
                      <w:lang w:val="en-US" w:eastAsia="zh-CN"/>
                      <w14:textFill>
                        <w14:solidFill>
                          <w14:schemeClr w14:val="tx1"/>
                        </w14:solidFill>
                      </w14:textFill>
                    </w:rPr>
                    <w:t>5</w:t>
                  </w:r>
                  <w:r>
                    <w:rPr>
                      <w:rFonts w:hint="eastAsia"/>
                      <w:bCs/>
                      <w:color w:val="000000" w:themeColor="text1"/>
                      <w:sz w:val="18"/>
                      <w:szCs w:val="18"/>
                      <w:highlight w:val="none"/>
                      <w14:textFill>
                        <w14:solidFill>
                          <w14:schemeClr w14:val="tx1"/>
                        </w14:solidFill>
                      </w14:textFill>
                    </w:rPr>
                    <w:t>]2</w:t>
                  </w:r>
                  <w:r>
                    <w:rPr>
                      <w:rFonts w:hint="eastAsia"/>
                      <w:bCs/>
                      <w:color w:val="000000" w:themeColor="text1"/>
                      <w:sz w:val="18"/>
                      <w:szCs w:val="18"/>
                      <w:highlight w:val="none"/>
                      <w:lang w:val="en-US" w:eastAsia="zh-CN"/>
                      <w14:textFill>
                        <w14:solidFill>
                          <w14:schemeClr w14:val="tx1"/>
                        </w14:solidFill>
                      </w14:textFill>
                    </w:rPr>
                    <w:t>4</w:t>
                  </w:r>
                  <w:r>
                    <w:rPr>
                      <w:rFonts w:hint="eastAsia"/>
                      <w:bCs/>
                      <w:color w:val="000000" w:themeColor="text1"/>
                      <w:sz w:val="18"/>
                      <w:szCs w:val="18"/>
                      <w:highlight w:val="none"/>
                      <w14:textFill>
                        <w14:solidFill>
                          <w14:schemeClr w14:val="tx1"/>
                        </w14:solidFill>
                      </w14:textFill>
                    </w:rPr>
                    <w:t>号</w:t>
                  </w:r>
                </w:p>
              </w:tc>
              <w:tc>
                <w:tcPr>
                  <w:tcW w:w="571" w:type="pct"/>
                  <w:shd w:val="clear" w:color="auto" w:fill="auto"/>
                  <w:tcMar>
                    <w:top w:w="15" w:type="dxa"/>
                    <w:left w:w="15" w:type="dxa"/>
                    <w:right w:w="15" w:type="dxa"/>
                  </w:tcMar>
                  <w:vAlign w:val="center"/>
                </w:tcPr>
                <w:p w14:paraId="5B987F09">
                  <w:pPr>
                    <w:widowControl/>
                    <w:jc w:val="center"/>
                    <w:textAlignment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bCs/>
                      <w:color w:val="000000" w:themeColor="text1"/>
                      <w:sz w:val="18"/>
                      <w:szCs w:val="18"/>
                      <w:highlight w:val="none"/>
                      <w14:textFill>
                        <w14:solidFill>
                          <w14:schemeClr w14:val="tx1"/>
                        </w14:solidFill>
                      </w14:textFill>
                    </w:rPr>
                    <w:t>202</w:t>
                  </w:r>
                  <w:r>
                    <w:rPr>
                      <w:rFonts w:hint="eastAsia"/>
                      <w:bCs/>
                      <w:color w:val="000000" w:themeColor="text1"/>
                      <w:sz w:val="18"/>
                      <w:szCs w:val="18"/>
                      <w:highlight w:val="none"/>
                      <w:lang w:val="en-US" w:eastAsia="zh-CN"/>
                      <w14:textFill>
                        <w14:solidFill>
                          <w14:schemeClr w14:val="tx1"/>
                        </w14:solidFill>
                      </w14:textFill>
                    </w:rPr>
                    <w:t>5</w:t>
                  </w:r>
                  <w:r>
                    <w:rPr>
                      <w:rFonts w:hint="eastAsia"/>
                      <w:bCs/>
                      <w:color w:val="000000" w:themeColor="text1"/>
                      <w:sz w:val="18"/>
                      <w:szCs w:val="18"/>
                      <w:highlight w:val="none"/>
                      <w14:textFill>
                        <w14:solidFill>
                          <w14:schemeClr w14:val="tx1"/>
                        </w14:solidFill>
                      </w14:textFill>
                    </w:rPr>
                    <w:t>.</w:t>
                  </w:r>
                  <w:r>
                    <w:rPr>
                      <w:rFonts w:hint="eastAsia"/>
                      <w:bCs/>
                      <w:color w:val="000000" w:themeColor="text1"/>
                      <w:sz w:val="18"/>
                      <w:szCs w:val="18"/>
                      <w:highlight w:val="none"/>
                      <w:lang w:val="en-US" w:eastAsia="zh-CN"/>
                      <w14:textFill>
                        <w14:solidFill>
                          <w14:schemeClr w14:val="tx1"/>
                        </w14:solidFill>
                      </w14:textFill>
                    </w:rPr>
                    <w:t>5</w:t>
                  </w:r>
                  <w:r>
                    <w:rPr>
                      <w:rFonts w:hint="eastAsia"/>
                      <w:bCs/>
                      <w:color w:val="000000" w:themeColor="text1"/>
                      <w:sz w:val="18"/>
                      <w:szCs w:val="18"/>
                      <w:highlight w:val="none"/>
                      <w14:textFill>
                        <w14:solidFill>
                          <w14:schemeClr w14:val="tx1"/>
                        </w14:solidFill>
                      </w14:textFill>
                    </w:rPr>
                    <w:t>.1</w:t>
                  </w:r>
                  <w:r>
                    <w:rPr>
                      <w:rFonts w:hint="eastAsia"/>
                      <w:bCs/>
                      <w:color w:val="000000" w:themeColor="text1"/>
                      <w:sz w:val="18"/>
                      <w:szCs w:val="18"/>
                      <w:highlight w:val="none"/>
                      <w:lang w:val="en-US" w:eastAsia="zh-CN"/>
                      <w14:textFill>
                        <w14:solidFill>
                          <w14:schemeClr w14:val="tx1"/>
                        </w14:solidFill>
                      </w14:textFill>
                    </w:rPr>
                    <w:t>3</w:t>
                  </w:r>
                </w:p>
              </w:tc>
              <w:tc>
                <w:tcPr>
                  <w:tcW w:w="1867" w:type="pct"/>
                  <w:gridSpan w:val="3"/>
                  <w:tcMar>
                    <w:top w:w="15" w:type="dxa"/>
                    <w:left w:w="15" w:type="dxa"/>
                    <w:right w:w="15" w:type="dxa"/>
                  </w:tcMar>
                  <w:vAlign w:val="center"/>
                </w:tcPr>
                <w:p w14:paraId="26D0D0F7">
                  <w:pPr>
                    <w:widowControl/>
                    <w:jc w:val="center"/>
                    <w:textAlignment w:val="center"/>
                    <w:rPr>
                      <w:rFonts w:hint="default" w:eastAsia="宋体"/>
                      <w:bCs/>
                      <w:color w:val="000000" w:themeColor="text1"/>
                      <w:sz w:val="18"/>
                      <w:szCs w:val="18"/>
                      <w:highlight w:val="none"/>
                      <w:lang w:val="en-US" w:eastAsia="zh-CN"/>
                      <w14:textFill>
                        <w14:solidFill>
                          <w14:schemeClr w14:val="tx1"/>
                        </w14:solidFill>
                      </w14:textFill>
                    </w:rPr>
                  </w:pPr>
                  <w:r>
                    <w:rPr>
                      <w:rFonts w:hint="eastAsia"/>
                      <w:bCs/>
                      <w:color w:val="000000" w:themeColor="text1"/>
                      <w:sz w:val="18"/>
                      <w:szCs w:val="18"/>
                      <w:highlight w:val="none"/>
                      <w:lang w:val="en-US" w:eastAsia="zh-CN"/>
                      <w14:textFill>
                        <w14:solidFill>
                          <w14:schemeClr w14:val="tx1"/>
                        </w14:solidFill>
                      </w14:textFill>
                    </w:rPr>
                    <w:t>项目发生重大变动，本次重新报批</w:t>
                  </w:r>
                </w:p>
              </w:tc>
            </w:tr>
          </w:tbl>
          <w:p w14:paraId="3E5B324D">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建设单位于202</w:t>
            </w:r>
            <w:r>
              <w:rPr>
                <w:rFonts w:hint="eastAsia"/>
                <w:bCs/>
                <w:color w:val="000000" w:themeColor="text1"/>
                <w:sz w:val="24"/>
                <w:highlight w:val="none"/>
                <w:lang w:val="en-US" w:eastAsia="zh-CN"/>
                <w14:textFill>
                  <w14:solidFill>
                    <w14:schemeClr w14:val="tx1"/>
                  </w14:solidFill>
                </w14:textFill>
              </w:rPr>
              <w:t>5</w:t>
            </w:r>
            <w:r>
              <w:rPr>
                <w:rFonts w:hint="eastAsia"/>
                <w:bCs/>
                <w:color w:val="000000" w:themeColor="text1"/>
                <w:sz w:val="24"/>
                <w:highlight w:val="none"/>
                <w14:textFill>
                  <w14:solidFill>
                    <w14:schemeClr w14:val="tx1"/>
                  </w14:solidFill>
                </w14:textFill>
              </w:rPr>
              <w:t>年</w:t>
            </w:r>
            <w:r>
              <w:rPr>
                <w:rFonts w:hint="eastAsia"/>
                <w:bCs/>
                <w:color w:val="000000" w:themeColor="text1"/>
                <w:sz w:val="24"/>
                <w:highlight w:val="none"/>
                <w:lang w:val="en-US" w:eastAsia="zh-CN"/>
                <w14:textFill>
                  <w14:solidFill>
                    <w14:schemeClr w14:val="tx1"/>
                  </w14:solidFill>
                </w14:textFill>
              </w:rPr>
              <w:t>07</w:t>
            </w:r>
            <w:r>
              <w:rPr>
                <w:rFonts w:hint="eastAsia"/>
                <w:bCs/>
                <w:color w:val="000000" w:themeColor="text1"/>
                <w:sz w:val="24"/>
                <w:highlight w:val="none"/>
                <w14:textFill>
                  <w14:solidFill>
                    <w14:schemeClr w14:val="tx1"/>
                  </w14:solidFill>
                </w14:textFill>
              </w:rPr>
              <w:t>月</w:t>
            </w:r>
            <w:r>
              <w:rPr>
                <w:rFonts w:hint="eastAsia"/>
                <w:bCs/>
                <w:color w:val="000000" w:themeColor="text1"/>
                <w:sz w:val="24"/>
                <w:highlight w:val="none"/>
                <w:lang w:val="en-US" w:eastAsia="zh-CN"/>
                <w14:textFill>
                  <w14:solidFill>
                    <w14:schemeClr w14:val="tx1"/>
                  </w14:solidFill>
                </w14:textFill>
              </w:rPr>
              <w:t>11</w:t>
            </w:r>
            <w:r>
              <w:rPr>
                <w:rFonts w:hint="eastAsia"/>
                <w:bCs/>
                <w:color w:val="000000" w:themeColor="text1"/>
                <w:sz w:val="24"/>
                <w:highlight w:val="none"/>
                <w14:textFill>
                  <w14:solidFill>
                    <w14:schemeClr w14:val="tx1"/>
                  </w14:solidFill>
                </w14:textFill>
              </w:rPr>
              <w:t>日取得唐山市行政审批局颁发的排污许可证，证书编号：911302235560610877001V，有效期限：自202</w:t>
            </w:r>
            <w:r>
              <w:rPr>
                <w:rFonts w:hint="eastAsia"/>
                <w:bCs/>
                <w:color w:val="000000" w:themeColor="text1"/>
                <w:sz w:val="24"/>
                <w:highlight w:val="none"/>
                <w:lang w:val="en-US" w:eastAsia="zh-CN"/>
                <w14:textFill>
                  <w14:solidFill>
                    <w14:schemeClr w14:val="tx1"/>
                  </w14:solidFill>
                </w14:textFill>
              </w:rPr>
              <w:t>5</w:t>
            </w:r>
            <w:r>
              <w:rPr>
                <w:rFonts w:hint="eastAsia"/>
                <w:bCs/>
                <w:color w:val="000000" w:themeColor="text1"/>
                <w:sz w:val="24"/>
                <w:highlight w:val="none"/>
                <w14:textFill>
                  <w14:solidFill>
                    <w14:schemeClr w14:val="tx1"/>
                  </w14:solidFill>
                </w14:textFill>
              </w:rPr>
              <w:t>年0</w:t>
            </w:r>
            <w:r>
              <w:rPr>
                <w:rFonts w:hint="eastAsia"/>
                <w:bCs/>
                <w:color w:val="000000" w:themeColor="text1"/>
                <w:sz w:val="24"/>
                <w:highlight w:val="none"/>
                <w:lang w:val="en-US" w:eastAsia="zh-CN"/>
                <w14:textFill>
                  <w14:solidFill>
                    <w14:schemeClr w14:val="tx1"/>
                  </w14:solidFill>
                </w14:textFill>
              </w:rPr>
              <w:t>7</w:t>
            </w:r>
            <w:r>
              <w:rPr>
                <w:rFonts w:hint="eastAsia"/>
                <w:bCs/>
                <w:color w:val="000000" w:themeColor="text1"/>
                <w:sz w:val="24"/>
                <w:highlight w:val="none"/>
                <w14:textFill>
                  <w14:solidFill>
                    <w14:schemeClr w14:val="tx1"/>
                  </w14:solidFill>
                </w14:textFill>
              </w:rPr>
              <w:t>月</w:t>
            </w:r>
            <w:r>
              <w:rPr>
                <w:rFonts w:hint="eastAsia"/>
                <w:bCs/>
                <w:color w:val="000000" w:themeColor="text1"/>
                <w:sz w:val="24"/>
                <w:highlight w:val="none"/>
                <w:lang w:val="en-US" w:eastAsia="zh-CN"/>
                <w14:textFill>
                  <w14:solidFill>
                    <w14:schemeClr w14:val="tx1"/>
                  </w14:solidFill>
                </w14:textFill>
              </w:rPr>
              <w:t>11</w:t>
            </w:r>
            <w:r>
              <w:rPr>
                <w:rFonts w:hint="eastAsia"/>
                <w:bCs/>
                <w:color w:val="000000" w:themeColor="text1"/>
                <w:sz w:val="24"/>
                <w:highlight w:val="none"/>
                <w14:textFill>
                  <w14:solidFill>
                    <w14:schemeClr w14:val="tx1"/>
                  </w14:solidFill>
                </w14:textFill>
              </w:rPr>
              <w:t>日至20</w:t>
            </w:r>
            <w:r>
              <w:rPr>
                <w:rFonts w:hint="eastAsia"/>
                <w:bCs/>
                <w:color w:val="000000" w:themeColor="text1"/>
                <w:sz w:val="24"/>
                <w:highlight w:val="none"/>
                <w:lang w:val="en-US" w:eastAsia="zh-CN"/>
                <w14:textFill>
                  <w14:solidFill>
                    <w14:schemeClr w14:val="tx1"/>
                  </w14:solidFill>
                </w14:textFill>
              </w:rPr>
              <w:t>30</w:t>
            </w:r>
            <w:r>
              <w:rPr>
                <w:rFonts w:hint="eastAsia"/>
                <w:bCs/>
                <w:color w:val="000000" w:themeColor="text1"/>
                <w:sz w:val="24"/>
                <w:highlight w:val="none"/>
                <w14:textFill>
                  <w14:solidFill>
                    <w14:schemeClr w14:val="tx1"/>
                  </w14:solidFill>
                </w14:textFill>
              </w:rPr>
              <w:t>年0</w:t>
            </w:r>
            <w:r>
              <w:rPr>
                <w:rFonts w:hint="eastAsia"/>
                <w:bCs/>
                <w:color w:val="000000" w:themeColor="text1"/>
                <w:sz w:val="24"/>
                <w:highlight w:val="none"/>
                <w:lang w:val="en-US" w:eastAsia="zh-CN"/>
                <w14:textFill>
                  <w14:solidFill>
                    <w14:schemeClr w14:val="tx1"/>
                  </w14:solidFill>
                </w14:textFill>
              </w:rPr>
              <w:t>7</w:t>
            </w:r>
            <w:r>
              <w:rPr>
                <w:rFonts w:hint="eastAsia"/>
                <w:bCs/>
                <w:color w:val="000000" w:themeColor="text1"/>
                <w:sz w:val="24"/>
                <w:highlight w:val="none"/>
                <w14:textFill>
                  <w14:solidFill>
                    <w14:schemeClr w14:val="tx1"/>
                  </w14:solidFill>
                </w14:textFill>
              </w:rPr>
              <w:t>月</w:t>
            </w:r>
            <w:r>
              <w:rPr>
                <w:rFonts w:hint="eastAsia"/>
                <w:bCs/>
                <w:color w:val="000000" w:themeColor="text1"/>
                <w:sz w:val="24"/>
                <w:highlight w:val="none"/>
                <w:lang w:val="en-US" w:eastAsia="zh-CN"/>
                <w14:textFill>
                  <w14:solidFill>
                    <w14:schemeClr w14:val="tx1"/>
                  </w14:solidFill>
                </w14:textFill>
              </w:rPr>
              <w:t>10</w:t>
            </w:r>
            <w:r>
              <w:rPr>
                <w:rFonts w:hint="eastAsia"/>
                <w:bCs/>
                <w:color w:val="000000" w:themeColor="text1"/>
                <w:sz w:val="24"/>
                <w:highlight w:val="none"/>
                <w14:textFill>
                  <w14:solidFill>
                    <w14:schemeClr w14:val="tx1"/>
                  </w14:solidFill>
                </w14:textFill>
              </w:rPr>
              <w:t>日止。</w:t>
            </w:r>
          </w:p>
          <w:p w14:paraId="0732418D">
            <w:pPr>
              <w:adjustRightInd w:val="0"/>
              <w:snapToGrid w:val="0"/>
              <w:spacing w:line="480" w:lineRule="exac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二、现有工程</w:t>
            </w:r>
            <w:r>
              <w:rPr>
                <w:rFonts w:ascii="宋体" w:hAnsi="宋体"/>
                <w:b/>
                <w:bCs/>
                <w:color w:val="000000" w:themeColor="text1"/>
                <w:sz w:val="24"/>
                <w:highlight w:val="none"/>
                <w14:textFill>
                  <w14:solidFill>
                    <w14:schemeClr w14:val="tx1"/>
                  </w14:solidFill>
                </w14:textFill>
              </w:rPr>
              <w:t>污染物排放达标情况</w:t>
            </w:r>
          </w:p>
          <w:p w14:paraId="7C1BA479">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1、废气</w:t>
            </w:r>
          </w:p>
          <w:p w14:paraId="43B888F7">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项目运营期产生的废气包括原料上料过程产生的粉尘，物料装卸、转载、运输产生的粉尘，物料破碎、筛分过程产生的粉尘、隧道窑烟气</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窑车吹扫废气</w:t>
            </w:r>
            <w:r>
              <w:rPr>
                <w:rFonts w:hint="eastAsia"/>
                <w:bCs/>
                <w:color w:val="000000" w:themeColor="text1"/>
                <w:sz w:val="24"/>
                <w:highlight w:val="none"/>
                <w14:textFill>
                  <w14:solidFill>
                    <w14:schemeClr w14:val="tx1"/>
                  </w14:solidFill>
                </w14:textFill>
              </w:rPr>
              <w:t>、污泥储存恶臭</w:t>
            </w:r>
            <w:r>
              <w:rPr>
                <w:bCs/>
                <w:color w:val="000000" w:themeColor="text1"/>
                <w:sz w:val="24"/>
                <w:highlight w:val="none"/>
                <w14:textFill>
                  <w14:solidFill>
                    <w14:schemeClr w14:val="tx1"/>
                  </w14:solidFill>
                </w14:textFill>
              </w:rPr>
              <w:t>等。</w:t>
            </w:r>
          </w:p>
          <w:p w14:paraId="2E6ADF49">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（1）有组织废气排放情况</w:t>
            </w:r>
          </w:p>
          <w:p w14:paraId="38FF9F2B">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1#、2#隧道窑废气，主要为颗粒物、二氧化硫、氮氧化物、氟化物</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氯化氢</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二噁英类</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汞及其化合物（以Hg计）</w:t>
            </w:r>
            <w:r>
              <w:rPr>
                <w:rFonts w:hint="eastAsia"/>
                <w:bCs/>
                <w:color w:val="000000" w:themeColor="text1"/>
                <w:sz w:val="24"/>
                <w:highlight w:val="none"/>
                <w14:textFill>
                  <w14:solidFill>
                    <w14:schemeClr w14:val="tx1"/>
                  </w14:solidFill>
                </w14:textFill>
              </w:rPr>
              <w:t>、镉、铊及其化合物</w:t>
            </w:r>
            <w:r>
              <w:rPr>
                <w:bCs/>
                <w:color w:val="000000" w:themeColor="text1"/>
                <w:sz w:val="24"/>
                <w:highlight w:val="none"/>
                <w14:textFill>
                  <w14:solidFill>
                    <w14:schemeClr w14:val="tx1"/>
                  </w14:solidFill>
                </w14:textFill>
              </w:rPr>
              <w:t>（以Cd+Tl计）</w:t>
            </w:r>
            <w:r>
              <w:rPr>
                <w:rFonts w:hint="eastAsia"/>
                <w:bCs/>
                <w:color w:val="000000" w:themeColor="text1"/>
                <w:sz w:val="24"/>
                <w:highlight w:val="none"/>
                <w14:textFill>
                  <w14:solidFill>
                    <w14:schemeClr w14:val="tx1"/>
                  </w14:solidFill>
                </w14:textFill>
              </w:rPr>
              <w:t>、锑、砷、铅、铬、钴、铜、锰、镍及其化合物</w:t>
            </w:r>
            <w:r>
              <w:rPr>
                <w:bCs/>
                <w:color w:val="000000" w:themeColor="text1"/>
                <w:sz w:val="24"/>
                <w:highlight w:val="none"/>
                <w14:textFill>
                  <w14:solidFill>
                    <w14:schemeClr w14:val="tx1"/>
                  </w14:solidFill>
                </w14:textFill>
              </w:rPr>
              <w:t>（以Sb+As+Pb+Cr+Co+Cu+Mn+Ni计）</w:t>
            </w:r>
            <w:r>
              <w:rPr>
                <w:rFonts w:hint="eastAsia"/>
                <w:bCs/>
                <w:color w:val="000000" w:themeColor="text1"/>
                <w:sz w:val="24"/>
                <w:highlight w:val="none"/>
                <w14:textFill>
                  <w14:solidFill>
                    <w14:schemeClr w14:val="tx1"/>
                  </w14:solidFill>
                </w14:textFill>
              </w:rPr>
              <w:t>、氨、硫化氢、臭气浓度</w:t>
            </w:r>
            <w:r>
              <w:rPr>
                <w:bCs/>
                <w:color w:val="000000" w:themeColor="text1"/>
                <w:sz w:val="24"/>
                <w:highlight w:val="none"/>
                <w14:textFill>
                  <w14:solidFill>
                    <w14:schemeClr w14:val="tx1"/>
                  </w14:solidFill>
                </w14:textFill>
              </w:rPr>
              <w:t>，窑体全封闭，废气经石灰-石膏法脱硫+氧化法脱硝+湿式电除尘器处理后+38m高排气筒（DA00</w:t>
            </w:r>
            <w:r>
              <w:rPr>
                <w:rFonts w:hint="eastAsia"/>
                <w:bCs/>
                <w:color w:val="000000" w:themeColor="text1"/>
                <w:sz w:val="24"/>
                <w:highlight w:val="none"/>
                <w14:textFill>
                  <w14:solidFill>
                    <w14:schemeClr w14:val="tx1"/>
                  </w14:solidFill>
                </w14:textFill>
              </w:rPr>
              <w:t>3</w:t>
            </w:r>
            <w:r>
              <w:rPr>
                <w:bCs/>
                <w:color w:val="000000" w:themeColor="text1"/>
                <w:sz w:val="24"/>
                <w:highlight w:val="none"/>
                <w14:textFill>
                  <w14:solidFill>
                    <w14:schemeClr w14:val="tx1"/>
                  </w14:solidFill>
                </w14:textFill>
              </w:rPr>
              <w:t>）排放；3#、4#隧道窑废气，主要为颗粒物、二氧化硫、氮氧化物、氟化物</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氯化氢</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二噁英类</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汞及其化合物（以Hg计）</w:t>
            </w:r>
            <w:r>
              <w:rPr>
                <w:rFonts w:hint="eastAsia"/>
                <w:bCs/>
                <w:color w:val="000000" w:themeColor="text1"/>
                <w:sz w:val="24"/>
                <w:highlight w:val="none"/>
                <w14:textFill>
                  <w14:solidFill>
                    <w14:schemeClr w14:val="tx1"/>
                  </w14:solidFill>
                </w14:textFill>
              </w:rPr>
              <w:t>、镉、铊及其化合物</w:t>
            </w:r>
            <w:r>
              <w:rPr>
                <w:bCs/>
                <w:color w:val="000000" w:themeColor="text1"/>
                <w:sz w:val="24"/>
                <w:highlight w:val="none"/>
                <w14:textFill>
                  <w14:solidFill>
                    <w14:schemeClr w14:val="tx1"/>
                  </w14:solidFill>
                </w14:textFill>
              </w:rPr>
              <w:t>（以Cd+Tl计）</w:t>
            </w:r>
            <w:r>
              <w:rPr>
                <w:rFonts w:hint="eastAsia"/>
                <w:bCs/>
                <w:color w:val="000000" w:themeColor="text1"/>
                <w:sz w:val="24"/>
                <w:highlight w:val="none"/>
                <w14:textFill>
                  <w14:solidFill>
                    <w14:schemeClr w14:val="tx1"/>
                  </w14:solidFill>
                </w14:textFill>
              </w:rPr>
              <w:t>、锑、砷、铅、铬、钴、铜、锰、镍及其化合物</w:t>
            </w:r>
            <w:r>
              <w:rPr>
                <w:bCs/>
                <w:color w:val="000000" w:themeColor="text1"/>
                <w:sz w:val="24"/>
                <w:highlight w:val="none"/>
                <w14:textFill>
                  <w14:solidFill>
                    <w14:schemeClr w14:val="tx1"/>
                  </w14:solidFill>
                </w14:textFill>
              </w:rPr>
              <w:t>（以Sb+As+Pb+Cr+Co+Cu+Mn+Ni计），窑体全封闭，废气经石灰-石膏法脱硫+氧化法脱硝+湿式电除尘器处理后+38m高排气筒（DA00</w:t>
            </w:r>
            <w:r>
              <w:rPr>
                <w:rFonts w:hint="eastAsia"/>
                <w:bCs/>
                <w:color w:val="000000" w:themeColor="text1"/>
                <w:sz w:val="24"/>
                <w:highlight w:val="none"/>
                <w14:textFill>
                  <w14:solidFill>
                    <w14:schemeClr w14:val="tx1"/>
                  </w14:solidFill>
                </w14:textFill>
              </w:rPr>
              <w:t>4</w:t>
            </w:r>
            <w:r>
              <w:rPr>
                <w:bCs/>
                <w:color w:val="000000" w:themeColor="text1"/>
                <w:sz w:val="24"/>
                <w:highlight w:val="none"/>
                <w14:textFill>
                  <w14:solidFill>
                    <w14:schemeClr w14:val="tx1"/>
                  </w14:solidFill>
                </w14:textFill>
              </w:rPr>
              <w:t>）排放；页岩上料口采取三面封闭+自动感应门+喷淋，下料口设置全封闭集气罩+引风管；颚式破碎机、锤式破碎机、圆滚筛、搅拌机均封闭处理+集尘管；皮带通廊全封闭；皮带转运点均设置集气罩，将上述废气收集引至布袋除尘器进行处理后经15m高排气筒（DA00</w:t>
            </w:r>
            <w:r>
              <w:rPr>
                <w:rFonts w:hint="eastAsia"/>
                <w:bCs/>
                <w:color w:val="000000" w:themeColor="text1"/>
                <w:sz w:val="24"/>
                <w:highlight w:val="none"/>
                <w14:textFill>
                  <w14:solidFill>
                    <w14:schemeClr w14:val="tx1"/>
                  </w14:solidFill>
                </w14:textFill>
              </w:rPr>
              <w:t>1</w:t>
            </w:r>
            <w:r>
              <w:rPr>
                <w:bCs/>
                <w:color w:val="000000" w:themeColor="text1"/>
                <w:sz w:val="24"/>
                <w:highlight w:val="none"/>
                <w14:textFill>
                  <w14:solidFill>
                    <w14:schemeClr w14:val="tx1"/>
                  </w14:solidFill>
                </w14:textFill>
              </w:rPr>
              <w:t>）排放；煤矸石上料仓三面封闭+自动感应门+喷淋+下料口设置全封闭集气罩；</w:t>
            </w:r>
            <w:r>
              <w:rPr>
                <w:rFonts w:hint="eastAsia"/>
                <w:bCs/>
                <w:color w:val="000000" w:themeColor="text1"/>
                <w:sz w:val="24"/>
                <w:highlight w:val="none"/>
                <w14:textFill>
                  <w14:solidFill>
                    <w14:schemeClr w14:val="tx1"/>
                  </w14:solidFill>
                </w14:textFill>
              </w:rPr>
              <w:t>锤式破碎机、</w:t>
            </w:r>
            <w:r>
              <w:rPr>
                <w:bCs/>
                <w:color w:val="000000" w:themeColor="text1"/>
                <w:sz w:val="24"/>
                <w:highlight w:val="none"/>
                <w14:textFill>
                  <w14:solidFill>
                    <w14:schemeClr w14:val="tx1"/>
                  </w14:solidFill>
                </w14:textFill>
              </w:rPr>
              <w:t>圆滚筛全封闭+集尘管；皮带通廊全封闭；皮带转运点设置集气罩，将上述废气收集引至布袋除尘器进行处理后经15m高排气筒（DA00</w:t>
            </w:r>
            <w:r>
              <w:rPr>
                <w:rFonts w:hint="eastAsia"/>
                <w:bCs/>
                <w:color w:val="000000" w:themeColor="text1"/>
                <w:sz w:val="24"/>
                <w:highlight w:val="none"/>
                <w14:textFill>
                  <w14:solidFill>
                    <w14:schemeClr w14:val="tx1"/>
                  </w14:solidFill>
                </w14:textFill>
              </w:rPr>
              <w:t>2</w:t>
            </w:r>
            <w:r>
              <w:rPr>
                <w:bCs/>
                <w:color w:val="000000" w:themeColor="text1"/>
                <w:sz w:val="24"/>
                <w:highlight w:val="none"/>
                <w14:textFill>
                  <w14:solidFill>
                    <w14:schemeClr w14:val="tx1"/>
                  </w14:solidFill>
                </w14:textFill>
              </w:rPr>
              <w:t>）排放；1#、2#隧道窑窑车吹扫固定封闭工位，吹扫废气经全封闭集气罩收集+布袋除尘器处理后经15m高排气筒（DA005）排放；3#、4#隧道窑窑车吹扫固定封闭工位，吹扫废气经全封闭集气罩收集+布袋除尘器处理后经15m高排气筒（DA006）排放；封闭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，负压收集，正常生产时将恶臭气体引至1#隧道窑进行高温焙烧处理，随隧道窑废气经过</w:t>
            </w:r>
            <w:r>
              <w:rPr>
                <w:rFonts w:hint="eastAsia"/>
                <w:bCs/>
                <w:color w:val="000000" w:themeColor="text1"/>
                <w:sz w:val="24"/>
                <w:highlight w:val="none"/>
                <w14:textFill>
                  <w14:solidFill>
                    <w14:schemeClr w14:val="tx1"/>
                  </w14:solidFill>
                </w14:textFill>
              </w:rPr>
              <w:t>烟气治理设施处理</w:t>
            </w:r>
            <w:r>
              <w:rPr>
                <w:bCs/>
                <w:color w:val="000000" w:themeColor="text1"/>
                <w:sz w:val="24"/>
                <w:highlight w:val="none"/>
                <w14:textFill>
                  <w14:solidFill>
                    <w14:schemeClr w14:val="tx1"/>
                  </w14:solidFill>
                </w14:textFill>
              </w:rPr>
              <w:t>后经38m高排气筒排放</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隧道窑停产时将恶臭气体引至两级活性炭吸附装置处理后，经1根15m高排气筒（DA007）排放；</w:t>
            </w:r>
          </w:p>
          <w:p w14:paraId="61674E61">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生产车间及原料库密闭，设置喷雾抑尘装置，物料转运设施密闭运输廊道，各转载点均设置喷雾洒水装置，物料运输采用全封闭加盖篷布货运汽车运输，卸料过程采用喷水方式抑尘。</w:t>
            </w:r>
            <w:r>
              <w:rPr>
                <w:rFonts w:hint="eastAsia"/>
                <w:bCs/>
                <w:color w:val="000000" w:themeColor="text1"/>
                <w:sz w:val="24"/>
                <w:highlight w:val="none"/>
                <w14:textFill>
                  <w14:solidFill>
                    <w14:schemeClr w14:val="tx1"/>
                  </w14:solidFill>
                </w14:textFill>
              </w:rPr>
              <w:t>设置洗车平台对车辆进行冲洗，减少车辆运输粉尘。</w:t>
            </w:r>
          </w:p>
          <w:p w14:paraId="3F01AD92">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现有工程废气污染物排放情况见表2-</w:t>
            </w:r>
            <w:r>
              <w:rPr>
                <w:rFonts w:hint="eastAsia" w:hAnsi="宋体"/>
                <w:bCs/>
                <w:color w:val="000000" w:themeColor="text1"/>
                <w:sz w:val="24"/>
                <w:highlight w:val="none"/>
                <w:lang w:val="en-US" w:eastAsia="zh-CN"/>
                <w14:textFill>
                  <w14:solidFill>
                    <w14:schemeClr w14:val="tx1"/>
                  </w14:solidFill>
                </w14:textFill>
              </w:rPr>
              <w:t>30</w:t>
            </w:r>
            <w:r>
              <w:rPr>
                <w:rFonts w:hint="eastAsia" w:hAnsi="宋体"/>
                <w:bCs/>
                <w:color w:val="000000" w:themeColor="text1"/>
                <w:sz w:val="24"/>
                <w:highlight w:val="none"/>
                <w14:textFill>
                  <w14:solidFill>
                    <w14:schemeClr w14:val="tx1"/>
                  </w14:solidFill>
                </w14:textFill>
              </w:rPr>
              <w:t>。</w:t>
            </w:r>
          </w:p>
          <w:p w14:paraId="7F9FA9CC">
            <w:pPr>
              <w:autoSpaceDE w:val="0"/>
              <w:autoSpaceDN w:val="0"/>
              <w:adjustRightInd w:val="0"/>
              <w:spacing w:line="480" w:lineRule="exact"/>
              <w:ind w:firstLine="1200" w:firstLineChars="500"/>
              <w:rPr>
                <w:rFonts w:ascii="黑体" w:hAnsi="黑体" w:eastAsia="黑体"/>
                <w:snapToGrid w:val="0"/>
                <w:color w:val="000000" w:themeColor="text1"/>
                <w:kern w:val="0"/>
                <w:sz w:val="24"/>
                <w:highlight w:val="none"/>
                <w14:textFill>
                  <w14:solidFill>
                    <w14:schemeClr w14:val="tx1"/>
                  </w14:solidFill>
                </w14:textFill>
              </w:rPr>
            </w:pPr>
            <w:r>
              <w:rPr>
                <w:rFonts w:hint="eastAsia" w:ascii="黑体" w:hAnsi="黑体" w:eastAsia="黑体"/>
                <w:snapToGrid w:val="0"/>
                <w:color w:val="000000" w:themeColor="text1"/>
                <w:kern w:val="0"/>
                <w:sz w:val="24"/>
                <w:highlight w:val="none"/>
                <w14:textFill>
                  <w14:solidFill>
                    <w14:schemeClr w14:val="tx1"/>
                  </w14:solidFill>
                </w14:textFill>
              </w:rPr>
              <w:t>表2-</w:t>
            </w:r>
            <w:r>
              <w:rPr>
                <w:rFonts w:hint="eastAsia" w:ascii="黑体" w:hAnsi="黑体" w:eastAsia="黑体"/>
                <w:snapToGrid w:val="0"/>
                <w:color w:val="000000" w:themeColor="text1"/>
                <w:kern w:val="0"/>
                <w:sz w:val="24"/>
                <w:highlight w:val="none"/>
                <w:lang w:val="en-US" w:eastAsia="zh-CN"/>
                <w14:textFill>
                  <w14:solidFill>
                    <w14:schemeClr w14:val="tx1"/>
                  </w14:solidFill>
                </w14:textFill>
              </w:rPr>
              <w:t>30</w:t>
            </w:r>
            <w:r>
              <w:rPr>
                <w:rFonts w:hint="eastAsia" w:ascii="黑体" w:hAnsi="黑体" w:eastAsia="黑体"/>
                <w:snapToGrid w:val="0"/>
                <w:color w:val="000000" w:themeColor="text1"/>
                <w:kern w:val="0"/>
                <w:sz w:val="24"/>
                <w:highlight w:val="none"/>
                <w14:textFill>
                  <w14:solidFill>
                    <w14:schemeClr w14:val="tx1"/>
                  </w14:solidFill>
                </w14:textFill>
              </w:rPr>
              <w:t xml:space="preserve">        现有工程废气污染物排放情况表</w:t>
            </w:r>
          </w:p>
          <w:tbl>
            <w:tblPr>
              <w:tblStyle w:val="24"/>
              <w:tblW w:w="8861"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718"/>
              <w:gridCol w:w="1418"/>
              <w:gridCol w:w="1417"/>
              <w:gridCol w:w="1134"/>
              <w:gridCol w:w="1276"/>
              <w:gridCol w:w="709"/>
              <w:gridCol w:w="708"/>
              <w:gridCol w:w="709"/>
              <w:gridCol w:w="772"/>
            </w:tblGrid>
            <w:tr w14:paraId="720422B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255" w:hRule="atLeast"/>
                <w:jc w:val="center"/>
              </w:trPr>
              <w:tc>
                <w:tcPr>
                  <w:tcW w:w="2136" w:type="dxa"/>
                  <w:gridSpan w:val="2"/>
                  <w:vAlign w:val="center"/>
                </w:tcPr>
                <w:p w14:paraId="1F8156E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污染源</w:t>
                  </w:r>
                </w:p>
              </w:tc>
              <w:tc>
                <w:tcPr>
                  <w:tcW w:w="1417" w:type="dxa"/>
                  <w:vAlign w:val="center"/>
                </w:tcPr>
                <w:p w14:paraId="22F0277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污染因子</w:t>
                  </w:r>
                </w:p>
              </w:tc>
              <w:tc>
                <w:tcPr>
                  <w:tcW w:w="1134" w:type="dxa"/>
                  <w:vAlign w:val="center"/>
                </w:tcPr>
                <w:p w14:paraId="43730227">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检测结果</w:t>
                  </w:r>
                </w:p>
              </w:tc>
              <w:tc>
                <w:tcPr>
                  <w:tcW w:w="1276" w:type="dxa"/>
                  <w:vAlign w:val="center"/>
                </w:tcPr>
                <w:p w14:paraId="7031CB7C">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排放限值</w:t>
                  </w:r>
                </w:p>
              </w:tc>
              <w:tc>
                <w:tcPr>
                  <w:tcW w:w="709" w:type="dxa"/>
                  <w:vAlign w:val="center"/>
                </w:tcPr>
                <w:p w14:paraId="580C997F">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p w14:paraId="4469CDFE">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情况</w:t>
                  </w:r>
                </w:p>
              </w:tc>
              <w:tc>
                <w:tcPr>
                  <w:tcW w:w="1417" w:type="dxa"/>
                  <w:gridSpan w:val="2"/>
                  <w:vAlign w:val="center"/>
                </w:tcPr>
                <w:p w14:paraId="0F968BD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排气筒高度及达标情况</w:t>
                  </w:r>
                </w:p>
              </w:tc>
              <w:tc>
                <w:tcPr>
                  <w:tcW w:w="772" w:type="dxa"/>
                  <w:vAlign w:val="center"/>
                </w:tcPr>
                <w:p w14:paraId="7951C15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排放</w:t>
                  </w:r>
                </w:p>
                <w:p w14:paraId="394CBDEB">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去向</w:t>
                  </w:r>
                </w:p>
              </w:tc>
            </w:tr>
            <w:tr w14:paraId="1BB9EA6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tcBorders>
                    <w:bottom w:val="single" w:color="auto" w:sz="4" w:space="0"/>
                    <w:right w:val="single" w:color="auto" w:sz="4" w:space="0"/>
                  </w:tcBorders>
                  <w:vAlign w:val="center"/>
                </w:tcPr>
                <w:p w14:paraId="53DC355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DA001</w:t>
                  </w:r>
                </w:p>
              </w:tc>
              <w:tc>
                <w:tcPr>
                  <w:tcW w:w="1418" w:type="dxa"/>
                  <w:tcBorders>
                    <w:left w:val="single" w:color="auto" w:sz="4" w:space="0"/>
                    <w:bottom w:val="single" w:color="auto" w:sz="4" w:space="0"/>
                  </w:tcBorders>
                  <w:vAlign w:val="center"/>
                </w:tcPr>
                <w:p w14:paraId="78D0885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鄂破、搅拌、筛分除尘器排气筒</w:t>
                  </w:r>
                </w:p>
              </w:tc>
              <w:tc>
                <w:tcPr>
                  <w:tcW w:w="1417" w:type="dxa"/>
                  <w:vAlign w:val="center"/>
                </w:tcPr>
                <w:p w14:paraId="073CCB1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1134" w:type="dxa"/>
                  <w:vAlign w:val="center"/>
                </w:tcPr>
                <w:p w14:paraId="4087AF8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2.6</w:t>
                  </w:r>
                </w:p>
              </w:tc>
              <w:tc>
                <w:tcPr>
                  <w:tcW w:w="1276" w:type="dxa"/>
                  <w:vAlign w:val="center"/>
                </w:tcPr>
                <w:p w14:paraId="4F9C0DF0">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295DDA8A">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tcBorders>
                    <w:bottom w:val="single" w:color="auto" w:sz="4" w:space="0"/>
                    <w:right w:val="single" w:color="auto" w:sz="4" w:space="0"/>
                  </w:tcBorders>
                  <w:vAlign w:val="center"/>
                </w:tcPr>
                <w:p w14:paraId="5EE333B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15m</w:t>
                  </w:r>
                </w:p>
              </w:tc>
              <w:tc>
                <w:tcPr>
                  <w:tcW w:w="709" w:type="dxa"/>
                  <w:tcBorders>
                    <w:left w:val="single" w:color="auto" w:sz="4" w:space="0"/>
                    <w:bottom w:val="single" w:color="auto" w:sz="4" w:space="0"/>
                  </w:tcBorders>
                  <w:vAlign w:val="center"/>
                </w:tcPr>
                <w:p w14:paraId="64F85C0D">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restart"/>
                  <w:vAlign w:val="center"/>
                </w:tcPr>
                <w:p w14:paraId="3EA6252A">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经排气筒排放至外环境</w:t>
                  </w:r>
                </w:p>
              </w:tc>
            </w:tr>
            <w:tr w14:paraId="0AAF7FD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tcBorders>
                    <w:top w:val="single" w:color="auto" w:sz="4" w:space="0"/>
                    <w:bottom w:val="single" w:color="auto" w:sz="4" w:space="0"/>
                    <w:right w:val="single" w:color="auto" w:sz="4" w:space="0"/>
                  </w:tcBorders>
                  <w:vAlign w:val="center"/>
                </w:tcPr>
                <w:p w14:paraId="7C49FD3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DA002</w:t>
                  </w:r>
                </w:p>
              </w:tc>
              <w:tc>
                <w:tcPr>
                  <w:tcW w:w="1418" w:type="dxa"/>
                  <w:tcBorders>
                    <w:top w:val="single" w:color="auto" w:sz="4" w:space="0"/>
                    <w:left w:val="single" w:color="auto" w:sz="4" w:space="0"/>
                    <w:bottom w:val="single" w:color="auto" w:sz="4" w:space="0"/>
                  </w:tcBorders>
                  <w:vAlign w:val="center"/>
                </w:tcPr>
                <w:p w14:paraId="59F5070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锤破、筛分除尘器排气筒</w:t>
                  </w:r>
                </w:p>
              </w:tc>
              <w:tc>
                <w:tcPr>
                  <w:tcW w:w="1417" w:type="dxa"/>
                  <w:vAlign w:val="center"/>
                </w:tcPr>
                <w:p w14:paraId="10EFEBE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1134" w:type="dxa"/>
                  <w:vAlign w:val="center"/>
                </w:tcPr>
                <w:p w14:paraId="269F6B8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3.0</w:t>
                  </w:r>
                </w:p>
              </w:tc>
              <w:tc>
                <w:tcPr>
                  <w:tcW w:w="1276" w:type="dxa"/>
                  <w:vAlign w:val="center"/>
                </w:tcPr>
                <w:p w14:paraId="63974D4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0FA3FE9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tcBorders>
                    <w:top w:val="single" w:color="auto" w:sz="4" w:space="0"/>
                    <w:bottom w:val="single" w:color="auto" w:sz="4" w:space="0"/>
                    <w:right w:val="single" w:color="auto" w:sz="4" w:space="0"/>
                  </w:tcBorders>
                  <w:vAlign w:val="center"/>
                </w:tcPr>
                <w:p w14:paraId="50BD542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15m</w:t>
                  </w:r>
                </w:p>
              </w:tc>
              <w:tc>
                <w:tcPr>
                  <w:tcW w:w="709" w:type="dxa"/>
                  <w:tcBorders>
                    <w:top w:val="single" w:color="auto" w:sz="4" w:space="0"/>
                    <w:left w:val="single" w:color="auto" w:sz="4" w:space="0"/>
                    <w:bottom w:val="single" w:color="auto" w:sz="4" w:space="0"/>
                  </w:tcBorders>
                  <w:vAlign w:val="center"/>
                </w:tcPr>
                <w:p w14:paraId="6322D17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continue"/>
                  <w:vAlign w:val="center"/>
                </w:tcPr>
                <w:p w14:paraId="04E81627">
                  <w:pPr>
                    <w:ind w:left="-105" w:leftChars="-50" w:right="-105" w:rightChars="-50"/>
                    <w:jc w:val="center"/>
                    <w:rPr>
                      <w:color w:val="000000" w:themeColor="text1"/>
                      <w:sz w:val="18"/>
                      <w:szCs w:val="18"/>
                      <w:highlight w:val="none"/>
                      <w14:textFill>
                        <w14:solidFill>
                          <w14:schemeClr w14:val="tx1"/>
                        </w14:solidFill>
                      </w14:textFill>
                    </w:rPr>
                  </w:pPr>
                </w:p>
              </w:tc>
            </w:tr>
            <w:tr w14:paraId="2B4C100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restart"/>
                  <w:tcBorders>
                    <w:top w:val="single" w:color="auto" w:sz="4" w:space="0"/>
                    <w:right w:val="single" w:color="auto" w:sz="4" w:space="0"/>
                  </w:tcBorders>
                  <w:vAlign w:val="center"/>
                </w:tcPr>
                <w:p w14:paraId="0709D36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DA003</w:t>
                  </w:r>
                </w:p>
              </w:tc>
              <w:tc>
                <w:tcPr>
                  <w:tcW w:w="1418" w:type="dxa"/>
                  <w:vMerge w:val="restart"/>
                  <w:tcBorders>
                    <w:left w:val="single" w:color="auto" w:sz="4" w:space="0"/>
                  </w:tcBorders>
                  <w:vAlign w:val="center"/>
                </w:tcPr>
                <w:p w14:paraId="6D28115F">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1#、2#隧道窑</w:t>
                  </w:r>
                </w:p>
                <w:p w14:paraId="119A5F2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排气筒</w:t>
                  </w:r>
                </w:p>
              </w:tc>
              <w:tc>
                <w:tcPr>
                  <w:tcW w:w="1417" w:type="dxa"/>
                  <w:vAlign w:val="center"/>
                </w:tcPr>
                <w:p w14:paraId="46544C8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1134" w:type="dxa"/>
                  <w:vAlign w:val="center"/>
                </w:tcPr>
                <w:p w14:paraId="4735E95D">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5.9</w:t>
                  </w:r>
                </w:p>
              </w:tc>
              <w:tc>
                <w:tcPr>
                  <w:tcW w:w="1276" w:type="dxa"/>
                  <w:vAlign w:val="center"/>
                </w:tcPr>
                <w:p w14:paraId="76FF112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074B701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restart"/>
                  <w:tcBorders>
                    <w:top w:val="single" w:color="auto" w:sz="4" w:space="0"/>
                    <w:right w:val="single" w:color="auto" w:sz="4" w:space="0"/>
                  </w:tcBorders>
                  <w:vAlign w:val="center"/>
                </w:tcPr>
                <w:p w14:paraId="5D0E468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38m</w:t>
                  </w:r>
                </w:p>
              </w:tc>
              <w:tc>
                <w:tcPr>
                  <w:tcW w:w="709" w:type="dxa"/>
                  <w:vMerge w:val="restart"/>
                  <w:tcBorders>
                    <w:top w:val="single" w:color="auto" w:sz="4" w:space="0"/>
                    <w:left w:val="single" w:color="auto" w:sz="4" w:space="0"/>
                  </w:tcBorders>
                  <w:vAlign w:val="center"/>
                </w:tcPr>
                <w:p w14:paraId="725803B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continue"/>
                  <w:vAlign w:val="center"/>
                </w:tcPr>
                <w:p w14:paraId="36864925">
                  <w:pPr>
                    <w:ind w:left="-105" w:leftChars="-50" w:right="-105" w:rightChars="-50"/>
                    <w:jc w:val="center"/>
                    <w:rPr>
                      <w:color w:val="000000" w:themeColor="text1"/>
                      <w:sz w:val="18"/>
                      <w:szCs w:val="18"/>
                      <w:highlight w:val="none"/>
                      <w14:textFill>
                        <w14:solidFill>
                          <w14:schemeClr w14:val="tx1"/>
                        </w14:solidFill>
                      </w14:textFill>
                    </w:rPr>
                  </w:pPr>
                </w:p>
              </w:tc>
            </w:tr>
            <w:tr w14:paraId="72AF363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732B58BD">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4AF36EBC">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0D0B9A5E">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SO</w:t>
                  </w:r>
                  <w:r>
                    <w:rPr>
                      <w:color w:val="000000" w:themeColor="text1"/>
                      <w:sz w:val="18"/>
                      <w:szCs w:val="18"/>
                      <w:highlight w:val="none"/>
                      <w:vertAlign w:val="subscript"/>
                      <w14:textFill>
                        <w14:solidFill>
                          <w14:schemeClr w14:val="tx1"/>
                        </w14:solidFill>
                      </w14:textFill>
                    </w:rPr>
                    <w:t>2</w:t>
                  </w:r>
                </w:p>
              </w:tc>
              <w:tc>
                <w:tcPr>
                  <w:tcW w:w="1134" w:type="dxa"/>
                  <w:vAlign w:val="center"/>
                </w:tcPr>
                <w:p w14:paraId="7A3506A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ND</w:t>
                  </w:r>
                </w:p>
              </w:tc>
              <w:tc>
                <w:tcPr>
                  <w:tcW w:w="1276" w:type="dxa"/>
                  <w:vAlign w:val="center"/>
                </w:tcPr>
                <w:p w14:paraId="7861593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50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758FD29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2BB43D33">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64D112A2">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098B852B">
                  <w:pPr>
                    <w:ind w:left="-105" w:leftChars="-50" w:right="-105" w:rightChars="-50"/>
                    <w:jc w:val="center"/>
                    <w:rPr>
                      <w:color w:val="000000" w:themeColor="text1"/>
                      <w:sz w:val="18"/>
                      <w:szCs w:val="18"/>
                      <w:highlight w:val="none"/>
                      <w14:textFill>
                        <w14:solidFill>
                          <w14:schemeClr w14:val="tx1"/>
                        </w14:solidFill>
                      </w14:textFill>
                    </w:rPr>
                  </w:pPr>
                </w:p>
              </w:tc>
            </w:tr>
            <w:tr w14:paraId="39A7422A">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77310A51">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036A9C7E">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4D15FF6F">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NO</w:t>
                  </w:r>
                  <w:r>
                    <w:rPr>
                      <w:rFonts w:hint="eastAsia"/>
                      <w:color w:val="000000" w:themeColor="text1"/>
                      <w:sz w:val="18"/>
                      <w:szCs w:val="18"/>
                      <w:highlight w:val="none"/>
                      <w14:textFill>
                        <w14:solidFill>
                          <w14:schemeClr w14:val="tx1"/>
                        </w14:solidFill>
                      </w14:textFill>
                    </w:rPr>
                    <w:t>x</w:t>
                  </w:r>
                </w:p>
              </w:tc>
              <w:tc>
                <w:tcPr>
                  <w:tcW w:w="1134" w:type="dxa"/>
                  <w:vAlign w:val="center"/>
                </w:tcPr>
                <w:p w14:paraId="23E0410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57</w:t>
                  </w:r>
                </w:p>
              </w:tc>
              <w:tc>
                <w:tcPr>
                  <w:tcW w:w="1276" w:type="dxa"/>
                  <w:vAlign w:val="center"/>
                </w:tcPr>
                <w:p w14:paraId="4175ED5B">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7829361F">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34AFFAFC">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49837D99">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31D70FB6">
                  <w:pPr>
                    <w:ind w:left="-105" w:leftChars="-50" w:right="-105" w:rightChars="-50"/>
                    <w:jc w:val="center"/>
                    <w:rPr>
                      <w:color w:val="000000" w:themeColor="text1"/>
                      <w:sz w:val="18"/>
                      <w:szCs w:val="18"/>
                      <w:highlight w:val="none"/>
                      <w14:textFill>
                        <w14:solidFill>
                          <w14:schemeClr w14:val="tx1"/>
                        </w14:solidFill>
                      </w14:textFill>
                    </w:rPr>
                  </w:pPr>
                </w:p>
              </w:tc>
            </w:tr>
            <w:tr w14:paraId="65DAB55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794AE81A">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1005BDF0">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1870AE4">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氟化物</w:t>
                  </w:r>
                </w:p>
              </w:tc>
              <w:tc>
                <w:tcPr>
                  <w:tcW w:w="1134" w:type="dxa"/>
                  <w:vAlign w:val="center"/>
                </w:tcPr>
                <w:p w14:paraId="0B12D20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2.63</w:t>
                  </w:r>
                </w:p>
              </w:tc>
              <w:tc>
                <w:tcPr>
                  <w:tcW w:w="1276" w:type="dxa"/>
                  <w:vAlign w:val="center"/>
                </w:tcPr>
                <w:p w14:paraId="43FD39F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25A91520">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020FD3F4">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4CC993F3">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4FE7A627">
                  <w:pPr>
                    <w:ind w:left="-105" w:leftChars="-50" w:right="-105" w:rightChars="-50"/>
                    <w:jc w:val="center"/>
                    <w:rPr>
                      <w:color w:val="000000" w:themeColor="text1"/>
                      <w:sz w:val="18"/>
                      <w:szCs w:val="18"/>
                      <w:highlight w:val="none"/>
                      <w14:textFill>
                        <w14:solidFill>
                          <w14:schemeClr w14:val="tx1"/>
                        </w14:solidFill>
                      </w14:textFill>
                    </w:rPr>
                  </w:pPr>
                </w:p>
              </w:tc>
            </w:tr>
            <w:tr w14:paraId="652BED8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7A7C1E9B">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1265395A">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0E465511">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氯化氢</w:t>
                  </w:r>
                </w:p>
              </w:tc>
              <w:tc>
                <w:tcPr>
                  <w:tcW w:w="1134" w:type="dxa"/>
                  <w:vAlign w:val="center"/>
                </w:tcPr>
                <w:p w14:paraId="37F328E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2.55</w:t>
                  </w:r>
                </w:p>
              </w:tc>
              <w:tc>
                <w:tcPr>
                  <w:tcW w:w="1276" w:type="dxa"/>
                  <w:vAlign w:val="center"/>
                </w:tcPr>
                <w:p w14:paraId="24B8E72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0E76ED1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2E0124D7">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7AC43068">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0897167A">
                  <w:pPr>
                    <w:ind w:left="-105" w:leftChars="-50" w:right="-105" w:rightChars="-50"/>
                    <w:jc w:val="center"/>
                    <w:rPr>
                      <w:color w:val="000000" w:themeColor="text1"/>
                      <w:sz w:val="18"/>
                      <w:szCs w:val="18"/>
                      <w:highlight w:val="none"/>
                      <w14:textFill>
                        <w14:solidFill>
                          <w14:schemeClr w14:val="tx1"/>
                        </w14:solidFill>
                      </w14:textFill>
                    </w:rPr>
                  </w:pPr>
                </w:p>
              </w:tc>
            </w:tr>
            <w:tr w14:paraId="7FF4563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0B4D6A48">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0F67429B">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654BC29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汞及其化合物（以Hg计）</w:t>
                  </w:r>
                </w:p>
              </w:tc>
              <w:tc>
                <w:tcPr>
                  <w:tcW w:w="1134" w:type="dxa"/>
                  <w:vAlign w:val="center"/>
                </w:tcPr>
                <w:p w14:paraId="07F9D66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ND</w:t>
                  </w:r>
                </w:p>
              </w:tc>
              <w:tc>
                <w:tcPr>
                  <w:tcW w:w="1276" w:type="dxa"/>
                  <w:vAlign w:val="center"/>
                </w:tcPr>
                <w:p w14:paraId="34DBBB0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0.02</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13161B8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0CC4711F">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5EE55018">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39ED5817">
                  <w:pPr>
                    <w:ind w:left="-105" w:leftChars="-50" w:right="-105" w:rightChars="-50"/>
                    <w:jc w:val="center"/>
                    <w:rPr>
                      <w:color w:val="000000" w:themeColor="text1"/>
                      <w:sz w:val="18"/>
                      <w:szCs w:val="18"/>
                      <w:highlight w:val="none"/>
                      <w14:textFill>
                        <w14:solidFill>
                          <w14:schemeClr w14:val="tx1"/>
                        </w14:solidFill>
                      </w14:textFill>
                    </w:rPr>
                  </w:pPr>
                </w:p>
              </w:tc>
            </w:tr>
            <w:tr w14:paraId="39AE381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6CFE0D98">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6C73879D">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25BD6B7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镉、铊及其化合物</w:t>
                  </w:r>
                  <w:r>
                    <w:rPr>
                      <w:color w:val="000000" w:themeColor="text1"/>
                      <w:sz w:val="18"/>
                      <w:szCs w:val="18"/>
                      <w:highlight w:val="none"/>
                      <w14:textFill>
                        <w14:solidFill>
                          <w14:schemeClr w14:val="tx1"/>
                        </w14:solidFill>
                      </w14:textFill>
                    </w:rPr>
                    <w:t>（以Cd+Tl计）</w:t>
                  </w:r>
                </w:p>
              </w:tc>
              <w:tc>
                <w:tcPr>
                  <w:tcW w:w="1134" w:type="dxa"/>
                  <w:vAlign w:val="center"/>
                </w:tcPr>
                <w:p w14:paraId="0AD062CD">
                  <w:pPr>
                    <w:ind w:left="-105" w:leftChars="-50" w:right="-105" w:rightChars="-50"/>
                    <w:jc w:val="center"/>
                    <w:rPr>
                      <w:color w:val="000000" w:themeColor="text1"/>
                      <w:sz w:val="18"/>
                      <w:szCs w:val="18"/>
                      <w:highlight w:val="none"/>
                      <w14:textFill>
                        <w14:solidFill>
                          <w14:schemeClr w14:val="tx1"/>
                        </w14:solidFill>
                      </w14:textFill>
                    </w:rPr>
                  </w:pPr>
                  <w:bookmarkStart w:id="14" w:name="OLE_LINK4"/>
                  <w:bookmarkStart w:id="15" w:name="OLE_LINK3"/>
                  <w:r>
                    <w:rPr>
                      <w:rFonts w:hint="eastAsia"/>
                      <w:color w:val="000000" w:themeColor="text1"/>
                      <w:sz w:val="18"/>
                      <w:szCs w:val="18"/>
                      <w:highlight w:val="none"/>
                      <w14:textFill>
                        <w14:solidFill>
                          <w14:schemeClr w14:val="tx1"/>
                        </w14:solidFill>
                      </w14:textFill>
                    </w:rPr>
                    <w:t>ND</w:t>
                  </w:r>
                  <w:bookmarkEnd w:id="14"/>
                  <w:bookmarkEnd w:id="15"/>
                </w:p>
              </w:tc>
              <w:tc>
                <w:tcPr>
                  <w:tcW w:w="1276" w:type="dxa"/>
                  <w:vAlign w:val="center"/>
                </w:tcPr>
                <w:p w14:paraId="5FABD46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0.03</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7935B55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31240E5F">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175B816D">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130F1399">
                  <w:pPr>
                    <w:ind w:left="-105" w:leftChars="-50" w:right="-105" w:rightChars="-50"/>
                    <w:jc w:val="center"/>
                    <w:rPr>
                      <w:color w:val="000000" w:themeColor="text1"/>
                      <w:sz w:val="18"/>
                      <w:szCs w:val="18"/>
                      <w:highlight w:val="none"/>
                      <w14:textFill>
                        <w14:solidFill>
                          <w14:schemeClr w14:val="tx1"/>
                        </w14:solidFill>
                      </w14:textFill>
                    </w:rPr>
                  </w:pPr>
                </w:p>
              </w:tc>
            </w:tr>
            <w:tr w14:paraId="102A2C0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7D5CC777">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011F11DC">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09864C5">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锑、砷、铅、铬、钴、铜、锰、镍及其化合物</w:t>
                  </w:r>
                  <w:r>
                    <w:rPr>
                      <w:color w:val="000000" w:themeColor="text1"/>
                      <w:sz w:val="18"/>
                      <w:szCs w:val="18"/>
                      <w:highlight w:val="none"/>
                      <w14:textFill>
                        <w14:solidFill>
                          <w14:schemeClr w14:val="tx1"/>
                        </w14:solidFill>
                      </w14:textFill>
                    </w:rPr>
                    <w:t>（以Sb+As+Pb+Cr+Co+Cu+Mn+Ni计）</w:t>
                  </w:r>
                </w:p>
              </w:tc>
              <w:tc>
                <w:tcPr>
                  <w:tcW w:w="1134" w:type="dxa"/>
                  <w:vAlign w:val="center"/>
                </w:tcPr>
                <w:p w14:paraId="6078FE4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0.0367</w:t>
                  </w:r>
                </w:p>
              </w:tc>
              <w:tc>
                <w:tcPr>
                  <w:tcW w:w="1276" w:type="dxa"/>
                  <w:vAlign w:val="center"/>
                </w:tcPr>
                <w:p w14:paraId="37ED690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0.3</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1F26C8B0">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5984AA83">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3ABAFCBF">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43952B71">
                  <w:pPr>
                    <w:ind w:left="-105" w:leftChars="-50" w:right="-105" w:rightChars="-50"/>
                    <w:jc w:val="center"/>
                    <w:rPr>
                      <w:color w:val="000000" w:themeColor="text1"/>
                      <w:sz w:val="18"/>
                      <w:szCs w:val="18"/>
                      <w:highlight w:val="none"/>
                      <w14:textFill>
                        <w14:solidFill>
                          <w14:schemeClr w14:val="tx1"/>
                        </w14:solidFill>
                      </w14:textFill>
                    </w:rPr>
                  </w:pPr>
                </w:p>
              </w:tc>
            </w:tr>
            <w:tr w14:paraId="585BF0C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591204B1">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521513B4">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6E25E938">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氨（氨气）</w:t>
                  </w:r>
                </w:p>
              </w:tc>
              <w:tc>
                <w:tcPr>
                  <w:tcW w:w="1134" w:type="dxa"/>
                  <w:vAlign w:val="center"/>
                </w:tcPr>
                <w:p w14:paraId="25E89D9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0.073</w:t>
                  </w:r>
                </w:p>
              </w:tc>
              <w:tc>
                <w:tcPr>
                  <w:tcW w:w="1276" w:type="dxa"/>
                  <w:vAlign w:val="center"/>
                </w:tcPr>
                <w:p w14:paraId="057F6CD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35（</w:t>
                  </w:r>
                  <w:r>
                    <w:rPr>
                      <w:color w:val="000000" w:themeColor="text1"/>
                      <w:sz w:val="18"/>
                      <w:szCs w:val="18"/>
                      <w:highlight w:val="none"/>
                      <w14:textFill>
                        <w14:solidFill>
                          <w14:schemeClr w14:val="tx1"/>
                        </w14:solidFill>
                      </w14:textFill>
                    </w:rPr>
                    <w:t>kg/h</w:t>
                  </w:r>
                  <w:r>
                    <w:rPr>
                      <w:rFonts w:hint="eastAsia"/>
                      <w:color w:val="000000" w:themeColor="text1"/>
                      <w:sz w:val="18"/>
                      <w:szCs w:val="18"/>
                      <w:highlight w:val="none"/>
                      <w14:textFill>
                        <w14:solidFill>
                          <w14:schemeClr w14:val="tx1"/>
                        </w14:solidFill>
                      </w14:textFill>
                    </w:rPr>
                    <w:t>）</w:t>
                  </w:r>
                </w:p>
              </w:tc>
              <w:tc>
                <w:tcPr>
                  <w:tcW w:w="709" w:type="dxa"/>
                  <w:vAlign w:val="center"/>
                </w:tcPr>
                <w:p w14:paraId="7BD1723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5953A6CD">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4FD434B1">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651A1162">
                  <w:pPr>
                    <w:ind w:left="-105" w:leftChars="-50" w:right="-105" w:rightChars="-50"/>
                    <w:jc w:val="center"/>
                    <w:rPr>
                      <w:color w:val="000000" w:themeColor="text1"/>
                      <w:sz w:val="18"/>
                      <w:szCs w:val="18"/>
                      <w:highlight w:val="none"/>
                      <w14:textFill>
                        <w14:solidFill>
                          <w14:schemeClr w14:val="tx1"/>
                        </w14:solidFill>
                      </w14:textFill>
                    </w:rPr>
                  </w:pPr>
                </w:p>
              </w:tc>
            </w:tr>
            <w:tr w14:paraId="52B7D0E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3735C904">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4A7D0496">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598B143">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硫化氢</w:t>
                  </w:r>
                </w:p>
              </w:tc>
              <w:tc>
                <w:tcPr>
                  <w:tcW w:w="1134" w:type="dxa"/>
                  <w:vAlign w:val="center"/>
                </w:tcPr>
                <w:p w14:paraId="198D2E7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0.011</w:t>
                  </w:r>
                </w:p>
              </w:tc>
              <w:tc>
                <w:tcPr>
                  <w:tcW w:w="1276" w:type="dxa"/>
                  <w:vAlign w:val="center"/>
                </w:tcPr>
                <w:p w14:paraId="6AD5C5B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2.3（</w:t>
                  </w:r>
                  <w:r>
                    <w:rPr>
                      <w:color w:val="000000" w:themeColor="text1"/>
                      <w:sz w:val="18"/>
                      <w:szCs w:val="18"/>
                      <w:highlight w:val="none"/>
                      <w14:textFill>
                        <w14:solidFill>
                          <w14:schemeClr w14:val="tx1"/>
                        </w14:solidFill>
                      </w14:textFill>
                    </w:rPr>
                    <w:t>kg/h</w:t>
                  </w:r>
                  <w:r>
                    <w:rPr>
                      <w:rFonts w:hint="eastAsia"/>
                      <w:color w:val="000000" w:themeColor="text1"/>
                      <w:sz w:val="18"/>
                      <w:szCs w:val="18"/>
                      <w:highlight w:val="none"/>
                      <w14:textFill>
                        <w14:solidFill>
                          <w14:schemeClr w14:val="tx1"/>
                        </w14:solidFill>
                      </w14:textFill>
                    </w:rPr>
                    <w:t>）</w:t>
                  </w:r>
                </w:p>
              </w:tc>
              <w:tc>
                <w:tcPr>
                  <w:tcW w:w="709" w:type="dxa"/>
                  <w:vAlign w:val="center"/>
                </w:tcPr>
                <w:p w14:paraId="21CA2BD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29A4C237">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5A1E8F5E">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1C0215F5">
                  <w:pPr>
                    <w:ind w:left="-105" w:leftChars="-50" w:right="-105" w:rightChars="-50"/>
                    <w:jc w:val="center"/>
                    <w:rPr>
                      <w:color w:val="000000" w:themeColor="text1"/>
                      <w:sz w:val="18"/>
                      <w:szCs w:val="18"/>
                      <w:highlight w:val="none"/>
                      <w14:textFill>
                        <w14:solidFill>
                          <w14:schemeClr w14:val="tx1"/>
                        </w14:solidFill>
                      </w14:textFill>
                    </w:rPr>
                  </w:pPr>
                </w:p>
              </w:tc>
            </w:tr>
            <w:tr w14:paraId="6D02E2C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bottom w:val="single" w:color="auto" w:sz="4" w:space="0"/>
                    <w:right w:val="single" w:color="auto" w:sz="4" w:space="0"/>
                  </w:tcBorders>
                  <w:vAlign w:val="center"/>
                </w:tcPr>
                <w:p w14:paraId="605CB082">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bottom w:val="single" w:color="auto" w:sz="4" w:space="0"/>
                  </w:tcBorders>
                  <w:vAlign w:val="center"/>
                </w:tcPr>
                <w:p w14:paraId="3D25FD00">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3687FDC6">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臭气浓度</w:t>
                  </w:r>
                </w:p>
              </w:tc>
              <w:tc>
                <w:tcPr>
                  <w:tcW w:w="1134" w:type="dxa"/>
                  <w:vAlign w:val="center"/>
                </w:tcPr>
                <w:p w14:paraId="1C4B0B6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846</w:t>
                  </w:r>
                </w:p>
              </w:tc>
              <w:tc>
                <w:tcPr>
                  <w:tcW w:w="1276" w:type="dxa"/>
                  <w:vAlign w:val="center"/>
                </w:tcPr>
                <w:p w14:paraId="2D29706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20000</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无量纲</w:t>
                  </w:r>
                  <w:r>
                    <w:rPr>
                      <w:color w:val="000000" w:themeColor="text1"/>
                      <w:sz w:val="18"/>
                      <w:szCs w:val="18"/>
                      <w:highlight w:val="none"/>
                      <w14:textFill>
                        <w14:solidFill>
                          <w14:schemeClr w14:val="tx1"/>
                        </w14:solidFill>
                      </w14:textFill>
                    </w:rPr>
                    <w:t>）</w:t>
                  </w:r>
                </w:p>
              </w:tc>
              <w:tc>
                <w:tcPr>
                  <w:tcW w:w="709" w:type="dxa"/>
                  <w:vAlign w:val="center"/>
                </w:tcPr>
                <w:p w14:paraId="55A7E6A5">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bottom w:val="single" w:color="auto" w:sz="4" w:space="0"/>
                    <w:right w:val="single" w:color="auto" w:sz="4" w:space="0"/>
                  </w:tcBorders>
                  <w:vAlign w:val="center"/>
                </w:tcPr>
                <w:p w14:paraId="609B73E6">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bottom w:val="single" w:color="auto" w:sz="4" w:space="0"/>
                  </w:tcBorders>
                  <w:vAlign w:val="center"/>
                </w:tcPr>
                <w:p w14:paraId="27334627">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7B298D27">
                  <w:pPr>
                    <w:ind w:left="-105" w:leftChars="-50" w:right="-105" w:rightChars="-50"/>
                    <w:jc w:val="center"/>
                    <w:rPr>
                      <w:color w:val="000000" w:themeColor="text1"/>
                      <w:sz w:val="18"/>
                      <w:szCs w:val="18"/>
                      <w:highlight w:val="none"/>
                      <w14:textFill>
                        <w14:solidFill>
                          <w14:schemeClr w14:val="tx1"/>
                        </w14:solidFill>
                      </w14:textFill>
                    </w:rPr>
                  </w:pPr>
                </w:p>
              </w:tc>
            </w:tr>
            <w:tr w14:paraId="30109584">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restart"/>
                  <w:tcBorders>
                    <w:top w:val="single" w:color="auto" w:sz="4" w:space="0"/>
                    <w:right w:val="single" w:color="auto" w:sz="4" w:space="0"/>
                  </w:tcBorders>
                  <w:vAlign w:val="center"/>
                </w:tcPr>
                <w:p w14:paraId="5788EE4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DA004</w:t>
                  </w:r>
                </w:p>
              </w:tc>
              <w:tc>
                <w:tcPr>
                  <w:tcW w:w="1418" w:type="dxa"/>
                  <w:vMerge w:val="restart"/>
                  <w:tcBorders>
                    <w:left w:val="single" w:color="auto" w:sz="4" w:space="0"/>
                  </w:tcBorders>
                  <w:vAlign w:val="center"/>
                </w:tcPr>
                <w:p w14:paraId="00194218">
                  <w:pPr>
                    <w:ind w:left="-105" w:leftChars="-50" w:right="-105" w:rightChars="-50"/>
                    <w:jc w:val="center"/>
                    <w:rPr>
                      <w:rFonts w:hint="eastAsia"/>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3#、4#隧道窑</w:t>
                  </w:r>
                </w:p>
                <w:p w14:paraId="3477D5E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排气筒</w:t>
                  </w:r>
                </w:p>
              </w:tc>
              <w:tc>
                <w:tcPr>
                  <w:tcW w:w="1417" w:type="dxa"/>
                  <w:vAlign w:val="center"/>
                </w:tcPr>
                <w:p w14:paraId="4EB517F8">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1134" w:type="dxa"/>
                  <w:vAlign w:val="center"/>
                </w:tcPr>
                <w:p w14:paraId="76CE6ED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3.6</w:t>
                  </w:r>
                </w:p>
              </w:tc>
              <w:tc>
                <w:tcPr>
                  <w:tcW w:w="1276" w:type="dxa"/>
                  <w:vAlign w:val="center"/>
                </w:tcPr>
                <w:p w14:paraId="3EB99CC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1FFAE66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restart"/>
                  <w:tcBorders>
                    <w:top w:val="single" w:color="auto" w:sz="4" w:space="0"/>
                    <w:right w:val="single" w:color="auto" w:sz="4" w:space="0"/>
                  </w:tcBorders>
                  <w:vAlign w:val="center"/>
                </w:tcPr>
                <w:p w14:paraId="5B0AB6A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38m</w:t>
                  </w:r>
                </w:p>
              </w:tc>
              <w:tc>
                <w:tcPr>
                  <w:tcW w:w="709" w:type="dxa"/>
                  <w:vMerge w:val="restart"/>
                  <w:tcBorders>
                    <w:top w:val="single" w:color="auto" w:sz="4" w:space="0"/>
                    <w:left w:val="single" w:color="auto" w:sz="4" w:space="0"/>
                  </w:tcBorders>
                  <w:vAlign w:val="center"/>
                </w:tcPr>
                <w:p w14:paraId="2933C6D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continue"/>
                  <w:vAlign w:val="center"/>
                </w:tcPr>
                <w:p w14:paraId="47074EE1">
                  <w:pPr>
                    <w:ind w:left="-105" w:leftChars="-50" w:right="-105" w:rightChars="-50"/>
                    <w:jc w:val="center"/>
                    <w:rPr>
                      <w:color w:val="000000" w:themeColor="text1"/>
                      <w:sz w:val="18"/>
                      <w:szCs w:val="18"/>
                      <w:highlight w:val="none"/>
                      <w14:textFill>
                        <w14:solidFill>
                          <w14:schemeClr w14:val="tx1"/>
                        </w14:solidFill>
                      </w14:textFill>
                    </w:rPr>
                  </w:pPr>
                </w:p>
              </w:tc>
            </w:tr>
            <w:tr w14:paraId="25F11CBA">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2E28F325">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5EECB104">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1822D8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SO</w:t>
                  </w:r>
                  <w:r>
                    <w:rPr>
                      <w:color w:val="000000" w:themeColor="text1"/>
                      <w:sz w:val="18"/>
                      <w:szCs w:val="18"/>
                      <w:highlight w:val="none"/>
                      <w:vertAlign w:val="subscript"/>
                      <w14:textFill>
                        <w14:solidFill>
                          <w14:schemeClr w14:val="tx1"/>
                        </w14:solidFill>
                      </w14:textFill>
                    </w:rPr>
                    <w:t>2</w:t>
                  </w:r>
                </w:p>
              </w:tc>
              <w:tc>
                <w:tcPr>
                  <w:tcW w:w="1134" w:type="dxa"/>
                  <w:vAlign w:val="center"/>
                </w:tcPr>
                <w:p w14:paraId="4A78DEC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26</w:t>
                  </w:r>
                </w:p>
              </w:tc>
              <w:tc>
                <w:tcPr>
                  <w:tcW w:w="1276" w:type="dxa"/>
                  <w:vAlign w:val="center"/>
                </w:tcPr>
                <w:p w14:paraId="27F1883D">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5</w:t>
                  </w:r>
                  <w:r>
                    <w:rPr>
                      <w:rFonts w:hint="eastAsia"/>
                      <w:color w:val="000000" w:themeColor="text1"/>
                      <w:sz w:val="18"/>
                      <w:szCs w:val="18"/>
                      <w:highlight w:val="none"/>
                      <w14:textFill>
                        <w14:solidFill>
                          <w14:schemeClr w14:val="tx1"/>
                        </w14:solidFill>
                      </w14:textFill>
                    </w:rPr>
                    <w:t>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39BC542D">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559CD751">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1477AD2A">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230D994D">
                  <w:pPr>
                    <w:ind w:left="-105" w:leftChars="-50" w:right="-105" w:rightChars="-50"/>
                    <w:jc w:val="center"/>
                    <w:rPr>
                      <w:color w:val="000000" w:themeColor="text1"/>
                      <w:sz w:val="18"/>
                      <w:szCs w:val="18"/>
                      <w:highlight w:val="none"/>
                      <w14:textFill>
                        <w14:solidFill>
                          <w14:schemeClr w14:val="tx1"/>
                        </w14:solidFill>
                      </w14:textFill>
                    </w:rPr>
                  </w:pPr>
                </w:p>
              </w:tc>
            </w:tr>
            <w:tr w14:paraId="2C0EB85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29F5431A">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7CCFE26D">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05FE8C9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NO</w:t>
                  </w:r>
                  <w:r>
                    <w:rPr>
                      <w:rFonts w:hint="eastAsia"/>
                      <w:color w:val="000000" w:themeColor="text1"/>
                      <w:sz w:val="18"/>
                      <w:szCs w:val="18"/>
                      <w:highlight w:val="none"/>
                      <w14:textFill>
                        <w14:solidFill>
                          <w14:schemeClr w14:val="tx1"/>
                        </w14:solidFill>
                      </w14:textFill>
                    </w:rPr>
                    <w:t>x</w:t>
                  </w:r>
                </w:p>
              </w:tc>
              <w:tc>
                <w:tcPr>
                  <w:tcW w:w="1134" w:type="dxa"/>
                  <w:vAlign w:val="center"/>
                </w:tcPr>
                <w:p w14:paraId="6737259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73</w:t>
                  </w:r>
                </w:p>
              </w:tc>
              <w:tc>
                <w:tcPr>
                  <w:tcW w:w="1276" w:type="dxa"/>
                  <w:vAlign w:val="center"/>
                </w:tcPr>
                <w:p w14:paraId="533A5B4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w:t>
                  </w:r>
                  <w:r>
                    <w:rPr>
                      <w:rFonts w:hint="eastAsia"/>
                      <w:color w:val="000000" w:themeColor="text1"/>
                      <w:sz w:val="18"/>
                      <w:szCs w:val="18"/>
                      <w:highlight w:val="none"/>
                      <w14:textFill>
                        <w14:solidFill>
                          <w14:schemeClr w14:val="tx1"/>
                        </w14:solidFill>
                      </w14:textFill>
                    </w:rPr>
                    <w:t>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55887FE5">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36660A5C">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261A3638">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30F026B8">
                  <w:pPr>
                    <w:ind w:left="-105" w:leftChars="-50" w:right="-105" w:rightChars="-50"/>
                    <w:jc w:val="center"/>
                    <w:rPr>
                      <w:color w:val="000000" w:themeColor="text1"/>
                      <w:sz w:val="18"/>
                      <w:szCs w:val="18"/>
                      <w:highlight w:val="none"/>
                      <w14:textFill>
                        <w14:solidFill>
                          <w14:schemeClr w14:val="tx1"/>
                        </w14:solidFill>
                      </w14:textFill>
                    </w:rPr>
                  </w:pPr>
                </w:p>
              </w:tc>
            </w:tr>
            <w:tr w14:paraId="7DB32E8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4A0D9F3A">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43CA4396">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4DBC1C64">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氟化物</w:t>
                  </w:r>
                </w:p>
              </w:tc>
              <w:tc>
                <w:tcPr>
                  <w:tcW w:w="1134" w:type="dxa"/>
                  <w:vAlign w:val="center"/>
                </w:tcPr>
                <w:p w14:paraId="073025F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1.76</w:t>
                  </w:r>
                </w:p>
              </w:tc>
              <w:tc>
                <w:tcPr>
                  <w:tcW w:w="1276" w:type="dxa"/>
                  <w:vAlign w:val="center"/>
                </w:tcPr>
                <w:p w14:paraId="22FE761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3C88EA56">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4772704F">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0F0B884D">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50A5D58B">
                  <w:pPr>
                    <w:ind w:left="-105" w:leftChars="-50" w:right="-105" w:rightChars="-50"/>
                    <w:jc w:val="center"/>
                    <w:rPr>
                      <w:color w:val="000000" w:themeColor="text1"/>
                      <w:sz w:val="18"/>
                      <w:szCs w:val="18"/>
                      <w:highlight w:val="none"/>
                      <w14:textFill>
                        <w14:solidFill>
                          <w14:schemeClr w14:val="tx1"/>
                        </w14:solidFill>
                      </w14:textFill>
                    </w:rPr>
                  </w:pPr>
                </w:p>
              </w:tc>
            </w:tr>
            <w:tr w14:paraId="3AADBA6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3D7800F9">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4481D650">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6D29BE73">
                  <w:pPr>
                    <w:ind w:left="-105" w:leftChars="-50" w:right="-105" w:rightChars="-50"/>
                    <w:jc w:val="center"/>
                    <w:rPr>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氯化氢</w:t>
                  </w:r>
                </w:p>
              </w:tc>
              <w:tc>
                <w:tcPr>
                  <w:tcW w:w="1134" w:type="dxa"/>
                  <w:vAlign w:val="center"/>
                </w:tcPr>
                <w:p w14:paraId="58D5F0F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6.89</w:t>
                  </w:r>
                </w:p>
              </w:tc>
              <w:tc>
                <w:tcPr>
                  <w:tcW w:w="1276" w:type="dxa"/>
                  <w:vAlign w:val="center"/>
                </w:tcPr>
                <w:p w14:paraId="106A297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7806DD5D">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229547B3">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437F8199">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18C9A092">
                  <w:pPr>
                    <w:ind w:left="-105" w:leftChars="-50" w:right="-105" w:rightChars="-50"/>
                    <w:jc w:val="center"/>
                    <w:rPr>
                      <w:color w:val="000000" w:themeColor="text1"/>
                      <w:sz w:val="18"/>
                      <w:szCs w:val="18"/>
                      <w:highlight w:val="none"/>
                      <w14:textFill>
                        <w14:solidFill>
                          <w14:schemeClr w14:val="tx1"/>
                        </w14:solidFill>
                      </w14:textFill>
                    </w:rPr>
                  </w:pPr>
                </w:p>
              </w:tc>
            </w:tr>
            <w:tr w14:paraId="71D4C43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3784D336">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633275CE">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1910632B">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汞及其化合物（以Hg计）</w:t>
                  </w:r>
                </w:p>
              </w:tc>
              <w:tc>
                <w:tcPr>
                  <w:tcW w:w="1134" w:type="dxa"/>
                  <w:vAlign w:val="center"/>
                </w:tcPr>
                <w:p w14:paraId="71882D1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ND</w:t>
                  </w:r>
                </w:p>
              </w:tc>
              <w:tc>
                <w:tcPr>
                  <w:tcW w:w="1276" w:type="dxa"/>
                  <w:vAlign w:val="center"/>
                </w:tcPr>
                <w:p w14:paraId="237F9B0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0.02</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3EDBE41C">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7EE6C99D">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52308BF7">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79376984">
                  <w:pPr>
                    <w:ind w:left="-105" w:leftChars="-50" w:right="-105" w:rightChars="-50"/>
                    <w:jc w:val="center"/>
                    <w:rPr>
                      <w:color w:val="000000" w:themeColor="text1"/>
                      <w:sz w:val="18"/>
                      <w:szCs w:val="18"/>
                      <w:highlight w:val="none"/>
                      <w14:textFill>
                        <w14:solidFill>
                          <w14:schemeClr w14:val="tx1"/>
                        </w14:solidFill>
                      </w14:textFill>
                    </w:rPr>
                  </w:pPr>
                </w:p>
              </w:tc>
            </w:tr>
            <w:tr w14:paraId="553CE20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29D0FBE5">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64F3CF71">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0C1846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镉、铊及其化合物</w:t>
                  </w:r>
                  <w:r>
                    <w:rPr>
                      <w:color w:val="000000" w:themeColor="text1"/>
                      <w:sz w:val="18"/>
                      <w:szCs w:val="18"/>
                      <w:highlight w:val="none"/>
                      <w14:textFill>
                        <w14:solidFill>
                          <w14:schemeClr w14:val="tx1"/>
                        </w14:solidFill>
                      </w14:textFill>
                    </w:rPr>
                    <w:t>（以Cd+Tl计）</w:t>
                  </w:r>
                </w:p>
              </w:tc>
              <w:tc>
                <w:tcPr>
                  <w:tcW w:w="1134" w:type="dxa"/>
                  <w:vAlign w:val="center"/>
                </w:tcPr>
                <w:p w14:paraId="2B4D2FAB">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ND</w:t>
                  </w:r>
                </w:p>
              </w:tc>
              <w:tc>
                <w:tcPr>
                  <w:tcW w:w="1276" w:type="dxa"/>
                  <w:vAlign w:val="center"/>
                </w:tcPr>
                <w:p w14:paraId="2D22A98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0.03</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2399956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1701A1E8">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7DEB5200">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24EBFDF7">
                  <w:pPr>
                    <w:ind w:left="-105" w:leftChars="-50" w:right="-105" w:rightChars="-50"/>
                    <w:jc w:val="center"/>
                    <w:rPr>
                      <w:color w:val="000000" w:themeColor="text1"/>
                      <w:sz w:val="18"/>
                      <w:szCs w:val="18"/>
                      <w:highlight w:val="none"/>
                      <w14:textFill>
                        <w14:solidFill>
                          <w14:schemeClr w14:val="tx1"/>
                        </w14:solidFill>
                      </w14:textFill>
                    </w:rPr>
                  </w:pPr>
                </w:p>
              </w:tc>
            </w:tr>
            <w:tr w14:paraId="0ACE53A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bottom w:val="single" w:color="auto" w:sz="4" w:space="0"/>
                    <w:right w:val="single" w:color="auto" w:sz="4" w:space="0"/>
                  </w:tcBorders>
                  <w:vAlign w:val="center"/>
                </w:tcPr>
                <w:p w14:paraId="53675EFB">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bottom w:val="single" w:color="auto" w:sz="4" w:space="0"/>
                  </w:tcBorders>
                  <w:vAlign w:val="center"/>
                </w:tcPr>
                <w:p w14:paraId="425091FE">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6D1D87B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锑、砷、铅、铬、钴、铜、锰、镍及其化合物</w:t>
                  </w:r>
                  <w:r>
                    <w:rPr>
                      <w:color w:val="000000" w:themeColor="text1"/>
                      <w:sz w:val="18"/>
                      <w:szCs w:val="18"/>
                      <w:highlight w:val="none"/>
                      <w14:textFill>
                        <w14:solidFill>
                          <w14:schemeClr w14:val="tx1"/>
                        </w14:solidFill>
                      </w14:textFill>
                    </w:rPr>
                    <w:t>（以Sb+As+Pb+Cr+Co+Cu+Mn+Ni计）</w:t>
                  </w:r>
                </w:p>
              </w:tc>
              <w:tc>
                <w:tcPr>
                  <w:tcW w:w="1134" w:type="dxa"/>
                  <w:vAlign w:val="center"/>
                </w:tcPr>
                <w:p w14:paraId="6367300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0.0275</w:t>
                  </w:r>
                </w:p>
              </w:tc>
              <w:tc>
                <w:tcPr>
                  <w:tcW w:w="1276" w:type="dxa"/>
                  <w:vAlign w:val="center"/>
                </w:tcPr>
                <w:p w14:paraId="44180E2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0.3</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68AC290F">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bottom w:val="single" w:color="auto" w:sz="4" w:space="0"/>
                    <w:right w:val="single" w:color="auto" w:sz="4" w:space="0"/>
                  </w:tcBorders>
                  <w:vAlign w:val="center"/>
                </w:tcPr>
                <w:p w14:paraId="6CBCB8BE">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bottom w:val="single" w:color="auto" w:sz="4" w:space="0"/>
                  </w:tcBorders>
                  <w:vAlign w:val="center"/>
                </w:tcPr>
                <w:p w14:paraId="36BBA5BE">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6D680396">
                  <w:pPr>
                    <w:ind w:left="-105" w:leftChars="-50" w:right="-105" w:rightChars="-50"/>
                    <w:jc w:val="center"/>
                    <w:rPr>
                      <w:color w:val="000000" w:themeColor="text1"/>
                      <w:sz w:val="18"/>
                      <w:szCs w:val="18"/>
                      <w:highlight w:val="none"/>
                      <w14:textFill>
                        <w14:solidFill>
                          <w14:schemeClr w14:val="tx1"/>
                        </w14:solidFill>
                      </w14:textFill>
                    </w:rPr>
                  </w:pPr>
                </w:p>
              </w:tc>
            </w:tr>
            <w:tr w14:paraId="2CD4899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tcBorders>
                    <w:top w:val="single" w:color="auto" w:sz="4" w:space="0"/>
                    <w:right w:val="single" w:color="auto" w:sz="4" w:space="0"/>
                  </w:tcBorders>
                  <w:vAlign w:val="center"/>
                </w:tcPr>
                <w:p w14:paraId="3ADA159A">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DA005</w:t>
                  </w:r>
                </w:p>
              </w:tc>
              <w:tc>
                <w:tcPr>
                  <w:tcW w:w="1418" w:type="dxa"/>
                  <w:tcBorders>
                    <w:top w:val="single" w:color="auto" w:sz="4" w:space="0"/>
                    <w:left w:val="single" w:color="auto" w:sz="4" w:space="0"/>
                  </w:tcBorders>
                  <w:vAlign w:val="center"/>
                </w:tcPr>
                <w:p w14:paraId="75F4D35D">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1#、2#窑车吹扫排气筒</w:t>
                  </w:r>
                </w:p>
              </w:tc>
              <w:tc>
                <w:tcPr>
                  <w:tcW w:w="1417" w:type="dxa"/>
                  <w:vAlign w:val="center"/>
                </w:tcPr>
                <w:p w14:paraId="090BEA6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1134" w:type="dxa"/>
                  <w:vAlign w:val="center"/>
                </w:tcPr>
                <w:p w14:paraId="2D22759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2.3</w:t>
                  </w:r>
                </w:p>
              </w:tc>
              <w:tc>
                <w:tcPr>
                  <w:tcW w:w="1276" w:type="dxa"/>
                  <w:vAlign w:val="center"/>
                </w:tcPr>
                <w:p w14:paraId="6B67FE3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w:t>
                  </w:r>
                  <w:r>
                    <w:rPr>
                      <w:color w:val="000000" w:themeColor="text1"/>
                      <w:sz w:val="18"/>
                      <w:szCs w:val="18"/>
                      <w:highlight w:val="none"/>
                      <w14:textFill>
                        <w14:solidFill>
                          <w14:schemeClr w14:val="tx1"/>
                        </w14:solidFill>
                      </w14:textFill>
                    </w:rPr>
                    <w:t>0（mg/m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2DE4A7CE">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tcBorders>
                    <w:top w:val="single" w:color="auto" w:sz="4" w:space="0"/>
                    <w:right w:val="single" w:color="auto" w:sz="4" w:space="0"/>
                  </w:tcBorders>
                  <w:vAlign w:val="center"/>
                </w:tcPr>
                <w:p w14:paraId="0B9BD8B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15m</w:t>
                  </w:r>
                </w:p>
              </w:tc>
              <w:tc>
                <w:tcPr>
                  <w:tcW w:w="709" w:type="dxa"/>
                  <w:tcBorders>
                    <w:top w:val="single" w:color="auto" w:sz="4" w:space="0"/>
                    <w:left w:val="single" w:color="auto" w:sz="4" w:space="0"/>
                  </w:tcBorders>
                  <w:vAlign w:val="center"/>
                </w:tcPr>
                <w:p w14:paraId="6915D05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continue"/>
                  <w:vAlign w:val="center"/>
                </w:tcPr>
                <w:p w14:paraId="10EBD66B">
                  <w:pPr>
                    <w:ind w:left="-105" w:leftChars="-50" w:right="-105" w:rightChars="-50"/>
                    <w:jc w:val="center"/>
                    <w:rPr>
                      <w:color w:val="000000" w:themeColor="text1"/>
                      <w:sz w:val="18"/>
                      <w:szCs w:val="18"/>
                      <w:highlight w:val="none"/>
                      <w14:textFill>
                        <w14:solidFill>
                          <w14:schemeClr w14:val="tx1"/>
                        </w14:solidFill>
                      </w14:textFill>
                    </w:rPr>
                  </w:pPr>
                </w:p>
              </w:tc>
            </w:tr>
            <w:tr w14:paraId="79B7B23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tcBorders>
                    <w:top w:val="single" w:color="auto" w:sz="4" w:space="0"/>
                    <w:bottom w:val="single" w:color="auto" w:sz="4" w:space="0"/>
                    <w:right w:val="single" w:color="auto" w:sz="4" w:space="0"/>
                  </w:tcBorders>
                  <w:vAlign w:val="center"/>
                </w:tcPr>
                <w:p w14:paraId="658B7276">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DA006</w:t>
                  </w:r>
                </w:p>
              </w:tc>
              <w:tc>
                <w:tcPr>
                  <w:tcW w:w="1418" w:type="dxa"/>
                  <w:tcBorders>
                    <w:left w:val="single" w:color="auto" w:sz="4" w:space="0"/>
                  </w:tcBorders>
                  <w:vAlign w:val="center"/>
                </w:tcPr>
                <w:p w14:paraId="1934CD9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3#、4#窑车吹扫排气筒</w:t>
                  </w:r>
                </w:p>
              </w:tc>
              <w:tc>
                <w:tcPr>
                  <w:tcW w:w="1417" w:type="dxa"/>
                  <w:vAlign w:val="center"/>
                </w:tcPr>
                <w:p w14:paraId="2260A95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1134" w:type="dxa"/>
                  <w:vAlign w:val="center"/>
                </w:tcPr>
                <w:p w14:paraId="66D99C5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4.7</w:t>
                  </w:r>
                </w:p>
              </w:tc>
              <w:tc>
                <w:tcPr>
                  <w:tcW w:w="1276" w:type="dxa"/>
                  <w:vAlign w:val="center"/>
                </w:tcPr>
                <w:p w14:paraId="67DF8270">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113DC6C6">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tcBorders>
                    <w:right w:val="single" w:color="auto" w:sz="4" w:space="0"/>
                  </w:tcBorders>
                  <w:vAlign w:val="center"/>
                </w:tcPr>
                <w:p w14:paraId="3C16732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15m</w:t>
                  </w:r>
                </w:p>
              </w:tc>
              <w:tc>
                <w:tcPr>
                  <w:tcW w:w="709" w:type="dxa"/>
                  <w:tcBorders>
                    <w:left w:val="single" w:color="auto" w:sz="4" w:space="0"/>
                  </w:tcBorders>
                  <w:vAlign w:val="center"/>
                </w:tcPr>
                <w:p w14:paraId="725A016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continue"/>
                  <w:vAlign w:val="center"/>
                </w:tcPr>
                <w:p w14:paraId="54B8FB59">
                  <w:pPr>
                    <w:ind w:left="-105" w:leftChars="-50" w:right="-105" w:rightChars="-50"/>
                    <w:jc w:val="center"/>
                    <w:rPr>
                      <w:color w:val="000000" w:themeColor="text1"/>
                      <w:sz w:val="18"/>
                      <w:szCs w:val="18"/>
                      <w:highlight w:val="none"/>
                      <w14:textFill>
                        <w14:solidFill>
                          <w14:schemeClr w14:val="tx1"/>
                        </w14:solidFill>
                      </w14:textFill>
                    </w:rPr>
                  </w:pPr>
                </w:p>
              </w:tc>
            </w:tr>
            <w:tr w14:paraId="56D7B72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restart"/>
                  <w:tcBorders>
                    <w:top w:val="single" w:color="auto" w:sz="4" w:space="0"/>
                    <w:right w:val="single" w:color="auto" w:sz="4" w:space="0"/>
                  </w:tcBorders>
                  <w:vAlign w:val="center"/>
                </w:tcPr>
                <w:p w14:paraId="4EECDF3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DA007</w:t>
                  </w:r>
                </w:p>
              </w:tc>
              <w:tc>
                <w:tcPr>
                  <w:tcW w:w="1418" w:type="dxa"/>
                  <w:vMerge w:val="restart"/>
                  <w:tcBorders>
                    <w:left w:val="single" w:color="auto" w:sz="4" w:space="0"/>
                  </w:tcBorders>
                  <w:vAlign w:val="center"/>
                </w:tcPr>
                <w:p w14:paraId="71C0C34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污泥储存料棚排气筒</w:t>
                  </w:r>
                  <w:r>
                    <w:rPr>
                      <w:rFonts w:hint="eastAsia"/>
                      <w:color w:val="000000" w:themeColor="text1"/>
                      <w:sz w:val="18"/>
                      <w:szCs w:val="18"/>
                      <w:highlight w:val="none"/>
                      <w14:textFill>
                        <w14:solidFill>
                          <w14:schemeClr w14:val="tx1"/>
                        </w14:solidFill>
                      </w14:textFill>
                    </w:rPr>
                    <w:t>（隧道窑停产同时储存污泥）</w:t>
                  </w:r>
                </w:p>
              </w:tc>
              <w:tc>
                <w:tcPr>
                  <w:tcW w:w="1417" w:type="dxa"/>
                  <w:vAlign w:val="center"/>
                </w:tcPr>
                <w:p w14:paraId="6D4F39C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氨（氨气）</w:t>
                  </w:r>
                </w:p>
              </w:tc>
              <w:tc>
                <w:tcPr>
                  <w:tcW w:w="1134" w:type="dxa"/>
                  <w:vAlign w:val="center"/>
                </w:tcPr>
                <w:p w14:paraId="4B253BF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0.002</w:t>
                  </w:r>
                </w:p>
              </w:tc>
              <w:tc>
                <w:tcPr>
                  <w:tcW w:w="1276" w:type="dxa"/>
                  <w:vAlign w:val="center"/>
                </w:tcPr>
                <w:p w14:paraId="7FF7686B">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4.9（</w:t>
                  </w:r>
                  <w:r>
                    <w:rPr>
                      <w:color w:val="000000" w:themeColor="text1"/>
                      <w:sz w:val="18"/>
                      <w:szCs w:val="18"/>
                      <w:highlight w:val="none"/>
                      <w14:textFill>
                        <w14:solidFill>
                          <w14:schemeClr w14:val="tx1"/>
                        </w14:solidFill>
                      </w14:textFill>
                    </w:rPr>
                    <w:t>kg/h</w:t>
                  </w:r>
                  <w:r>
                    <w:rPr>
                      <w:rFonts w:hint="eastAsia"/>
                      <w:color w:val="000000" w:themeColor="text1"/>
                      <w:sz w:val="18"/>
                      <w:szCs w:val="18"/>
                      <w:highlight w:val="none"/>
                      <w14:textFill>
                        <w14:solidFill>
                          <w14:schemeClr w14:val="tx1"/>
                        </w14:solidFill>
                      </w14:textFill>
                    </w:rPr>
                    <w:t>）</w:t>
                  </w:r>
                </w:p>
              </w:tc>
              <w:tc>
                <w:tcPr>
                  <w:tcW w:w="709" w:type="dxa"/>
                  <w:vAlign w:val="center"/>
                </w:tcPr>
                <w:p w14:paraId="7E6C31B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restart"/>
                  <w:tcBorders>
                    <w:right w:val="single" w:color="auto" w:sz="4" w:space="0"/>
                  </w:tcBorders>
                  <w:vAlign w:val="center"/>
                </w:tcPr>
                <w:p w14:paraId="54AC76D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15m</w:t>
                  </w:r>
                </w:p>
              </w:tc>
              <w:tc>
                <w:tcPr>
                  <w:tcW w:w="709" w:type="dxa"/>
                  <w:vMerge w:val="restart"/>
                  <w:tcBorders>
                    <w:left w:val="single" w:color="auto" w:sz="4" w:space="0"/>
                  </w:tcBorders>
                  <w:vAlign w:val="center"/>
                </w:tcPr>
                <w:p w14:paraId="24AF8B7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72" w:type="dxa"/>
                  <w:vMerge w:val="continue"/>
                  <w:vAlign w:val="center"/>
                </w:tcPr>
                <w:p w14:paraId="42F7790D">
                  <w:pPr>
                    <w:ind w:left="-105" w:leftChars="-50" w:right="-105" w:rightChars="-50"/>
                    <w:jc w:val="center"/>
                    <w:rPr>
                      <w:color w:val="000000" w:themeColor="text1"/>
                      <w:sz w:val="18"/>
                      <w:szCs w:val="18"/>
                      <w:highlight w:val="none"/>
                      <w14:textFill>
                        <w14:solidFill>
                          <w14:schemeClr w14:val="tx1"/>
                        </w14:solidFill>
                      </w14:textFill>
                    </w:rPr>
                  </w:pPr>
                </w:p>
              </w:tc>
            </w:tr>
            <w:tr w14:paraId="29D971F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right w:val="single" w:color="auto" w:sz="4" w:space="0"/>
                  </w:tcBorders>
                  <w:vAlign w:val="center"/>
                </w:tcPr>
                <w:p w14:paraId="270A2AF8">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503A89B4">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F0EDA51">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硫化氢</w:t>
                  </w:r>
                </w:p>
              </w:tc>
              <w:tc>
                <w:tcPr>
                  <w:tcW w:w="1134" w:type="dxa"/>
                  <w:vAlign w:val="center"/>
                </w:tcPr>
                <w:p w14:paraId="414AFC8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0.0002</w:t>
                  </w:r>
                </w:p>
              </w:tc>
              <w:tc>
                <w:tcPr>
                  <w:tcW w:w="1276" w:type="dxa"/>
                  <w:vAlign w:val="center"/>
                </w:tcPr>
                <w:p w14:paraId="513F592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0.33（</w:t>
                  </w:r>
                  <w:r>
                    <w:rPr>
                      <w:color w:val="000000" w:themeColor="text1"/>
                      <w:sz w:val="18"/>
                      <w:szCs w:val="18"/>
                      <w:highlight w:val="none"/>
                      <w14:textFill>
                        <w14:solidFill>
                          <w14:schemeClr w14:val="tx1"/>
                        </w14:solidFill>
                      </w14:textFill>
                    </w:rPr>
                    <w:t>kg/h</w:t>
                  </w:r>
                  <w:r>
                    <w:rPr>
                      <w:rFonts w:hint="eastAsia"/>
                      <w:color w:val="000000" w:themeColor="text1"/>
                      <w:sz w:val="18"/>
                      <w:szCs w:val="18"/>
                      <w:highlight w:val="none"/>
                      <w14:textFill>
                        <w14:solidFill>
                          <w14:schemeClr w14:val="tx1"/>
                        </w14:solidFill>
                      </w14:textFill>
                    </w:rPr>
                    <w:t>）</w:t>
                  </w:r>
                </w:p>
              </w:tc>
              <w:tc>
                <w:tcPr>
                  <w:tcW w:w="709" w:type="dxa"/>
                  <w:vAlign w:val="center"/>
                </w:tcPr>
                <w:p w14:paraId="647B8B35">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4885FBFA">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1A754F17">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394F6208">
                  <w:pPr>
                    <w:ind w:left="-105" w:leftChars="-50" w:right="-105" w:rightChars="-50"/>
                    <w:jc w:val="center"/>
                    <w:rPr>
                      <w:color w:val="000000" w:themeColor="text1"/>
                      <w:sz w:val="18"/>
                      <w:szCs w:val="18"/>
                      <w:highlight w:val="none"/>
                      <w14:textFill>
                        <w14:solidFill>
                          <w14:schemeClr w14:val="tx1"/>
                        </w14:solidFill>
                      </w14:textFill>
                    </w:rPr>
                  </w:pPr>
                </w:p>
              </w:tc>
            </w:tr>
            <w:tr w14:paraId="5C22751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718" w:type="dxa"/>
                  <w:vMerge w:val="continue"/>
                  <w:tcBorders>
                    <w:bottom w:val="single" w:color="auto" w:sz="4" w:space="0"/>
                    <w:right w:val="single" w:color="auto" w:sz="4" w:space="0"/>
                  </w:tcBorders>
                  <w:vAlign w:val="center"/>
                </w:tcPr>
                <w:p w14:paraId="35580DFB">
                  <w:pPr>
                    <w:ind w:left="-105" w:leftChars="-50" w:right="-105" w:rightChars="-50"/>
                    <w:jc w:val="center"/>
                    <w:rPr>
                      <w:color w:val="000000" w:themeColor="text1"/>
                      <w:sz w:val="18"/>
                      <w:szCs w:val="18"/>
                      <w:highlight w:val="none"/>
                      <w14:textFill>
                        <w14:solidFill>
                          <w14:schemeClr w14:val="tx1"/>
                        </w14:solidFill>
                      </w14:textFill>
                    </w:rPr>
                  </w:pPr>
                </w:p>
              </w:tc>
              <w:tc>
                <w:tcPr>
                  <w:tcW w:w="1418" w:type="dxa"/>
                  <w:vMerge w:val="continue"/>
                  <w:tcBorders>
                    <w:left w:val="single" w:color="auto" w:sz="4" w:space="0"/>
                  </w:tcBorders>
                  <w:vAlign w:val="center"/>
                </w:tcPr>
                <w:p w14:paraId="124B4FDC">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647102D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臭气浓度</w:t>
                  </w:r>
                </w:p>
              </w:tc>
              <w:tc>
                <w:tcPr>
                  <w:tcW w:w="1134" w:type="dxa"/>
                  <w:vAlign w:val="center"/>
                </w:tcPr>
                <w:p w14:paraId="7116842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732</w:t>
                  </w:r>
                </w:p>
              </w:tc>
              <w:tc>
                <w:tcPr>
                  <w:tcW w:w="1276" w:type="dxa"/>
                  <w:vAlign w:val="center"/>
                </w:tcPr>
                <w:p w14:paraId="3F676C9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2000（无量纲）</w:t>
                  </w:r>
                </w:p>
              </w:tc>
              <w:tc>
                <w:tcPr>
                  <w:tcW w:w="709" w:type="dxa"/>
                  <w:vAlign w:val="center"/>
                </w:tcPr>
                <w:p w14:paraId="6008724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4D652A55">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52A5B293">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47A145C0">
                  <w:pPr>
                    <w:ind w:left="-105" w:leftChars="-50" w:right="-105" w:rightChars="-50"/>
                    <w:jc w:val="center"/>
                    <w:rPr>
                      <w:color w:val="000000" w:themeColor="text1"/>
                      <w:sz w:val="18"/>
                      <w:szCs w:val="18"/>
                      <w:highlight w:val="none"/>
                      <w14:textFill>
                        <w14:solidFill>
                          <w14:schemeClr w14:val="tx1"/>
                        </w14:solidFill>
                      </w14:textFill>
                    </w:rPr>
                  </w:pPr>
                </w:p>
              </w:tc>
            </w:tr>
            <w:tr w14:paraId="31BA7C0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Align w:val="center"/>
                </w:tcPr>
                <w:p w14:paraId="623D08A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车间门口</w:t>
                  </w:r>
                </w:p>
              </w:tc>
              <w:tc>
                <w:tcPr>
                  <w:tcW w:w="1417" w:type="dxa"/>
                  <w:vAlign w:val="center"/>
                </w:tcPr>
                <w:p w14:paraId="64645F4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总悬浮颗粒物</w:t>
                  </w:r>
                </w:p>
              </w:tc>
              <w:tc>
                <w:tcPr>
                  <w:tcW w:w="1134" w:type="dxa"/>
                  <w:vAlign w:val="center"/>
                </w:tcPr>
                <w:p w14:paraId="5A57882F">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0.548</w:t>
                  </w:r>
                </w:p>
              </w:tc>
              <w:tc>
                <w:tcPr>
                  <w:tcW w:w="1276" w:type="dxa"/>
                  <w:vAlign w:val="center"/>
                </w:tcPr>
                <w:p w14:paraId="24D563C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5671FCA8">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restart"/>
                  <w:tcBorders>
                    <w:right w:val="single" w:color="auto" w:sz="4" w:space="0"/>
                  </w:tcBorders>
                  <w:vAlign w:val="center"/>
                </w:tcPr>
                <w:p w14:paraId="10C20C8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p>
              </w:tc>
              <w:tc>
                <w:tcPr>
                  <w:tcW w:w="709" w:type="dxa"/>
                  <w:vMerge w:val="restart"/>
                  <w:tcBorders>
                    <w:left w:val="single" w:color="auto" w:sz="4" w:space="0"/>
                  </w:tcBorders>
                  <w:vAlign w:val="center"/>
                </w:tcPr>
                <w:p w14:paraId="232FA34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p>
              </w:tc>
              <w:tc>
                <w:tcPr>
                  <w:tcW w:w="772" w:type="dxa"/>
                  <w:vMerge w:val="restart"/>
                  <w:vAlign w:val="center"/>
                </w:tcPr>
                <w:p w14:paraId="6C33A6BA">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以无组织形式排向外环境</w:t>
                  </w:r>
                </w:p>
              </w:tc>
            </w:tr>
            <w:tr w14:paraId="6653011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Merge w:val="restart"/>
                  <w:vAlign w:val="center"/>
                </w:tcPr>
                <w:p w14:paraId="2BEF95F7">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企业边界</w:t>
                  </w:r>
                </w:p>
              </w:tc>
              <w:tc>
                <w:tcPr>
                  <w:tcW w:w="1417" w:type="dxa"/>
                  <w:vAlign w:val="center"/>
                </w:tcPr>
                <w:p w14:paraId="193F6AF0">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总悬浮颗粒物</w:t>
                  </w:r>
                </w:p>
              </w:tc>
              <w:tc>
                <w:tcPr>
                  <w:tcW w:w="1134" w:type="dxa"/>
                  <w:vAlign w:val="center"/>
                </w:tcPr>
                <w:p w14:paraId="0B38FC9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0.190</w:t>
                  </w:r>
                </w:p>
              </w:tc>
              <w:tc>
                <w:tcPr>
                  <w:tcW w:w="1276" w:type="dxa"/>
                  <w:vAlign w:val="center"/>
                </w:tcPr>
                <w:p w14:paraId="3BC5DB62">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0.5</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446A035C">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46B1AB25">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04142EA0">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5939BE27">
                  <w:pPr>
                    <w:ind w:left="-105" w:leftChars="-50" w:right="-105" w:rightChars="-50"/>
                    <w:jc w:val="center"/>
                    <w:rPr>
                      <w:color w:val="000000" w:themeColor="text1"/>
                      <w:sz w:val="18"/>
                      <w:szCs w:val="18"/>
                      <w:highlight w:val="none"/>
                      <w14:textFill>
                        <w14:solidFill>
                          <w14:schemeClr w14:val="tx1"/>
                        </w14:solidFill>
                      </w14:textFill>
                    </w:rPr>
                  </w:pPr>
                </w:p>
              </w:tc>
            </w:tr>
            <w:tr w14:paraId="7BE8A79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Merge w:val="continue"/>
                  <w:vAlign w:val="center"/>
                </w:tcPr>
                <w:p w14:paraId="6EF08DC5">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400790A4">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二氧化硫</w:t>
                  </w:r>
                </w:p>
              </w:tc>
              <w:tc>
                <w:tcPr>
                  <w:tcW w:w="1134" w:type="dxa"/>
                  <w:vAlign w:val="center"/>
                </w:tcPr>
                <w:p w14:paraId="0E13640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0.105</w:t>
                  </w:r>
                </w:p>
              </w:tc>
              <w:tc>
                <w:tcPr>
                  <w:tcW w:w="1276" w:type="dxa"/>
                  <w:vAlign w:val="center"/>
                </w:tcPr>
                <w:p w14:paraId="2D8AE15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0.5</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02D350F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47213A05">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098B6001">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4DC3A770">
                  <w:pPr>
                    <w:ind w:left="-105" w:leftChars="-50" w:right="-105" w:rightChars="-50"/>
                    <w:jc w:val="center"/>
                    <w:rPr>
                      <w:color w:val="000000" w:themeColor="text1"/>
                      <w:sz w:val="18"/>
                      <w:szCs w:val="18"/>
                      <w:highlight w:val="none"/>
                      <w14:textFill>
                        <w14:solidFill>
                          <w14:schemeClr w14:val="tx1"/>
                        </w14:solidFill>
                      </w14:textFill>
                    </w:rPr>
                  </w:pPr>
                </w:p>
              </w:tc>
            </w:tr>
            <w:tr w14:paraId="0B8791D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Merge w:val="continue"/>
                  <w:vAlign w:val="center"/>
                </w:tcPr>
                <w:p w14:paraId="520C6B47">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2EB3294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氟化物</w:t>
                  </w:r>
                </w:p>
              </w:tc>
              <w:tc>
                <w:tcPr>
                  <w:tcW w:w="1134" w:type="dxa"/>
                  <w:vAlign w:val="center"/>
                </w:tcPr>
                <w:p w14:paraId="1ACFE2E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0.0019</w:t>
                  </w:r>
                </w:p>
              </w:tc>
              <w:tc>
                <w:tcPr>
                  <w:tcW w:w="1276" w:type="dxa"/>
                  <w:vAlign w:val="center"/>
                </w:tcPr>
                <w:p w14:paraId="311B539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0.02</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4931D97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133C3BAF">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7D1C7309">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58B41ACB">
                  <w:pPr>
                    <w:ind w:left="-105" w:leftChars="-50" w:right="-105" w:rightChars="-50"/>
                    <w:jc w:val="center"/>
                    <w:rPr>
                      <w:color w:val="000000" w:themeColor="text1"/>
                      <w:sz w:val="18"/>
                      <w:szCs w:val="18"/>
                      <w:highlight w:val="none"/>
                      <w14:textFill>
                        <w14:solidFill>
                          <w14:schemeClr w14:val="tx1"/>
                        </w14:solidFill>
                      </w14:textFill>
                    </w:rPr>
                  </w:pPr>
                </w:p>
              </w:tc>
            </w:tr>
            <w:tr w14:paraId="1798B73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Merge w:val="continue"/>
                  <w:vAlign w:val="center"/>
                </w:tcPr>
                <w:p w14:paraId="772D6186">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7B176A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氨（氨气）</w:t>
                  </w:r>
                </w:p>
              </w:tc>
              <w:tc>
                <w:tcPr>
                  <w:tcW w:w="1134" w:type="dxa"/>
                  <w:vAlign w:val="center"/>
                </w:tcPr>
                <w:p w14:paraId="3CA2A9F8">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0.14</w:t>
                  </w:r>
                </w:p>
              </w:tc>
              <w:tc>
                <w:tcPr>
                  <w:tcW w:w="1276" w:type="dxa"/>
                  <w:vAlign w:val="center"/>
                </w:tcPr>
                <w:p w14:paraId="70D04D47">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2FD26CC2">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506279AB">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6D766621">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6F0CE6E6">
                  <w:pPr>
                    <w:ind w:left="-105" w:leftChars="-50" w:right="-105" w:rightChars="-50"/>
                    <w:jc w:val="center"/>
                    <w:rPr>
                      <w:color w:val="000000" w:themeColor="text1"/>
                      <w:sz w:val="18"/>
                      <w:szCs w:val="18"/>
                      <w:highlight w:val="none"/>
                      <w14:textFill>
                        <w14:solidFill>
                          <w14:schemeClr w14:val="tx1"/>
                        </w14:solidFill>
                      </w14:textFill>
                    </w:rPr>
                  </w:pPr>
                </w:p>
              </w:tc>
            </w:tr>
            <w:tr w14:paraId="3833F4C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Merge w:val="continue"/>
                  <w:vAlign w:val="center"/>
                </w:tcPr>
                <w:p w14:paraId="65F206A8">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07B22399">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硫化氢</w:t>
                  </w:r>
                </w:p>
              </w:tc>
              <w:tc>
                <w:tcPr>
                  <w:tcW w:w="1134" w:type="dxa"/>
                  <w:vAlign w:val="center"/>
                </w:tcPr>
                <w:p w14:paraId="3B3B63D9">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0.008</w:t>
                  </w:r>
                </w:p>
              </w:tc>
              <w:tc>
                <w:tcPr>
                  <w:tcW w:w="1276" w:type="dxa"/>
                  <w:vAlign w:val="center"/>
                </w:tcPr>
                <w:p w14:paraId="1D2FBBBE">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0.06</w:t>
                  </w: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w:t>
                  </w:r>
                </w:p>
              </w:tc>
              <w:tc>
                <w:tcPr>
                  <w:tcW w:w="709" w:type="dxa"/>
                  <w:vAlign w:val="center"/>
                </w:tcPr>
                <w:p w14:paraId="1320237E">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43B99792">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01BA8FFE">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4A8E5FAF">
                  <w:pPr>
                    <w:ind w:left="-105" w:leftChars="-50" w:right="-105" w:rightChars="-50"/>
                    <w:jc w:val="center"/>
                    <w:rPr>
                      <w:color w:val="000000" w:themeColor="text1"/>
                      <w:sz w:val="18"/>
                      <w:szCs w:val="18"/>
                      <w:highlight w:val="none"/>
                      <w14:textFill>
                        <w14:solidFill>
                          <w14:schemeClr w14:val="tx1"/>
                        </w14:solidFill>
                      </w14:textFill>
                    </w:rPr>
                  </w:pPr>
                </w:p>
              </w:tc>
            </w:tr>
            <w:tr w14:paraId="136C81E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55" w:hRule="atLeast"/>
                <w:jc w:val="center"/>
              </w:trPr>
              <w:tc>
                <w:tcPr>
                  <w:tcW w:w="2136" w:type="dxa"/>
                  <w:gridSpan w:val="2"/>
                  <w:vMerge w:val="continue"/>
                  <w:vAlign w:val="center"/>
                </w:tcPr>
                <w:p w14:paraId="1CB563D5">
                  <w:pPr>
                    <w:ind w:left="-105" w:leftChars="-50" w:right="-105" w:rightChars="-50"/>
                    <w:jc w:val="center"/>
                    <w:rPr>
                      <w:color w:val="000000" w:themeColor="text1"/>
                      <w:sz w:val="18"/>
                      <w:szCs w:val="18"/>
                      <w:highlight w:val="none"/>
                      <w14:textFill>
                        <w14:solidFill>
                          <w14:schemeClr w14:val="tx1"/>
                        </w14:solidFill>
                      </w14:textFill>
                    </w:rPr>
                  </w:pPr>
                </w:p>
              </w:tc>
              <w:tc>
                <w:tcPr>
                  <w:tcW w:w="1417" w:type="dxa"/>
                  <w:vAlign w:val="center"/>
                </w:tcPr>
                <w:p w14:paraId="5E1D8915">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臭气浓度</w:t>
                  </w:r>
                </w:p>
              </w:tc>
              <w:tc>
                <w:tcPr>
                  <w:tcW w:w="1134" w:type="dxa"/>
                  <w:vAlign w:val="center"/>
                </w:tcPr>
                <w:p w14:paraId="5354D623">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w:t>
                  </w:r>
                </w:p>
              </w:tc>
              <w:tc>
                <w:tcPr>
                  <w:tcW w:w="1276" w:type="dxa"/>
                  <w:vAlign w:val="center"/>
                </w:tcPr>
                <w:p w14:paraId="7B013EE1">
                  <w:pPr>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20</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无量纲</w:t>
                  </w:r>
                  <w:r>
                    <w:rPr>
                      <w:color w:val="000000" w:themeColor="text1"/>
                      <w:sz w:val="18"/>
                      <w:szCs w:val="18"/>
                      <w:highlight w:val="none"/>
                      <w14:textFill>
                        <w14:solidFill>
                          <w14:schemeClr w14:val="tx1"/>
                        </w14:solidFill>
                      </w14:textFill>
                    </w:rPr>
                    <w:t>）</w:t>
                  </w:r>
                </w:p>
              </w:tc>
              <w:tc>
                <w:tcPr>
                  <w:tcW w:w="709" w:type="dxa"/>
                  <w:vAlign w:val="center"/>
                </w:tcPr>
                <w:p w14:paraId="76BCDF94">
                  <w:pPr>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达标</w:t>
                  </w:r>
                </w:p>
              </w:tc>
              <w:tc>
                <w:tcPr>
                  <w:tcW w:w="708" w:type="dxa"/>
                  <w:vMerge w:val="continue"/>
                  <w:tcBorders>
                    <w:right w:val="single" w:color="auto" w:sz="4" w:space="0"/>
                  </w:tcBorders>
                  <w:vAlign w:val="center"/>
                </w:tcPr>
                <w:p w14:paraId="34877D61">
                  <w:pPr>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tcBorders>
                    <w:left w:val="single" w:color="auto" w:sz="4" w:space="0"/>
                  </w:tcBorders>
                  <w:vAlign w:val="center"/>
                </w:tcPr>
                <w:p w14:paraId="64C38D33">
                  <w:pPr>
                    <w:ind w:left="-105" w:leftChars="-50" w:right="-105" w:rightChars="-50"/>
                    <w:jc w:val="center"/>
                    <w:rPr>
                      <w:color w:val="000000" w:themeColor="text1"/>
                      <w:sz w:val="18"/>
                      <w:szCs w:val="18"/>
                      <w:highlight w:val="none"/>
                      <w14:textFill>
                        <w14:solidFill>
                          <w14:schemeClr w14:val="tx1"/>
                        </w14:solidFill>
                      </w14:textFill>
                    </w:rPr>
                  </w:pPr>
                </w:p>
              </w:tc>
              <w:tc>
                <w:tcPr>
                  <w:tcW w:w="772" w:type="dxa"/>
                  <w:vMerge w:val="continue"/>
                  <w:vAlign w:val="center"/>
                </w:tcPr>
                <w:p w14:paraId="0B18B988">
                  <w:pPr>
                    <w:ind w:left="-105" w:leftChars="-50" w:right="-105" w:rightChars="-50"/>
                    <w:jc w:val="center"/>
                    <w:rPr>
                      <w:color w:val="000000" w:themeColor="text1"/>
                      <w:sz w:val="18"/>
                      <w:szCs w:val="18"/>
                      <w:highlight w:val="none"/>
                      <w14:textFill>
                        <w14:solidFill>
                          <w14:schemeClr w14:val="tx1"/>
                        </w14:solidFill>
                      </w14:textFill>
                    </w:rPr>
                  </w:pPr>
                </w:p>
              </w:tc>
            </w:tr>
          </w:tbl>
          <w:p w14:paraId="6BC86304">
            <w:pPr>
              <w:adjustRightInd w:val="0"/>
              <w:snapToGrid w:val="0"/>
              <w:spacing w:line="400" w:lineRule="exact"/>
              <w:ind w:firstLine="420" w:firstLineChars="200"/>
              <w:rPr>
                <w:rFonts w:ascii="仿宋" w:hAnsi="仿宋" w:eastAsia="仿宋"/>
                <w:bCs/>
                <w:color w:val="000000" w:themeColor="text1"/>
                <w:szCs w:val="21"/>
                <w:highlight w:val="none"/>
                <w14:textFill>
                  <w14:solidFill>
                    <w14:schemeClr w14:val="tx1"/>
                  </w14:solidFill>
                </w14:textFill>
              </w:rPr>
            </w:pPr>
            <w:r>
              <w:rPr>
                <w:rFonts w:hint="eastAsia" w:ascii="仿宋" w:hAnsi="仿宋" w:eastAsia="仿宋"/>
                <w:bCs/>
                <w:color w:val="000000" w:themeColor="text1"/>
                <w:szCs w:val="21"/>
                <w:highlight w:val="none"/>
                <w14:textFill>
                  <w14:solidFill>
                    <w14:schemeClr w14:val="tx1"/>
                  </w14:solidFill>
                </w14:textFill>
              </w:rPr>
              <w:t>注：以上检测数据来自建设单位自行监测检测报告、验收检测报告，报告编号：202404161、HC240652、</w:t>
            </w:r>
            <w:r>
              <w:rPr>
                <w:rFonts w:ascii="仿宋" w:hAnsi="仿宋" w:eastAsia="仿宋"/>
                <w:bCs/>
                <w:color w:val="000000" w:themeColor="text1"/>
                <w:szCs w:val="21"/>
                <w:highlight w:val="none"/>
                <w14:textFill>
                  <w14:solidFill>
                    <w14:schemeClr w14:val="tx1"/>
                  </w14:solidFill>
                </w14:textFill>
              </w:rPr>
              <w:t>HFHJ(202</w:t>
            </w:r>
            <w:r>
              <w:rPr>
                <w:rFonts w:hint="eastAsia" w:ascii="仿宋" w:hAnsi="仿宋" w:eastAsia="仿宋"/>
                <w:bCs/>
                <w:color w:val="000000" w:themeColor="text1"/>
                <w:szCs w:val="21"/>
                <w:highlight w:val="none"/>
                <w14:textFill>
                  <w14:solidFill>
                    <w14:schemeClr w14:val="tx1"/>
                  </w14:solidFill>
                </w14:textFill>
              </w:rPr>
              <w:t>4</w:t>
            </w:r>
            <w:r>
              <w:rPr>
                <w:rFonts w:ascii="仿宋" w:hAnsi="仿宋" w:eastAsia="仿宋"/>
                <w:bCs/>
                <w:color w:val="000000" w:themeColor="text1"/>
                <w:szCs w:val="21"/>
                <w:highlight w:val="none"/>
                <w14:textFill>
                  <w14:solidFill>
                    <w14:schemeClr w14:val="tx1"/>
                  </w14:solidFill>
                </w14:textFill>
              </w:rPr>
              <w:t>)Z029-</w:t>
            </w:r>
            <w:r>
              <w:rPr>
                <w:rFonts w:hint="eastAsia" w:ascii="仿宋" w:hAnsi="仿宋" w:eastAsia="仿宋"/>
                <w:bCs/>
                <w:color w:val="000000" w:themeColor="text1"/>
                <w:szCs w:val="21"/>
                <w:highlight w:val="none"/>
                <w14:textFill>
                  <w14:solidFill>
                    <w14:schemeClr w14:val="tx1"/>
                  </w14:solidFill>
                </w14:textFill>
              </w:rPr>
              <w:t>10</w:t>
            </w:r>
            <w:r>
              <w:rPr>
                <w:rFonts w:ascii="仿宋" w:hAnsi="仿宋" w:eastAsia="仿宋"/>
                <w:bCs/>
                <w:color w:val="000000" w:themeColor="text1"/>
                <w:szCs w:val="21"/>
                <w:highlight w:val="none"/>
                <w14:textFill>
                  <w14:solidFill>
                    <w14:schemeClr w14:val="tx1"/>
                  </w14:solidFill>
                </w14:textFill>
              </w:rPr>
              <w:t>-0</w:t>
            </w:r>
            <w:r>
              <w:rPr>
                <w:rFonts w:hint="eastAsia" w:ascii="仿宋" w:hAnsi="仿宋" w:eastAsia="仿宋"/>
                <w:bCs/>
                <w:color w:val="000000" w:themeColor="text1"/>
                <w:szCs w:val="21"/>
                <w:highlight w:val="none"/>
                <w14:textFill>
                  <w14:solidFill>
                    <w14:schemeClr w14:val="tx1"/>
                  </w14:solidFill>
                </w14:textFill>
              </w:rPr>
              <w:t>1、</w:t>
            </w:r>
            <w:r>
              <w:rPr>
                <w:rFonts w:ascii="仿宋" w:hAnsi="仿宋" w:eastAsia="仿宋"/>
                <w:bCs/>
                <w:color w:val="000000" w:themeColor="text1"/>
                <w:szCs w:val="21"/>
                <w:highlight w:val="none"/>
                <w14:textFill>
                  <w14:solidFill>
                    <w14:schemeClr w14:val="tx1"/>
                  </w14:solidFill>
                </w14:textFill>
              </w:rPr>
              <w:t>HFHJ(202</w:t>
            </w:r>
            <w:r>
              <w:rPr>
                <w:rFonts w:hint="eastAsia" w:ascii="仿宋" w:hAnsi="仿宋" w:eastAsia="仿宋"/>
                <w:bCs/>
                <w:color w:val="000000" w:themeColor="text1"/>
                <w:szCs w:val="21"/>
                <w:highlight w:val="none"/>
                <w14:textFill>
                  <w14:solidFill>
                    <w14:schemeClr w14:val="tx1"/>
                  </w14:solidFill>
                </w14:textFill>
              </w:rPr>
              <w:t>4</w:t>
            </w:r>
            <w:r>
              <w:rPr>
                <w:rFonts w:ascii="仿宋" w:hAnsi="仿宋" w:eastAsia="仿宋"/>
                <w:bCs/>
                <w:color w:val="000000" w:themeColor="text1"/>
                <w:szCs w:val="21"/>
                <w:highlight w:val="none"/>
                <w14:textFill>
                  <w14:solidFill>
                    <w14:schemeClr w14:val="tx1"/>
                  </w14:solidFill>
                </w14:textFill>
              </w:rPr>
              <w:t>)Z029-</w:t>
            </w:r>
            <w:r>
              <w:rPr>
                <w:rFonts w:hint="eastAsia" w:ascii="仿宋" w:hAnsi="仿宋" w:eastAsia="仿宋"/>
                <w:bCs/>
                <w:color w:val="000000" w:themeColor="text1"/>
                <w:szCs w:val="21"/>
                <w:highlight w:val="none"/>
                <w14:textFill>
                  <w14:solidFill>
                    <w14:schemeClr w14:val="tx1"/>
                  </w14:solidFill>
                </w14:textFill>
              </w:rPr>
              <w:t>10</w:t>
            </w:r>
            <w:r>
              <w:rPr>
                <w:rFonts w:ascii="仿宋" w:hAnsi="仿宋" w:eastAsia="仿宋"/>
                <w:bCs/>
                <w:color w:val="000000" w:themeColor="text1"/>
                <w:szCs w:val="21"/>
                <w:highlight w:val="none"/>
                <w14:textFill>
                  <w14:solidFill>
                    <w14:schemeClr w14:val="tx1"/>
                  </w14:solidFill>
                </w14:textFill>
              </w:rPr>
              <w:t>-0</w:t>
            </w:r>
            <w:r>
              <w:rPr>
                <w:rFonts w:hint="eastAsia" w:ascii="仿宋" w:hAnsi="仿宋" w:eastAsia="仿宋"/>
                <w:bCs/>
                <w:color w:val="000000" w:themeColor="text1"/>
                <w:szCs w:val="21"/>
                <w:highlight w:val="none"/>
                <w14:textFill>
                  <w14:solidFill>
                    <w14:schemeClr w14:val="tx1"/>
                  </w14:solidFill>
                </w14:textFill>
              </w:rPr>
              <w:t>2、</w:t>
            </w:r>
            <w:r>
              <w:rPr>
                <w:rFonts w:ascii="仿宋" w:hAnsi="仿宋" w:eastAsia="仿宋"/>
                <w:bCs/>
                <w:color w:val="000000" w:themeColor="text1"/>
                <w:szCs w:val="21"/>
                <w:highlight w:val="none"/>
                <w14:textFill>
                  <w14:solidFill>
                    <w14:schemeClr w14:val="tx1"/>
                  </w14:solidFill>
                </w14:textFill>
              </w:rPr>
              <w:t>HFHJ(202</w:t>
            </w:r>
            <w:r>
              <w:rPr>
                <w:rFonts w:hint="eastAsia" w:ascii="仿宋" w:hAnsi="仿宋" w:eastAsia="仿宋"/>
                <w:bCs/>
                <w:color w:val="000000" w:themeColor="text1"/>
                <w:szCs w:val="21"/>
                <w:highlight w:val="none"/>
                <w14:textFill>
                  <w14:solidFill>
                    <w14:schemeClr w14:val="tx1"/>
                  </w14:solidFill>
                </w14:textFill>
              </w:rPr>
              <w:t>4</w:t>
            </w:r>
            <w:r>
              <w:rPr>
                <w:rFonts w:ascii="仿宋" w:hAnsi="仿宋" w:eastAsia="仿宋"/>
                <w:bCs/>
                <w:color w:val="000000" w:themeColor="text1"/>
                <w:szCs w:val="21"/>
                <w:highlight w:val="none"/>
                <w14:textFill>
                  <w14:solidFill>
                    <w14:schemeClr w14:val="tx1"/>
                  </w14:solidFill>
                </w14:textFill>
              </w:rPr>
              <w:t>)Z029-12-01</w:t>
            </w:r>
            <w:r>
              <w:rPr>
                <w:rFonts w:hint="eastAsia" w:ascii="仿宋" w:hAnsi="仿宋" w:eastAsia="仿宋"/>
                <w:bCs/>
                <w:color w:val="000000" w:themeColor="text1"/>
                <w:szCs w:val="21"/>
                <w:highlight w:val="none"/>
                <w14:textFill>
                  <w14:solidFill>
                    <w14:schemeClr w14:val="tx1"/>
                  </w14:solidFill>
                </w14:textFill>
              </w:rPr>
              <w:t>。厂界总悬浮颗粒物检测结果为参照点与监控点浓度最大差值。</w:t>
            </w:r>
          </w:p>
          <w:p w14:paraId="44A056A0">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根据检测结果，有组织废气：</w:t>
            </w:r>
            <w:r>
              <w:rPr>
                <w:bCs/>
                <w:color w:val="000000" w:themeColor="text1"/>
                <w:sz w:val="24"/>
                <w:highlight w:val="none"/>
                <w14:textFill>
                  <w14:solidFill>
                    <w14:schemeClr w14:val="tx1"/>
                  </w14:solidFill>
                </w14:textFill>
              </w:rPr>
              <w:t>隧道窑</w:t>
            </w:r>
            <w:r>
              <w:rPr>
                <w:rFonts w:hint="eastAsia"/>
                <w:bCs/>
                <w:color w:val="000000" w:themeColor="text1"/>
                <w:sz w:val="24"/>
                <w:highlight w:val="none"/>
                <w14:textFill>
                  <w14:solidFill>
                    <w14:schemeClr w14:val="tx1"/>
                  </w14:solidFill>
                </w14:textFill>
              </w:rPr>
              <w:t>废气中</w:t>
            </w:r>
            <w:r>
              <w:rPr>
                <w:rFonts w:hint="eastAsia"/>
                <w:bCs/>
                <w:color w:val="000000" w:themeColor="text1"/>
                <w:sz w:val="24"/>
                <w:highlight w:val="none"/>
                <w:lang w:val="en-US" w:eastAsia="zh-CN"/>
                <w14:textFill>
                  <w14:solidFill>
                    <w14:schemeClr w14:val="tx1"/>
                  </w14:solidFill>
                </w14:textFill>
              </w:rPr>
              <w:t>颗粒物、二氧化硫、氮氧化物、</w:t>
            </w:r>
            <w:r>
              <w:rPr>
                <w:rFonts w:hint="eastAsia"/>
                <w:bCs/>
                <w:color w:val="000000" w:themeColor="text1"/>
                <w:sz w:val="24"/>
                <w:highlight w:val="none"/>
                <w14:textFill>
                  <w14:solidFill>
                    <w14:schemeClr w14:val="tx1"/>
                  </w14:solidFill>
                </w14:textFill>
              </w:rPr>
              <w:t>氟化物排放浓度满足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1</w:t>
            </w:r>
            <w:r>
              <w:rPr>
                <w:rFonts w:hAnsi="Arial"/>
                <w:color w:val="000000" w:themeColor="text1"/>
                <w:sz w:val="24"/>
                <w:highlight w:val="none"/>
                <w:shd w:val="clear" w:color="auto" w:fill="FFFFFF"/>
                <w14:textFill>
                  <w14:solidFill>
                    <w14:schemeClr w14:val="tx1"/>
                  </w14:solidFill>
                </w14:textFill>
              </w:rPr>
              <w:t>中限值要求，</w:t>
            </w:r>
            <w:r>
              <w:rPr>
                <w:rFonts w:hint="eastAsia" w:hAnsi="Arial"/>
                <w:color w:val="000000" w:themeColor="text1"/>
                <w:sz w:val="24"/>
                <w:highlight w:val="none"/>
                <w:shd w:val="clear" w:color="auto" w:fill="FFFFFF"/>
                <w14:textFill>
                  <w14:solidFill>
                    <w14:schemeClr w14:val="tx1"/>
                  </w14:solidFill>
                </w14:textFill>
              </w:rPr>
              <w:t>隧道窑其他污染物排放满足</w:t>
            </w:r>
            <w:r>
              <w:rPr>
                <w:bCs/>
                <w:color w:val="000000" w:themeColor="text1"/>
                <w:sz w:val="24"/>
                <w:highlight w:val="none"/>
                <w14:textFill>
                  <w14:solidFill>
                    <w14:schemeClr w14:val="tx1"/>
                  </w14:solidFill>
                </w14:textFill>
              </w:rPr>
              <w:t>《生活垃圾焚烧大气污染控制标准》</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DB13/5325-2021</w:t>
            </w:r>
            <w:r>
              <w:rPr>
                <w:rFonts w:hint="eastAsia"/>
                <w:bCs/>
                <w:color w:val="000000" w:themeColor="text1"/>
                <w:sz w:val="24"/>
                <w:highlight w:val="none"/>
                <w14:textFill>
                  <w14:solidFill>
                    <w14:schemeClr w14:val="tx1"/>
                  </w14:solidFill>
                </w14:textFill>
              </w:rPr>
              <w:t>）中限值要求，</w:t>
            </w:r>
            <w:r>
              <w:rPr>
                <w:rFonts w:hAnsi="Arial"/>
                <w:color w:val="000000" w:themeColor="text1"/>
                <w:sz w:val="24"/>
                <w:highlight w:val="none"/>
                <w:shd w:val="clear" w:color="auto" w:fill="FFFFFF"/>
                <w14:textFill>
                  <w14:solidFill>
                    <w14:schemeClr w14:val="tx1"/>
                  </w14:solidFill>
                </w14:textFill>
              </w:rPr>
              <w:t>同时满足</w:t>
            </w:r>
            <w:r>
              <w:rPr>
                <w:rFonts w:hint="eastAsia" w:hAnsi="Arial"/>
                <w:color w:val="000000" w:themeColor="text1"/>
                <w:sz w:val="24"/>
                <w:highlight w:val="none"/>
                <w:shd w:val="clear" w:color="auto" w:fill="FFFFFF"/>
                <w14:textFill>
                  <w14:solidFill>
                    <w14:schemeClr w14:val="tx1"/>
                  </w14:solidFill>
                </w14:textFill>
              </w:rPr>
              <w:t>《唐山市生态环境局</w:t>
            </w:r>
            <w:r>
              <w:rPr>
                <w:rFonts w:hAnsi="Arial"/>
                <w:color w:val="000000" w:themeColor="text1"/>
                <w:sz w:val="24"/>
                <w:highlight w:val="none"/>
                <w:shd w:val="clear" w:color="auto" w:fill="FFFFFF"/>
                <w14:textFill>
                  <w14:solidFill>
                    <w14:schemeClr w14:val="tx1"/>
                  </w14:solidFill>
                </w14:textFill>
              </w:rPr>
              <w:t>关于印发独立石灰窑等五个行业工业炉窑烟气达标治理工作方案的通知</w:t>
            </w:r>
            <w:r>
              <w:rPr>
                <w:rFonts w:hint="eastAsia" w:hAnsi="Arial"/>
                <w:color w:val="000000" w:themeColor="text1"/>
                <w:sz w:val="24"/>
                <w:highlight w:val="none"/>
                <w:shd w:val="clear" w:color="auto" w:fill="FFFFFF"/>
                <w14:textFill>
                  <w14:solidFill>
                    <w14:schemeClr w14:val="tx1"/>
                  </w14:solidFill>
                </w14:textFill>
              </w:rPr>
              <w:t>》（</w:t>
            </w:r>
            <w:r>
              <w:rPr>
                <w:rFonts w:hAnsi="Arial"/>
                <w:color w:val="000000" w:themeColor="text1"/>
                <w:sz w:val="24"/>
                <w:highlight w:val="none"/>
                <w:shd w:val="clear" w:color="auto" w:fill="FFFFFF"/>
                <w14:textFill>
                  <w14:solidFill>
                    <w14:schemeClr w14:val="tx1"/>
                  </w14:solidFill>
                </w14:textFill>
              </w:rPr>
              <w:t>唐环气〔</w:t>
            </w:r>
            <w:r>
              <w:rPr>
                <w:color w:val="000000" w:themeColor="text1"/>
                <w:sz w:val="24"/>
                <w:highlight w:val="none"/>
                <w:shd w:val="clear" w:color="auto" w:fill="FFFFFF"/>
                <w14:textFill>
                  <w14:solidFill>
                    <w14:schemeClr w14:val="tx1"/>
                  </w14:solidFill>
                </w14:textFill>
              </w:rPr>
              <w:t>2019</w:t>
            </w:r>
            <w:r>
              <w:rPr>
                <w:rFonts w:hAnsi="Arial"/>
                <w:color w:val="000000" w:themeColor="text1"/>
                <w:sz w:val="24"/>
                <w:highlight w:val="none"/>
                <w:shd w:val="clear" w:color="auto" w:fill="FFFFFF"/>
                <w14:textFill>
                  <w14:solidFill>
                    <w14:schemeClr w14:val="tx1"/>
                  </w14:solidFill>
                </w14:textFill>
              </w:rPr>
              <w:t>〕</w:t>
            </w:r>
            <w:r>
              <w:rPr>
                <w:color w:val="000000" w:themeColor="text1"/>
                <w:sz w:val="24"/>
                <w:highlight w:val="none"/>
                <w:shd w:val="clear" w:color="auto" w:fill="FFFFFF"/>
                <w14:textFill>
                  <w14:solidFill>
                    <w14:schemeClr w14:val="tx1"/>
                  </w14:solidFill>
                </w14:textFill>
              </w:rPr>
              <w:t>2</w:t>
            </w:r>
            <w:r>
              <w:rPr>
                <w:rFonts w:hAnsi="Arial"/>
                <w:color w:val="000000" w:themeColor="text1"/>
                <w:sz w:val="24"/>
                <w:highlight w:val="none"/>
                <w:shd w:val="clear" w:color="auto" w:fill="FFFFFF"/>
                <w14:textFill>
                  <w14:solidFill>
                    <w14:schemeClr w14:val="tx1"/>
                  </w14:solidFill>
                </w14:textFill>
              </w:rPr>
              <w:t>号</w:t>
            </w:r>
            <w:r>
              <w:rPr>
                <w:rFonts w:hint="eastAsia" w:hAnsi="Arial"/>
                <w:color w:val="000000" w:themeColor="text1"/>
                <w:sz w:val="24"/>
                <w:highlight w:val="none"/>
                <w:shd w:val="clear" w:color="auto" w:fill="FFFFFF"/>
                <w14:textFill>
                  <w14:solidFill>
                    <w14:schemeClr w14:val="tx1"/>
                  </w14:solidFill>
                </w14:textFill>
              </w:rPr>
              <w:t>）中附件5《唐山市砖瓦行业烟气达标治理工作方案》相关限值要求。鄂破、锤破、搅拌、筛分、</w:t>
            </w:r>
            <w:r>
              <w:rPr>
                <w:rFonts w:hAnsi="Arial"/>
                <w:color w:val="000000" w:themeColor="text1"/>
                <w:sz w:val="24"/>
                <w:highlight w:val="none"/>
                <w:shd w:val="clear" w:color="auto" w:fill="FFFFFF"/>
                <w14:textFill>
                  <w14:solidFill>
                    <w14:schemeClr w14:val="tx1"/>
                  </w14:solidFill>
                </w14:textFill>
              </w:rPr>
              <w:t>窑车吹扫废气满足《</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1</w:t>
            </w:r>
            <w:r>
              <w:rPr>
                <w:rFonts w:hAnsi="Arial"/>
                <w:color w:val="000000" w:themeColor="text1"/>
                <w:sz w:val="24"/>
                <w:highlight w:val="none"/>
                <w:shd w:val="clear" w:color="auto" w:fill="FFFFFF"/>
                <w14:textFill>
                  <w14:solidFill>
                    <w14:schemeClr w14:val="tx1"/>
                  </w14:solidFill>
                </w14:textFill>
              </w:rPr>
              <w:t>中限值要求，</w:t>
            </w:r>
            <w:r>
              <w:rPr>
                <w:rFonts w:hint="eastAsia" w:hAnsi="Arial"/>
                <w:color w:val="000000" w:themeColor="text1"/>
                <w:sz w:val="24"/>
                <w:highlight w:val="none"/>
                <w:shd w:val="clear" w:color="auto" w:fill="FFFFFF"/>
                <w14:textFill>
                  <w14:solidFill>
                    <w14:schemeClr w14:val="tx1"/>
                  </w14:solidFill>
                </w14:textFill>
              </w:rPr>
              <w:t>同时满足</w:t>
            </w:r>
            <w:r>
              <w:rPr>
                <w:rFonts w:hAnsi="Arial"/>
                <w:color w:val="000000" w:themeColor="text1"/>
                <w:sz w:val="24"/>
                <w:highlight w:val="none"/>
                <w:shd w:val="clear" w:color="auto" w:fill="FFFFFF"/>
                <w14:textFill>
                  <w14:solidFill>
                    <w14:schemeClr w14:val="tx1"/>
                  </w14:solidFill>
                </w14:textFill>
              </w:rPr>
              <w:t>唐环气〔</w:t>
            </w:r>
            <w:r>
              <w:rPr>
                <w:color w:val="000000" w:themeColor="text1"/>
                <w:sz w:val="24"/>
                <w:highlight w:val="none"/>
                <w:shd w:val="clear" w:color="auto" w:fill="FFFFFF"/>
                <w14:textFill>
                  <w14:solidFill>
                    <w14:schemeClr w14:val="tx1"/>
                  </w14:solidFill>
                </w14:textFill>
              </w:rPr>
              <w:t>2019</w:t>
            </w:r>
            <w:r>
              <w:rPr>
                <w:rFonts w:hAnsi="Arial"/>
                <w:color w:val="000000" w:themeColor="text1"/>
                <w:sz w:val="24"/>
                <w:highlight w:val="none"/>
                <w:shd w:val="clear" w:color="auto" w:fill="FFFFFF"/>
                <w14:textFill>
                  <w14:solidFill>
                    <w14:schemeClr w14:val="tx1"/>
                  </w14:solidFill>
                </w14:textFill>
              </w:rPr>
              <w:t>〕</w:t>
            </w:r>
            <w:r>
              <w:rPr>
                <w:color w:val="000000" w:themeColor="text1"/>
                <w:sz w:val="24"/>
                <w:highlight w:val="none"/>
                <w:shd w:val="clear" w:color="auto" w:fill="FFFFFF"/>
                <w14:textFill>
                  <w14:solidFill>
                    <w14:schemeClr w14:val="tx1"/>
                  </w14:solidFill>
                </w14:textFill>
              </w:rPr>
              <w:t>2</w:t>
            </w:r>
            <w:r>
              <w:rPr>
                <w:rFonts w:hAnsi="Arial"/>
                <w:color w:val="000000" w:themeColor="text1"/>
                <w:sz w:val="24"/>
                <w:highlight w:val="none"/>
                <w:shd w:val="clear" w:color="auto" w:fill="FFFFFF"/>
                <w14:textFill>
                  <w14:solidFill>
                    <w14:schemeClr w14:val="tx1"/>
                  </w14:solidFill>
                </w14:textFill>
              </w:rPr>
              <w:t>号</w:t>
            </w:r>
            <w:r>
              <w:rPr>
                <w:rFonts w:hint="eastAsia" w:hAnsi="Arial"/>
                <w:color w:val="000000" w:themeColor="text1"/>
                <w:sz w:val="24"/>
                <w:highlight w:val="none"/>
                <w:shd w:val="clear" w:color="auto" w:fill="FFFFFF"/>
                <w14:textFill>
                  <w14:solidFill>
                    <w14:schemeClr w14:val="tx1"/>
                  </w14:solidFill>
                </w14:textFill>
              </w:rPr>
              <w:t>附件5《唐山市砖瓦行业烟气达标治理工作方案》中</w:t>
            </w:r>
            <w:r>
              <w:rPr>
                <w:bCs/>
                <w:color w:val="000000" w:themeColor="text1"/>
                <w:sz w:val="24"/>
                <w:highlight w:val="none"/>
                <w14:textFill>
                  <w14:solidFill>
                    <w14:schemeClr w14:val="tx1"/>
                  </w14:solidFill>
                </w14:textFill>
              </w:rPr>
              <w:t>颗粒物排放浓度不大于10mg/m</w:t>
            </w:r>
            <w:r>
              <w:rPr>
                <w:bCs/>
                <w:color w:val="000000" w:themeColor="text1"/>
                <w:sz w:val="24"/>
                <w:highlight w:val="none"/>
                <w:vertAlign w:val="superscript"/>
                <w14:textFill>
                  <w14:solidFill>
                    <w14:schemeClr w14:val="tx1"/>
                  </w14:solidFill>
                </w14:textFill>
              </w:rPr>
              <w:t>3</w:t>
            </w:r>
            <w:r>
              <w:rPr>
                <w:rFonts w:hint="eastAsia" w:hAnsi="Arial"/>
                <w:color w:val="000000" w:themeColor="text1"/>
                <w:sz w:val="24"/>
                <w:highlight w:val="none"/>
                <w:shd w:val="clear" w:color="auto" w:fill="FFFFFF"/>
                <w14:textFill>
                  <w14:solidFill>
                    <w14:schemeClr w14:val="tx1"/>
                  </w14:solidFill>
                </w14:textFill>
              </w:rPr>
              <w:t>的限值要求</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正常生产时隧道窑排气筒DA003氨、硫化氢、臭气浓度满足</w:t>
            </w:r>
            <w:r>
              <w:rPr>
                <w:bCs/>
                <w:color w:val="000000" w:themeColor="text1"/>
                <w:sz w:val="24"/>
                <w:highlight w:val="none"/>
                <w14:textFill>
                  <w14:solidFill>
                    <w14:schemeClr w14:val="tx1"/>
                  </w14:solidFill>
                </w14:textFill>
              </w:rPr>
              <w:t>《恶臭污染物排放标准》（GB14554-93）表2中污染物排放限值要求（排气筒高度40m）</w:t>
            </w:r>
            <w:r>
              <w:rPr>
                <w:rFonts w:hint="eastAsia"/>
                <w:bCs/>
                <w:color w:val="000000" w:themeColor="text1"/>
                <w:sz w:val="24"/>
                <w:highlight w:val="none"/>
                <w14:textFill>
                  <w14:solidFill>
                    <w14:schemeClr w14:val="tx1"/>
                  </w14:solidFill>
                </w14:textFill>
              </w:rPr>
              <w:t>，隧道窑停产同时储存污泥时</w:t>
            </w:r>
            <w:r>
              <w:rPr>
                <w:bCs/>
                <w:color w:val="000000" w:themeColor="text1"/>
                <w:sz w:val="24"/>
                <w:highlight w:val="none"/>
                <w14:textFill>
                  <w14:solidFill>
                    <w14:schemeClr w14:val="tx1"/>
                  </w14:solidFill>
                </w14:textFill>
              </w:rPr>
              <w:t>污泥储存料棚排气筒</w:t>
            </w:r>
            <w:r>
              <w:rPr>
                <w:rFonts w:hint="eastAsia"/>
                <w:bCs/>
                <w:color w:val="000000" w:themeColor="text1"/>
                <w:sz w:val="24"/>
                <w:highlight w:val="none"/>
                <w14:textFill>
                  <w14:solidFill>
                    <w14:schemeClr w14:val="tx1"/>
                  </w14:solidFill>
                </w14:textFill>
              </w:rPr>
              <w:t>污染物排放满足</w:t>
            </w:r>
            <w:r>
              <w:rPr>
                <w:bCs/>
                <w:color w:val="000000" w:themeColor="text1"/>
                <w:sz w:val="24"/>
                <w:highlight w:val="none"/>
                <w14:textFill>
                  <w14:solidFill>
                    <w14:schemeClr w14:val="tx1"/>
                  </w14:solidFill>
                </w14:textFill>
              </w:rPr>
              <w:t>《恶臭污染物排放标准》（GB14554-93）表2中污染物排放限值要求（排气筒高度15m）</w:t>
            </w:r>
            <w:r>
              <w:rPr>
                <w:rFonts w:hint="eastAsia"/>
                <w:bCs/>
                <w:color w:val="000000" w:themeColor="text1"/>
                <w:sz w:val="24"/>
                <w:highlight w:val="none"/>
                <w14:textFill>
                  <w14:solidFill>
                    <w14:schemeClr w14:val="tx1"/>
                  </w14:solidFill>
                </w14:textFill>
              </w:rPr>
              <w:t>。</w:t>
            </w:r>
          </w:p>
          <w:p w14:paraId="3B6B7E09">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无组织废气满足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3、</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GB29620-2013</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及其修改单表3</w:t>
            </w:r>
            <w:r>
              <w:rPr>
                <w:rFonts w:hAnsi="Arial"/>
                <w:color w:val="000000" w:themeColor="text1"/>
                <w:sz w:val="24"/>
                <w:highlight w:val="none"/>
                <w:shd w:val="clear" w:color="auto" w:fill="FFFFFF"/>
                <w14:textFill>
                  <w14:solidFill>
                    <w14:schemeClr w14:val="tx1"/>
                  </w14:solidFill>
                </w14:textFill>
              </w:rPr>
              <w:t>中限值要求</w:t>
            </w:r>
            <w:r>
              <w:rPr>
                <w:rFonts w:hint="eastAsia"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《恶臭污染物排放标准》（GB14554-93）</w:t>
            </w:r>
            <w:r>
              <w:rPr>
                <w:rFonts w:hint="eastAsia"/>
                <w:bCs/>
                <w:color w:val="000000" w:themeColor="text1"/>
                <w:sz w:val="24"/>
                <w:highlight w:val="none"/>
                <w14:textFill>
                  <w14:solidFill>
                    <w14:schemeClr w14:val="tx1"/>
                  </w14:solidFill>
                </w14:textFill>
              </w:rPr>
              <w:t>表1限值要求及</w:t>
            </w:r>
            <w:r>
              <w:rPr>
                <w:rFonts w:hAnsi="Arial"/>
                <w:color w:val="000000" w:themeColor="text1"/>
                <w:sz w:val="24"/>
                <w:highlight w:val="none"/>
                <w:shd w:val="clear" w:color="auto" w:fill="FFFFFF"/>
                <w14:textFill>
                  <w14:solidFill>
                    <w14:schemeClr w14:val="tx1"/>
                  </w14:solidFill>
                </w14:textFill>
              </w:rPr>
              <w:t>唐环气〔</w:t>
            </w:r>
            <w:r>
              <w:rPr>
                <w:color w:val="000000" w:themeColor="text1"/>
                <w:sz w:val="24"/>
                <w:highlight w:val="none"/>
                <w:shd w:val="clear" w:color="auto" w:fill="FFFFFF"/>
                <w14:textFill>
                  <w14:solidFill>
                    <w14:schemeClr w14:val="tx1"/>
                  </w14:solidFill>
                </w14:textFill>
              </w:rPr>
              <w:t>2019</w:t>
            </w:r>
            <w:r>
              <w:rPr>
                <w:rFonts w:hAnsi="Arial"/>
                <w:color w:val="000000" w:themeColor="text1"/>
                <w:sz w:val="24"/>
                <w:highlight w:val="none"/>
                <w:shd w:val="clear" w:color="auto" w:fill="FFFFFF"/>
                <w14:textFill>
                  <w14:solidFill>
                    <w14:schemeClr w14:val="tx1"/>
                  </w14:solidFill>
                </w14:textFill>
              </w:rPr>
              <w:t>〕</w:t>
            </w:r>
            <w:r>
              <w:rPr>
                <w:color w:val="000000" w:themeColor="text1"/>
                <w:sz w:val="24"/>
                <w:highlight w:val="none"/>
                <w:shd w:val="clear" w:color="auto" w:fill="FFFFFF"/>
                <w14:textFill>
                  <w14:solidFill>
                    <w14:schemeClr w14:val="tx1"/>
                  </w14:solidFill>
                </w14:textFill>
              </w:rPr>
              <w:t>2</w:t>
            </w:r>
            <w:r>
              <w:rPr>
                <w:rFonts w:hAnsi="Arial"/>
                <w:color w:val="000000" w:themeColor="text1"/>
                <w:sz w:val="24"/>
                <w:highlight w:val="none"/>
                <w:shd w:val="clear" w:color="auto" w:fill="FFFFFF"/>
                <w14:textFill>
                  <w14:solidFill>
                    <w14:schemeClr w14:val="tx1"/>
                  </w14:solidFill>
                </w14:textFill>
              </w:rPr>
              <w:t>号</w:t>
            </w:r>
            <w:r>
              <w:rPr>
                <w:rFonts w:hint="eastAsia" w:hAnsi="Arial"/>
                <w:color w:val="000000" w:themeColor="text1"/>
                <w:sz w:val="24"/>
                <w:highlight w:val="none"/>
                <w:shd w:val="clear" w:color="auto" w:fill="FFFFFF"/>
                <w14:textFill>
                  <w14:solidFill>
                    <w14:schemeClr w14:val="tx1"/>
                  </w14:solidFill>
                </w14:textFill>
              </w:rPr>
              <w:t>附件5《唐山市砖瓦行业烟气达标治理工作方案》中无组织限值要求</w:t>
            </w:r>
            <w:r>
              <w:rPr>
                <w:rFonts w:hint="eastAsia"/>
                <w:bCs/>
                <w:color w:val="000000" w:themeColor="text1"/>
                <w:sz w:val="24"/>
                <w:highlight w:val="none"/>
                <w14:textFill>
                  <w14:solidFill>
                    <w14:schemeClr w14:val="tx1"/>
                  </w14:solidFill>
                </w14:textFill>
              </w:rPr>
              <w:t>。</w:t>
            </w:r>
          </w:p>
          <w:p w14:paraId="017B7B26">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根据要求，现有</w:t>
            </w:r>
            <w:r>
              <w:rPr>
                <w:bCs/>
                <w:color w:val="000000" w:themeColor="text1"/>
                <w:sz w:val="24"/>
                <w:highlight w:val="none"/>
                <w14:textFill>
                  <w14:solidFill>
                    <w14:schemeClr w14:val="tx1"/>
                  </w14:solidFill>
                </w14:textFill>
              </w:rPr>
              <w:t>1#、2#隧道窑废气排放口、3#、4#隧道窑废气排放口</w:t>
            </w:r>
            <w:r>
              <w:rPr>
                <w:rFonts w:hint="eastAsia"/>
                <w:bCs/>
                <w:color w:val="000000" w:themeColor="text1"/>
                <w:sz w:val="24"/>
                <w:highlight w:val="none"/>
                <w14:textFill>
                  <w14:solidFill>
                    <w14:schemeClr w14:val="tx1"/>
                  </w14:solidFill>
                </w14:textFill>
              </w:rPr>
              <w:t>设有</w:t>
            </w:r>
            <w:r>
              <w:rPr>
                <w:bCs/>
                <w:color w:val="000000" w:themeColor="text1"/>
                <w:sz w:val="24"/>
                <w:highlight w:val="none"/>
                <w14:textFill>
                  <w14:solidFill>
                    <w14:schemeClr w14:val="tx1"/>
                  </w14:solidFill>
                </w14:textFill>
              </w:rPr>
              <w:t>在线监测</w:t>
            </w:r>
            <w:r>
              <w:rPr>
                <w:rFonts w:hint="eastAsia"/>
                <w:bCs/>
                <w:color w:val="000000" w:themeColor="text1"/>
                <w:sz w:val="24"/>
                <w:highlight w:val="none"/>
                <w14:textFill>
                  <w14:solidFill>
                    <w14:schemeClr w14:val="tx1"/>
                  </w14:solidFill>
                </w14:textFill>
              </w:rPr>
              <w:t>设施，并与相关主管部门联网。</w:t>
            </w:r>
          </w:p>
          <w:p w14:paraId="65204523">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2、废水</w:t>
            </w:r>
          </w:p>
          <w:p w14:paraId="23C2A0A6">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现有工程生产废水循环使用，</w:t>
            </w:r>
            <w:r>
              <w:rPr>
                <w:bCs/>
                <w:color w:val="000000" w:themeColor="text1"/>
                <w:sz w:val="24"/>
                <w:highlight w:val="none"/>
                <w14:textFill>
                  <w14:solidFill>
                    <w14:schemeClr w14:val="tx1"/>
                  </w14:solidFill>
                </w14:textFill>
              </w:rPr>
              <w:t>无生产废水外排，</w:t>
            </w:r>
            <w:r>
              <w:rPr>
                <w:rFonts w:hint="eastAsia"/>
                <w:bCs/>
                <w:color w:val="000000" w:themeColor="text1"/>
                <w:sz w:val="24"/>
                <w:highlight w:val="none"/>
                <w14:textFill>
                  <w14:solidFill>
                    <w14:schemeClr w14:val="tx1"/>
                  </w14:solidFill>
                </w14:textFill>
              </w:rPr>
              <w:t>生活污水主要</w:t>
            </w:r>
            <w:r>
              <w:rPr>
                <w:bCs/>
                <w:color w:val="000000" w:themeColor="text1"/>
                <w:sz w:val="24"/>
                <w:highlight w:val="none"/>
                <w14:textFill>
                  <w14:solidFill>
                    <w14:schemeClr w14:val="tx1"/>
                  </w14:solidFill>
                </w14:textFill>
              </w:rPr>
              <w:t>为职工盥洗废水，用于厂区内泼洒抑尘，厂区设防渗旱厕，定期清掏用作农肥。</w:t>
            </w:r>
          </w:p>
          <w:p w14:paraId="47891FA5">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3、噪声</w:t>
            </w:r>
          </w:p>
          <w:p w14:paraId="4FBCF7C6">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颚式</w:t>
            </w:r>
            <w:r>
              <w:rPr>
                <w:bCs/>
                <w:color w:val="000000" w:themeColor="text1"/>
                <w:sz w:val="24"/>
                <w:highlight w:val="none"/>
                <w14:textFill>
                  <w14:solidFill>
                    <w14:schemeClr w14:val="tx1"/>
                  </w14:solidFill>
                </w14:textFill>
              </w:rPr>
              <w:t>破碎机、</w:t>
            </w:r>
            <w:r>
              <w:rPr>
                <w:rFonts w:hint="eastAsia"/>
                <w:bCs/>
                <w:color w:val="000000" w:themeColor="text1"/>
                <w:sz w:val="24"/>
                <w:highlight w:val="none"/>
                <w14:textFill>
                  <w14:solidFill>
                    <w14:schemeClr w14:val="tx1"/>
                  </w14:solidFill>
                </w14:textFill>
              </w:rPr>
              <w:t>锤式破碎机、</w:t>
            </w:r>
            <w:r>
              <w:rPr>
                <w:bCs/>
                <w:color w:val="000000" w:themeColor="text1"/>
                <w:sz w:val="24"/>
                <w:highlight w:val="none"/>
                <w14:textFill>
                  <w14:solidFill>
                    <w14:schemeClr w14:val="tx1"/>
                  </w14:solidFill>
                </w14:textFill>
              </w:rPr>
              <w:t>圆滚筛、搅拌机、挤出机、给料机、多斗挖土机、切条、切坯机、码坯机、隧道窑、风机等生产设备及风机置于</w:t>
            </w:r>
            <w:r>
              <w:rPr>
                <w:rFonts w:hint="eastAsia"/>
                <w:bCs/>
                <w:color w:val="000000" w:themeColor="text1"/>
                <w:sz w:val="24"/>
                <w:highlight w:val="none"/>
                <w14:textFill>
                  <w14:solidFill>
                    <w14:schemeClr w14:val="tx1"/>
                  </w14:solidFill>
                </w14:textFill>
              </w:rPr>
              <w:t>封闭生产车间</w:t>
            </w:r>
            <w:r>
              <w:rPr>
                <w:bCs/>
                <w:color w:val="000000" w:themeColor="text1"/>
                <w:sz w:val="24"/>
                <w:highlight w:val="none"/>
                <w14:textFill>
                  <w14:solidFill>
                    <w14:schemeClr w14:val="tx1"/>
                  </w14:solidFill>
                </w14:textFill>
              </w:rPr>
              <w:t>内，选用高效低噪声设备、采用基础减振等措施</w:t>
            </w:r>
            <w:r>
              <w:rPr>
                <w:rFonts w:hint="eastAsia"/>
                <w:bCs/>
                <w:color w:val="000000" w:themeColor="text1"/>
                <w:sz w:val="24"/>
                <w:highlight w:val="none"/>
                <w14:textFill>
                  <w14:solidFill>
                    <w14:schemeClr w14:val="tx1"/>
                  </w14:solidFill>
                </w14:textFill>
              </w:rPr>
              <w:t>。根据企业自行监测报告（编号：</w:t>
            </w:r>
            <w:r>
              <w:rPr>
                <w:bCs/>
                <w:color w:val="000000" w:themeColor="text1"/>
                <w:sz w:val="24"/>
                <w:highlight w:val="none"/>
                <w14:textFill>
                  <w14:solidFill>
                    <w14:schemeClr w14:val="tx1"/>
                  </w14:solidFill>
                </w14:textFill>
              </w:rPr>
              <w:t>HFHJ(202</w:t>
            </w:r>
            <w:r>
              <w:rPr>
                <w:rFonts w:hint="eastAsia"/>
                <w:bCs/>
                <w:color w:val="000000" w:themeColor="text1"/>
                <w:sz w:val="24"/>
                <w:highlight w:val="none"/>
                <w14:textFill>
                  <w14:solidFill>
                    <w14:schemeClr w14:val="tx1"/>
                  </w14:solidFill>
                </w14:textFill>
              </w:rPr>
              <w:t>4</w:t>
            </w:r>
            <w:r>
              <w:rPr>
                <w:bCs/>
                <w:color w:val="000000" w:themeColor="text1"/>
                <w:sz w:val="24"/>
                <w:highlight w:val="none"/>
                <w14:textFill>
                  <w14:solidFill>
                    <w14:schemeClr w14:val="tx1"/>
                  </w14:solidFill>
                </w14:textFill>
              </w:rPr>
              <w:t>)Z029-</w:t>
            </w:r>
            <w:r>
              <w:rPr>
                <w:rFonts w:hint="eastAsia"/>
                <w:bCs/>
                <w:color w:val="000000" w:themeColor="text1"/>
                <w:sz w:val="24"/>
                <w:highlight w:val="none"/>
                <w14:textFill>
                  <w14:solidFill>
                    <w14:schemeClr w14:val="tx1"/>
                  </w14:solidFill>
                </w14:textFill>
              </w:rPr>
              <w:t>10</w:t>
            </w:r>
            <w:r>
              <w:rPr>
                <w:bCs/>
                <w:color w:val="000000" w:themeColor="text1"/>
                <w:sz w:val="24"/>
                <w:highlight w:val="none"/>
                <w14:textFill>
                  <w14:solidFill>
                    <w14:schemeClr w14:val="tx1"/>
                  </w14:solidFill>
                </w14:textFill>
              </w:rPr>
              <w:t>-0</w:t>
            </w:r>
            <w:r>
              <w:rPr>
                <w:rFonts w:hint="eastAsia"/>
                <w:bCs/>
                <w:color w:val="000000" w:themeColor="text1"/>
                <w:sz w:val="24"/>
                <w:highlight w:val="none"/>
                <w14:textFill>
                  <w14:solidFill>
                    <w14:schemeClr w14:val="tx1"/>
                  </w14:solidFill>
                </w14:textFill>
              </w:rPr>
              <w:t>2），</w:t>
            </w:r>
            <w:r>
              <w:rPr>
                <w:bCs/>
                <w:color w:val="000000" w:themeColor="text1"/>
                <w:sz w:val="24"/>
                <w:highlight w:val="none"/>
                <w14:textFill>
                  <w14:solidFill>
                    <w14:schemeClr w14:val="tx1"/>
                  </w14:solidFill>
                </w14:textFill>
              </w:rPr>
              <w:t>厂界昼间</w:t>
            </w:r>
            <w:r>
              <w:rPr>
                <w:rFonts w:hint="eastAsia"/>
                <w:bCs/>
                <w:color w:val="000000" w:themeColor="text1"/>
                <w:sz w:val="24"/>
                <w:highlight w:val="none"/>
                <w14:textFill>
                  <w14:solidFill>
                    <w14:schemeClr w14:val="tx1"/>
                  </w14:solidFill>
                </w14:textFill>
              </w:rPr>
              <w:t>环境</w:t>
            </w:r>
            <w:r>
              <w:rPr>
                <w:bCs/>
                <w:color w:val="000000" w:themeColor="text1"/>
                <w:sz w:val="24"/>
                <w:highlight w:val="none"/>
                <w14:textFill>
                  <w14:solidFill>
                    <w14:schemeClr w14:val="tx1"/>
                  </w14:solidFill>
                </w14:textFill>
              </w:rPr>
              <w:t>噪声监测结果为55</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5</w:t>
            </w:r>
            <w:r>
              <w:rPr>
                <w:rFonts w:hint="eastAsia"/>
                <w:bCs/>
                <w:color w:val="000000" w:themeColor="text1"/>
                <w:sz w:val="24"/>
                <w:highlight w:val="none"/>
                <w14:textFill>
                  <w14:solidFill>
                    <w14:schemeClr w14:val="tx1"/>
                  </w14:solidFill>
                </w14:textFill>
              </w:rPr>
              <w:t>9</w:t>
            </w:r>
            <w:r>
              <w:rPr>
                <w:bCs/>
                <w:color w:val="000000" w:themeColor="text1"/>
                <w:sz w:val="24"/>
                <w:highlight w:val="none"/>
                <w14:textFill>
                  <w14:solidFill>
                    <w14:schemeClr w14:val="tx1"/>
                  </w14:solidFill>
                </w14:textFill>
              </w:rPr>
              <w:t>dB(A)，夜间</w:t>
            </w:r>
            <w:r>
              <w:rPr>
                <w:rFonts w:hint="eastAsia"/>
                <w:bCs/>
                <w:color w:val="000000" w:themeColor="text1"/>
                <w:sz w:val="24"/>
                <w:highlight w:val="none"/>
                <w14:textFill>
                  <w14:solidFill>
                    <w14:schemeClr w14:val="tx1"/>
                  </w14:solidFill>
                </w14:textFill>
              </w:rPr>
              <w:t>环境</w:t>
            </w:r>
            <w:r>
              <w:rPr>
                <w:bCs/>
                <w:color w:val="000000" w:themeColor="text1"/>
                <w:sz w:val="24"/>
                <w:highlight w:val="none"/>
                <w14:textFill>
                  <w14:solidFill>
                    <w14:schemeClr w14:val="tx1"/>
                  </w14:solidFill>
                </w14:textFill>
              </w:rPr>
              <w:t>噪声监测结果为4</w:t>
            </w:r>
            <w:r>
              <w:rPr>
                <w:rFonts w:hint="eastAsia"/>
                <w:bCs/>
                <w:color w:val="000000" w:themeColor="text1"/>
                <w:sz w:val="24"/>
                <w:highlight w:val="none"/>
                <w14:textFill>
                  <w14:solidFill>
                    <w14:schemeClr w14:val="tx1"/>
                  </w14:solidFill>
                </w14:textFill>
              </w:rPr>
              <w:t>6~</w:t>
            </w:r>
            <w:r>
              <w:rPr>
                <w:bCs/>
                <w:color w:val="000000" w:themeColor="text1"/>
                <w:sz w:val="24"/>
                <w:highlight w:val="none"/>
                <w14:textFill>
                  <w14:solidFill>
                    <w14:schemeClr w14:val="tx1"/>
                  </w14:solidFill>
                </w14:textFill>
              </w:rPr>
              <w:t>4</w:t>
            </w:r>
            <w:r>
              <w:rPr>
                <w:rFonts w:hint="eastAsia"/>
                <w:bCs/>
                <w:color w:val="000000" w:themeColor="text1"/>
                <w:sz w:val="24"/>
                <w:highlight w:val="none"/>
                <w14:textFill>
                  <w14:solidFill>
                    <w14:schemeClr w14:val="tx1"/>
                  </w14:solidFill>
                </w14:textFill>
              </w:rPr>
              <w:t>8</w:t>
            </w:r>
            <w:r>
              <w:rPr>
                <w:bCs/>
                <w:color w:val="000000" w:themeColor="text1"/>
                <w:sz w:val="24"/>
                <w:highlight w:val="none"/>
                <w14:textFill>
                  <w14:solidFill>
                    <w14:schemeClr w14:val="tx1"/>
                  </w14:solidFill>
                </w14:textFill>
              </w:rPr>
              <w:t>dB(A)，检测结果均满足《工业企业厂界环境噪声排放标准》（GB12348-2008）中2类标准要求，即昼间≤60dB(A)、夜间≤50dB(A)。</w:t>
            </w:r>
          </w:p>
          <w:p w14:paraId="6C72E79E">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4、固体废物</w:t>
            </w:r>
          </w:p>
          <w:p w14:paraId="314C7DB3">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现有工程产生的固体废物主要为：</w:t>
            </w:r>
            <w:r>
              <w:rPr>
                <w:rFonts w:hint="eastAsia"/>
                <w:bCs/>
                <w:color w:val="000000" w:themeColor="text1"/>
                <w:sz w:val="24"/>
                <w:highlight w:val="none"/>
                <w14:textFill>
                  <w14:solidFill>
                    <w14:schemeClr w14:val="tx1"/>
                  </w14:solidFill>
                </w14:textFill>
              </w:rPr>
              <w:t>成型产生的废砖坯，检验产生的废砖，除尘器产生的除尘灰、废滤袋，</w:t>
            </w:r>
            <w:r>
              <w:rPr>
                <w:bCs/>
                <w:color w:val="000000" w:themeColor="text1"/>
                <w:sz w:val="24"/>
                <w:highlight w:val="none"/>
                <w14:textFill>
                  <w14:solidFill>
                    <w14:schemeClr w14:val="tx1"/>
                  </w14:solidFill>
                </w14:textFill>
              </w:rPr>
              <w:t>脱硫塔产生的脱硫石膏、</w:t>
            </w:r>
            <w:r>
              <w:rPr>
                <w:rFonts w:hint="eastAsia"/>
                <w:bCs/>
                <w:color w:val="000000" w:themeColor="text1"/>
                <w:sz w:val="24"/>
                <w:highlight w:val="none"/>
                <w14:textFill>
                  <w14:solidFill>
                    <w14:schemeClr w14:val="tx1"/>
                  </w14:solidFill>
                </w14:textFill>
              </w:rPr>
              <w:t>除尘灰浆，脱硫脱硝工序产生的废包装袋，洗车平台污泥，设备维修保养产生的废润滑油、废油桶，铲车产生的废电池</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直接至厂区外相应单位进行更换，不在厂区存储</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恶臭气体除臭设施</w:t>
            </w:r>
            <w:r>
              <w:rPr>
                <w:rFonts w:hint="eastAsia"/>
                <w:bCs/>
                <w:color w:val="000000" w:themeColor="text1"/>
                <w:sz w:val="24"/>
                <w:highlight w:val="none"/>
                <w14:textFill>
                  <w14:solidFill>
                    <w14:schemeClr w14:val="tx1"/>
                  </w14:solidFill>
                </w14:textFill>
              </w:rPr>
              <w:t>产生的废活性炭，职工生活产生的生活垃圾。</w:t>
            </w:r>
          </w:p>
          <w:p w14:paraId="5CA62B91">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一般固废：</w:t>
            </w:r>
            <w:r>
              <w:rPr>
                <w:bCs/>
                <w:color w:val="000000" w:themeColor="text1"/>
                <w:sz w:val="24"/>
                <w:highlight w:val="none"/>
                <w14:textFill>
                  <w14:solidFill>
                    <w14:schemeClr w14:val="tx1"/>
                  </w14:solidFill>
                </w14:textFill>
              </w:rPr>
              <w:t>检验工序产生的废砖</w:t>
            </w:r>
            <w:r>
              <w:rPr>
                <w:rFonts w:hint="eastAsia"/>
                <w:bCs/>
                <w:color w:val="000000" w:themeColor="text1"/>
                <w:sz w:val="24"/>
                <w:highlight w:val="none"/>
                <w14:textFill>
                  <w14:solidFill>
                    <w14:schemeClr w14:val="tx1"/>
                  </w14:solidFill>
                </w14:textFill>
              </w:rPr>
              <w:t>、袋式除尘器产生的</w:t>
            </w:r>
            <w:r>
              <w:rPr>
                <w:bCs/>
                <w:color w:val="000000" w:themeColor="text1"/>
                <w:sz w:val="24"/>
                <w:highlight w:val="none"/>
                <w14:textFill>
                  <w14:solidFill>
                    <w14:schemeClr w14:val="tx1"/>
                  </w14:solidFill>
                </w14:textFill>
              </w:rPr>
              <w:t>废滤袋</w:t>
            </w:r>
            <w:r>
              <w:rPr>
                <w:rFonts w:hint="eastAsia"/>
                <w:bCs/>
                <w:color w:val="000000" w:themeColor="text1"/>
                <w:sz w:val="24"/>
                <w:highlight w:val="none"/>
                <w14:textFill>
                  <w14:solidFill>
                    <w14:schemeClr w14:val="tx1"/>
                  </w14:solidFill>
                </w14:textFill>
              </w:rPr>
              <w:t>、脱硫脱硝工序产生的废包装袋集中收集暂存车间一般固废区，定期外售</w:t>
            </w:r>
            <w:r>
              <w:rPr>
                <w:bCs/>
                <w:color w:val="000000" w:themeColor="text1"/>
                <w:sz w:val="24"/>
                <w:highlight w:val="none"/>
                <w14:textFill>
                  <w14:solidFill>
                    <w14:schemeClr w14:val="tx1"/>
                  </w14:solidFill>
                </w14:textFill>
              </w:rPr>
              <w:t>；切坯工序产生的废</w:t>
            </w:r>
            <w:r>
              <w:rPr>
                <w:rFonts w:hint="eastAsia"/>
                <w:bCs/>
                <w:color w:val="000000" w:themeColor="text1"/>
                <w:sz w:val="24"/>
                <w:highlight w:val="none"/>
                <w14:textFill>
                  <w14:solidFill>
                    <w14:schemeClr w14:val="tx1"/>
                  </w14:solidFill>
                </w14:textFill>
              </w:rPr>
              <w:t>砖坯、</w:t>
            </w:r>
            <w:r>
              <w:rPr>
                <w:bCs/>
                <w:color w:val="000000" w:themeColor="text1"/>
                <w:sz w:val="24"/>
                <w:highlight w:val="none"/>
                <w14:textFill>
                  <w14:solidFill>
                    <w14:schemeClr w14:val="tx1"/>
                  </w14:solidFill>
                </w14:textFill>
              </w:rPr>
              <w:t>布袋除尘器</w:t>
            </w:r>
            <w:r>
              <w:rPr>
                <w:rFonts w:hint="eastAsia"/>
                <w:bCs/>
                <w:color w:val="000000" w:themeColor="text1"/>
                <w:sz w:val="24"/>
                <w:highlight w:val="none"/>
                <w14:textFill>
                  <w14:solidFill>
                    <w14:schemeClr w14:val="tx1"/>
                  </w14:solidFill>
                </w14:textFill>
              </w:rPr>
              <w:t>收集</w:t>
            </w:r>
            <w:r>
              <w:rPr>
                <w:bCs/>
                <w:color w:val="000000" w:themeColor="text1"/>
                <w:sz w:val="24"/>
                <w:highlight w:val="none"/>
                <w14:textFill>
                  <w14:solidFill>
                    <w14:schemeClr w14:val="tx1"/>
                  </w14:solidFill>
                </w14:textFill>
              </w:rPr>
              <w:t>的除尘灰、烟气脱硫产生的脱硫石膏、湿式电除尘产生的除尘灰浆</w:t>
            </w:r>
            <w:r>
              <w:rPr>
                <w:rFonts w:hint="eastAsia"/>
                <w:bCs/>
                <w:color w:val="000000" w:themeColor="text1"/>
                <w:sz w:val="24"/>
                <w:highlight w:val="none"/>
                <w14:textFill>
                  <w14:solidFill>
                    <w14:schemeClr w14:val="tx1"/>
                  </w14:solidFill>
                </w14:textFill>
              </w:rPr>
              <w:t>收集后送入</w:t>
            </w:r>
            <w:r>
              <w:rPr>
                <w:bCs/>
                <w:color w:val="000000" w:themeColor="text1"/>
                <w:sz w:val="24"/>
                <w:highlight w:val="none"/>
                <w14:textFill>
                  <w14:solidFill>
                    <w14:schemeClr w14:val="tx1"/>
                  </w14:solidFill>
                </w14:textFill>
              </w:rPr>
              <w:t>搅拌工序，回用于生产；</w:t>
            </w:r>
            <w:r>
              <w:rPr>
                <w:rFonts w:hint="eastAsia"/>
                <w:bCs/>
                <w:color w:val="000000" w:themeColor="text1"/>
                <w:sz w:val="24"/>
                <w:highlight w:val="none"/>
                <w14:textFill>
                  <w14:solidFill>
                    <w14:schemeClr w14:val="tx1"/>
                  </w14:solidFill>
                </w14:textFill>
              </w:rPr>
              <w:t>洗车平台产生的污泥定期清理，回用于生产。厂区生产车间设有一般固废区。</w:t>
            </w:r>
          </w:p>
          <w:p w14:paraId="5F852518">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危险废物：</w:t>
            </w:r>
            <w:r>
              <w:rPr>
                <w:bCs/>
                <w:color w:val="000000" w:themeColor="text1"/>
                <w:sz w:val="24"/>
                <w:highlight w:val="none"/>
                <w14:textFill>
                  <w14:solidFill>
                    <w14:schemeClr w14:val="tx1"/>
                  </w14:solidFill>
                </w14:textFill>
              </w:rPr>
              <w:t>废润滑油</w:t>
            </w:r>
            <w:r>
              <w:rPr>
                <w:rFonts w:hint="eastAsia"/>
                <w:bCs/>
                <w:color w:val="000000" w:themeColor="text1"/>
                <w:sz w:val="24"/>
                <w:highlight w:val="none"/>
                <w14:textFill>
                  <w14:solidFill>
                    <w14:schemeClr w14:val="tx1"/>
                  </w14:solidFill>
                </w14:textFill>
              </w:rPr>
              <w:t>、废活性炭采用专用容器贮存，</w:t>
            </w:r>
            <w:r>
              <w:rPr>
                <w:bCs/>
                <w:color w:val="000000" w:themeColor="text1"/>
                <w:sz w:val="24"/>
                <w:highlight w:val="none"/>
                <w14:textFill>
                  <w14:solidFill>
                    <w14:schemeClr w14:val="tx1"/>
                  </w14:solidFill>
                </w14:textFill>
              </w:rPr>
              <w:t>废油桶</w:t>
            </w:r>
            <w:r>
              <w:rPr>
                <w:rFonts w:hint="eastAsia"/>
                <w:bCs/>
                <w:color w:val="000000" w:themeColor="text1"/>
                <w:sz w:val="24"/>
                <w:highlight w:val="none"/>
                <w14:textFill>
                  <w14:solidFill>
                    <w14:schemeClr w14:val="tx1"/>
                  </w14:solidFill>
                </w14:textFill>
              </w:rPr>
              <w:t>密封，以上危险废物</w:t>
            </w:r>
            <w:r>
              <w:rPr>
                <w:bCs/>
                <w:color w:val="000000" w:themeColor="text1"/>
                <w:sz w:val="24"/>
                <w:highlight w:val="none"/>
                <w14:textFill>
                  <w14:solidFill>
                    <w14:schemeClr w14:val="tx1"/>
                  </w14:solidFill>
                </w14:textFill>
              </w:rPr>
              <w:t>暂存于危废间，定期交由有资质单位处理</w:t>
            </w:r>
            <w:r>
              <w:rPr>
                <w:rFonts w:hint="eastAsia"/>
                <w:bCs/>
                <w:color w:val="000000" w:themeColor="text1"/>
                <w:sz w:val="24"/>
                <w:highlight w:val="none"/>
                <w14:textFill>
                  <w14:solidFill>
                    <w14:schemeClr w14:val="tx1"/>
                  </w14:solidFill>
                </w14:textFill>
              </w:rPr>
              <w:t>。厂区生产车间设有危废间，地面已防渗处理。</w:t>
            </w:r>
          </w:p>
          <w:p w14:paraId="415BC5CD">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职工生活垃圾集中收集后定期由环卫部门统一处理。</w:t>
            </w:r>
          </w:p>
          <w:p w14:paraId="383B8613">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现有工程固废全部妥善处置。</w:t>
            </w:r>
          </w:p>
          <w:p w14:paraId="6ECBD4BE">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5、厂区现状防渗及风险防范措施</w:t>
            </w:r>
          </w:p>
          <w:p w14:paraId="4F391E55">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厂区已按要求做好分区防渗：</w:t>
            </w:r>
          </w:p>
          <w:p w14:paraId="67A546E0">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一般防渗区：</w:t>
            </w:r>
            <w:r>
              <w:rPr>
                <w:bCs/>
                <w:color w:val="000000" w:themeColor="text1"/>
                <w:sz w:val="24"/>
                <w:highlight w:val="none"/>
                <w14:textFill>
                  <w14:solidFill>
                    <w14:schemeClr w14:val="tx1"/>
                  </w14:solidFill>
                </w14:textFill>
              </w:rPr>
              <w:t>生产车间</w:t>
            </w:r>
            <w:r>
              <w:rPr>
                <w:rFonts w:hint="eastAsia"/>
                <w:bCs/>
                <w:color w:val="000000" w:themeColor="text1"/>
                <w:sz w:val="24"/>
                <w:highlight w:val="none"/>
                <w14:textFill>
                  <w14:solidFill>
                    <w14:schemeClr w14:val="tx1"/>
                  </w14:solidFill>
                </w14:textFill>
              </w:rPr>
              <w:t>地面</w:t>
            </w:r>
            <w:r>
              <w:rPr>
                <w:bCs/>
                <w:color w:val="000000" w:themeColor="text1"/>
                <w:sz w:val="24"/>
                <w:highlight w:val="none"/>
                <w14:textFill>
                  <w14:solidFill>
                    <w14:schemeClr w14:val="tx1"/>
                  </w14:solidFill>
                </w14:textFill>
              </w:rPr>
              <w:t>采用</w:t>
            </w:r>
            <w:r>
              <w:rPr>
                <w:rFonts w:hint="eastAsia"/>
                <w:bCs/>
                <w:color w:val="000000" w:themeColor="text1"/>
                <w:sz w:val="24"/>
                <w:highlight w:val="none"/>
                <w14:textFill>
                  <w14:solidFill>
                    <w14:schemeClr w14:val="tx1"/>
                  </w14:solidFill>
                </w14:textFill>
              </w:rPr>
              <w:t>抗渗</w:t>
            </w:r>
            <w:r>
              <w:rPr>
                <w:bCs/>
                <w:color w:val="000000" w:themeColor="text1"/>
                <w:sz w:val="24"/>
                <w:highlight w:val="none"/>
                <w14:textFill>
                  <w14:solidFill>
                    <w14:schemeClr w14:val="tx1"/>
                  </w14:solidFill>
                </w14:textFill>
              </w:rPr>
              <w:t>混凝土</w:t>
            </w:r>
            <w:r>
              <w:rPr>
                <w:rFonts w:hint="eastAsia"/>
                <w:bCs/>
                <w:color w:val="000000" w:themeColor="text1"/>
                <w:sz w:val="24"/>
                <w:highlight w:val="none"/>
                <w14:textFill>
                  <w14:solidFill>
                    <w14:schemeClr w14:val="tx1"/>
                  </w14:solidFill>
                </w14:textFill>
              </w:rPr>
              <w:t>硬化</w:t>
            </w:r>
            <w:r>
              <w:rPr>
                <w:bCs/>
                <w:color w:val="000000" w:themeColor="text1"/>
                <w:sz w:val="24"/>
                <w:highlight w:val="none"/>
                <w14:textFill>
                  <w14:solidFill>
                    <w14:schemeClr w14:val="tx1"/>
                  </w14:solidFill>
                </w14:textFill>
              </w:rPr>
              <w:t>，结构厚度不小于250mm，混凝土的抗渗等级不低于P8，渗透系数≤10</w:t>
            </w:r>
            <w:r>
              <w:rPr>
                <w:bCs/>
                <w:color w:val="000000" w:themeColor="text1"/>
                <w:sz w:val="24"/>
                <w:highlight w:val="none"/>
                <w:vertAlign w:val="superscript"/>
                <w14:textFill>
                  <w14:solidFill>
                    <w14:schemeClr w14:val="tx1"/>
                  </w14:solidFill>
                </w14:textFill>
              </w:rPr>
              <w:t>-7</w:t>
            </w:r>
            <w:r>
              <w:rPr>
                <w:bCs/>
                <w:color w:val="000000" w:themeColor="text1"/>
                <w:sz w:val="24"/>
                <w:highlight w:val="none"/>
                <w14:textFill>
                  <w14:solidFill>
                    <w14:schemeClr w14:val="tx1"/>
                  </w14:solidFill>
                </w14:textFill>
              </w:rPr>
              <w:t>cm/s</w:t>
            </w:r>
            <w:r>
              <w:rPr>
                <w:rFonts w:hint="eastAsia"/>
                <w:bCs/>
                <w:color w:val="000000" w:themeColor="text1"/>
                <w:sz w:val="24"/>
                <w:highlight w:val="none"/>
                <w14:textFill>
                  <w14:solidFill>
                    <w14:schemeClr w14:val="tx1"/>
                  </w14:solidFill>
                </w14:textFill>
              </w:rPr>
              <w:t>。洗车平台池体采用抗渗混凝土结构。</w:t>
            </w:r>
          </w:p>
          <w:p w14:paraId="35ACC76A">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重点防渗区：危废间</w:t>
            </w:r>
            <w:r>
              <w:rPr>
                <w:bCs/>
                <w:color w:val="000000" w:themeColor="text1"/>
                <w:sz w:val="24"/>
                <w:highlight w:val="none"/>
                <w14:textFill>
                  <w14:solidFill>
                    <w14:schemeClr w14:val="tx1"/>
                  </w14:solidFill>
                </w14:textFill>
              </w:rPr>
              <w:t>底部铺设30</w:t>
            </w:r>
            <w:r>
              <w:rPr>
                <w:rFonts w:hint="eastAsia"/>
                <w:bCs/>
                <w:color w:val="000000" w:themeColor="text1"/>
                <w:sz w:val="24"/>
                <w:highlight w:val="none"/>
                <w14:textFill>
                  <w14:solidFill>
                    <w14:schemeClr w14:val="tx1"/>
                  </w14:solidFill>
                </w14:textFill>
              </w:rPr>
              <w:t>0</w:t>
            </w:r>
            <w:r>
              <w:rPr>
                <w:bCs/>
                <w:color w:val="000000" w:themeColor="text1"/>
                <w:sz w:val="24"/>
                <w:highlight w:val="none"/>
                <w14:textFill>
                  <w14:solidFill>
                    <w14:schemeClr w14:val="tx1"/>
                  </w14:solidFill>
                </w14:textFill>
              </w:rPr>
              <w:t>mm粘土层（保护层，同时作为辅助防渗层）压实平整，粘土层上铺设HDPE-GCL复合防渗系统（2mm</w:t>
            </w:r>
            <w:r>
              <w:rPr>
                <w:rFonts w:hint="eastAsia"/>
                <w:bCs/>
                <w:color w:val="000000" w:themeColor="text1"/>
                <w:sz w:val="24"/>
                <w:highlight w:val="none"/>
                <w14:textFill>
                  <w14:solidFill>
                    <w14:schemeClr w14:val="tx1"/>
                  </w14:solidFill>
                </w14:textFill>
              </w:rPr>
              <w:t>厚</w:t>
            </w:r>
            <w:r>
              <w:rPr>
                <w:bCs/>
                <w:color w:val="000000" w:themeColor="text1"/>
                <w:sz w:val="24"/>
                <w:highlight w:val="none"/>
                <w14:textFill>
                  <w14:solidFill>
                    <w14:schemeClr w14:val="tx1"/>
                  </w14:solidFill>
                </w14:textFill>
              </w:rPr>
              <w:t>高密度聚乙烯膜、300g/m</w:t>
            </w:r>
            <w:r>
              <w:rPr>
                <w:bCs/>
                <w:color w:val="000000" w:themeColor="text1"/>
                <w:sz w:val="24"/>
                <w:highlight w:val="none"/>
                <w:vertAlign w:val="superscript"/>
                <w14:textFill>
                  <w14:solidFill>
                    <w14:schemeClr w14:val="tx1"/>
                  </w14:solidFill>
                </w14:textFill>
              </w:rPr>
              <w:t>2</w:t>
            </w:r>
            <w:r>
              <w:rPr>
                <w:bCs/>
                <w:color w:val="000000" w:themeColor="text1"/>
                <w:sz w:val="24"/>
                <w:highlight w:val="none"/>
                <w14:textFill>
                  <w14:solidFill>
                    <w14:schemeClr w14:val="tx1"/>
                  </w14:solidFill>
                </w14:textFill>
              </w:rPr>
              <w:t>土工织物膨润土垫）、上部外加耐腐蚀混凝土15cm（保护层）防渗</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渗透系数≤10</w:t>
            </w:r>
            <w:r>
              <w:rPr>
                <w:bCs/>
                <w:color w:val="000000" w:themeColor="text1"/>
                <w:sz w:val="24"/>
                <w:highlight w:val="none"/>
                <w:vertAlign w:val="superscript"/>
                <w14:textFill>
                  <w14:solidFill>
                    <w14:schemeClr w14:val="tx1"/>
                  </w14:solidFill>
                </w14:textFill>
              </w:rPr>
              <w:t>-10</w:t>
            </w:r>
            <w:r>
              <w:rPr>
                <w:bCs/>
                <w:color w:val="000000" w:themeColor="text1"/>
                <w:sz w:val="24"/>
                <w:highlight w:val="none"/>
                <w14:textFill>
                  <w14:solidFill>
                    <w14:schemeClr w14:val="tx1"/>
                  </w14:solidFill>
                </w14:textFill>
              </w:rPr>
              <w:t>cm/s</w:t>
            </w:r>
            <w:r>
              <w:rPr>
                <w:rFonts w:hint="eastAsia"/>
                <w:bCs/>
                <w:color w:val="000000" w:themeColor="text1"/>
                <w:sz w:val="24"/>
                <w:highlight w:val="none"/>
                <w14:textFill>
                  <w14:solidFill>
                    <w14:schemeClr w14:val="tx1"/>
                  </w14:solidFill>
                </w14:textFill>
              </w:rPr>
              <w:t>，满足</w:t>
            </w:r>
            <w:r>
              <w:rPr>
                <w:bCs/>
                <w:color w:val="000000" w:themeColor="text1"/>
                <w:sz w:val="24"/>
                <w:highlight w:val="none"/>
                <w14:textFill>
                  <w14:solidFill>
                    <w14:schemeClr w14:val="tx1"/>
                  </w14:solidFill>
                </w14:textFill>
              </w:rPr>
              <w:t>《危险废物贮存污染控制标准》（GB18597-2023）</w:t>
            </w:r>
            <w:r>
              <w:rPr>
                <w:rFonts w:hint="eastAsia"/>
                <w:bCs/>
                <w:color w:val="000000" w:themeColor="text1"/>
                <w:sz w:val="24"/>
                <w:highlight w:val="none"/>
                <w14:textFill>
                  <w14:solidFill>
                    <w14:schemeClr w14:val="tx1"/>
                  </w14:solidFill>
                </w14:textFill>
              </w:rPr>
              <w:t>要求。</w:t>
            </w:r>
            <w:r>
              <w:rPr>
                <w:rFonts w:hint="eastAsia"/>
                <w:bCs/>
                <w:color w:val="000000" w:themeColor="text1"/>
                <w:sz w:val="24"/>
                <w:highlight w:val="none"/>
                <w:lang w:val="en-US" w:eastAsia="zh-CN"/>
                <w14:textFill>
                  <w14:solidFill>
                    <w14:schemeClr w14:val="tx1"/>
                  </w14:solidFill>
                </w14:textFill>
              </w:rPr>
              <w:t>脱硫水池、</w:t>
            </w:r>
            <w:r>
              <w:rPr>
                <w:rFonts w:hint="eastAsia"/>
                <w:bCs/>
                <w:color w:val="000000" w:themeColor="text1"/>
                <w:sz w:val="24"/>
                <w:highlight w:val="none"/>
                <w14:textFill>
                  <w14:solidFill>
                    <w14:schemeClr w14:val="tx1"/>
                  </w14:solidFill>
                </w14:textFill>
              </w:rPr>
              <w:t>污泥库</w:t>
            </w:r>
            <w:r>
              <w:rPr>
                <w:bCs/>
                <w:color w:val="000000" w:themeColor="text1"/>
                <w:sz w:val="24"/>
                <w:highlight w:val="none"/>
                <w14:textFill>
                  <w14:solidFill>
                    <w14:schemeClr w14:val="tx1"/>
                  </w14:solidFill>
                </w14:textFill>
              </w:rPr>
              <w:t>底部铺设300mm粘土层（保护层，同时作为辅助防渗层）压实平整，粘土层上铺设2mm厚高密度聚乙烯膜，上部外加耐腐蚀混凝土15cm（保护层）防渗，表面涂2-4mm厚防腐、抗渗环氧树脂，渗透系数≤10</w:t>
            </w:r>
            <w:r>
              <w:rPr>
                <w:bCs/>
                <w:color w:val="000000" w:themeColor="text1"/>
                <w:sz w:val="24"/>
                <w:highlight w:val="none"/>
                <w:vertAlign w:val="superscript"/>
                <w14:textFill>
                  <w14:solidFill>
                    <w14:schemeClr w14:val="tx1"/>
                  </w14:solidFill>
                </w14:textFill>
              </w:rPr>
              <w:t>-</w:t>
            </w:r>
            <w:r>
              <w:rPr>
                <w:rFonts w:hint="eastAsia"/>
                <w:bCs/>
                <w:color w:val="000000" w:themeColor="text1"/>
                <w:sz w:val="24"/>
                <w:highlight w:val="none"/>
                <w:vertAlign w:val="superscript"/>
                <w14:textFill>
                  <w14:solidFill>
                    <w14:schemeClr w14:val="tx1"/>
                  </w14:solidFill>
                </w14:textFill>
              </w:rPr>
              <w:t>7</w:t>
            </w:r>
            <w:r>
              <w:rPr>
                <w:bCs/>
                <w:color w:val="000000" w:themeColor="text1"/>
                <w:sz w:val="24"/>
                <w:highlight w:val="none"/>
                <w14:textFill>
                  <w14:solidFill>
                    <w14:schemeClr w14:val="tx1"/>
                  </w14:solidFill>
                </w14:textFill>
              </w:rPr>
              <w:t>cm/s，同时设置防雨、防渗漏、防流失等措施</w:t>
            </w:r>
            <w:r>
              <w:rPr>
                <w:rFonts w:hint="eastAsia"/>
                <w:bCs/>
                <w:color w:val="000000" w:themeColor="text1"/>
                <w:sz w:val="24"/>
                <w:highlight w:val="none"/>
                <w14:textFill>
                  <w14:solidFill>
                    <w14:schemeClr w14:val="tx1"/>
                  </w14:solidFill>
                </w14:textFill>
              </w:rPr>
              <w:t>。</w:t>
            </w:r>
          </w:p>
          <w:p w14:paraId="1853FD41">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厂区内道路全部硬化，其他区域绿化，实现厂区非硬即绿。</w:t>
            </w:r>
          </w:p>
          <w:p w14:paraId="2219CD22">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环境风险防范措施：</w:t>
            </w:r>
          </w:p>
          <w:p w14:paraId="68EA467E">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①</w:t>
            </w:r>
            <w:r>
              <w:rPr>
                <w:bCs/>
                <w:color w:val="000000" w:themeColor="text1"/>
                <w:sz w:val="24"/>
                <w:highlight w:val="none"/>
                <w14:textFill>
                  <w14:solidFill>
                    <w14:schemeClr w14:val="tx1"/>
                  </w14:solidFill>
                </w14:textFill>
              </w:rPr>
              <w:t>建立定时巡查制度，对天然气各泄漏点：法兰、阀门、泵、仪表、管道、设备等相连接之处，定时检查记录，建立台帐；对有泄漏现象和迹象者及时采取处理措施。</w:t>
            </w:r>
          </w:p>
          <w:p w14:paraId="5BE17E22">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②</w:t>
            </w:r>
            <w:r>
              <w:rPr>
                <w:bCs/>
                <w:color w:val="000000" w:themeColor="text1"/>
                <w:sz w:val="24"/>
                <w:highlight w:val="none"/>
                <w14:textFill>
                  <w14:solidFill>
                    <w14:schemeClr w14:val="tx1"/>
                  </w14:solidFill>
                </w14:textFill>
              </w:rPr>
              <w:t>天然气泄漏后立即切断气源，停止供气关闭阀门。</w:t>
            </w:r>
          </w:p>
          <w:p w14:paraId="765D0CEE">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③</w:t>
            </w:r>
            <w:r>
              <w:rPr>
                <w:bCs/>
                <w:color w:val="000000" w:themeColor="text1"/>
                <w:sz w:val="24"/>
                <w:highlight w:val="none"/>
                <w14:textFill>
                  <w14:solidFill>
                    <w14:schemeClr w14:val="tx1"/>
                  </w14:solidFill>
                </w14:textFill>
              </w:rPr>
              <w:t>配备相应品种和数量的消防器材及泄漏应急处理设备。制定风险应急措施，一旦发生泄漏，及时采取措施。</w:t>
            </w:r>
          </w:p>
          <w:p w14:paraId="65E97629">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④</w:t>
            </w:r>
            <w:r>
              <w:rPr>
                <w:bCs/>
                <w:color w:val="000000" w:themeColor="text1"/>
                <w:sz w:val="24"/>
                <w:highlight w:val="none"/>
                <w14:textFill>
                  <w14:solidFill>
                    <w14:schemeClr w14:val="tx1"/>
                  </w14:solidFill>
                </w14:textFill>
              </w:rPr>
              <w:t>在废润滑油的转移、运输过程中，重点通过一些管理措施来预防转移和运输过程中发生的泄漏风险，如运输单位或个人应按规定申办准运手续，驾驶员、押运员应经专门培训，使用达到规定的技术标准运输车辆，严禁超载和不按规定时段、路线运行，禁止违章驾驶等。</w:t>
            </w:r>
          </w:p>
          <w:p w14:paraId="182ED945">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⑤</w:t>
            </w:r>
            <w:r>
              <w:rPr>
                <w:bCs/>
                <w:color w:val="000000" w:themeColor="text1"/>
                <w:sz w:val="24"/>
                <w:highlight w:val="none"/>
                <w14:textFill>
                  <w14:solidFill>
                    <w14:schemeClr w14:val="tx1"/>
                  </w14:solidFill>
                </w14:textFill>
              </w:rPr>
              <w:t>制定危险废物暂存间的日常巡查制度，定期指派专人负责巡查。</w:t>
            </w:r>
          </w:p>
          <w:p w14:paraId="2E9D4B20">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⑥</w:t>
            </w:r>
            <w:r>
              <w:rPr>
                <w:bCs/>
                <w:color w:val="000000" w:themeColor="text1"/>
                <w:sz w:val="24"/>
                <w:highlight w:val="none"/>
                <w14:textFill>
                  <w14:solidFill>
                    <w14:schemeClr w14:val="tx1"/>
                  </w14:solidFill>
                </w14:textFill>
              </w:rPr>
              <w:t>加强管理，制定相应的规章制度。运营期杜绝矿物油的跑、冒、滴、漏现象的发生，同时要防火、防爆、防雷击，注意安全，杜绝一切不安全因素造成的对周围环境的影响。</w:t>
            </w:r>
          </w:p>
          <w:p w14:paraId="76CAAB27">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建设单位已按要求严格落实各项环境风险防范措施。</w:t>
            </w:r>
          </w:p>
          <w:p w14:paraId="2DBF54CB">
            <w:pPr>
              <w:adjustRightInd w:val="0"/>
              <w:snapToGrid w:val="0"/>
              <w:spacing w:line="480" w:lineRule="exact"/>
              <w:rPr>
                <w:rFonts w:hAnsi="宋体"/>
                <w:b/>
                <w:bCs/>
                <w:color w:val="000000" w:themeColor="text1"/>
                <w:sz w:val="24"/>
                <w:highlight w:val="none"/>
                <w14:textFill>
                  <w14:solidFill>
                    <w14:schemeClr w14:val="tx1"/>
                  </w14:solidFill>
                </w14:textFill>
              </w:rPr>
            </w:pPr>
            <w:r>
              <w:rPr>
                <w:rFonts w:hint="eastAsia" w:hAnsi="宋体"/>
                <w:b/>
                <w:bCs/>
                <w:color w:val="000000" w:themeColor="text1"/>
                <w:sz w:val="24"/>
                <w:highlight w:val="none"/>
                <w14:textFill>
                  <w14:solidFill>
                    <w14:schemeClr w14:val="tx1"/>
                  </w14:solidFill>
                </w14:textFill>
              </w:rPr>
              <w:t>三、依托设施存在的环境问题</w:t>
            </w:r>
          </w:p>
          <w:p w14:paraId="086A969A">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本次改扩建项目依托厂区现有危废间、原料库（含污泥库）、焙烧烘干车间干燥窑、隧道窑焙烧窑及相关环保设施。</w:t>
            </w:r>
          </w:p>
          <w:p w14:paraId="60545FFE">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1、危废间：现有</w:t>
            </w:r>
            <w:r>
              <w:rPr>
                <w:rFonts w:hint="eastAsia"/>
                <w:bCs/>
                <w:color w:val="000000" w:themeColor="text1"/>
                <w:sz w:val="24"/>
                <w:highlight w:val="none"/>
                <w14:textFill>
                  <w14:solidFill>
                    <w14:schemeClr w14:val="tx1"/>
                  </w14:solidFill>
                </w14:textFill>
              </w:rPr>
              <w:t>危废间位于制坯车间，危废间</w:t>
            </w:r>
            <w:r>
              <w:rPr>
                <w:bCs/>
                <w:color w:val="000000" w:themeColor="text1"/>
                <w:sz w:val="24"/>
                <w:highlight w:val="none"/>
                <w14:textFill>
                  <w14:solidFill>
                    <w14:schemeClr w14:val="tx1"/>
                  </w14:solidFill>
                </w14:textFill>
              </w:rPr>
              <w:t>底部铺设30</w:t>
            </w:r>
            <w:r>
              <w:rPr>
                <w:rFonts w:hint="eastAsia"/>
                <w:bCs/>
                <w:color w:val="000000" w:themeColor="text1"/>
                <w:sz w:val="24"/>
                <w:highlight w:val="none"/>
                <w14:textFill>
                  <w14:solidFill>
                    <w14:schemeClr w14:val="tx1"/>
                  </w14:solidFill>
                </w14:textFill>
              </w:rPr>
              <w:t>0</w:t>
            </w:r>
            <w:r>
              <w:rPr>
                <w:bCs/>
                <w:color w:val="000000" w:themeColor="text1"/>
                <w:sz w:val="24"/>
                <w:highlight w:val="none"/>
                <w14:textFill>
                  <w14:solidFill>
                    <w14:schemeClr w14:val="tx1"/>
                  </w14:solidFill>
                </w14:textFill>
              </w:rPr>
              <w:t>mm粘土层（保护层，同时作为辅助防渗层）压实平整，粘土层上铺设HDPE-GCL复合防渗系统（2mm</w:t>
            </w:r>
            <w:r>
              <w:rPr>
                <w:rFonts w:hint="eastAsia"/>
                <w:bCs/>
                <w:color w:val="000000" w:themeColor="text1"/>
                <w:sz w:val="24"/>
                <w:highlight w:val="none"/>
                <w14:textFill>
                  <w14:solidFill>
                    <w14:schemeClr w14:val="tx1"/>
                  </w14:solidFill>
                </w14:textFill>
              </w:rPr>
              <w:t>厚</w:t>
            </w:r>
            <w:r>
              <w:rPr>
                <w:bCs/>
                <w:color w:val="000000" w:themeColor="text1"/>
                <w:sz w:val="24"/>
                <w:highlight w:val="none"/>
                <w14:textFill>
                  <w14:solidFill>
                    <w14:schemeClr w14:val="tx1"/>
                  </w14:solidFill>
                </w14:textFill>
              </w:rPr>
              <w:t>高密度聚乙烯膜、300g/m</w:t>
            </w:r>
            <w:r>
              <w:rPr>
                <w:bCs/>
                <w:color w:val="000000" w:themeColor="text1"/>
                <w:sz w:val="24"/>
                <w:highlight w:val="none"/>
                <w:vertAlign w:val="superscript"/>
                <w14:textFill>
                  <w14:solidFill>
                    <w14:schemeClr w14:val="tx1"/>
                  </w14:solidFill>
                </w14:textFill>
              </w:rPr>
              <w:t>2</w:t>
            </w:r>
            <w:r>
              <w:rPr>
                <w:bCs/>
                <w:color w:val="000000" w:themeColor="text1"/>
                <w:sz w:val="24"/>
                <w:highlight w:val="none"/>
                <w14:textFill>
                  <w14:solidFill>
                    <w14:schemeClr w14:val="tx1"/>
                  </w14:solidFill>
                </w14:textFill>
              </w:rPr>
              <w:t>土工织物膨润土垫）、上部外加耐腐蚀混凝土15cm（保护层）防渗</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渗透系数≤10</w:t>
            </w:r>
            <w:r>
              <w:rPr>
                <w:bCs/>
                <w:color w:val="000000" w:themeColor="text1"/>
                <w:sz w:val="24"/>
                <w:highlight w:val="none"/>
                <w:vertAlign w:val="superscript"/>
                <w14:textFill>
                  <w14:solidFill>
                    <w14:schemeClr w14:val="tx1"/>
                  </w14:solidFill>
                </w14:textFill>
              </w:rPr>
              <w:t>-10</w:t>
            </w:r>
            <w:r>
              <w:rPr>
                <w:bCs/>
                <w:color w:val="000000" w:themeColor="text1"/>
                <w:sz w:val="24"/>
                <w:highlight w:val="none"/>
                <w14:textFill>
                  <w14:solidFill>
                    <w14:schemeClr w14:val="tx1"/>
                  </w14:solidFill>
                </w14:textFill>
              </w:rPr>
              <w:t>cm/s</w:t>
            </w:r>
            <w:r>
              <w:rPr>
                <w:rFonts w:hint="eastAsia"/>
                <w:bCs/>
                <w:color w:val="000000" w:themeColor="text1"/>
                <w:sz w:val="24"/>
                <w:highlight w:val="none"/>
                <w14:textFill>
                  <w14:solidFill>
                    <w14:schemeClr w14:val="tx1"/>
                  </w14:solidFill>
                </w14:textFill>
              </w:rPr>
              <w:t>，满足</w:t>
            </w:r>
            <w:r>
              <w:rPr>
                <w:bCs/>
                <w:color w:val="000000" w:themeColor="text1"/>
                <w:sz w:val="24"/>
                <w:highlight w:val="none"/>
                <w14:textFill>
                  <w14:solidFill>
                    <w14:schemeClr w14:val="tx1"/>
                  </w14:solidFill>
                </w14:textFill>
              </w:rPr>
              <w:t>《危险废物贮存污染控制标准》（GB18597-2023）</w:t>
            </w:r>
            <w:r>
              <w:rPr>
                <w:rFonts w:hint="eastAsia"/>
                <w:bCs/>
                <w:color w:val="000000" w:themeColor="text1"/>
                <w:sz w:val="24"/>
                <w:highlight w:val="none"/>
                <w14:textFill>
                  <w14:solidFill>
                    <w14:schemeClr w14:val="tx1"/>
                  </w14:solidFill>
                </w14:textFill>
              </w:rPr>
              <w:t>要求。</w:t>
            </w:r>
            <w:r>
              <w:rPr>
                <w:rFonts w:hint="eastAsia" w:hAnsi="宋体"/>
                <w:bCs/>
                <w:color w:val="000000" w:themeColor="text1"/>
                <w:sz w:val="24"/>
                <w:highlight w:val="none"/>
                <w14:textFill>
                  <w14:solidFill>
                    <w14:schemeClr w14:val="tx1"/>
                  </w14:solidFill>
                </w14:textFill>
              </w:rPr>
              <w:t>设有计量设施，危险废物分区整齐存放，设有危险废物台账，屋内张贴危废管理制度、责任制度等。</w:t>
            </w:r>
            <w:r>
              <w:rPr>
                <w:rFonts w:hAnsi="宋体"/>
                <w:bCs/>
                <w:color w:val="000000" w:themeColor="text1"/>
                <w:sz w:val="24"/>
                <w:highlight w:val="none"/>
                <w14:textFill>
                  <w14:solidFill>
                    <w14:schemeClr w14:val="tx1"/>
                  </w14:solidFill>
                </w14:textFill>
              </w:rPr>
              <w:t>危废间门口设置危废标识，所有危废按规定粘贴相应危险废物标识。</w:t>
            </w:r>
            <w:r>
              <w:rPr>
                <w:rFonts w:hint="eastAsia" w:hAnsi="宋体"/>
                <w:bCs/>
                <w:color w:val="000000" w:themeColor="text1"/>
                <w:sz w:val="24"/>
                <w:highlight w:val="none"/>
                <w14:textFill>
                  <w14:solidFill>
                    <w14:schemeClr w14:val="tx1"/>
                  </w14:solidFill>
                </w14:textFill>
              </w:rPr>
              <w:t>现有危废间面积9m</w:t>
            </w:r>
            <w:r>
              <w:rPr>
                <w:rFonts w:hint="eastAsia" w:hAnsi="宋体"/>
                <w:bCs/>
                <w:color w:val="000000" w:themeColor="text1"/>
                <w:sz w:val="24"/>
                <w:highlight w:val="none"/>
                <w:vertAlign w:val="superscript"/>
                <w14:textFill>
                  <w14:solidFill>
                    <w14:schemeClr w14:val="tx1"/>
                  </w14:solidFill>
                </w14:textFill>
              </w:rPr>
              <w:t>2</w:t>
            </w:r>
            <w:r>
              <w:rPr>
                <w:rFonts w:hint="eastAsia" w:hAnsi="宋体"/>
                <w:bCs/>
                <w:color w:val="000000" w:themeColor="text1"/>
                <w:sz w:val="24"/>
                <w:highlight w:val="none"/>
                <w14:textFill>
                  <w14:solidFill>
                    <w14:schemeClr w14:val="tx1"/>
                  </w14:solidFill>
                </w14:textFill>
              </w:rPr>
              <w:t>，贮存能力2t，危废及时转运，不存在超期超量贮存情况，</w:t>
            </w:r>
            <w:r>
              <w:rPr>
                <w:rFonts w:hAnsi="宋体"/>
                <w:bCs/>
                <w:color w:val="000000" w:themeColor="text1"/>
                <w:sz w:val="24"/>
                <w:highlight w:val="none"/>
                <w14:textFill>
                  <w14:solidFill>
                    <w14:schemeClr w14:val="tx1"/>
                  </w14:solidFill>
                </w14:textFill>
              </w:rPr>
              <w:t>危险废物暂存处置方式满足危险废物执行《危险废物贮存污染控制标准》（GB18597-2023）中的标准。</w:t>
            </w:r>
            <w:r>
              <w:rPr>
                <w:rFonts w:hint="eastAsia" w:hAnsi="宋体"/>
                <w:bCs/>
                <w:color w:val="000000" w:themeColor="text1"/>
                <w:sz w:val="24"/>
                <w:highlight w:val="none"/>
                <w14:textFill>
                  <w14:solidFill>
                    <w14:schemeClr w14:val="tx1"/>
                  </w14:solidFill>
                </w14:textFill>
              </w:rPr>
              <w:t>现有危废间已通过环保验收。</w:t>
            </w:r>
          </w:p>
          <w:p w14:paraId="5C773771">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2、原料库（含污泥库）：现有原料库已采取无组织控制措施：原料库全部采取封闭结构</w:t>
            </w:r>
            <w:r>
              <w:rPr>
                <w:rFonts w:hAnsi="宋体"/>
                <w:bCs/>
                <w:color w:val="000000" w:themeColor="text1"/>
                <w:sz w:val="24"/>
                <w:highlight w:val="none"/>
                <w14:textFill>
                  <w14:solidFill>
                    <w14:schemeClr w14:val="tx1"/>
                  </w14:solidFill>
                </w14:textFill>
              </w:rPr>
              <w:t>，顶部设置可覆盖整个</w:t>
            </w:r>
            <w:r>
              <w:rPr>
                <w:rFonts w:hint="eastAsia" w:hAnsi="宋体"/>
                <w:bCs/>
                <w:color w:val="000000" w:themeColor="text1"/>
                <w:sz w:val="24"/>
                <w:highlight w:val="none"/>
                <w14:textFill>
                  <w14:solidFill>
                    <w14:schemeClr w14:val="tx1"/>
                  </w14:solidFill>
                </w14:textFill>
              </w:rPr>
              <w:t>原料库</w:t>
            </w:r>
            <w:r>
              <w:rPr>
                <w:rFonts w:hAnsi="宋体"/>
                <w:bCs/>
                <w:color w:val="000000" w:themeColor="text1"/>
                <w:sz w:val="24"/>
                <w:highlight w:val="none"/>
                <w14:textFill>
                  <w14:solidFill>
                    <w14:schemeClr w14:val="tx1"/>
                  </w14:solidFill>
                </w14:textFill>
              </w:rPr>
              <w:t>的喷淋装置；装载机卸料及倒运均在封闭原料</w:t>
            </w:r>
            <w:r>
              <w:rPr>
                <w:rFonts w:hint="eastAsia" w:hAnsi="宋体"/>
                <w:bCs/>
                <w:color w:val="000000" w:themeColor="text1"/>
                <w:sz w:val="24"/>
                <w:highlight w:val="none"/>
                <w14:textFill>
                  <w14:solidFill>
                    <w14:schemeClr w14:val="tx1"/>
                  </w14:solidFill>
                </w14:textFill>
              </w:rPr>
              <w:t>库</w:t>
            </w:r>
            <w:r>
              <w:rPr>
                <w:rFonts w:hAnsi="宋体"/>
                <w:bCs/>
                <w:color w:val="000000" w:themeColor="text1"/>
                <w:sz w:val="24"/>
                <w:highlight w:val="none"/>
                <w14:textFill>
                  <w14:solidFill>
                    <w14:schemeClr w14:val="tx1"/>
                  </w14:solidFill>
                </w14:textFill>
              </w:rPr>
              <w:t>内进行</w:t>
            </w:r>
            <w:r>
              <w:rPr>
                <w:rFonts w:hint="eastAsia" w:hAnsi="宋体"/>
                <w:bCs/>
                <w:color w:val="000000" w:themeColor="text1"/>
                <w:sz w:val="24"/>
                <w:highlight w:val="none"/>
                <w14:textFill>
                  <w14:solidFill>
                    <w14:schemeClr w14:val="tx1"/>
                  </w14:solidFill>
                </w14:textFill>
              </w:rPr>
              <w:t>。设置洗车平台对运输车辆进行冲洗。对污泥储存产生的恶臭气体采取以下处置措施：</w:t>
            </w:r>
            <w:r>
              <w:rPr>
                <w:rFonts w:hAnsi="宋体"/>
                <w:bCs/>
                <w:color w:val="000000" w:themeColor="text1"/>
                <w:sz w:val="24"/>
                <w:highlight w:val="none"/>
                <w14:textFill>
                  <w14:solidFill>
                    <w14:schemeClr w14:val="tx1"/>
                  </w14:solidFill>
                </w14:textFill>
              </w:rPr>
              <w:t>封闭污泥</w:t>
            </w:r>
            <w:r>
              <w:rPr>
                <w:rFonts w:hint="eastAsia" w:hAnsi="宋体"/>
                <w:bCs/>
                <w:color w:val="000000" w:themeColor="text1"/>
                <w:sz w:val="24"/>
                <w:highlight w:val="none"/>
                <w14:textFill>
                  <w14:solidFill>
                    <w14:schemeClr w14:val="tx1"/>
                  </w14:solidFill>
                </w14:textFill>
              </w:rPr>
              <w:t>库</w:t>
            </w:r>
            <w:r>
              <w:rPr>
                <w:rFonts w:hAnsi="宋体"/>
                <w:bCs/>
                <w:color w:val="000000" w:themeColor="text1"/>
                <w:sz w:val="24"/>
                <w:highlight w:val="none"/>
                <w14:textFill>
                  <w14:solidFill>
                    <w14:schemeClr w14:val="tx1"/>
                  </w14:solidFill>
                </w14:textFill>
              </w:rPr>
              <w:t>，负压收集，正常生产时将恶臭气体引至1#隧道窑进行高温焙烧处理，</w:t>
            </w:r>
            <w:r>
              <w:rPr>
                <w:bCs/>
                <w:color w:val="000000" w:themeColor="text1"/>
                <w:sz w:val="24"/>
                <w:highlight w:val="none"/>
                <w14:textFill>
                  <w14:solidFill>
                    <w14:schemeClr w14:val="tx1"/>
                  </w14:solidFill>
                </w14:textFill>
              </w:rPr>
              <w:t>随隧道窑废气经过</w:t>
            </w:r>
            <w:r>
              <w:rPr>
                <w:rFonts w:hint="eastAsia"/>
                <w:bCs/>
                <w:color w:val="000000" w:themeColor="text1"/>
                <w:sz w:val="24"/>
                <w:highlight w:val="none"/>
                <w14:textFill>
                  <w14:solidFill>
                    <w14:schemeClr w14:val="tx1"/>
                  </w14:solidFill>
                </w14:textFill>
              </w:rPr>
              <w:t>烟气治理设施处理</w:t>
            </w:r>
            <w:r>
              <w:rPr>
                <w:bCs/>
                <w:color w:val="000000" w:themeColor="text1"/>
                <w:sz w:val="24"/>
                <w:highlight w:val="none"/>
                <w14:textFill>
                  <w14:solidFill>
                    <w14:schemeClr w14:val="tx1"/>
                  </w14:solidFill>
                </w14:textFill>
              </w:rPr>
              <w:t>后经38m高排气筒</w:t>
            </w:r>
            <w:r>
              <w:rPr>
                <w:rFonts w:hAnsi="宋体"/>
                <w:bCs/>
                <w:color w:val="000000" w:themeColor="text1"/>
                <w:sz w:val="24"/>
                <w:highlight w:val="none"/>
                <w14:textFill>
                  <w14:solidFill>
                    <w14:schemeClr w14:val="tx1"/>
                  </w14:solidFill>
                </w14:textFill>
              </w:rPr>
              <w:t>（DA00</w:t>
            </w:r>
            <w:r>
              <w:rPr>
                <w:rFonts w:hint="eastAsia" w:hAnsi="宋体"/>
                <w:bCs/>
                <w:color w:val="000000" w:themeColor="text1"/>
                <w:sz w:val="24"/>
                <w:highlight w:val="none"/>
                <w14:textFill>
                  <w14:solidFill>
                    <w14:schemeClr w14:val="tx1"/>
                  </w14:solidFill>
                </w14:textFill>
              </w:rPr>
              <w:t>3</w:t>
            </w:r>
            <w:r>
              <w:rPr>
                <w:rFonts w:hAnsi="宋体"/>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排放</w:t>
            </w:r>
            <w:r>
              <w:rPr>
                <w:rFonts w:hint="eastAsia"/>
                <w:bCs/>
                <w:color w:val="000000" w:themeColor="text1"/>
                <w:sz w:val="24"/>
                <w:highlight w:val="none"/>
                <w14:textFill>
                  <w14:solidFill>
                    <w14:schemeClr w14:val="tx1"/>
                  </w14:solidFill>
                </w14:textFill>
              </w:rPr>
              <w:t>，隧道窑停产同时储存污泥时</w:t>
            </w:r>
            <w:r>
              <w:rPr>
                <w:rFonts w:hAnsi="宋体"/>
                <w:bCs/>
                <w:color w:val="000000" w:themeColor="text1"/>
                <w:sz w:val="24"/>
                <w:highlight w:val="none"/>
                <w14:textFill>
                  <w14:solidFill>
                    <w14:schemeClr w14:val="tx1"/>
                  </w14:solidFill>
                </w14:textFill>
              </w:rPr>
              <w:t>将</w:t>
            </w:r>
            <w:r>
              <w:rPr>
                <w:rFonts w:hint="eastAsia" w:hAnsi="宋体"/>
                <w:bCs/>
                <w:color w:val="000000" w:themeColor="text1"/>
                <w:sz w:val="24"/>
                <w:highlight w:val="none"/>
                <w14:textFill>
                  <w14:solidFill>
                    <w14:schemeClr w14:val="tx1"/>
                  </w14:solidFill>
                </w14:textFill>
              </w:rPr>
              <w:t>污泥库</w:t>
            </w:r>
            <w:r>
              <w:rPr>
                <w:rFonts w:hAnsi="宋体"/>
                <w:bCs/>
                <w:color w:val="000000" w:themeColor="text1"/>
                <w:sz w:val="24"/>
                <w:highlight w:val="none"/>
                <w14:textFill>
                  <w14:solidFill>
                    <w14:schemeClr w14:val="tx1"/>
                  </w14:solidFill>
                </w14:textFill>
              </w:rPr>
              <w:t>恶臭气体引至两级活性炭吸附装置处理后经1根15m高排气筒（DA007）排放</w:t>
            </w:r>
            <w:r>
              <w:rPr>
                <w:rFonts w:hint="eastAsia" w:hAnsi="宋体"/>
                <w:bCs/>
                <w:color w:val="000000" w:themeColor="text1"/>
                <w:sz w:val="24"/>
                <w:highlight w:val="none"/>
                <w14:textFill>
                  <w14:solidFill>
                    <w14:schemeClr w14:val="tx1"/>
                  </w14:solidFill>
                </w14:textFill>
              </w:rPr>
              <w:t>。根据现有检测报告，正常生产时隧道窑废气中恶臭气体达标排放，</w:t>
            </w:r>
            <w:r>
              <w:rPr>
                <w:rFonts w:hint="eastAsia"/>
                <w:bCs/>
                <w:color w:val="000000" w:themeColor="text1"/>
                <w:sz w:val="24"/>
                <w:highlight w:val="none"/>
                <w14:textFill>
                  <w14:solidFill>
                    <w14:schemeClr w14:val="tx1"/>
                  </w14:solidFill>
                </w14:textFill>
              </w:rPr>
              <w:t>隧道窑停产同时储存污泥时</w:t>
            </w:r>
            <w:r>
              <w:rPr>
                <w:rFonts w:hint="eastAsia" w:hAnsi="宋体"/>
                <w:bCs/>
                <w:color w:val="000000" w:themeColor="text1"/>
                <w:sz w:val="24"/>
                <w:highlight w:val="none"/>
                <w14:textFill>
                  <w14:solidFill>
                    <w14:schemeClr w14:val="tx1"/>
                  </w14:solidFill>
                </w14:textFill>
              </w:rPr>
              <w:t>污泥库</w:t>
            </w:r>
            <w:r>
              <w:rPr>
                <w:rFonts w:hAnsi="宋体"/>
                <w:bCs/>
                <w:color w:val="000000" w:themeColor="text1"/>
                <w:sz w:val="24"/>
                <w:highlight w:val="none"/>
                <w14:textFill>
                  <w14:solidFill>
                    <w14:schemeClr w14:val="tx1"/>
                  </w14:solidFill>
                </w14:textFill>
              </w:rPr>
              <w:t>恶臭气体</w:t>
            </w:r>
            <w:r>
              <w:rPr>
                <w:rFonts w:hint="eastAsia" w:hAnsi="宋体"/>
                <w:bCs/>
                <w:color w:val="000000" w:themeColor="text1"/>
                <w:sz w:val="24"/>
                <w:highlight w:val="none"/>
                <w14:textFill>
                  <w14:solidFill>
                    <w14:schemeClr w14:val="tx1"/>
                  </w14:solidFill>
                </w14:textFill>
              </w:rPr>
              <w:t>达标排放。现有原料库（含污泥库）及相关环保设施已通过环保验收。</w:t>
            </w:r>
          </w:p>
          <w:p w14:paraId="6025D222">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3、焙烧烘干车间干燥窑、隧道窑焙烧窑及相关环保设施：现有干燥室4条、</w:t>
            </w:r>
            <w:r>
              <w:rPr>
                <w:rFonts w:hAnsi="宋体"/>
                <w:bCs/>
                <w:color w:val="000000" w:themeColor="text1"/>
                <w:sz w:val="24"/>
                <w:highlight w:val="none"/>
                <w14:textFill>
                  <w14:solidFill>
                    <w14:schemeClr w14:val="tx1"/>
                  </w14:solidFill>
                </w14:textFill>
              </w:rPr>
              <w:t>焙烧隧道窑</w:t>
            </w:r>
            <w:r>
              <w:rPr>
                <w:rFonts w:hint="eastAsia" w:hAnsi="宋体"/>
                <w:bCs/>
                <w:color w:val="000000" w:themeColor="text1"/>
                <w:sz w:val="24"/>
                <w:highlight w:val="none"/>
                <w14:textFill>
                  <w14:solidFill>
                    <w14:schemeClr w14:val="tx1"/>
                  </w14:solidFill>
                </w14:textFill>
              </w:rPr>
              <w:t>4条、窑车380个、电动摆渡车8台，</w:t>
            </w:r>
            <w:r>
              <w:rPr>
                <w:rFonts w:hAnsi="宋体"/>
                <w:bCs/>
                <w:color w:val="000000" w:themeColor="text1"/>
                <w:sz w:val="24"/>
                <w:highlight w:val="none"/>
                <w14:textFill>
                  <w14:solidFill>
                    <w14:schemeClr w14:val="tx1"/>
                  </w14:solidFill>
                </w14:textFill>
              </w:rPr>
              <w:t>隧道窑废气通过窑体内置烟道，隧道窑废气</w:t>
            </w:r>
            <w:r>
              <w:rPr>
                <w:rFonts w:hint="eastAsia" w:hAnsi="宋体"/>
                <w:bCs/>
                <w:color w:val="000000" w:themeColor="text1"/>
                <w:sz w:val="24"/>
                <w:highlight w:val="none"/>
                <w14:textFill>
                  <w14:solidFill>
                    <w14:schemeClr w14:val="tx1"/>
                  </w14:solidFill>
                </w14:textFill>
              </w:rPr>
              <w:t>采用</w:t>
            </w:r>
            <w:r>
              <w:rPr>
                <w:rFonts w:hAnsi="宋体"/>
                <w:bCs/>
                <w:color w:val="000000" w:themeColor="text1"/>
                <w:sz w:val="24"/>
                <w:highlight w:val="none"/>
                <w14:textFill>
                  <w14:solidFill>
                    <w14:schemeClr w14:val="tx1"/>
                  </w14:solidFill>
                </w14:textFill>
              </w:rPr>
              <w:t>石灰-石膏法脱硫+氧化法脱硝+湿式电除尘</w:t>
            </w:r>
            <w:r>
              <w:rPr>
                <w:rFonts w:hint="eastAsia" w:hAnsi="宋体"/>
                <w:bCs/>
                <w:color w:val="000000" w:themeColor="text1"/>
                <w:sz w:val="24"/>
                <w:highlight w:val="none"/>
                <w14:textFill>
                  <w14:solidFill>
                    <w14:schemeClr w14:val="tx1"/>
                  </w14:solidFill>
                </w14:textFill>
              </w:rPr>
              <w:t>设施</w:t>
            </w:r>
            <w:r>
              <w:rPr>
                <w:rFonts w:hAnsi="宋体"/>
                <w:bCs/>
                <w:color w:val="000000" w:themeColor="text1"/>
                <w:sz w:val="24"/>
                <w:highlight w:val="none"/>
                <w14:textFill>
                  <w14:solidFill>
                    <w14:schemeClr w14:val="tx1"/>
                  </w14:solidFill>
                </w14:textFill>
              </w:rPr>
              <w:t>处理后经</w:t>
            </w:r>
            <w:r>
              <w:rPr>
                <w:rFonts w:hint="eastAsia" w:hAnsi="宋体"/>
                <w:bCs/>
                <w:color w:val="000000" w:themeColor="text1"/>
                <w:sz w:val="24"/>
                <w:highlight w:val="none"/>
                <w14:textFill>
                  <w14:solidFill>
                    <w14:schemeClr w14:val="tx1"/>
                  </w14:solidFill>
                </w14:textFill>
              </w:rPr>
              <w:t>2根</w:t>
            </w:r>
            <w:r>
              <w:rPr>
                <w:rFonts w:hAnsi="宋体"/>
                <w:bCs/>
                <w:color w:val="000000" w:themeColor="text1"/>
                <w:sz w:val="24"/>
                <w:highlight w:val="none"/>
                <w14:textFill>
                  <w14:solidFill>
                    <w14:schemeClr w14:val="tx1"/>
                  </w14:solidFill>
                </w14:textFill>
              </w:rPr>
              <w:t>38m高排气筒（DA00</w:t>
            </w:r>
            <w:r>
              <w:rPr>
                <w:rFonts w:hint="eastAsia" w:hAnsi="宋体"/>
                <w:bCs/>
                <w:color w:val="000000" w:themeColor="text1"/>
                <w:sz w:val="24"/>
                <w:highlight w:val="none"/>
                <w14:textFill>
                  <w14:solidFill>
                    <w14:schemeClr w14:val="tx1"/>
                  </w14:solidFill>
                </w14:textFill>
              </w:rPr>
              <w:t>3</w:t>
            </w:r>
            <w:r>
              <w:rPr>
                <w:rFonts w:hAnsi="宋体"/>
                <w:bCs/>
                <w:color w:val="000000" w:themeColor="text1"/>
                <w:sz w:val="24"/>
                <w:highlight w:val="none"/>
                <w14:textFill>
                  <w14:solidFill>
                    <w14:schemeClr w14:val="tx1"/>
                  </w14:solidFill>
                </w14:textFill>
              </w:rPr>
              <w:t>、DA00</w:t>
            </w:r>
            <w:r>
              <w:rPr>
                <w:rFonts w:hint="eastAsia" w:hAnsi="宋体"/>
                <w:bCs/>
                <w:color w:val="000000" w:themeColor="text1"/>
                <w:sz w:val="24"/>
                <w:highlight w:val="none"/>
                <w14:textFill>
                  <w14:solidFill>
                    <w14:schemeClr w14:val="tx1"/>
                  </w14:solidFill>
                </w14:textFill>
              </w:rPr>
              <w:t>4</w:t>
            </w:r>
            <w:r>
              <w:rPr>
                <w:rFonts w:hAnsi="宋体"/>
                <w:bCs/>
                <w:color w:val="000000" w:themeColor="text1"/>
                <w:sz w:val="24"/>
                <w:highlight w:val="none"/>
                <w14:textFill>
                  <w14:solidFill>
                    <w14:schemeClr w14:val="tx1"/>
                  </w14:solidFill>
                </w14:textFill>
              </w:rPr>
              <w:t>）排放</w:t>
            </w:r>
            <w:r>
              <w:rPr>
                <w:rFonts w:hint="eastAsia" w:hAnsi="宋体"/>
                <w:bCs/>
                <w:color w:val="000000" w:themeColor="text1"/>
                <w:sz w:val="24"/>
                <w:highlight w:val="none"/>
                <w14:textFill>
                  <w14:solidFill>
                    <w14:schemeClr w14:val="tx1"/>
                  </w14:solidFill>
                </w14:textFill>
              </w:rPr>
              <w:t>。根据现有检测报告，隧道窑废气</w:t>
            </w:r>
            <w:r>
              <w:rPr>
                <w:rFonts w:hint="eastAsia" w:hAnsi="宋体"/>
                <w:bCs/>
                <w:color w:val="000000" w:themeColor="text1"/>
                <w:sz w:val="24"/>
                <w:highlight w:val="none"/>
                <w:lang w:val="en-US" w:eastAsia="zh-CN"/>
                <w14:textFill>
                  <w14:solidFill>
                    <w14:schemeClr w14:val="tx1"/>
                  </w14:solidFill>
                </w14:textFill>
              </w:rPr>
              <w:t>二氧化硫、颗粒物可</w:t>
            </w:r>
            <w:r>
              <w:rPr>
                <w:rFonts w:hint="eastAsia" w:hAnsi="宋体"/>
                <w:bCs/>
                <w:color w:val="000000" w:themeColor="text1"/>
                <w:sz w:val="24"/>
                <w:highlight w:val="none"/>
                <w14:textFill>
                  <w14:solidFill>
                    <w14:schemeClr w14:val="tx1"/>
                  </w14:solidFill>
                </w14:textFill>
              </w:rPr>
              <w:t>达标排放。依托的生产设备及环保设施已通过环保验收。</w:t>
            </w:r>
          </w:p>
          <w:p w14:paraId="64F3777B">
            <w:pPr>
              <w:adjustRightInd w:val="0"/>
              <w:snapToGrid w:val="0"/>
              <w:spacing w:line="480" w:lineRule="exact"/>
              <w:ind w:firstLine="480" w:firstLineChars="200"/>
              <w:rPr>
                <w:rFonts w:hAnsi="宋体"/>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综上所述，本项目依托生产设备及</w:t>
            </w:r>
            <w:r>
              <w:rPr>
                <w:rFonts w:hint="eastAsia" w:hAnsi="宋体"/>
                <w:bCs/>
                <w:color w:val="000000" w:themeColor="text1"/>
                <w:sz w:val="24"/>
                <w:highlight w:val="none"/>
                <w:lang w:val="en-US" w:eastAsia="zh-CN"/>
                <w14:textFill>
                  <w14:solidFill>
                    <w14:schemeClr w14:val="tx1"/>
                  </w14:solidFill>
                </w14:textFill>
              </w:rPr>
              <w:t>脱硫、湿电除尘</w:t>
            </w:r>
            <w:r>
              <w:rPr>
                <w:rFonts w:hint="eastAsia" w:hAnsi="宋体"/>
                <w:bCs/>
                <w:color w:val="000000" w:themeColor="text1"/>
                <w:sz w:val="24"/>
                <w:highlight w:val="none"/>
                <w14:textFill>
                  <w14:solidFill>
                    <w14:schemeClr w14:val="tx1"/>
                  </w14:solidFill>
                </w14:textFill>
              </w:rPr>
              <w:t>环保设施</w:t>
            </w:r>
            <w:r>
              <w:rPr>
                <w:rFonts w:hint="eastAsia" w:hAnsi="宋体"/>
                <w:bCs/>
                <w:color w:val="000000" w:themeColor="text1"/>
                <w:sz w:val="24"/>
                <w:highlight w:val="none"/>
                <w:lang w:val="en-US" w:eastAsia="zh-CN"/>
                <w14:textFill>
                  <w14:solidFill>
                    <w14:schemeClr w14:val="tx1"/>
                  </w14:solidFill>
                </w14:textFill>
              </w:rPr>
              <w:t>可行</w:t>
            </w:r>
            <w:r>
              <w:rPr>
                <w:rFonts w:hint="eastAsia" w:hAnsi="宋体"/>
                <w:bCs/>
                <w:color w:val="000000" w:themeColor="text1"/>
                <w:sz w:val="24"/>
                <w:highlight w:val="none"/>
                <w14:textFill>
                  <w14:solidFill>
                    <w14:schemeClr w14:val="tx1"/>
                  </w14:solidFill>
                </w14:textFill>
              </w:rPr>
              <w:t>。</w:t>
            </w:r>
          </w:p>
          <w:p w14:paraId="468D85AC">
            <w:pPr>
              <w:adjustRightInd w:val="0"/>
              <w:snapToGrid w:val="0"/>
              <w:spacing w:line="480" w:lineRule="exact"/>
              <w:rPr>
                <w:rFonts w:hAnsi="宋体"/>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四、现有工程污染物实际排放总量</w:t>
            </w:r>
          </w:p>
          <w:p w14:paraId="41ED3B4F">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⑴总量控制指标</w:t>
            </w:r>
          </w:p>
          <w:p w14:paraId="1A2F71A2">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建设单位已取得排污许可证，证书编号：911302235560610877001V，有效期至20</w:t>
            </w:r>
            <w:r>
              <w:rPr>
                <w:rFonts w:hint="eastAsia"/>
                <w:bCs/>
                <w:color w:val="000000" w:themeColor="text1"/>
                <w:sz w:val="24"/>
                <w:highlight w:val="none"/>
                <w:lang w:val="en-US" w:eastAsia="zh-CN"/>
                <w14:textFill>
                  <w14:solidFill>
                    <w14:schemeClr w14:val="tx1"/>
                  </w14:solidFill>
                </w14:textFill>
              </w:rPr>
              <w:t>30</w:t>
            </w:r>
            <w:r>
              <w:rPr>
                <w:rFonts w:hint="eastAsia"/>
                <w:bCs/>
                <w:color w:val="000000" w:themeColor="text1"/>
                <w:sz w:val="24"/>
                <w:highlight w:val="none"/>
                <w14:textFill>
                  <w14:solidFill>
                    <w14:schemeClr w14:val="tx1"/>
                  </w14:solidFill>
                </w14:textFill>
              </w:rPr>
              <w:t>年0</w:t>
            </w:r>
            <w:r>
              <w:rPr>
                <w:rFonts w:hint="eastAsia"/>
                <w:bCs/>
                <w:color w:val="000000" w:themeColor="text1"/>
                <w:sz w:val="24"/>
                <w:highlight w:val="none"/>
                <w:lang w:val="en-US" w:eastAsia="zh-CN"/>
                <w14:textFill>
                  <w14:solidFill>
                    <w14:schemeClr w14:val="tx1"/>
                  </w14:solidFill>
                </w14:textFill>
              </w:rPr>
              <w:t>7</w:t>
            </w:r>
            <w:r>
              <w:rPr>
                <w:rFonts w:hint="eastAsia"/>
                <w:bCs/>
                <w:color w:val="000000" w:themeColor="text1"/>
                <w:sz w:val="24"/>
                <w:highlight w:val="none"/>
                <w14:textFill>
                  <w14:solidFill>
                    <w14:schemeClr w14:val="tx1"/>
                  </w14:solidFill>
                </w14:textFill>
              </w:rPr>
              <w:t>月</w:t>
            </w:r>
            <w:r>
              <w:rPr>
                <w:rFonts w:hint="eastAsia"/>
                <w:bCs/>
                <w:color w:val="000000" w:themeColor="text1"/>
                <w:sz w:val="24"/>
                <w:highlight w:val="none"/>
                <w:lang w:val="en-US" w:eastAsia="zh-CN"/>
                <w14:textFill>
                  <w14:solidFill>
                    <w14:schemeClr w14:val="tx1"/>
                  </w14:solidFill>
                </w14:textFill>
              </w:rPr>
              <w:t>10</w:t>
            </w:r>
            <w:r>
              <w:rPr>
                <w:rFonts w:hint="eastAsia"/>
                <w:bCs/>
                <w:color w:val="000000" w:themeColor="text1"/>
                <w:sz w:val="24"/>
                <w:highlight w:val="none"/>
                <w14:textFill>
                  <w14:solidFill>
                    <w14:schemeClr w14:val="tx1"/>
                  </w14:solidFill>
                </w14:textFill>
              </w:rPr>
              <w:t>日</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根据</w:t>
            </w:r>
            <w:r>
              <w:rPr>
                <w:bCs/>
                <w:color w:val="000000" w:themeColor="text1"/>
                <w:sz w:val="24"/>
                <w:highlight w:val="none"/>
                <w14:textFill>
                  <w14:solidFill>
                    <w14:schemeClr w14:val="tx1"/>
                  </w14:solidFill>
                </w14:textFill>
              </w:rPr>
              <w:t>《排污许可证申请与核发技术规范 陶瓷砖瓦工业》（HJ954-2018）</w:t>
            </w:r>
            <w:r>
              <w:rPr>
                <w:rFonts w:hint="eastAsia"/>
                <w:bCs/>
                <w:color w:val="000000" w:themeColor="text1"/>
                <w:sz w:val="24"/>
                <w:highlight w:val="none"/>
                <w14:textFill>
                  <w14:solidFill>
                    <w14:schemeClr w14:val="tx1"/>
                  </w14:solidFill>
                </w14:textFill>
              </w:rPr>
              <w:t>，砖瓦工业大气污染物“以排放口为单位确定有组织排放口许可排放浓度，不设置许可排放量要求”。因此排污许可证无许可排放量要求。根据企业现有环评、批复资料，污染物总量控制指标要求：</w:t>
            </w:r>
            <w:r>
              <w:rPr>
                <w:bCs/>
                <w:color w:val="000000" w:themeColor="text1"/>
                <w:sz w:val="24"/>
                <w:highlight w:val="none"/>
                <w14:textFill>
                  <w14:solidFill>
                    <w14:schemeClr w14:val="tx1"/>
                  </w14:solidFill>
                </w14:textFill>
              </w:rPr>
              <w:t>颗粒物25t/a、SO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：22.93t/a、NOx：86.87t/a、COD：0t/a、NH</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-N：0t/a。</w:t>
            </w:r>
          </w:p>
          <w:p w14:paraId="0B1920EF">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⑵实际排放总量</w:t>
            </w:r>
          </w:p>
          <w:p w14:paraId="2432A63E">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现有工程无生产、生活废水外排。根据企业2024年年度排污许可执行报告，现有工程污染物实际排放量为：</w:t>
            </w:r>
            <w:r>
              <w:rPr>
                <w:bCs/>
                <w:color w:val="000000" w:themeColor="text1"/>
                <w:sz w:val="24"/>
                <w:highlight w:val="none"/>
                <w14:textFill>
                  <w14:solidFill>
                    <w14:schemeClr w14:val="tx1"/>
                  </w14:solidFill>
                </w14:textFill>
              </w:rPr>
              <w:t>颗粒物</w:t>
            </w:r>
            <w:r>
              <w:rPr>
                <w:rFonts w:hint="eastAsia"/>
                <w:bCs/>
                <w:color w:val="000000" w:themeColor="text1"/>
                <w:sz w:val="24"/>
                <w:highlight w:val="none"/>
                <w14:textFill>
                  <w14:solidFill>
                    <w14:schemeClr w14:val="tx1"/>
                  </w14:solidFill>
                </w14:textFill>
              </w:rPr>
              <w:t>5.868</w:t>
            </w:r>
            <w:r>
              <w:rPr>
                <w:bCs/>
                <w:color w:val="000000" w:themeColor="text1"/>
                <w:sz w:val="24"/>
                <w:highlight w:val="none"/>
                <w14:textFill>
                  <w14:solidFill>
                    <w14:schemeClr w14:val="tx1"/>
                  </w14:solidFill>
                </w14:textFill>
              </w:rPr>
              <w:t>t/a、SO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14.47</w:t>
            </w:r>
            <w:r>
              <w:rPr>
                <w:bCs/>
                <w:color w:val="000000" w:themeColor="text1"/>
                <w:sz w:val="24"/>
                <w:highlight w:val="none"/>
                <w14:textFill>
                  <w14:solidFill>
                    <w14:schemeClr w14:val="tx1"/>
                  </w14:solidFill>
                </w14:textFill>
              </w:rPr>
              <w:t>t/a、NOx：</w:t>
            </w:r>
            <w:r>
              <w:rPr>
                <w:rFonts w:hint="eastAsia"/>
                <w:bCs/>
                <w:color w:val="000000" w:themeColor="text1"/>
                <w:sz w:val="24"/>
                <w:highlight w:val="none"/>
                <w14:textFill>
                  <w14:solidFill>
                    <w14:schemeClr w14:val="tx1"/>
                  </w14:solidFill>
                </w14:textFill>
              </w:rPr>
              <w:t>60.85</w:t>
            </w:r>
            <w:r>
              <w:rPr>
                <w:bCs/>
                <w:color w:val="000000" w:themeColor="text1"/>
                <w:sz w:val="24"/>
                <w:highlight w:val="none"/>
                <w14:textFill>
                  <w14:solidFill>
                    <w14:schemeClr w14:val="tx1"/>
                  </w14:solidFill>
                </w14:textFill>
              </w:rPr>
              <w:t>t/a</w:t>
            </w:r>
            <w:r>
              <w:rPr>
                <w:rFonts w:hint="eastAsia"/>
                <w:bCs/>
                <w:color w:val="000000" w:themeColor="text1"/>
                <w:sz w:val="24"/>
                <w:highlight w:val="none"/>
                <w14:textFill>
                  <w14:solidFill>
                    <w14:schemeClr w14:val="tx1"/>
                  </w14:solidFill>
                </w14:textFill>
              </w:rPr>
              <w:t>。</w:t>
            </w:r>
          </w:p>
          <w:p w14:paraId="7BF4DC43">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现有工程污染物排放量核算见下表。</w:t>
            </w:r>
          </w:p>
          <w:p w14:paraId="1955CE68">
            <w:pPr>
              <w:adjustRightInd w:val="0"/>
              <w:snapToGrid w:val="0"/>
              <w:spacing w:line="480" w:lineRule="exact"/>
              <w:ind w:firstLine="1080" w:firstLineChars="450"/>
              <w:rPr>
                <w:rFonts w:ascii="黑体" w:hAnsi="黑体" w:eastAsia="黑体"/>
                <w:bCs/>
                <w:color w:val="000000" w:themeColor="text1"/>
                <w:sz w:val="24"/>
                <w:highlight w:val="none"/>
                <w14:textFill>
                  <w14:solidFill>
                    <w14:schemeClr w14:val="tx1"/>
                  </w14:solidFill>
                </w14:textFill>
              </w:rPr>
            </w:pPr>
            <w:r>
              <w:rPr>
                <w:rFonts w:hint="eastAsia" w:ascii="黑体" w:hAnsi="黑体" w:eastAsia="黑体"/>
                <w:bCs/>
                <w:color w:val="000000" w:themeColor="text1"/>
                <w:sz w:val="24"/>
                <w:highlight w:val="none"/>
                <w14:textFill>
                  <w14:solidFill>
                    <w14:schemeClr w14:val="tx1"/>
                  </w14:solidFill>
                </w14:textFill>
              </w:rPr>
              <w:t>表2-</w:t>
            </w:r>
            <w:r>
              <w:rPr>
                <w:rFonts w:hint="eastAsia" w:ascii="黑体" w:hAnsi="黑体" w:eastAsia="黑体"/>
                <w:bCs/>
                <w:color w:val="000000" w:themeColor="text1"/>
                <w:sz w:val="24"/>
                <w:highlight w:val="none"/>
                <w:lang w:val="en-US" w:eastAsia="zh-CN"/>
                <w14:textFill>
                  <w14:solidFill>
                    <w14:schemeClr w14:val="tx1"/>
                  </w14:solidFill>
                </w14:textFill>
              </w:rPr>
              <w:t>31</w:t>
            </w:r>
            <w:r>
              <w:rPr>
                <w:rFonts w:hint="eastAsia" w:ascii="黑体" w:hAnsi="黑体" w:eastAsia="黑体"/>
                <w:bCs/>
                <w:color w:val="000000" w:themeColor="text1"/>
                <w:sz w:val="24"/>
                <w:highlight w:val="none"/>
                <w14:textFill>
                  <w14:solidFill>
                    <w14:schemeClr w14:val="tx1"/>
                  </w14:solidFill>
                </w14:textFill>
              </w:rPr>
              <w:t xml:space="preserve">        现有工程污染物排放量核算一览表</w:t>
            </w:r>
          </w:p>
          <w:tbl>
            <w:tblPr>
              <w:tblStyle w:val="24"/>
              <w:tblW w:w="883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3"/>
              <w:gridCol w:w="708"/>
              <w:gridCol w:w="962"/>
              <w:gridCol w:w="334"/>
              <w:gridCol w:w="1417"/>
              <w:gridCol w:w="1418"/>
              <w:gridCol w:w="3402"/>
            </w:tblGrid>
            <w:tr w14:paraId="48A94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12B6299C">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序号</w:t>
                  </w:r>
                </w:p>
              </w:tc>
              <w:tc>
                <w:tcPr>
                  <w:tcW w:w="708" w:type="dxa"/>
                  <w:vAlign w:val="center"/>
                </w:tcPr>
                <w:p w14:paraId="102B523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项目</w:t>
                  </w:r>
                </w:p>
              </w:tc>
              <w:tc>
                <w:tcPr>
                  <w:tcW w:w="2713" w:type="dxa"/>
                  <w:gridSpan w:val="3"/>
                  <w:vAlign w:val="center"/>
                </w:tcPr>
                <w:p w14:paraId="3482441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污染物</w:t>
                  </w:r>
                </w:p>
              </w:tc>
              <w:tc>
                <w:tcPr>
                  <w:tcW w:w="1418" w:type="dxa"/>
                  <w:vAlign w:val="center"/>
                </w:tcPr>
                <w:p w14:paraId="7B53D2E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排放量（t/a）</w:t>
                  </w:r>
                </w:p>
              </w:tc>
              <w:tc>
                <w:tcPr>
                  <w:tcW w:w="3402" w:type="dxa"/>
                  <w:vAlign w:val="center"/>
                </w:tcPr>
                <w:p w14:paraId="430A916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备注</w:t>
                  </w:r>
                </w:p>
              </w:tc>
            </w:tr>
            <w:tr w14:paraId="63336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4CA806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w:t>
                  </w:r>
                </w:p>
              </w:tc>
              <w:tc>
                <w:tcPr>
                  <w:tcW w:w="708" w:type="dxa"/>
                  <w:vMerge w:val="restart"/>
                  <w:vAlign w:val="center"/>
                </w:tcPr>
                <w:p w14:paraId="71A92694">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废气</w:t>
                  </w:r>
                </w:p>
              </w:tc>
              <w:tc>
                <w:tcPr>
                  <w:tcW w:w="2713" w:type="dxa"/>
                  <w:gridSpan w:val="3"/>
                  <w:vAlign w:val="center"/>
                </w:tcPr>
                <w:p w14:paraId="23F9CD1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颗粒物</w:t>
                  </w:r>
                </w:p>
              </w:tc>
              <w:tc>
                <w:tcPr>
                  <w:tcW w:w="1418" w:type="dxa"/>
                  <w:vAlign w:val="center"/>
                </w:tcPr>
                <w:p w14:paraId="7D4ADB9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5.868</w:t>
                  </w:r>
                </w:p>
              </w:tc>
              <w:tc>
                <w:tcPr>
                  <w:tcW w:w="3402" w:type="dxa"/>
                  <w:vAlign w:val="center"/>
                </w:tcPr>
                <w:p w14:paraId="154089C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控制指标25</w:t>
                  </w:r>
                  <w:r>
                    <w:rPr>
                      <w:bCs/>
                      <w:color w:val="000000" w:themeColor="text1"/>
                      <w:szCs w:val="21"/>
                      <w:highlight w:val="none"/>
                      <w14:textFill>
                        <w14:solidFill>
                          <w14:schemeClr w14:val="tx1"/>
                        </w14:solidFill>
                      </w14:textFill>
                    </w:rPr>
                    <w:t xml:space="preserve"> t/a</w:t>
                  </w:r>
                </w:p>
              </w:tc>
            </w:tr>
            <w:tr w14:paraId="294B91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5C24C73C">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w:t>
                  </w:r>
                </w:p>
              </w:tc>
              <w:tc>
                <w:tcPr>
                  <w:tcW w:w="708" w:type="dxa"/>
                  <w:vMerge w:val="continue"/>
                  <w:vAlign w:val="center"/>
                </w:tcPr>
                <w:p w14:paraId="2776CF5C">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6D8DB4B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二氧化硫</w:t>
                  </w:r>
                </w:p>
              </w:tc>
              <w:tc>
                <w:tcPr>
                  <w:tcW w:w="1418" w:type="dxa"/>
                  <w:vAlign w:val="center"/>
                </w:tcPr>
                <w:p w14:paraId="19092E67">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14.47</w:t>
                  </w:r>
                </w:p>
              </w:tc>
              <w:tc>
                <w:tcPr>
                  <w:tcW w:w="3402" w:type="dxa"/>
                  <w:vAlign w:val="center"/>
                </w:tcPr>
                <w:p w14:paraId="66C3CB17">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控制指标22.93</w:t>
                  </w:r>
                  <w:r>
                    <w:rPr>
                      <w:bCs/>
                      <w:color w:val="000000" w:themeColor="text1"/>
                      <w:szCs w:val="21"/>
                      <w:highlight w:val="none"/>
                      <w14:textFill>
                        <w14:solidFill>
                          <w14:schemeClr w14:val="tx1"/>
                        </w14:solidFill>
                      </w14:textFill>
                    </w:rPr>
                    <w:t xml:space="preserve"> t/a</w:t>
                  </w:r>
                </w:p>
              </w:tc>
            </w:tr>
            <w:tr w14:paraId="11369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9D6C82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3</w:t>
                  </w:r>
                </w:p>
              </w:tc>
              <w:tc>
                <w:tcPr>
                  <w:tcW w:w="708" w:type="dxa"/>
                  <w:vMerge w:val="continue"/>
                  <w:vAlign w:val="center"/>
                </w:tcPr>
                <w:p w14:paraId="0A18C6F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4919536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氮氧化物</w:t>
                  </w:r>
                </w:p>
              </w:tc>
              <w:tc>
                <w:tcPr>
                  <w:tcW w:w="1418" w:type="dxa"/>
                  <w:vAlign w:val="center"/>
                </w:tcPr>
                <w:p w14:paraId="6612D7D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60.85</w:t>
                  </w:r>
                </w:p>
              </w:tc>
              <w:tc>
                <w:tcPr>
                  <w:tcW w:w="3402" w:type="dxa"/>
                  <w:vAlign w:val="center"/>
                </w:tcPr>
                <w:p w14:paraId="71E9E48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控制指标86.87</w:t>
                  </w:r>
                  <w:r>
                    <w:rPr>
                      <w:bCs/>
                      <w:color w:val="000000" w:themeColor="text1"/>
                      <w:szCs w:val="21"/>
                      <w:highlight w:val="none"/>
                      <w14:textFill>
                        <w14:solidFill>
                          <w14:schemeClr w14:val="tx1"/>
                        </w14:solidFill>
                      </w14:textFill>
                    </w:rPr>
                    <w:t xml:space="preserve"> t/a</w:t>
                  </w:r>
                </w:p>
              </w:tc>
            </w:tr>
            <w:tr w14:paraId="6F1C4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42CF8D6">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4</w:t>
                  </w:r>
                </w:p>
              </w:tc>
              <w:tc>
                <w:tcPr>
                  <w:tcW w:w="708" w:type="dxa"/>
                  <w:vMerge w:val="continue"/>
                  <w:vAlign w:val="center"/>
                </w:tcPr>
                <w:p w14:paraId="0DE4212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114E4F2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氟化物</w:t>
                  </w:r>
                </w:p>
              </w:tc>
              <w:tc>
                <w:tcPr>
                  <w:tcW w:w="1418" w:type="dxa"/>
                  <w:vAlign w:val="center"/>
                </w:tcPr>
                <w:p w14:paraId="184EAFA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1.48</w:t>
                  </w:r>
                </w:p>
              </w:tc>
              <w:tc>
                <w:tcPr>
                  <w:tcW w:w="3402" w:type="dxa"/>
                  <w:vAlign w:val="center"/>
                </w:tcPr>
                <w:p w14:paraId="440DDF97">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015F8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06BC2E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5</w:t>
                  </w:r>
                </w:p>
              </w:tc>
              <w:tc>
                <w:tcPr>
                  <w:tcW w:w="708" w:type="dxa"/>
                  <w:vMerge w:val="continue"/>
                  <w:vAlign w:val="center"/>
                </w:tcPr>
                <w:p w14:paraId="383C8B0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3E31A86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氯化氢</w:t>
                  </w:r>
                </w:p>
              </w:tc>
              <w:tc>
                <w:tcPr>
                  <w:tcW w:w="1418" w:type="dxa"/>
                  <w:vAlign w:val="center"/>
                </w:tcPr>
                <w:p w14:paraId="61EFF7F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0.739</w:t>
                  </w:r>
                </w:p>
              </w:tc>
              <w:tc>
                <w:tcPr>
                  <w:tcW w:w="3402" w:type="dxa"/>
                  <w:vAlign w:val="center"/>
                </w:tcPr>
                <w:p w14:paraId="00B83B0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50276E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9B686B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6</w:t>
                  </w:r>
                </w:p>
              </w:tc>
              <w:tc>
                <w:tcPr>
                  <w:tcW w:w="708" w:type="dxa"/>
                  <w:vMerge w:val="continue"/>
                  <w:vAlign w:val="center"/>
                </w:tcPr>
                <w:p w14:paraId="4652728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5C2419C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二噁英类</w:t>
                  </w:r>
                </w:p>
              </w:tc>
              <w:tc>
                <w:tcPr>
                  <w:tcW w:w="1418" w:type="dxa"/>
                  <w:vAlign w:val="center"/>
                </w:tcPr>
                <w:p w14:paraId="3E354C6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21.11mgTEQ/a</w:t>
                  </w:r>
                </w:p>
              </w:tc>
              <w:tc>
                <w:tcPr>
                  <w:tcW w:w="3402" w:type="dxa"/>
                  <w:vAlign w:val="center"/>
                </w:tcPr>
                <w:p w14:paraId="110F854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23947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40257AF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7</w:t>
                  </w:r>
                </w:p>
              </w:tc>
              <w:tc>
                <w:tcPr>
                  <w:tcW w:w="708" w:type="dxa"/>
                  <w:vMerge w:val="continue"/>
                  <w:vAlign w:val="center"/>
                </w:tcPr>
                <w:p w14:paraId="1A654AF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24804C5C">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汞及其化合物（以Hg计）</w:t>
                  </w:r>
                </w:p>
              </w:tc>
              <w:tc>
                <w:tcPr>
                  <w:tcW w:w="1418" w:type="dxa"/>
                  <w:vAlign w:val="center"/>
                </w:tcPr>
                <w:p w14:paraId="4B8C512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0.00295</w:t>
                  </w:r>
                </w:p>
              </w:tc>
              <w:tc>
                <w:tcPr>
                  <w:tcW w:w="3402" w:type="dxa"/>
                  <w:vAlign w:val="center"/>
                </w:tcPr>
                <w:p w14:paraId="5824C18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711E43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13067D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8</w:t>
                  </w:r>
                </w:p>
              </w:tc>
              <w:tc>
                <w:tcPr>
                  <w:tcW w:w="708" w:type="dxa"/>
                  <w:vMerge w:val="continue"/>
                  <w:vAlign w:val="center"/>
                </w:tcPr>
                <w:p w14:paraId="79FCB46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5B70ADC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镉及其化合物（以Cd计）</w:t>
                  </w:r>
                </w:p>
              </w:tc>
              <w:tc>
                <w:tcPr>
                  <w:tcW w:w="1418" w:type="dxa"/>
                  <w:vAlign w:val="center"/>
                </w:tcPr>
                <w:p w14:paraId="6D9E093E">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0.000012</w:t>
                  </w:r>
                </w:p>
              </w:tc>
              <w:tc>
                <w:tcPr>
                  <w:tcW w:w="3402" w:type="dxa"/>
                  <w:vAlign w:val="center"/>
                </w:tcPr>
                <w:p w14:paraId="7383660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22998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1A15D1D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9</w:t>
                  </w:r>
                </w:p>
              </w:tc>
              <w:tc>
                <w:tcPr>
                  <w:tcW w:w="708" w:type="dxa"/>
                  <w:vMerge w:val="continue"/>
                  <w:vAlign w:val="center"/>
                </w:tcPr>
                <w:p w14:paraId="664ED36C">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2713" w:type="dxa"/>
                  <w:gridSpan w:val="3"/>
                  <w:vAlign w:val="center"/>
                </w:tcPr>
                <w:p w14:paraId="0D9491B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砷、铅、钴、铜、镍及其化合物（As+Pb+Co+Cu+Ni计）</w:t>
                  </w:r>
                </w:p>
              </w:tc>
              <w:tc>
                <w:tcPr>
                  <w:tcW w:w="1418" w:type="dxa"/>
                  <w:vAlign w:val="center"/>
                </w:tcPr>
                <w:p w14:paraId="1FBA520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0.00707</w:t>
                  </w:r>
                </w:p>
              </w:tc>
              <w:tc>
                <w:tcPr>
                  <w:tcW w:w="3402" w:type="dxa"/>
                  <w:vAlign w:val="center"/>
                </w:tcPr>
                <w:p w14:paraId="6D88F74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74E8FB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3CAC5AD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10</w:t>
                  </w:r>
                </w:p>
              </w:tc>
              <w:tc>
                <w:tcPr>
                  <w:tcW w:w="708" w:type="dxa"/>
                  <w:vMerge w:val="continue"/>
                  <w:vAlign w:val="center"/>
                </w:tcPr>
                <w:p w14:paraId="1C00367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1296" w:type="dxa"/>
                  <w:gridSpan w:val="2"/>
                  <w:vAlign w:val="center"/>
                </w:tcPr>
                <w:p w14:paraId="714071F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氨</w:t>
                  </w:r>
                </w:p>
              </w:tc>
              <w:tc>
                <w:tcPr>
                  <w:tcW w:w="1417" w:type="dxa"/>
                  <w:vMerge w:val="restart"/>
                  <w:vAlign w:val="center"/>
                </w:tcPr>
                <w:p w14:paraId="527DEE04">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正常生产</w:t>
                  </w:r>
                </w:p>
              </w:tc>
              <w:tc>
                <w:tcPr>
                  <w:tcW w:w="1418" w:type="dxa"/>
                  <w:vAlign w:val="center"/>
                </w:tcPr>
                <w:p w14:paraId="7D8689B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0.307</w:t>
                  </w:r>
                </w:p>
              </w:tc>
              <w:tc>
                <w:tcPr>
                  <w:tcW w:w="3402" w:type="dxa"/>
                  <w:vAlign w:val="center"/>
                </w:tcPr>
                <w:p w14:paraId="6285CE1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7E074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30FC494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11</w:t>
                  </w:r>
                </w:p>
              </w:tc>
              <w:tc>
                <w:tcPr>
                  <w:tcW w:w="708" w:type="dxa"/>
                  <w:vMerge w:val="continue"/>
                  <w:vAlign w:val="center"/>
                </w:tcPr>
                <w:p w14:paraId="4FD89C1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1296" w:type="dxa"/>
                  <w:gridSpan w:val="2"/>
                  <w:vAlign w:val="center"/>
                </w:tcPr>
                <w:p w14:paraId="3E8C3FD4">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硫化氢</w:t>
                  </w:r>
                </w:p>
              </w:tc>
              <w:tc>
                <w:tcPr>
                  <w:tcW w:w="1417" w:type="dxa"/>
                  <w:vMerge w:val="continue"/>
                  <w:vAlign w:val="center"/>
                </w:tcPr>
                <w:p w14:paraId="7E3B0D5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1418" w:type="dxa"/>
                  <w:vAlign w:val="center"/>
                </w:tcPr>
                <w:p w14:paraId="1EBBED2E">
                  <w:pPr>
                    <w:spacing w:line="260" w:lineRule="exact"/>
                    <w:jc w:val="center"/>
                    <w:rPr>
                      <w:snapToGrid w:val="0"/>
                      <w:color w:val="000000" w:themeColor="text1"/>
                      <w:szCs w:val="21"/>
                      <w:highlight w:val="none"/>
                      <w14:textFill>
                        <w14:solidFill>
                          <w14:schemeClr w14:val="tx1"/>
                        </w14:solidFill>
                      </w14:textFill>
                    </w:rPr>
                  </w:pPr>
                  <w:r>
                    <w:rPr>
                      <w:rFonts w:hint="eastAsia"/>
                      <w:snapToGrid w:val="0"/>
                      <w:color w:val="000000" w:themeColor="text1"/>
                      <w:szCs w:val="21"/>
                      <w:highlight w:val="none"/>
                      <w14:textFill>
                        <w14:solidFill>
                          <w14:schemeClr w14:val="tx1"/>
                        </w14:solidFill>
                      </w14:textFill>
                    </w:rPr>
                    <w:t>0.033</w:t>
                  </w:r>
                </w:p>
              </w:tc>
              <w:tc>
                <w:tcPr>
                  <w:tcW w:w="3402" w:type="dxa"/>
                  <w:vAlign w:val="center"/>
                </w:tcPr>
                <w:p w14:paraId="34F57F3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090FA5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3EAE5784">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12</w:t>
                  </w:r>
                </w:p>
              </w:tc>
              <w:tc>
                <w:tcPr>
                  <w:tcW w:w="708" w:type="dxa"/>
                  <w:vMerge w:val="continue"/>
                  <w:vAlign w:val="center"/>
                </w:tcPr>
                <w:p w14:paraId="6A2A6667">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1296" w:type="dxa"/>
                  <w:gridSpan w:val="2"/>
                  <w:vAlign w:val="center"/>
                </w:tcPr>
                <w:p w14:paraId="092BB64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氨</w:t>
                  </w:r>
                </w:p>
              </w:tc>
              <w:tc>
                <w:tcPr>
                  <w:tcW w:w="1417" w:type="dxa"/>
                  <w:vMerge w:val="restart"/>
                  <w:vAlign w:val="center"/>
                </w:tcPr>
                <w:p w14:paraId="65EACDED">
                  <w:pPr>
                    <w:spacing w:line="26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隧道窑停产时</w:t>
                  </w:r>
                </w:p>
              </w:tc>
              <w:tc>
                <w:tcPr>
                  <w:tcW w:w="1418" w:type="dxa"/>
                  <w:vAlign w:val="center"/>
                </w:tcPr>
                <w:p w14:paraId="10461C79">
                  <w:pPr>
                    <w:spacing w:line="260" w:lineRule="exact"/>
                    <w:jc w:val="center"/>
                    <w:rPr>
                      <w:snapToGrid w:val="0"/>
                      <w:color w:val="000000" w:themeColor="text1"/>
                      <w:szCs w:val="21"/>
                      <w:highlight w:val="none"/>
                      <w14:textFill>
                        <w14:solidFill>
                          <w14:schemeClr w14:val="tx1"/>
                        </w14:solidFill>
                      </w14:textFill>
                    </w:rPr>
                  </w:pPr>
                  <w:r>
                    <w:rPr>
                      <w:rFonts w:hint="eastAsia"/>
                      <w:snapToGrid w:val="0"/>
                      <w:color w:val="000000" w:themeColor="text1"/>
                      <w:szCs w:val="21"/>
                      <w:highlight w:val="none"/>
                      <w14:textFill>
                        <w14:solidFill>
                          <w14:schemeClr w14:val="tx1"/>
                        </w14:solidFill>
                      </w14:textFill>
                    </w:rPr>
                    <w:t>0.00072</w:t>
                  </w:r>
                </w:p>
              </w:tc>
              <w:tc>
                <w:tcPr>
                  <w:tcW w:w="3402" w:type="dxa"/>
                  <w:vAlign w:val="center"/>
                </w:tcPr>
                <w:p w14:paraId="7D6AA13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198B09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F5DCF5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13</w:t>
                  </w:r>
                </w:p>
              </w:tc>
              <w:tc>
                <w:tcPr>
                  <w:tcW w:w="708" w:type="dxa"/>
                  <w:vMerge w:val="continue"/>
                  <w:vAlign w:val="center"/>
                </w:tcPr>
                <w:p w14:paraId="0E93C2BE">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1296" w:type="dxa"/>
                  <w:gridSpan w:val="2"/>
                  <w:vAlign w:val="center"/>
                </w:tcPr>
                <w:p w14:paraId="6A265CAC">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硫化氢</w:t>
                  </w:r>
                </w:p>
              </w:tc>
              <w:tc>
                <w:tcPr>
                  <w:tcW w:w="1417" w:type="dxa"/>
                  <w:vMerge w:val="continue"/>
                  <w:vAlign w:val="center"/>
                </w:tcPr>
                <w:p w14:paraId="0ACF29C5">
                  <w:pPr>
                    <w:spacing w:line="260" w:lineRule="exact"/>
                    <w:ind w:left="-105" w:leftChars="-50" w:right="-105" w:rightChars="-50"/>
                    <w:jc w:val="center"/>
                    <w:rPr>
                      <w:color w:val="000000" w:themeColor="text1"/>
                      <w:szCs w:val="21"/>
                      <w:highlight w:val="none"/>
                      <w14:textFill>
                        <w14:solidFill>
                          <w14:schemeClr w14:val="tx1"/>
                        </w14:solidFill>
                      </w14:textFill>
                    </w:rPr>
                  </w:pPr>
                </w:p>
              </w:tc>
              <w:tc>
                <w:tcPr>
                  <w:tcW w:w="1418" w:type="dxa"/>
                  <w:vAlign w:val="center"/>
                </w:tcPr>
                <w:p w14:paraId="788021FC">
                  <w:pPr>
                    <w:spacing w:line="260" w:lineRule="exact"/>
                    <w:jc w:val="center"/>
                    <w:rPr>
                      <w:snapToGrid w:val="0"/>
                      <w:color w:val="000000" w:themeColor="text1"/>
                      <w:szCs w:val="21"/>
                      <w:highlight w:val="none"/>
                      <w14:textFill>
                        <w14:solidFill>
                          <w14:schemeClr w14:val="tx1"/>
                        </w14:solidFill>
                      </w14:textFill>
                    </w:rPr>
                  </w:pPr>
                  <w:r>
                    <w:rPr>
                      <w:rFonts w:hint="eastAsia"/>
                      <w:snapToGrid w:val="0"/>
                      <w:color w:val="000000" w:themeColor="text1"/>
                      <w:szCs w:val="21"/>
                      <w:highlight w:val="none"/>
                      <w14:textFill>
                        <w14:solidFill>
                          <w14:schemeClr w14:val="tx1"/>
                        </w14:solidFill>
                      </w14:textFill>
                    </w:rPr>
                    <w:t>0.000072</w:t>
                  </w:r>
                </w:p>
              </w:tc>
              <w:tc>
                <w:tcPr>
                  <w:tcW w:w="3402" w:type="dxa"/>
                  <w:vAlign w:val="center"/>
                </w:tcPr>
                <w:p w14:paraId="5120E93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w:t>
                  </w:r>
                </w:p>
              </w:tc>
            </w:tr>
            <w:tr w14:paraId="0EC0EF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3404947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14</w:t>
                  </w:r>
                </w:p>
              </w:tc>
              <w:tc>
                <w:tcPr>
                  <w:tcW w:w="708" w:type="dxa"/>
                  <w:vAlign w:val="center"/>
                </w:tcPr>
                <w:p w14:paraId="55A1561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废水</w:t>
                  </w:r>
                </w:p>
              </w:tc>
              <w:tc>
                <w:tcPr>
                  <w:tcW w:w="2713" w:type="dxa"/>
                  <w:gridSpan w:val="3"/>
                  <w:vAlign w:val="center"/>
                </w:tcPr>
                <w:p w14:paraId="63717C6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COD、氨氮、SS</w:t>
                  </w:r>
                </w:p>
              </w:tc>
              <w:tc>
                <w:tcPr>
                  <w:tcW w:w="1418" w:type="dxa"/>
                  <w:vAlign w:val="center"/>
                </w:tcPr>
                <w:p w14:paraId="18FCF3AE">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3402" w:type="dxa"/>
                  <w:vAlign w:val="center"/>
                </w:tcPr>
                <w:p w14:paraId="79C11D9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无生产生活废水外排</w:t>
                  </w:r>
                </w:p>
              </w:tc>
            </w:tr>
            <w:tr w14:paraId="63B541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29F1E44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15</w:t>
                  </w:r>
                </w:p>
              </w:tc>
              <w:tc>
                <w:tcPr>
                  <w:tcW w:w="708" w:type="dxa"/>
                  <w:vAlign w:val="center"/>
                </w:tcPr>
                <w:p w14:paraId="014EEE0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噪声</w:t>
                  </w:r>
                </w:p>
              </w:tc>
              <w:tc>
                <w:tcPr>
                  <w:tcW w:w="2713" w:type="dxa"/>
                  <w:gridSpan w:val="3"/>
                  <w:vAlign w:val="center"/>
                </w:tcPr>
                <w:p w14:paraId="1DAC637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噪声</w:t>
                  </w:r>
                </w:p>
              </w:tc>
              <w:tc>
                <w:tcPr>
                  <w:tcW w:w="1418" w:type="dxa"/>
                  <w:vAlign w:val="center"/>
                </w:tcPr>
                <w:p w14:paraId="5C38D2C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w:t>
                  </w:r>
                </w:p>
              </w:tc>
              <w:tc>
                <w:tcPr>
                  <w:tcW w:w="3402" w:type="dxa"/>
                  <w:vAlign w:val="center"/>
                </w:tcPr>
                <w:p w14:paraId="2500A25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《工业企业厂界环境噪声排放标准》（GB12348-2008）2类标准</w:t>
                  </w:r>
                </w:p>
              </w:tc>
            </w:tr>
            <w:tr w14:paraId="2982C0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951BFA6">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16</w:t>
                  </w:r>
                </w:p>
              </w:tc>
              <w:tc>
                <w:tcPr>
                  <w:tcW w:w="708" w:type="dxa"/>
                  <w:vMerge w:val="restart"/>
                  <w:vAlign w:val="center"/>
                </w:tcPr>
                <w:p w14:paraId="722187D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固废</w:t>
                  </w:r>
                </w:p>
              </w:tc>
              <w:tc>
                <w:tcPr>
                  <w:tcW w:w="962" w:type="dxa"/>
                  <w:vMerge w:val="restart"/>
                  <w:vAlign w:val="center"/>
                </w:tcPr>
                <w:p w14:paraId="00ACF719">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一般固废</w:t>
                  </w:r>
                </w:p>
              </w:tc>
              <w:tc>
                <w:tcPr>
                  <w:tcW w:w="1751" w:type="dxa"/>
                  <w:gridSpan w:val="2"/>
                  <w:vAlign w:val="center"/>
                </w:tcPr>
                <w:p w14:paraId="3712594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废砖坯</w:t>
                  </w:r>
                </w:p>
              </w:tc>
              <w:tc>
                <w:tcPr>
                  <w:tcW w:w="1418" w:type="dxa"/>
                  <w:vAlign w:val="center"/>
                </w:tcPr>
                <w:p w14:paraId="4090424E">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700</w:t>
                  </w:r>
                </w:p>
              </w:tc>
              <w:tc>
                <w:tcPr>
                  <w:tcW w:w="3402" w:type="dxa"/>
                  <w:vAlign w:val="center"/>
                </w:tcPr>
                <w:p w14:paraId="17F797B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2AB9F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43388F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17</w:t>
                  </w:r>
                </w:p>
              </w:tc>
              <w:tc>
                <w:tcPr>
                  <w:tcW w:w="708" w:type="dxa"/>
                  <w:vMerge w:val="continue"/>
                  <w:vAlign w:val="center"/>
                </w:tcPr>
                <w:p w14:paraId="32E1FA6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0B373DBF">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3834154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废砖</w:t>
                  </w:r>
                </w:p>
              </w:tc>
              <w:tc>
                <w:tcPr>
                  <w:tcW w:w="1418" w:type="dxa"/>
                  <w:vAlign w:val="center"/>
                </w:tcPr>
                <w:p w14:paraId="6B47776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200</w:t>
                  </w:r>
                </w:p>
              </w:tc>
              <w:tc>
                <w:tcPr>
                  <w:tcW w:w="3402" w:type="dxa"/>
                  <w:vAlign w:val="center"/>
                </w:tcPr>
                <w:p w14:paraId="6029DDB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集中收集</w:t>
                  </w:r>
                  <w:r>
                    <w:rPr>
                      <w:rFonts w:hint="eastAsia"/>
                      <w:bCs/>
                      <w:color w:val="000000" w:themeColor="text1"/>
                      <w:szCs w:val="21"/>
                      <w:highlight w:val="none"/>
                      <w14:textFill>
                        <w14:solidFill>
                          <w14:schemeClr w14:val="tx1"/>
                        </w14:solidFill>
                      </w14:textFill>
                    </w:rPr>
                    <w:t>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r>
            <w:tr w14:paraId="51222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6BBFEA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18</w:t>
                  </w:r>
                </w:p>
              </w:tc>
              <w:tc>
                <w:tcPr>
                  <w:tcW w:w="708" w:type="dxa"/>
                  <w:vMerge w:val="continue"/>
                  <w:vAlign w:val="center"/>
                </w:tcPr>
                <w:p w14:paraId="7B59B37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68E4FA3B">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2D6F423E">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除尘灰</w:t>
                  </w:r>
                </w:p>
              </w:tc>
              <w:tc>
                <w:tcPr>
                  <w:tcW w:w="1418" w:type="dxa"/>
                  <w:vAlign w:val="center"/>
                </w:tcPr>
                <w:p w14:paraId="2D584FD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96.228</w:t>
                  </w:r>
                </w:p>
              </w:tc>
              <w:tc>
                <w:tcPr>
                  <w:tcW w:w="3402" w:type="dxa"/>
                  <w:vAlign w:val="center"/>
                </w:tcPr>
                <w:p w14:paraId="514AAA18">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40A8B0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7784920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19</w:t>
                  </w:r>
                </w:p>
              </w:tc>
              <w:tc>
                <w:tcPr>
                  <w:tcW w:w="708" w:type="dxa"/>
                  <w:vMerge w:val="continue"/>
                  <w:vAlign w:val="center"/>
                </w:tcPr>
                <w:p w14:paraId="4DD882D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563B3910">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0F64505E">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废滤袋</w:t>
                  </w:r>
                </w:p>
              </w:tc>
              <w:tc>
                <w:tcPr>
                  <w:tcW w:w="1418" w:type="dxa"/>
                  <w:vAlign w:val="center"/>
                </w:tcPr>
                <w:p w14:paraId="365AD9B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0.5</w:t>
                  </w:r>
                </w:p>
              </w:tc>
              <w:tc>
                <w:tcPr>
                  <w:tcW w:w="3402" w:type="dxa"/>
                  <w:vAlign w:val="center"/>
                </w:tcPr>
                <w:p w14:paraId="0670D5E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集中收集</w:t>
                  </w:r>
                  <w:r>
                    <w:rPr>
                      <w:rFonts w:hint="eastAsia"/>
                      <w:bCs/>
                      <w:color w:val="000000" w:themeColor="text1"/>
                      <w:szCs w:val="21"/>
                      <w:highlight w:val="none"/>
                      <w14:textFill>
                        <w14:solidFill>
                          <w14:schemeClr w14:val="tx1"/>
                        </w14:solidFill>
                      </w14:textFill>
                    </w:rPr>
                    <w:t>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r>
            <w:tr w14:paraId="69932C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1B155984">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20</w:t>
                  </w:r>
                </w:p>
              </w:tc>
              <w:tc>
                <w:tcPr>
                  <w:tcW w:w="708" w:type="dxa"/>
                  <w:vMerge w:val="continue"/>
                  <w:vAlign w:val="center"/>
                </w:tcPr>
                <w:p w14:paraId="1119A19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38BE808A">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33886B9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脱硫石膏</w:t>
                  </w:r>
                </w:p>
              </w:tc>
              <w:tc>
                <w:tcPr>
                  <w:tcW w:w="1418" w:type="dxa"/>
                  <w:vAlign w:val="center"/>
                </w:tcPr>
                <w:p w14:paraId="49EC1F77">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167.5</w:t>
                  </w:r>
                </w:p>
              </w:tc>
              <w:tc>
                <w:tcPr>
                  <w:tcW w:w="3402" w:type="dxa"/>
                  <w:vAlign w:val="center"/>
                </w:tcPr>
                <w:p w14:paraId="4FFE929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6EAF77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1E4B242">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21</w:t>
                  </w:r>
                </w:p>
              </w:tc>
              <w:tc>
                <w:tcPr>
                  <w:tcW w:w="708" w:type="dxa"/>
                  <w:vMerge w:val="continue"/>
                  <w:vAlign w:val="center"/>
                </w:tcPr>
                <w:p w14:paraId="3364027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7B9A15EC">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0003B7A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除尘灰浆</w:t>
                  </w:r>
                </w:p>
              </w:tc>
              <w:tc>
                <w:tcPr>
                  <w:tcW w:w="1418" w:type="dxa"/>
                  <w:vAlign w:val="center"/>
                </w:tcPr>
                <w:p w14:paraId="1C7173F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33.327</w:t>
                  </w:r>
                </w:p>
              </w:tc>
              <w:tc>
                <w:tcPr>
                  <w:tcW w:w="3402" w:type="dxa"/>
                  <w:vAlign w:val="center"/>
                </w:tcPr>
                <w:p w14:paraId="6097268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091AD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6761CA5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22</w:t>
                  </w:r>
                </w:p>
              </w:tc>
              <w:tc>
                <w:tcPr>
                  <w:tcW w:w="708" w:type="dxa"/>
                  <w:vMerge w:val="continue"/>
                  <w:vAlign w:val="center"/>
                </w:tcPr>
                <w:p w14:paraId="1A17331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6FDB905F">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05297AB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废包装袋</w:t>
                  </w:r>
                </w:p>
              </w:tc>
              <w:tc>
                <w:tcPr>
                  <w:tcW w:w="1418" w:type="dxa"/>
                  <w:vAlign w:val="center"/>
                </w:tcPr>
                <w:p w14:paraId="222C88F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0.02</w:t>
                  </w:r>
                </w:p>
              </w:tc>
              <w:tc>
                <w:tcPr>
                  <w:tcW w:w="3402" w:type="dxa"/>
                  <w:vAlign w:val="center"/>
                </w:tcPr>
                <w:p w14:paraId="10F61BB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集中收集暂存于生产车间一般固废暂存区，定期外售</w:t>
                  </w:r>
                </w:p>
              </w:tc>
            </w:tr>
            <w:tr w14:paraId="084DFD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92AFA3F">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23</w:t>
                  </w:r>
                </w:p>
              </w:tc>
              <w:tc>
                <w:tcPr>
                  <w:tcW w:w="708" w:type="dxa"/>
                  <w:vMerge w:val="continue"/>
                  <w:vAlign w:val="center"/>
                </w:tcPr>
                <w:p w14:paraId="1FCEDC9B">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4A9EA24C">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1363E7C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洗车平台污泥</w:t>
                  </w:r>
                </w:p>
              </w:tc>
              <w:tc>
                <w:tcPr>
                  <w:tcW w:w="1418" w:type="dxa"/>
                  <w:vAlign w:val="center"/>
                </w:tcPr>
                <w:p w14:paraId="2088A5E7">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7</w:t>
                  </w:r>
                </w:p>
              </w:tc>
              <w:tc>
                <w:tcPr>
                  <w:tcW w:w="3402" w:type="dxa"/>
                  <w:vAlign w:val="center"/>
                </w:tcPr>
                <w:p w14:paraId="4996C0B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定期清理，回用于生产</w:t>
                  </w:r>
                </w:p>
              </w:tc>
            </w:tr>
            <w:tr w14:paraId="123A04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A88A2C6">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24</w:t>
                  </w:r>
                </w:p>
              </w:tc>
              <w:tc>
                <w:tcPr>
                  <w:tcW w:w="708" w:type="dxa"/>
                  <w:vMerge w:val="continue"/>
                  <w:vAlign w:val="center"/>
                </w:tcPr>
                <w:p w14:paraId="52074C23">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restart"/>
                  <w:vAlign w:val="center"/>
                </w:tcPr>
                <w:p w14:paraId="7EFE1A8A">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危险废物</w:t>
                  </w:r>
                </w:p>
              </w:tc>
              <w:tc>
                <w:tcPr>
                  <w:tcW w:w="1751" w:type="dxa"/>
                  <w:gridSpan w:val="2"/>
                  <w:vAlign w:val="center"/>
                </w:tcPr>
                <w:p w14:paraId="7200054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废润滑油</w:t>
                  </w:r>
                </w:p>
              </w:tc>
              <w:tc>
                <w:tcPr>
                  <w:tcW w:w="1418" w:type="dxa"/>
                  <w:vAlign w:val="center"/>
                </w:tcPr>
                <w:p w14:paraId="32B7CA6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r>
                    <w:rPr>
                      <w:rFonts w:hint="eastAsia"/>
                      <w:bCs/>
                      <w:color w:val="000000" w:themeColor="text1"/>
                      <w:szCs w:val="21"/>
                      <w:highlight w:val="none"/>
                      <w14:textFill>
                        <w14:solidFill>
                          <w14:schemeClr w14:val="tx1"/>
                        </w14:solidFill>
                      </w14:textFill>
                    </w:rPr>
                    <w:t>1</w:t>
                  </w:r>
                </w:p>
              </w:tc>
              <w:tc>
                <w:tcPr>
                  <w:tcW w:w="3402" w:type="dxa"/>
                  <w:vAlign w:val="center"/>
                </w:tcPr>
                <w:p w14:paraId="227A0091">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采用专用容器贮存，暂存危废间，委托有资质的单位处理</w:t>
                  </w:r>
                </w:p>
              </w:tc>
            </w:tr>
            <w:tr w14:paraId="48ABB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08F521F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25</w:t>
                  </w:r>
                </w:p>
              </w:tc>
              <w:tc>
                <w:tcPr>
                  <w:tcW w:w="708" w:type="dxa"/>
                  <w:vMerge w:val="continue"/>
                  <w:vAlign w:val="center"/>
                </w:tcPr>
                <w:p w14:paraId="3B759236">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0A0E3EAB">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4FBDBB49">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废油桶</w:t>
                  </w:r>
                </w:p>
              </w:tc>
              <w:tc>
                <w:tcPr>
                  <w:tcW w:w="1418" w:type="dxa"/>
                  <w:vAlign w:val="center"/>
                </w:tcPr>
                <w:p w14:paraId="7D9579F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r>
                    <w:rPr>
                      <w:rFonts w:hint="eastAsia"/>
                      <w:bCs/>
                      <w:color w:val="000000" w:themeColor="text1"/>
                      <w:szCs w:val="21"/>
                      <w:highlight w:val="none"/>
                      <w14:textFill>
                        <w14:solidFill>
                          <w14:schemeClr w14:val="tx1"/>
                        </w14:solidFill>
                      </w14:textFill>
                    </w:rPr>
                    <w:t>1</w:t>
                  </w:r>
                </w:p>
              </w:tc>
              <w:tc>
                <w:tcPr>
                  <w:tcW w:w="3402" w:type="dxa"/>
                  <w:vAlign w:val="center"/>
                </w:tcPr>
                <w:p w14:paraId="359D04CA">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密封，暂存危废间，委托有资质的单位处理</w:t>
                  </w:r>
                </w:p>
              </w:tc>
            </w:tr>
            <w:tr w14:paraId="772EBA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93" w:type="dxa"/>
                  <w:vAlign w:val="center"/>
                </w:tcPr>
                <w:p w14:paraId="52243086">
                  <w:pPr>
                    <w:adjustRightInd w:val="0"/>
                    <w:snapToGrid w:val="0"/>
                    <w:spacing w:line="260" w:lineRule="exact"/>
                    <w:ind w:left="-105" w:leftChars="-50" w:right="-105" w:rightChars="-50"/>
                    <w:jc w:val="center"/>
                    <w:rPr>
                      <w:rFonts w:hint="eastAsia" w:eastAsia="宋体"/>
                      <w:bCs/>
                      <w:color w:val="000000" w:themeColor="text1"/>
                      <w:szCs w:val="21"/>
                      <w:highlight w:val="none"/>
                      <w:lang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2</w:t>
                  </w:r>
                  <w:r>
                    <w:rPr>
                      <w:rFonts w:hint="eastAsia"/>
                      <w:bCs/>
                      <w:color w:val="000000" w:themeColor="text1"/>
                      <w:szCs w:val="21"/>
                      <w:highlight w:val="none"/>
                      <w:lang w:val="en-US" w:eastAsia="zh-CN"/>
                      <w14:textFill>
                        <w14:solidFill>
                          <w14:schemeClr w14:val="tx1"/>
                        </w14:solidFill>
                      </w14:textFill>
                    </w:rPr>
                    <w:t>6</w:t>
                  </w:r>
                </w:p>
              </w:tc>
              <w:tc>
                <w:tcPr>
                  <w:tcW w:w="708" w:type="dxa"/>
                  <w:vMerge w:val="continue"/>
                  <w:vAlign w:val="center"/>
                </w:tcPr>
                <w:p w14:paraId="429AE3DD">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p>
              </w:tc>
              <w:tc>
                <w:tcPr>
                  <w:tcW w:w="962" w:type="dxa"/>
                  <w:vMerge w:val="continue"/>
                  <w:vAlign w:val="center"/>
                </w:tcPr>
                <w:p w14:paraId="0ADF273E">
                  <w:pPr>
                    <w:adjustRightInd w:val="0"/>
                    <w:snapToGrid w:val="0"/>
                    <w:spacing w:line="260" w:lineRule="exact"/>
                    <w:ind w:right="-105" w:rightChars="-50"/>
                    <w:jc w:val="center"/>
                    <w:rPr>
                      <w:bCs/>
                      <w:color w:val="000000" w:themeColor="text1"/>
                      <w:szCs w:val="21"/>
                      <w:highlight w:val="none"/>
                      <w14:textFill>
                        <w14:solidFill>
                          <w14:schemeClr w14:val="tx1"/>
                        </w14:solidFill>
                      </w14:textFill>
                    </w:rPr>
                  </w:pPr>
                </w:p>
              </w:tc>
              <w:tc>
                <w:tcPr>
                  <w:tcW w:w="1751" w:type="dxa"/>
                  <w:gridSpan w:val="2"/>
                  <w:vAlign w:val="center"/>
                </w:tcPr>
                <w:p w14:paraId="4E107C74">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废活性炭</w:t>
                  </w:r>
                </w:p>
              </w:tc>
              <w:tc>
                <w:tcPr>
                  <w:tcW w:w="1418" w:type="dxa"/>
                  <w:vAlign w:val="center"/>
                </w:tcPr>
                <w:p w14:paraId="7BC63845">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3402" w:type="dxa"/>
                  <w:vAlign w:val="center"/>
                </w:tcPr>
                <w:p w14:paraId="3AFF6320">
                  <w:pPr>
                    <w:adjustRightInd w:val="0"/>
                    <w:snapToGrid w:val="0"/>
                    <w:spacing w:line="26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采用内塑外编的包装袋收集封口，暂存危废间，委托有资质的单位处理</w:t>
                  </w:r>
                </w:p>
              </w:tc>
            </w:tr>
          </w:tbl>
          <w:p w14:paraId="35FAFB53">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hAnsi="宋体"/>
                <w:bCs/>
                <w:color w:val="000000" w:themeColor="text1"/>
                <w:sz w:val="24"/>
                <w:highlight w:val="none"/>
                <w14:textFill>
                  <w14:solidFill>
                    <w14:schemeClr w14:val="tx1"/>
                  </w14:solidFill>
                </w14:textFill>
              </w:rPr>
              <w:t>现有工程</w:t>
            </w:r>
            <w:r>
              <w:rPr>
                <w:rFonts w:hint="eastAsia"/>
                <w:bCs/>
                <w:color w:val="000000" w:themeColor="text1"/>
                <w:sz w:val="24"/>
                <w:highlight w:val="none"/>
                <w14:textFill>
                  <w14:solidFill>
                    <w14:schemeClr w14:val="tx1"/>
                  </w14:solidFill>
                </w14:textFill>
              </w:rPr>
              <w:t>实际排放量满足总量控制指标要求。</w:t>
            </w:r>
          </w:p>
          <w:p w14:paraId="0938FACF">
            <w:pPr>
              <w:adjustRightInd w:val="0"/>
              <w:snapToGrid w:val="0"/>
              <w:spacing w:line="480" w:lineRule="exac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五、现有工程存在的环境问题及整改措施</w:t>
            </w:r>
          </w:p>
          <w:p w14:paraId="58C172B7">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根据《固定污染源排污许可分类管理名录》（2019年版），滦县翼翔新型建材有限公司行业类别为“</w:t>
            </w:r>
            <w:r>
              <w:rPr>
                <w:rFonts w:hint="eastAsia"/>
                <w:bCs/>
                <w:color w:val="000000" w:themeColor="text1"/>
                <w:sz w:val="24"/>
                <w:highlight w:val="none"/>
                <w14:textFill>
                  <w14:solidFill>
                    <w14:schemeClr w14:val="tx1"/>
                  </w14:solidFill>
                </w14:textFill>
              </w:rPr>
              <w:t>二十五</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非金属矿物制品业</w:t>
            </w:r>
            <w:r>
              <w:rPr>
                <w:bCs/>
                <w:color w:val="000000" w:themeColor="text1"/>
                <w:sz w:val="24"/>
                <w:highlight w:val="none"/>
                <w14:textFill>
                  <w14:solidFill>
                    <w14:schemeClr w14:val="tx1"/>
                  </w14:solidFill>
                </w14:textFill>
              </w:rPr>
              <w:t>”中“</w:t>
            </w:r>
            <w:r>
              <w:rPr>
                <w:rFonts w:hint="eastAsia"/>
                <w:bCs/>
                <w:color w:val="000000" w:themeColor="text1"/>
                <w:sz w:val="24"/>
                <w:highlight w:val="none"/>
                <w14:textFill>
                  <w14:solidFill>
                    <w14:schemeClr w14:val="tx1"/>
                  </w14:solidFill>
                </w14:textFill>
              </w:rPr>
              <w:t>64</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粘土砖瓦及建筑砌块制造3031（以煤或者煤矸石为燃料的烧结砖瓦）</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管理类别属于重点管理。建设单位</w:t>
            </w:r>
            <w:r>
              <w:rPr>
                <w:bCs/>
                <w:color w:val="000000" w:themeColor="text1"/>
                <w:sz w:val="24"/>
                <w:highlight w:val="none"/>
                <w14:textFill>
                  <w14:solidFill>
                    <w14:schemeClr w14:val="tx1"/>
                  </w14:solidFill>
                </w14:textFill>
              </w:rPr>
              <w:t>已</w:t>
            </w:r>
            <w:r>
              <w:rPr>
                <w:rFonts w:hint="eastAsia"/>
                <w:bCs/>
                <w:color w:val="000000" w:themeColor="text1"/>
                <w:sz w:val="24"/>
                <w:highlight w:val="none"/>
                <w14:textFill>
                  <w14:solidFill>
                    <w14:schemeClr w14:val="tx1"/>
                  </w14:solidFill>
                </w14:textFill>
              </w:rPr>
              <w:t>取得排污许可证</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证书编号：911302235560610877001V，有效期至20</w:t>
            </w:r>
            <w:r>
              <w:rPr>
                <w:rFonts w:hint="eastAsia"/>
                <w:bCs/>
                <w:color w:val="000000" w:themeColor="text1"/>
                <w:sz w:val="24"/>
                <w:highlight w:val="none"/>
                <w:lang w:val="en-US" w:eastAsia="zh-CN"/>
                <w14:textFill>
                  <w14:solidFill>
                    <w14:schemeClr w14:val="tx1"/>
                  </w14:solidFill>
                </w14:textFill>
              </w:rPr>
              <w:t>30</w:t>
            </w:r>
            <w:r>
              <w:rPr>
                <w:rFonts w:hint="eastAsia"/>
                <w:bCs/>
                <w:color w:val="000000" w:themeColor="text1"/>
                <w:sz w:val="24"/>
                <w:highlight w:val="none"/>
                <w14:textFill>
                  <w14:solidFill>
                    <w14:schemeClr w14:val="tx1"/>
                  </w14:solidFill>
                </w14:textFill>
              </w:rPr>
              <w:t>年0</w:t>
            </w:r>
            <w:r>
              <w:rPr>
                <w:rFonts w:hint="eastAsia"/>
                <w:bCs/>
                <w:color w:val="000000" w:themeColor="text1"/>
                <w:sz w:val="24"/>
                <w:highlight w:val="none"/>
                <w:lang w:val="en-US" w:eastAsia="zh-CN"/>
                <w14:textFill>
                  <w14:solidFill>
                    <w14:schemeClr w14:val="tx1"/>
                  </w14:solidFill>
                </w14:textFill>
              </w:rPr>
              <w:t>7</w:t>
            </w:r>
            <w:r>
              <w:rPr>
                <w:rFonts w:hint="eastAsia"/>
                <w:bCs/>
                <w:color w:val="000000" w:themeColor="text1"/>
                <w:sz w:val="24"/>
                <w:highlight w:val="none"/>
                <w14:textFill>
                  <w14:solidFill>
                    <w14:schemeClr w14:val="tx1"/>
                  </w14:solidFill>
                </w14:textFill>
              </w:rPr>
              <w:t>月</w:t>
            </w:r>
            <w:r>
              <w:rPr>
                <w:rFonts w:hint="eastAsia"/>
                <w:bCs/>
                <w:color w:val="000000" w:themeColor="text1"/>
                <w:sz w:val="24"/>
                <w:highlight w:val="none"/>
                <w:lang w:val="en-US" w:eastAsia="zh-CN"/>
                <w14:textFill>
                  <w14:solidFill>
                    <w14:schemeClr w14:val="tx1"/>
                  </w14:solidFill>
                </w14:textFill>
              </w:rPr>
              <w:t>10</w:t>
            </w:r>
            <w:r>
              <w:rPr>
                <w:rFonts w:hint="eastAsia"/>
                <w:bCs/>
                <w:color w:val="000000" w:themeColor="text1"/>
                <w:sz w:val="24"/>
                <w:highlight w:val="none"/>
                <w14:textFill>
                  <w14:solidFill>
                    <w14:schemeClr w14:val="tx1"/>
                  </w14:solidFill>
                </w14:textFill>
              </w:rPr>
              <w:t>日</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企业已</w:t>
            </w:r>
            <w:r>
              <w:rPr>
                <w:bCs/>
                <w:color w:val="000000" w:themeColor="text1"/>
                <w:sz w:val="24"/>
                <w:highlight w:val="none"/>
                <w14:textFill>
                  <w14:solidFill>
                    <w14:schemeClr w14:val="tx1"/>
                  </w14:solidFill>
                </w14:textFill>
              </w:rPr>
              <w:t>按照要求规范排污口，设置明显标识，</w:t>
            </w:r>
            <w:r>
              <w:rPr>
                <w:rFonts w:hint="eastAsia"/>
                <w:bCs/>
                <w:color w:val="000000" w:themeColor="text1"/>
                <w:sz w:val="24"/>
                <w:highlight w:val="none"/>
                <w14:textFill>
                  <w14:solidFill>
                    <w14:schemeClr w14:val="tx1"/>
                  </w14:solidFill>
                </w14:textFill>
              </w:rPr>
              <w:t>标志牌清晰、完整。</w:t>
            </w:r>
            <w:r>
              <w:rPr>
                <w:bCs/>
                <w:color w:val="000000" w:themeColor="text1"/>
                <w:sz w:val="24"/>
                <w:highlight w:val="none"/>
                <w14:textFill>
                  <w14:solidFill>
                    <w14:schemeClr w14:val="tx1"/>
                  </w14:solidFill>
                </w14:textFill>
              </w:rPr>
              <w:t>注明污染物排放种类、排放浓度等相关信息。</w:t>
            </w:r>
            <w:r>
              <w:rPr>
                <w:rFonts w:hint="eastAsia"/>
                <w:bCs/>
                <w:color w:val="000000" w:themeColor="text1"/>
                <w:sz w:val="24"/>
                <w:highlight w:val="none"/>
                <w14:textFill>
                  <w14:solidFill>
                    <w14:schemeClr w14:val="tx1"/>
                  </w14:solidFill>
                </w14:textFill>
              </w:rPr>
              <w:t>满足排污口规范化要求。按重点管理相关要求及地方主管部门要求，进行环境管理。按规定频次进行自行监测，按时提交排污许可执行报告。</w:t>
            </w:r>
          </w:p>
          <w:p w14:paraId="591DE016">
            <w:pPr>
              <w:adjustRightInd w:val="0"/>
              <w:snapToGrid w:val="0"/>
              <w:spacing w:line="480" w:lineRule="exact"/>
              <w:ind w:firstLine="480" w:firstLineChars="200"/>
              <w:rPr>
                <w:rFonts w:hint="eastAsia"/>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经查阅现有资料并结合现场踏勘情况，现有工程执行了环评制度。废气均采取了可行治理措施，现有废气污染防治技术不属于《国家污染防治技术指导目录》（</w:t>
            </w:r>
            <w:r>
              <w:rPr>
                <w:bCs/>
                <w:color w:val="000000" w:themeColor="text1"/>
                <w:sz w:val="24"/>
                <w:highlight w:val="none"/>
                <w14:textFill>
                  <w14:solidFill>
                    <w14:schemeClr w14:val="tx1"/>
                  </w14:solidFill>
                </w14:textFill>
              </w:rPr>
              <w:t>2024</w:t>
            </w:r>
            <w:r>
              <w:rPr>
                <w:rFonts w:hint="eastAsia"/>
                <w:bCs/>
                <w:color w:val="000000" w:themeColor="text1"/>
                <w:sz w:val="24"/>
                <w:highlight w:val="none"/>
                <w14:textFill>
                  <w14:solidFill>
                    <w14:schemeClr w14:val="tx1"/>
                  </w14:solidFill>
                </w14:textFill>
              </w:rPr>
              <w:t>年，限制类和淘汰类）中的限制类和淘汰类防治技术，满足当前政策要求，可实现废气稳定达标排放，已按要求安装烟气在线监测设施，按主管部门要求进行环保整治提升改造并通过验收；无生产、生活废水外排；噪声厂界达标；固废得到妥善处置；严格落实了各项风险防范措施，未发生重大环境风险事件。按要求执行排污许可制度。企业生产活动对敏感点影响较小。企业无环境投诉、违法记录，无环境信访问题。</w:t>
            </w:r>
          </w:p>
          <w:p w14:paraId="49194C31">
            <w:pPr>
              <w:numPr>
                <w:ilvl w:val="0"/>
                <w:numId w:val="7"/>
              </w:numPr>
              <w:adjustRightInd w:val="0"/>
              <w:snapToGrid w:val="0"/>
              <w:spacing w:line="480" w:lineRule="exact"/>
              <w:ind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环境问题</w:t>
            </w:r>
          </w:p>
          <w:p w14:paraId="66E1F1D3">
            <w:pPr>
              <w:numPr>
                <w:ilvl w:val="0"/>
                <w:numId w:val="0"/>
              </w:numPr>
              <w:adjustRightInd w:val="0"/>
              <w:snapToGrid w:val="0"/>
              <w:spacing w:line="480" w:lineRule="exact"/>
              <w:ind w:firstLine="480" w:firstLineChars="200"/>
              <w:rPr>
                <w:rFonts w:hint="default" w:eastAsia="宋体"/>
                <w:bCs/>
                <w:color w:val="000000" w:themeColor="text1"/>
                <w:sz w:val="24"/>
                <w:highlight w:val="none"/>
                <w:vertAlign w:val="baseli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现有隧道窑</w:t>
            </w:r>
            <w:r>
              <w:rPr>
                <w:rFonts w:hint="eastAsia"/>
                <w:bCs/>
                <w:color w:val="000000" w:themeColor="text1"/>
                <w:sz w:val="24"/>
                <w:highlight w:val="none"/>
                <w14:textFill>
                  <w14:solidFill>
                    <w14:schemeClr w14:val="tx1"/>
                  </w14:solidFill>
                </w14:textFill>
              </w:rPr>
              <w:t>废气经石灰-石膏法脱硫+氧化法脱硝+湿式电除尘器处理后</w:t>
            </w:r>
            <w:r>
              <w:rPr>
                <w:rFonts w:hint="eastAsia"/>
                <w:bCs/>
                <w:color w:val="000000" w:themeColor="text1"/>
                <w:sz w:val="24"/>
                <w:highlight w:val="none"/>
                <w:lang w:val="en-US" w:eastAsia="zh-CN"/>
                <w14:textFill>
                  <w14:solidFill>
                    <w14:schemeClr w14:val="tx1"/>
                  </w14:solidFill>
                </w14:textFill>
              </w:rPr>
              <w:t>通过</w:t>
            </w:r>
            <w:r>
              <w:rPr>
                <w:bCs/>
                <w:color w:val="000000" w:themeColor="text1"/>
                <w:sz w:val="24"/>
                <w:highlight w:val="none"/>
                <w14:textFill>
                  <w14:solidFill>
                    <w14:schemeClr w14:val="tx1"/>
                  </w14:solidFill>
                </w14:textFill>
              </w:rPr>
              <w:t>38m高排气筒排放</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根据现有监测数据可知，隧道窑</w:t>
            </w:r>
            <w:r>
              <w:rPr>
                <w:rFonts w:hint="eastAsia"/>
                <w:bCs/>
                <w:color w:val="000000" w:themeColor="text1"/>
                <w:sz w:val="24"/>
                <w:highlight w:val="none"/>
                <w14:textFill>
                  <w14:solidFill>
                    <w14:schemeClr w14:val="tx1"/>
                  </w14:solidFill>
                </w14:textFill>
              </w:rPr>
              <w:t>废气</w:t>
            </w:r>
            <w:r>
              <w:rPr>
                <w:rFonts w:hint="eastAsia"/>
                <w:bCs/>
                <w:color w:val="000000" w:themeColor="text1"/>
                <w:sz w:val="24"/>
                <w:highlight w:val="none"/>
                <w:lang w:val="en-US" w:eastAsia="zh-CN"/>
                <w14:textFill>
                  <w14:solidFill>
                    <w14:schemeClr w14:val="tx1"/>
                  </w14:solidFill>
                </w14:textFill>
              </w:rPr>
              <w:t>中NOx排放浓度为57~73mg/m</w:t>
            </w:r>
            <w:r>
              <w:rPr>
                <w:rFonts w:hint="eastAsia"/>
                <w:bCs/>
                <w:color w:val="000000" w:themeColor="text1"/>
                <w:sz w:val="24"/>
                <w:highlight w:val="none"/>
                <w:vertAlign w:val="superscript"/>
                <w:lang w:val="en-US" w:eastAsia="zh-CN"/>
                <w14:textFill>
                  <w14:solidFill>
                    <w14:schemeClr w14:val="tx1"/>
                  </w14:solidFill>
                </w14:textFill>
              </w:rPr>
              <w:t>3</w:t>
            </w:r>
            <w:r>
              <w:rPr>
                <w:rFonts w:hint="eastAsia"/>
                <w:bCs/>
                <w:color w:val="000000" w:themeColor="text1"/>
                <w:sz w:val="24"/>
                <w:highlight w:val="none"/>
                <w:vertAlign w:val="baseline"/>
                <w:lang w:val="en-US" w:eastAsia="zh-CN"/>
                <w14:textFill>
                  <w14:solidFill>
                    <w14:schemeClr w14:val="tx1"/>
                  </w14:solidFill>
                </w14:textFill>
              </w:rPr>
              <w:t>，本次改扩建后隧道窑烟气执行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2大气污染物排放限值要求，即</w:t>
            </w:r>
            <w:r>
              <w:rPr>
                <w:rFonts w:hint="eastAsia"/>
                <w:bCs/>
                <w:color w:val="000000" w:themeColor="text1"/>
                <w:sz w:val="24"/>
                <w:highlight w:val="none"/>
                <w:lang w:val="en-US" w:eastAsia="zh-CN"/>
                <w14:textFill>
                  <w14:solidFill>
                    <w14:schemeClr w14:val="tx1"/>
                  </w14:solidFill>
                </w14:textFill>
              </w:rPr>
              <w:t>NOx≤50mg/m</w:t>
            </w:r>
            <w:r>
              <w:rPr>
                <w:rFonts w:hint="eastAsia"/>
                <w:bCs/>
                <w:color w:val="000000" w:themeColor="text1"/>
                <w:sz w:val="24"/>
                <w:highlight w:val="none"/>
                <w:vertAlign w:val="superscript"/>
                <w:lang w:val="en-US" w:eastAsia="zh-CN"/>
                <w14:textFill>
                  <w14:solidFill>
                    <w14:schemeClr w14:val="tx1"/>
                  </w14:solidFill>
                </w14:textFill>
              </w:rPr>
              <w:t>3</w:t>
            </w:r>
            <w:r>
              <w:rPr>
                <w:rFonts w:hint="eastAsia"/>
                <w:bCs/>
                <w:color w:val="000000" w:themeColor="text1"/>
                <w:sz w:val="24"/>
                <w:highlight w:val="none"/>
                <w:vertAlign w:val="baseline"/>
                <w:lang w:val="en-US" w:eastAsia="zh-CN"/>
                <w14:textFill>
                  <w14:solidFill>
                    <w14:schemeClr w14:val="tx1"/>
                  </w14:solidFill>
                </w14:textFill>
              </w:rPr>
              <w:t>。</w:t>
            </w:r>
          </w:p>
          <w:p w14:paraId="1AEB835F">
            <w:pPr>
              <w:numPr>
                <w:ilvl w:val="0"/>
                <w:numId w:val="7"/>
              </w:numPr>
              <w:adjustRightInd w:val="0"/>
              <w:snapToGrid w:val="0"/>
              <w:spacing w:line="480" w:lineRule="exact"/>
              <w:ind w:left="0" w:leftChars="0"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整改方案</w:t>
            </w:r>
          </w:p>
          <w:p w14:paraId="7979A6F2">
            <w:pPr>
              <w:numPr>
                <w:ilvl w:val="0"/>
                <w:numId w:val="0"/>
              </w:num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本项目实施拟将</w:t>
            </w:r>
            <w:r>
              <w:rPr>
                <w:rFonts w:hint="eastAsia"/>
                <w:bCs/>
                <w:color w:val="000000" w:themeColor="text1"/>
                <w:sz w:val="24"/>
                <w:highlight w:val="none"/>
                <w14:textFill>
                  <w14:solidFill>
                    <w14:schemeClr w14:val="tx1"/>
                  </w14:solidFill>
                </w14:textFill>
              </w:rPr>
              <w:t>氧化法脱硝</w:t>
            </w:r>
            <w:r>
              <w:rPr>
                <w:rFonts w:hint="eastAsia"/>
                <w:bCs/>
                <w:color w:val="000000" w:themeColor="text1"/>
                <w:sz w:val="24"/>
                <w:highlight w:val="none"/>
                <w:lang w:val="en-US" w:eastAsia="zh-CN"/>
                <w14:textFill>
                  <w14:solidFill>
                    <w14:schemeClr w14:val="tx1"/>
                  </w14:solidFill>
                </w14:textFill>
              </w:rPr>
              <w:t>工艺变更为SNCR脱硝，本项目实施后隧道窑</w:t>
            </w:r>
            <w:r>
              <w:rPr>
                <w:rFonts w:hint="eastAsia"/>
                <w:bCs/>
                <w:color w:val="000000" w:themeColor="text1"/>
                <w:sz w:val="24"/>
                <w:highlight w:val="none"/>
                <w14:textFill>
                  <w14:solidFill>
                    <w14:schemeClr w14:val="tx1"/>
                  </w14:solidFill>
                </w14:textFill>
              </w:rPr>
              <w:t>废气经</w:t>
            </w:r>
            <w:r>
              <w:rPr>
                <w:rFonts w:hint="eastAsia"/>
                <w:bCs/>
                <w:color w:val="000000" w:themeColor="text1"/>
                <w:sz w:val="24"/>
                <w:highlight w:val="none"/>
                <w:lang w:val="en-US" w:eastAsia="zh-CN"/>
                <w14:textFill>
                  <w14:solidFill>
                    <w14:schemeClr w14:val="tx1"/>
                  </w14:solidFill>
                </w14:textFill>
              </w:rPr>
              <w:t>SNCR脱硝+</w:t>
            </w:r>
            <w:r>
              <w:rPr>
                <w:rFonts w:hint="eastAsia"/>
                <w:bCs/>
                <w:color w:val="000000" w:themeColor="text1"/>
                <w:sz w:val="24"/>
                <w:highlight w:val="none"/>
                <w14:textFill>
                  <w14:solidFill>
                    <w14:schemeClr w14:val="tx1"/>
                  </w14:solidFill>
                </w14:textFill>
              </w:rPr>
              <w:t>石灰-石膏法脱硫+湿式电除尘器处理后</w:t>
            </w:r>
            <w:r>
              <w:rPr>
                <w:rFonts w:hint="eastAsia"/>
                <w:bCs/>
                <w:color w:val="000000" w:themeColor="text1"/>
                <w:sz w:val="24"/>
                <w:highlight w:val="none"/>
                <w:lang w:val="en-US" w:eastAsia="zh-CN"/>
                <w14:textFill>
                  <w14:solidFill>
                    <w14:schemeClr w14:val="tx1"/>
                  </w14:solidFill>
                </w14:textFill>
              </w:rPr>
              <w:t>通过</w:t>
            </w:r>
            <w:r>
              <w:rPr>
                <w:bCs/>
                <w:color w:val="000000" w:themeColor="text1"/>
                <w:sz w:val="24"/>
                <w:highlight w:val="none"/>
                <w14:textFill>
                  <w14:solidFill>
                    <w14:schemeClr w14:val="tx1"/>
                  </w14:solidFill>
                </w14:textFill>
              </w:rPr>
              <w:t>38m高排气筒排放</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NOx排放满足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2大气污染物排放限值要求，即</w:t>
            </w:r>
            <w:r>
              <w:rPr>
                <w:rFonts w:hint="eastAsia"/>
                <w:bCs/>
                <w:color w:val="000000" w:themeColor="text1"/>
                <w:sz w:val="24"/>
                <w:highlight w:val="none"/>
                <w:lang w:val="en-US" w:eastAsia="zh-CN"/>
                <w14:textFill>
                  <w14:solidFill>
                    <w14:schemeClr w14:val="tx1"/>
                  </w14:solidFill>
                </w14:textFill>
              </w:rPr>
              <w:t>NOx≤50mg/m</w:t>
            </w:r>
            <w:r>
              <w:rPr>
                <w:rFonts w:hint="eastAsia"/>
                <w:bCs/>
                <w:color w:val="000000" w:themeColor="text1"/>
                <w:sz w:val="24"/>
                <w:highlight w:val="none"/>
                <w:vertAlign w:val="superscript"/>
                <w:lang w:val="en-US" w:eastAsia="zh-CN"/>
                <w14:textFill>
                  <w14:solidFill>
                    <w14:schemeClr w14:val="tx1"/>
                  </w14:solidFill>
                </w14:textFill>
              </w:rPr>
              <w:t>3</w:t>
            </w:r>
            <w:r>
              <w:rPr>
                <w:rFonts w:hint="eastAsia"/>
                <w:bCs/>
                <w:color w:val="000000" w:themeColor="text1"/>
                <w:sz w:val="24"/>
                <w:highlight w:val="none"/>
                <w:vertAlign w:val="baseline"/>
                <w:lang w:val="en-US" w:eastAsia="zh-CN"/>
                <w14:textFill>
                  <w14:solidFill>
                    <w14:schemeClr w14:val="tx1"/>
                  </w14:solidFill>
                </w14:textFill>
              </w:rPr>
              <w:t>。</w:t>
            </w:r>
          </w:p>
        </w:tc>
      </w:tr>
    </w:tbl>
    <w:p w14:paraId="08D1A430">
      <w:pPr>
        <w:pStyle w:val="20"/>
        <w:ind w:left="-105" w:right="-105"/>
        <w:jc w:val="center"/>
        <w:rPr>
          <w:rFonts w:ascii="黑体" w:hAnsi="黑体" w:eastAsia="黑体"/>
          <w:snapToGrid w:val="0"/>
          <w:color w:val="000000" w:themeColor="text1"/>
          <w:sz w:val="36"/>
          <w:szCs w:val="36"/>
          <w:highlight w:val="green"/>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501EA3FC">
      <w:pPr>
        <w:pStyle w:val="84"/>
        <w:keepNext w:val="0"/>
        <w:keepLines w:val="0"/>
        <w:pageBreakBefore w:val="0"/>
        <w:widowControl w:val="0"/>
        <w:kinsoku/>
        <w:wordWrap/>
        <w:overflowPunct/>
        <w:topLinePunct w:val="0"/>
        <w:autoSpaceDE/>
        <w:autoSpaceDN/>
        <w:bidi w:val="0"/>
        <w:adjustRightInd/>
        <w:snapToGrid/>
        <w:spacing w:line="500" w:lineRule="exact"/>
        <w:ind w:firstLine="616" w:firstLineChars="200"/>
        <w:jc w:val="center"/>
        <w:textAlignment w:val="auto"/>
        <w:outlineLvl w:val="0"/>
        <w:rPr>
          <w:rFonts w:hint="eastAsia" w:ascii="黑体" w:hAnsi="黑体" w:eastAsia="黑体" w:cs="黑体"/>
          <w:spacing w:val="4"/>
          <w:sz w:val="30"/>
          <w:szCs w:val="30"/>
          <w:highlight w:val="none"/>
        </w:rPr>
      </w:pPr>
      <w:bookmarkStart w:id="16" w:name="_Toc112747265"/>
      <w:r>
        <w:rPr>
          <w:rFonts w:hint="eastAsia" w:ascii="黑体" w:hAnsi="黑体" w:eastAsia="黑体" w:cs="黑体"/>
          <w:spacing w:val="4"/>
          <w:sz w:val="30"/>
          <w:szCs w:val="30"/>
          <w:highlight w:val="none"/>
        </w:rPr>
        <w:t>三、区域环境质量现状、环境保护目标及评价标准</w:t>
      </w:r>
      <w:bookmarkEnd w:id="16"/>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90"/>
      </w:tblGrid>
      <w:tr w14:paraId="63E7D8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30" w:hRule="atLeast"/>
          <w:jc w:val="center"/>
        </w:trPr>
        <w:tc>
          <w:tcPr>
            <w:tcW w:w="8990" w:type="dxa"/>
            <w:vAlign w:val="center"/>
          </w:tcPr>
          <w:p w14:paraId="569AEBF3">
            <w:pPr>
              <w:adjustRightInd w:val="0"/>
              <w:snapToGrid w:val="0"/>
              <w:spacing w:line="480" w:lineRule="exact"/>
              <w:jc w:val="left"/>
              <w:rPr>
                <w:rFonts w:ascii="黑体" w:hAnsi="黑体" w:eastAsia="黑体" w:cs="宋体"/>
                <w:b/>
                <w:color w:val="000000" w:themeColor="text1"/>
                <w:kern w:val="0"/>
                <w:sz w:val="28"/>
                <w:szCs w:val="28"/>
                <w:highlight w:val="none"/>
                <w14:textFill>
                  <w14:solidFill>
                    <w14:schemeClr w14:val="tx1"/>
                  </w14:solidFill>
                </w14:textFill>
              </w:rPr>
            </w:pPr>
            <w:r>
              <w:rPr>
                <w:rFonts w:hint="eastAsia" w:ascii="黑体" w:hAnsi="黑体" w:eastAsia="黑体" w:cs="宋体"/>
                <w:b/>
                <w:color w:val="000000" w:themeColor="text1"/>
                <w:kern w:val="0"/>
                <w:sz w:val="28"/>
                <w:szCs w:val="28"/>
                <w:highlight w:val="none"/>
                <w14:textFill>
                  <w14:solidFill>
                    <w14:schemeClr w14:val="tx1"/>
                  </w14:solidFill>
                </w14:textFill>
              </w:rPr>
              <w:t>区域环境质量现状</w:t>
            </w:r>
          </w:p>
          <w:p w14:paraId="78F78B34">
            <w:pPr>
              <w:spacing w:line="48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大气环境</w:t>
            </w:r>
          </w:p>
          <w:p w14:paraId="6B308480">
            <w:pPr>
              <w:spacing w:line="480" w:lineRule="exact"/>
              <w:ind w:firstLine="470" w:firstLineChars="196"/>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⑴基本污染物</w:t>
            </w:r>
          </w:p>
          <w:p w14:paraId="1FC7A34B">
            <w:pPr>
              <w:pStyle w:val="84"/>
              <w:spacing w:line="500" w:lineRule="exact"/>
              <w:ind w:firstLine="480" w:firstLineChars="200"/>
              <w:jc w:val="both"/>
              <w:rPr>
                <w:spacing w:val="6"/>
                <w:sz w:val="24"/>
                <w:szCs w:val="32"/>
                <w:highlight w:val="none"/>
              </w:rPr>
            </w:pPr>
            <w:r>
              <w:rPr>
                <w:rFonts w:hint="eastAsia"/>
                <w:sz w:val="24"/>
                <w:highlight w:val="none"/>
              </w:rPr>
              <w:t>根据唐山市生态环境局公布的《202</w:t>
            </w:r>
            <w:r>
              <w:rPr>
                <w:rFonts w:hint="eastAsia"/>
                <w:sz w:val="24"/>
                <w:highlight w:val="none"/>
                <w:lang w:val="en-US" w:eastAsia="zh-CN"/>
              </w:rPr>
              <w:t>4</w:t>
            </w:r>
            <w:r>
              <w:rPr>
                <w:rFonts w:hint="eastAsia"/>
                <w:sz w:val="24"/>
                <w:highlight w:val="none"/>
              </w:rPr>
              <w:t>年唐山市</w:t>
            </w:r>
            <w:r>
              <w:rPr>
                <w:rFonts w:hint="eastAsia"/>
                <w:sz w:val="24"/>
                <w:highlight w:val="none"/>
                <w:lang w:val="en-US" w:eastAsia="zh-CN"/>
              </w:rPr>
              <w:t>生态</w:t>
            </w:r>
            <w:r>
              <w:rPr>
                <w:rFonts w:hint="eastAsia"/>
                <w:sz w:val="24"/>
                <w:highlight w:val="none"/>
              </w:rPr>
              <w:t>环境状况公报》</w:t>
            </w:r>
            <w:r>
              <w:rPr>
                <w:rFonts w:eastAsia="Times New Roman"/>
                <w:spacing w:val="8"/>
                <w:sz w:val="24"/>
                <w:szCs w:val="32"/>
                <w:highlight w:val="none"/>
              </w:rPr>
              <w:t>202</w:t>
            </w:r>
            <w:r>
              <w:rPr>
                <w:rFonts w:hint="eastAsia"/>
                <w:spacing w:val="8"/>
                <w:sz w:val="24"/>
                <w:szCs w:val="32"/>
                <w:highlight w:val="none"/>
                <w:lang w:val="en-US" w:eastAsia="zh-CN"/>
              </w:rPr>
              <w:t>4</w:t>
            </w:r>
            <w:r>
              <w:rPr>
                <w:spacing w:val="4"/>
                <w:sz w:val="24"/>
                <w:szCs w:val="32"/>
                <w:highlight w:val="none"/>
              </w:rPr>
              <w:t>年浓度均值情况：全市细颗粒物（PM</w:t>
            </w:r>
            <w:r>
              <w:rPr>
                <w:spacing w:val="4"/>
                <w:sz w:val="24"/>
                <w:szCs w:val="32"/>
                <w:highlight w:val="none"/>
                <w:vertAlign w:val="subscript"/>
              </w:rPr>
              <w:t>2.5</w:t>
            </w:r>
            <w:r>
              <w:rPr>
                <w:spacing w:val="4"/>
                <w:sz w:val="24"/>
                <w:szCs w:val="32"/>
                <w:highlight w:val="none"/>
              </w:rPr>
              <w:t>）年均浓度为</w:t>
            </w:r>
            <w:r>
              <w:rPr>
                <w:rFonts w:hint="eastAsia"/>
                <w:spacing w:val="4"/>
                <w:sz w:val="24"/>
                <w:szCs w:val="32"/>
                <w:highlight w:val="none"/>
                <w:lang w:val="en-US" w:eastAsia="zh-CN"/>
              </w:rPr>
              <w:t>37</w:t>
            </w:r>
            <w:r>
              <w:rPr>
                <w:spacing w:val="4"/>
                <w:sz w:val="24"/>
                <w:szCs w:val="32"/>
                <w:highlight w:val="none"/>
              </w:rPr>
              <w:t>微克/立方米，可吸入颗粒物（PM</w:t>
            </w:r>
            <w:r>
              <w:rPr>
                <w:spacing w:val="4"/>
                <w:sz w:val="24"/>
                <w:szCs w:val="32"/>
                <w:highlight w:val="none"/>
                <w:vertAlign w:val="subscript"/>
              </w:rPr>
              <w:t>10</w:t>
            </w:r>
            <w:r>
              <w:rPr>
                <w:spacing w:val="4"/>
                <w:sz w:val="24"/>
                <w:szCs w:val="32"/>
                <w:highlight w:val="none"/>
              </w:rPr>
              <w:t>）年均浓度为</w:t>
            </w:r>
            <w:r>
              <w:rPr>
                <w:rFonts w:hint="eastAsia"/>
                <w:spacing w:val="4"/>
                <w:sz w:val="24"/>
                <w:szCs w:val="32"/>
                <w:highlight w:val="none"/>
                <w:lang w:val="en-US" w:eastAsia="zh-CN"/>
              </w:rPr>
              <w:t>68</w:t>
            </w:r>
            <w:r>
              <w:rPr>
                <w:spacing w:val="4"/>
                <w:sz w:val="24"/>
                <w:szCs w:val="32"/>
                <w:highlight w:val="none"/>
              </w:rPr>
              <w:t>微克/立方米，二氧化硫（SO</w:t>
            </w:r>
            <w:r>
              <w:rPr>
                <w:spacing w:val="4"/>
                <w:sz w:val="24"/>
                <w:szCs w:val="32"/>
                <w:highlight w:val="none"/>
                <w:vertAlign w:val="subscript"/>
              </w:rPr>
              <w:t>2</w:t>
            </w:r>
            <w:r>
              <w:rPr>
                <w:spacing w:val="4"/>
                <w:sz w:val="24"/>
                <w:szCs w:val="32"/>
                <w:highlight w:val="none"/>
              </w:rPr>
              <w:t>）年均浓度为</w:t>
            </w:r>
            <w:r>
              <w:rPr>
                <w:rFonts w:hint="eastAsia"/>
                <w:spacing w:val="4"/>
                <w:sz w:val="24"/>
                <w:szCs w:val="32"/>
                <w:highlight w:val="none"/>
                <w:lang w:val="en-US" w:eastAsia="zh-CN"/>
              </w:rPr>
              <w:t>7</w:t>
            </w:r>
            <w:r>
              <w:rPr>
                <w:spacing w:val="4"/>
                <w:sz w:val="24"/>
                <w:szCs w:val="32"/>
                <w:highlight w:val="none"/>
              </w:rPr>
              <w:t>微克/立方米，二氧化氮（NO</w:t>
            </w:r>
            <w:r>
              <w:rPr>
                <w:spacing w:val="4"/>
                <w:sz w:val="24"/>
                <w:szCs w:val="32"/>
                <w:highlight w:val="none"/>
                <w:vertAlign w:val="subscript"/>
              </w:rPr>
              <w:t>2</w:t>
            </w:r>
            <w:r>
              <w:rPr>
                <w:spacing w:val="4"/>
                <w:sz w:val="24"/>
                <w:szCs w:val="32"/>
                <w:highlight w:val="none"/>
              </w:rPr>
              <w:t>）年均浓度为</w:t>
            </w:r>
            <w:r>
              <w:rPr>
                <w:rFonts w:hint="eastAsia"/>
                <w:spacing w:val="4"/>
                <w:sz w:val="24"/>
                <w:szCs w:val="32"/>
                <w:highlight w:val="none"/>
                <w:lang w:val="en-US" w:eastAsia="zh-CN"/>
              </w:rPr>
              <w:t>27</w:t>
            </w:r>
            <w:r>
              <w:rPr>
                <w:spacing w:val="4"/>
                <w:sz w:val="24"/>
                <w:szCs w:val="32"/>
                <w:highlight w:val="none"/>
              </w:rPr>
              <w:t>微克/立方米，一氧化碳（CO）日均值第95百分位浓度平均为1.</w:t>
            </w:r>
            <w:r>
              <w:rPr>
                <w:rFonts w:hint="eastAsia"/>
                <w:spacing w:val="4"/>
                <w:sz w:val="24"/>
                <w:szCs w:val="32"/>
                <w:highlight w:val="none"/>
                <w:lang w:val="en-US" w:eastAsia="zh-CN"/>
              </w:rPr>
              <w:t>3</w:t>
            </w:r>
            <w:r>
              <w:rPr>
                <w:spacing w:val="4"/>
                <w:sz w:val="24"/>
                <w:szCs w:val="32"/>
                <w:highlight w:val="none"/>
              </w:rPr>
              <w:t>毫克/立方米，臭氧（O</w:t>
            </w:r>
            <w:r>
              <w:rPr>
                <w:spacing w:val="4"/>
                <w:sz w:val="24"/>
                <w:szCs w:val="32"/>
                <w:highlight w:val="none"/>
                <w:vertAlign w:val="subscript"/>
              </w:rPr>
              <w:t>3</w:t>
            </w:r>
            <w:r>
              <w:rPr>
                <w:spacing w:val="4"/>
                <w:sz w:val="24"/>
                <w:szCs w:val="32"/>
                <w:highlight w:val="none"/>
              </w:rPr>
              <w:t>）日最大8小时平均第90百分位浓度平均为</w:t>
            </w:r>
            <w:r>
              <w:rPr>
                <w:rFonts w:hint="eastAsia"/>
                <w:spacing w:val="4"/>
                <w:sz w:val="24"/>
                <w:szCs w:val="32"/>
                <w:highlight w:val="none"/>
                <w:lang w:val="en-US" w:eastAsia="zh-CN"/>
              </w:rPr>
              <w:t>178</w:t>
            </w:r>
            <w:r>
              <w:rPr>
                <w:spacing w:val="4"/>
                <w:sz w:val="24"/>
                <w:szCs w:val="32"/>
                <w:highlight w:val="none"/>
              </w:rPr>
              <w:t>微克/立方米</w:t>
            </w:r>
            <w:r>
              <w:rPr>
                <w:spacing w:val="6"/>
                <w:sz w:val="24"/>
                <w:szCs w:val="32"/>
                <w:highlight w:val="none"/>
              </w:rPr>
              <w:t>。</w:t>
            </w:r>
          </w:p>
          <w:p w14:paraId="1083576A">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2024年</w:t>
            </w:r>
            <w:r>
              <w:rPr>
                <w:rFonts w:hint="eastAsia"/>
                <w:color w:val="000000" w:themeColor="text1"/>
                <w:sz w:val="24"/>
                <w:highlight w:val="none"/>
                <w14:textFill>
                  <w14:solidFill>
                    <w14:schemeClr w14:val="tx1"/>
                  </w14:solidFill>
                </w14:textFill>
              </w:rPr>
              <w:t>各县（市、区）环境空气质量综合指数在</w:t>
            </w:r>
            <w:r>
              <w:rPr>
                <w:rFonts w:hint="eastAsia"/>
                <w:color w:val="000000" w:themeColor="text1"/>
                <w:sz w:val="24"/>
                <w:highlight w:val="none"/>
                <w:lang w:val="en-US" w:eastAsia="zh-CN"/>
                <w14:textFill>
                  <w14:solidFill>
                    <w14:schemeClr w14:val="tx1"/>
                  </w14:solidFill>
                </w14:textFill>
              </w:rPr>
              <w:t>2.72</w:t>
            </w:r>
            <w:r>
              <w:rPr>
                <w:rFonts w:hint="eastAsia"/>
                <w:color w:val="000000" w:themeColor="text1"/>
                <w:sz w:val="24"/>
                <w:highlight w:val="none"/>
                <w14:textFill>
                  <w14:solidFill>
                    <w14:schemeClr w14:val="tx1"/>
                  </w14:solidFill>
                </w14:textFill>
              </w:rPr>
              <w:t>~4.</w:t>
            </w:r>
            <w:r>
              <w:rPr>
                <w:rFonts w:hint="eastAsia"/>
                <w:color w:val="000000" w:themeColor="text1"/>
                <w:sz w:val="24"/>
                <w:highlight w:val="none"/>
                <w:lang w:val="en-US" w:eastAsia="zh-CN"/>
                <w14:textFill>
                  <w14:solidFill>
                    <w14:schemeClr w14:val="tx1"/>
                  </w14:solidFill>
                </w14:textFill>
              </w:rPr>
              <w:t>39</w:t>
            </w:r>
            <w:r>
              <w:rPr>
                <w:rFonts w:hint="eastAsia"/>
                <w:color w:val="000000" w:themeColor="text1"/>
                <w:sz w:val="24"/>
                <w:highlight w:val="none"/>
                <w14:textFill>
                  <w14:solidFill>
                    <w14:schemeClr w14:val="tx1"/>
                  </w14:solidFill>
                </w14:textFill>
              </w:rPr>
              <w:t>之间，细颗粒物（PM</w:t>
            </w:r>
            <w:r>
              <w:rPr>
                <w:rFonts w:hint="eastAsia"/>
                <w:color w:val="000000" w:themeColor="text1"/>
                <w:sz w:val="24"/>
                <w:highlight w:val="none"/>
                <w:vertAlign w:val="subscript"/>
                <w14:textFill>
                  <w14:solidFill>
                    <w14:schemeClr w14:val="tx1"/>
                  </w14:solidFill>
                </w14:textFill>
              </w:rPr>
              <w:t>2.5</w:t>
            </w:r>
            <w:r>
              <w:rPr>
                <w:rFonts w:hint="eastAsia"/>
                <w:color w:val="000000" w:themeColor="text1"/>
                <w:sz w:val="24"/>
                <w:highlight w:val="none"/>
                <w14:textFill>
                  <w14:solidFill>
                    <w14:schemeClr w14:val="tx1"/>
                  </w14:solidFill>
                </w14:textFill>
              </w:rPr>
              <w:t>）年均浓度在2</w:t>
            </w: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39</w:t>
            </w:r>
            <w:r>
              <w:rPr>
                <w:rFonts w:hint="eastAsia"/>
                <w:color w:val="000000" w:themeColor="text1"/>
                <w:sz w:val="24"/>
                <w:highlight w:val="none"/>
                <w14:textFill>
                  <w14:solidFill>
                    <w14:schemeClr w14:val="tx1"/>
                  </w14:solidFill>
                </w14:textFill>
              </w:rPr>
              <w:t>微克/立方米之间；可吸入颗粒物（PM</w:t>
            </w:r>
            <w:r>
              <w:rPr>
                <w:rFonts w:hint="eastAsia"/>
                <w:color w:val="000000" w:themeColor="text1"/>
                <w:sz w:val="24"/>
                <w:highlight w:val="none"/>
                <w:vertAlign w:val="subscript"/>
                <w14:textFill>
                  <w14:solidFill>
                    <w14:schemeClr w14:val="tx1"/>
                  </w14:solidFill>
                </w14:textFill>
              </w:rPr>
              <w:t>10</w:t>
            </w:r>
            <w:r>
              <w:rPr>
                <w:rFonts w:hint="eastAsia"/>
                <w:color w:val="000000" w:themeColor="text1"/>
                <w:sz w:val="24"/>
                <w:highlight w:val="none"/>
                <w14:textFill>
                  <w14:solidFill>
                    <w14:schemeClr w14:val="tx1"/>
                  </w14:solidFill>
                </w14:textFill>
              </w:rPr>
              <w:t>）年均浓度在</w:t>
            </w:r>
            <w:r>
              <w:rPr>
                <w:rFonts w:hint="eastAsia"/>
                <w:color w:val="000000" w:themeColor="text1"/>
                <w:sz w:val="24"/>
                <w:highlight w:val="none"/>
                <w:lang w:val="en-US" w:eastAsia="zh-CN"/>
                <w14:textFill>
                  <w14:solidFill>
                    <w14:schemeClr w14:val="tx1"/>
                  </w14:solidFill>
                </w14:textFill>
              </w:rPr>
              <w:t>47</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7</w:t>
            </w:r>
            <w:r>
              <w:rPr>
                <w:rFonts w:hint="eastAsia"/>
                <w:color w:val="000000" w:themeColor="text1"/>
                <w:sz w:val="24"/>
                <w:highlight w:val="none"/>
                <w14:textFill>
                  <w14:solidFill>
                    <w14:schemeClr w14:val="tx1"/>
                  </w14:solidFill>
                </w14:textFill>
              </w:rPr>
              <w:t>0微克/立方米之间；二氧化硫（SO</w:t>
            </w:r>
            <w:r>
              <w:rPr>
                <w:rFonts w:hint="eastAsia"/>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）年均浓度在</w:t>
            </w: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~1</w:t>
            </w: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微克/立方米之间；二氧化氮（NO</w:t>
            </w:r>
            <w:r>
              <w:rPr>
                <w:rFonts w:hint="eastAsia"/>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）年均浓度在</w:t>
            </w:r>
            <w:r>
              <w:rPr>
                <w:rFonts w:hint="eastAsia"/>
                <w:color w:val="000000" w:themeColor="text1"/>
                <w:sz w:val="24"/>
                <w:highlight w:val="none"/>
                <w:lang w:val="en-US" w:eastAsia="zh-CN"/>
                <w14:textFill>
                  <w14:solidFill>
                    <w14:schemeClr w14:val="tx1"/>
                  </w14:solidFill>
                </w14:textFill>
              </w:rPr>
              <w:t>12</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35</w:t>
            </w:r>
            <w:r>
              <w:rPr>
                <w:rFonts w:hint="eastAsia"/>
                <w:color w:val="000000" w:themeColor="text1"/>
                <w:sz w:val="24"/>
                <w:highlight w:val="none"/>
                <w14:textFill>
                  <w14:solidFill>
                    <w14:schemeClr w14:val="tx1"/>
                  </w14:solidFill>
                </w14:textFill>
              </w:rPr>
              <w:t>微克/立方米之间；一氧化碳（CO）日均值第95百分位浓度平均在</w:t>
            </w:r>
            <w:r>
              <w:rPr>
                <w:rFonts w:hint="eastAsia"/>
                <w:color w:val="000000" w:themeColor="text1"/>
                <w:sz w:val="24"/>
                <w:highlight w:val="none"/>
                <w:lang w:val="en-US" w:eastAsia="zh-CN"/>
                <w14:textFill>
                  <w14:solidFill>
                    <w14:schemeClr w14:val="tx1"/>
                  </w14:solidFill>
                </w14:textFill>
              </w:rPr>
              <w:t>0.9</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1.7</w:t>
            </w:r>
            <w:r>
              <w:rPr>
                <w:rFonts w:hint="eastAsia"/>
                <w:color w:val="000000" w:themeColor="text1"/>
                <w:sz w:val="24"/>
                <w:highlight w:val="none"/>
                <w14:textFill>
                  <w14:solidFill>
                    <w14:schemeClr w14:val="tx1"/>
                  </w14:solidFill>
                </w14:textFill>
              </w:rPr>
              <w:t>毫克/立方米之间；臭氧（O</w:t>
            </w:r>
            <w:r>
              <w:rPr>
                <w:rFonts w:hint="eastAsia"/>
                <w:color w:val="000000" w:themeColor="text1"/>
                <w:sz w:val="24"/>
                <w:highlight w:val="none"/>
                <w:vertAlign w:val="subscript"/>
                <w14:textFill>
                  <w14:solidFill>
                    <w14:schemeClr w14:val="tx1"/>
                  </w14:solidFill>
                </w14:textFill>
              </w:rPr>
              <w:t>3</w:t>
            </w:r>
            <w:r>
              <w:rPr>
                <w:rFonts w:hint="eastAsia"/>
                <w:color w:val="000000" w:themeColor="text1"/>
                <w:sz w:val="24"/>
                <w:highlight w:val="none"/>
                <w14:textFill>
                  <w14:solidFill>
                    <w14:schemeClr w14:val="tx1"/>
                  </w14:solidFill>
                </w14:textFill>
              </w:rPr>
              <w:t>）日最大8小时平均第90百分位浓度平均在</w:t>
            </w:r>
            <w:r>
              <w:rPr>
                <w:rFonts w:hint="eastAsia"/>
                <w:color w:val="000000" w:themeColor="text1"/>
                <w:sz w:val="24"/>
                <w:highlight w:val="none"/>
                <w:lang w:val="en-US" w:eastAsia="zh-CN"/>
                <w14:textFill>
                  <w14:solidFill>
                    <w14:schemeClr w14:val="tx1"/>
                  </w14:solidFill>
                </w14:textFill>
              </w:rPr>
              <w:t>94</w:t>
            </w:r>
            <w:r>
              <w:rPr>
                <w:rFonts w:hint="eastAsia"/>
                <w:color w:val="000000" w:themeColor="text1"/>
                <w:sz w:val="24"/>
                <w:highlight w:val="none"/>
                <w14:textFill>
                  <w14:solidFill>
                    <w14:schemeClr w14:val="tx1"/>
                  </w14:solidFill>
                </w14:textFill>
              </w:rPr>
              <w:t>~190微克/立方米之间。</w:t>
            </w:r>
            <w:r>
              <w:rPr>
                <w:color w:val="000000" w:themeColor="text1"/>
                <w:sz w:val="24"/>
                <w:highlight w:val="none"/>
                <w14:textFill>
                  <w14:solidFill>
                    <w14:schemeClr w14:val="tx1"/>
                  </w14:solidFill>
                </w14:textFill>
              </w:rPr>
              <w:t>20</w:t>
            </w:r>
            <w:r>
              <w:rPr>
                <w:rFonts w:hint="eastAsia"/>
                <w:color w:val="000000" w:themeColor="text1"/>
                <w:sz w:val="24"/>
                <w:highlight w:val="none"/>
                <w14:textFill>
                  <w14:solidFill>
                    <w14:schemeClr w14:val="tx1"/>
                  </w14:solidFill>
                </w14:textFill>
              </w:rPr>
              <w:t>2</w:t>
            </w:r>
            <w:r>
              <w:rPr>
                <w:rFonts w:hint="eastAsia"/>
                <w:color w:val="000000" w:themeColor="text1"/>
                <w:sz w:val="24"/>
                <w:highlight w:val="none"/>
                <w:lang w:val="en-US" w:eastAsia="zh-CN"/>
                <w14:textFill>
                  <w14:solidFill>
                    <w14:schemeClr w14:val="tx1"/>
                  </w14:solidFill>
                </w14:textFill>
              </w:rPr>
              <w:t>4</w:t>
            </w:r>
            <w:r>
              <w:rPr>
                <w:color w:val="000000" w:themeColor="text1"/>
                <w:sz w:val="24"/>
                <w:highlight w:val="none"/>
                <w14:textFill>
                  <w14:solidFill>
                    <w14:schemeClr w14:val="tx1"/>
                  </w14:solidFill>
                </w14:textFill>
              </w:rPr>
              <w:t>年</w:t>
            </w:r>
            <w:r>
              <w:rPr>
                <w:rFonts w:hint="eastAsia"/>
                <w:color w:val="000000" w:themeColor="text1"/>
                <w:sz w:val="24"/>
                <w:highlight w:val="none"/>
                <w14:textFill>
                  <w14:solidFill>
                    <w14:schemeClr w14:val="tx1"/>
                  </w14:solidFill>
                </w14:textFill>
              </w:rPr>
              <w:t>滦州市</w:t>
            </w:r>
            <w:r>
              <w:rPr>
                <w:color w:val="000000" w:themeColor="text1"/>
                <w:sz w:val="24"/>
                <w:highlight w:val="none"/>
                <w14:textFill>
                  <w14:solidFill>
                    <w14:schemeClr w14:val="tx1"/>
                  </w14:solidFill>
                </w14:textFill>
              </w:rPr>
              <w:t>环境空气质量</w:t>
            </w:r>
            <w:r>
              <w:rPr>
                <w:rFonts w:hint="eastAsia"/>
                <w:color w:val="000000" w:themeColor="text1"/>
                <w:sz w:val="24"/>
                <w:highlight w:val="none"/>
                <w14:textFill>
                  <w14:solidFill>
                    <w14:schemeClr w14:val="tx1"/>
                  </w14:solidFill>
                </w14:textFill>
              </w:rPr>
              <w:t>现状评价表见下表。</w:t>
            </w:r>
          </w:p>
          <w:p w14:paraId="320757F2">
            <w:pPr>
              <w:autoSpaceDE w:val="0"/>
              <w:autoSpaceDN w:val="0"/>
              <w:adjustRightInd w:val="0"/>
              <w:spacing w:line="480" w:lineRule="exact"/>
              <w:ind w:firstLine="117" w:firstLineChars="49"/>
              <w:rPr>
                <w:rFonts w:eastAsia="黑体"/>
                <w:color w:val="000000" w:themeColor="text1"/>
                <w:sz w:val="24"/>
                <w:highlight w:val="none"/>
                <w14:textFill>
                  <w14:solidFill>
                    <w14:schemeClr w14:val="tx1"/>
                  </w14:solidFill>
                </w14:textFill>
              </w:rPr>
            </w:pPr>
            <w:r>
              <w:rPr>
                <w:rFonts w:eastAsia="黑体"/>
                <w:color w:val="000000" w:themeColor="text1"/>
                <w:sz w:val="24"/>
                <w:highlight w:val="none"/>
                <w14:textFill>
                  <w14:solidFill>
                    <w14:schemeClr w14:val="tx1"/>
                  </w14:solidFill>
                </w14:textFill>
              </w:rPr>
              <w:t>表3-1  20</w:t>
            </w:r>
            <w:r>
              <w:rPr>
                <w:rFonts w:hint="eastAsia" w:eastAsia="黑体"/>
                <w:color w:val="000000" w:themeColor="text1"/>
                <w:sz w:val="24"/>
                <w:highlight w:val="none"/>
                <w14:textFill>
                  <w14:solidFill>
                    <w14:schemeClr w14:val="tx1"/>
                  </w14:solidFill>
                </w14:textFill>
              </w:rPr>
              <w:t>2</w:t>
            </w:r>
            <w:r>
              <w:rPr>
                <w:rFonts w:hint="eastAsia" w:eastAsia="黑体"/>
                <w:color w:val="000000" w:themeColor="text1"/>
                <w:sz w:val="24"/>
                <w:highlight w:val="none"/>
                <w:lang w:val="en-US" w:eastAsia="zh-CN"/>
                <w14:textFill>
                  <w14:solidFill>
                    <w14:schemeClr w14:val="tx1"/>
                  </w14:solidFill>
                </w14:textFill>
              </w:rPr>
              <w:t>4</w:t>
            </w:r>
            <w:r>
              <w:rPr>
                <w:rFonts w:eastAsia="黑体"/>
                <w:color w:val="000000" w:themeColor="text1"/>
                <w:sz w:val="24"/>
                <w:highlight w:val="none"/>
                <w14:textFill>
                  <w14:solidFill>
                    <w14:schemeClr w14:val="tx1"/>
                  </w14:solidFill>
                </w14:textFill>
              </w:rPr>
              <w:t>年</w:t>
            </w:r>
            <w:r>
              <w:rPr>
                <w:rFonts w:hint="eastAsia" w:eastAsia="黑体"/>
                <w:color w:val="000000" w:themeColor="text1"/>
                <w:sz w:val="24"/>
                <w:highlight w:val="none"/>
                <w14:textFill>
                  <w14:solidFill>
                    <w14:schemeClr w14:val="tx1"/>
                  </w14:solidFill>
                </w14:textFill>
              </w:rPr>
              <w:t>滦州市</w:t>
            </w:r>
            <w:r>
              <w:rPr>
                <w:rFonts w:eastAsia="黑体"/>
                <w:color w:val="000000" w:themeColor="text1"/>
                <w:sz w:val="24"/>
                <w:highlight w:val="none"/>
                <w14:textFill>
                  <w14:solidFill>
                    <w14:schemeClr w14:val="tx1"/>
                  </w14:solidFill>
                </w14:textFill>
              </w:rPr>
              <w:t>环境空气质量年均浓度值情况表 （单位：μg/m</w:t>
            </w:r>
            <w:r>
              <w:rPr>
                <w:rFonts w:eastAsia="黑体"/>
                <w:color w:val="000000" w:themeColor="text1"/>
                <w:sz w:val="24"/>
                <w:highlight w:val="none"/>
                <w:vertAlign w:val="superscript"/>
                <w14:textFill>
                  <w14:solidFill>
                    <w14:schemeClr w14:val="tx1"/>
                  </w14:solidFill>
                </w14:textFill>
              </w:rPr>
              <w:t>3</w:t>
            </w:r>
            <w:r>
              <w:rPr>
                <w:rFonts w:eastAsia="黑体"/>
                <w:color w:val="000000" w:themeColor="text1"/>
                <w:sz w:val="24"/>
                <w:highlight w:val="none"/>
                <w14:textFill>
                  <w14:solidFill>
                    <w14:schemeClr w14:val="tx1"/>
                  </w14:solidFill>
                </w14:textFill>
              </w:rPr>
              <w:t>，CO为mg/m</w:t>
            </w:r>
            <w:r>
              <w:rPr>
                <w:rFonts w:eastAsia="黑体"/>
                <w:color w:val="000000" w:themeColor="text1"/>
                <w:sz w:val="24"/>
                <w:highlight w:val="none"/>
                <w:vertAlign w:val="superscript"/>
                <w14:textFill>
                  <w14:solidFill>
                    <w14:schemeClr w14:val="tx1"/>
                  </w14:solidFill>
                </w14:textFill>
              </w:rPr>
              <w:t>3</w:t>
            </w:r>
            <w:r>
              <w:rPr>
                <w:rFonts w:eastAsia="黑体"/>
                <w:color w:val="000000" w:themeColor="text1"/>
                <w:sz w:val="24"/>
                <w:highlight w:val="none"/>
                <w14:textFill>
                  <w14:solidFill>
                    <w14:schemeClr w14:val="tx1"/>
                  </w14:solidFill>
                </w14:textFill>
              </w:rPr>
              <w:t>）</w:t>
            </w:r>
          </w:p>
          <w:tbl>
            <w:tblPr>
              <w:tblStyle w:val="24"/>
              <w:tblW w:w="8859"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30" w:type="dxa"/>
                <w:bottom w:w="0" w:type="dxa"/>
                <w:right w:w="30" w:type="dxa"/>
              </w:tblCellMar>
            </w:tblPr>
            <w:tblGrid>
              <w:gridCol w:w="1159"/>
              <w:gridCol w:w="1134"/>
              <w:gridCol w:w="1134"/>
              <w:gridCol w:w="1134"/>
              <w:gridCol w:w="1134"/>
              <w:gridCol w:w="1443"/>
              <w:gridCol w:w="1721"/>
            </w:tblGrid>
            <w:tr w14:paraId="686A9A3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30" w:type="dxa"/>
                  <w:bottom w:w="0" w:type="dxa"/>
                  <w:right w:w="30" w:type="dxa"/>
                </w:tblCellMar>
              </w:tblPrEx>
              <w:trPr>
                <w:trHeight w:val="284" w:hRule="atLeast"/>
                <w:jc w:val="center"/>
              </w:trPr>
              <w:tc>
                <w:tcPr>
                  <w:tcW w:w="1159" w:type="dxa"/>
                  <w:vAlign w:val="center"/>
                </w:tcPr>
                <w:p w14:paraId="495E6E82">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污染物</w:t>
                  </w:r>
                </w:p>
              </w:tc>
              <w:tc>
                <w:tcPr>
                  <w:tcW w:w="1134" w:type="dxa"/>
                  <w:vAlign w:val="center"/>
                </w:tcPr>
                <w:p w14:paraId="70AD8F78">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2</w:t>
                  </w:r>
                </w:p>
              </w:tc>
              <w:tc>
                <w:tcPr>
                  <w:tcW w:w="1134" w:type="dxa"/>
                  <w:vAlign w:val="center"/>
                </w:tcPr>
                <w:p w14:paraId="63D68D05">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NO</w:t>
                  </w:r>
                  <w:r>
                    <w:rPr>
                      <w:color w:val="000000" w:themeColor="text1"/>
                      <w:szCs w:val="21"/>
                      <w:highlight w:val="none"/>
                      <w:vertAlign w:val="subscript"/>
                      <w14:textFill>
                        <w14:solidFill>
                          <w14:schemeClr w14:val="tx1"/>
                        </w14:solidFill>
                      </w14:textFill>
                    </w:rPr>
                    <w:t>2</w:t>
                  </w:r>
                </w:p>
              </w:tc>
              <w:tc>
                <w:tcPr>
                  <w:tcW w:w="1134" w:type="dxa"/>
                  <w:vAlign w:val="center"/>
                </w:tcPr>
                <w:p w14:paraId="698D9D12">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10</w:t>
                  </w:r>
                </w:p>
              </w:tc>
              <w:tc>
                <w:tcPr>
                  <w:tcW w:w="1134" w:type="dxa"/>
                  <w:vAlign w:val="center"/>
                </w:tcPr>
                <w:p w14:paraId="1DCD0B0D">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2.5</w:t>
                  </w:r>
                </w:p>
              </w:tc>
              <w:tc>
                <w:tcPr>
                  <w:tcW w:w="1443" w:type="dxa"/>
                  <w:vAlign w:val="center"/>
                </w:tcPr>
                <w:p w14:paraId="53BE73DB">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CO</w:t>
                  </w:r>
                </w:p>
              </w:tc>
              <w:tc>
                <w:tcPr>
                  <w:tcW w:w="1721" w:type="dxa"/>
                  <w:vAlign w:val="center"/>
                </w:tcPr>
                <w:p w14:paraId="51BFC98B">
                  <w:pPr>
                    <w:jc w:val="center"/>
                    <w:rPr>
                      <w:color w:val="000000" w:themeColor="text1"/>
                      <w:szCs w:val="21"/>
                      <w:highlight w:val="none"/>
                      <w:vertAlign w:val="subscript"/>
                      <w14:textFill>
                        <w14:solidFill>
                          <w14:schemeClr w14:val="tx1"/>
                        </w14:solidFill>
                      </w14:textFill>
                    </w:rPr>
                  </w:pP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3</w:t>
                  </w:r>
                  <w:r>
                    <w:rPr>
                      <w:rFonts w:hint="eastAsia"/>
                      <w:color w:val="000000" w:themeColor="text1"/>
                      <w:szCs w:val="21"/>
                      <w:highlight w:val="none"/>
                      <w14:textFill>
                        <w14:solidFill>
                          <w14:schemeClr w14:val="tx1"/>
                        </w14:solidFill>
                      </w14:textFill>
                    </w:rPr>
                    <w:t>-8h</w:t>
                  </w:r>
                </w:p>
              </w:tc>
            </w:tr>
            <w:tr w14:paraId="58E5936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30" w:type="dxa"/>
                  <w:bottom w:w="0" w:type="dxa"/>
                  <w:right w:w="30" w:type="dxa"/>
                </w:tblCellMar>
              </w:tblPrEx>
              <w:trPr>
                <w:trHeight w:val="284" w:hRule="atLeast"/>
                <w:jc w:val="center"/>
              </w:trPr>
              <w:tc>
                <w:tcPr>
                  <w:tcW w:w="1159" w:type="dxa"/>
                  <w:vAlign w:val="center"/>
                </w:tcPr>
                <w:p w14:paraId="67E6682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评价指标</w:t>
                  </w:r>
                </w:p>
              </w:tc>
              <w:tc>
                <w:tcPr>
                  <w:tcW w:w="1134" w:type="dxa"/>
                  <w:vAlign w:val="center"/>
                </w:tcPr>
                <w:p w14:paraId="10F9ED73">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年平均质量浓度</w:t>
                  </w:r>
                </w:p>
              </w:tc>
              <w:tc>
                <w:tcPr>
                  <w:tcW w:w="1134" w:type="dxa"/>
                  <w:vAlign w:val="center"/>
                </w:tcPr>
                <w:p w14:paraId="7C75BB94">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年平均质量浓度</w:t>
                  </w:r>
                </w:p>
              </w:tc>
              <w:tc>
                <w:tcPr>
                  <w:tcW w:w="1134" w:type="dxa"/>
                  <w:vAlign w:val="center"/>
                </w:tcPr>
                <w:p w14:paraId="5E90BFDA">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年平均质量浓度</w:t>
                  </w:r>
                </w:p>
              </w:tc>
              <w:tc>
                <w:tcPr>
                  <w:tcW w:w="1134" w:type="dxa"/>
                  <w:vAlign w:val="center"/>
                </w:tcPr>
                <w:p w14:paraId="06B77D27">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年平均质量浓度</w:t>
                  </w:r>
                </w:p>
              </w:tc>
              <w:tc>
                <w:tcPr>
                  <w:tcW w:w="1443" w:type="dxa"/>
                  <w:vAlign w:val="center"/>
                </w:tcPr>
                <w:p w14:paraId="64B9367A">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24小时平均第95百分位数值</w:t>
                  </w:r>
                </w:p>
              </w:tc>
              <w:tc>
                <w:tcPr>
                  <w:tcW w:w="1721" w:type="dxa"/>
                  <w:vAlign w:val="center"/>
                </w:tcPr>
                <w:p w14:paraId="489C4650">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日最大8小时滑动平均值的第90百分位数值</w:t>
                  </w:r>
                </w:p>
              </w:tc>
            </w:tr>
            <w:tr w14:paraId="1362DCE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30" w:type="dxa"/>
                  <w:bottom w:w="0" w:type="dxa"/>
                  <w:right w:w="30" w:type="dxa"/>
                </w:tblCellMar>
              </w:tblPrEx>
              <w:trPr>
                <w:trHeight w:val="284" w:hRule="atLeast"/>
                <w:jc w:val="center"/>
              </w:trPr>
              <w:tc>
                <w:tcPr>
                  <w:tcW w:w="1159" w:type="dxa"/>
                  <w:vAlign w:val="center"/>
                </w:tcPr>
                <w:p w14:paraId="350ABA56">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现状浓度</w:t>
                  </w:r>
                </w:p>
              </w:tc>
              <w:tc>
                <w:tcPr>
                  <w:tcW w:w="1134" w:type="dxa"/>
                  <w:vAlign w:val="center"/>
                </w:tcPr>
                <w:p w14:paraId="47E2565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w:t>
                  </w:r>
                </w:p>
              </w:tc>
              <w:tc>
                <w:tcPr>
                  <w:tcW w:w="1134" w:type="dxa"/>
                  <w:vAlign w:val="center"/>
                </w:tcPr>
                <w:p w14:paraId="54E749A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1134" w:type="dxa"/>
                  <w:vAlign w:val="center"/>
                </w:tcPr>
                <w:p w14:paraId="1FB0544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70</w:t>
                  </w:r>
                </w:p>
              </w:tc>
              <w:tc>
                <w:tcPr>
                  <w:tcW w:w="1134" w:type="dxa"/>
                  <w:vAlign w:val="center"/>
                </w:tcPr>
                <w:p w14:paraId="3E73AF1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35</w:t>
                  </w:r>
                </w:p>
              </w:tc>
              <w:tc>
                <w:tcPr>
                  <w:tcW w:w="1443" w:type="dxa"/>
                  <w:vAlign w:val="center"/>
                </w:tcPr>
                <w:p w14:paraId="47D012C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w:t>
                  </w:r>
                </w:p>
              </w:tc>
              <w:tc>
                <w:tcPr>
                  <w:tcW w:w="1721" w:type="dxa"/>
                  <w:vAlign w:val="center"/>
                </w:tcPr>
                <w:p w14:paraId="197BC9F1">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178</w:t>
                  </w:r>
                </w:p>
              </w:tc>
            </w:tr>
            <w:tr w14:paraId="355D5E0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30" w:type="dxa"/>
                  <w:bottom w:w="0" w:type="dxa"/>
                  <w:right w:w="30" w:type="dxa"/>
                </w:tblCellMar>
              </w:tblPrEx>
              <w:trPr>
                <w:trHeight w:val="284" w:hRule="atLeast"/>
                <w:jc w:val="center"/>
              </w:trPr>
              <w:tc>
                <w:tcPr>
                  <w:tcW w:w="1159" w:type="dxa"/>
                  <w:vAlign w:val="center"/>
                </w:tcPr>
                <w:p w14:paraId="47691E50">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标准值</w:t>
                  </w:r>
                </w:p>
              </w:tc>
              <w:tc>
                <w:tcPr>
                  <w:tcW w:w="1134" w:type="dxa"/>
                  <w:vAlign w:val="center"/>
                </w:tcPr>
                <w:p w14:paraId="1947AB23">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w:t>
                  </w:r>
                </w:p>
              </w:tc>
              <w:tc>
                <w:tcPr>
                  <w:tcW w:w="1134" w:type="dxa"/>
                  <w:vAlign w:val="center"/>
                </w:tcPr>
                <w:p w14:paraId="370684B2">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w:t>
                  </w:r>
                </w:p>
              </w:tc>
              <w:tc>
                <w:tcPr>
                  <w:tcW w:w="1134" w:type="dxa"/>
                  <w:vAlign w:val="center"/>
                </w:tcPr>
                <w:p w14:paraId="03238F51">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1134" w:type="dxa"/>
                  <w:vAlign w:val="center"/>
                </w:tcPr>
                <w:p w14:paraId="5F1F9CEE">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35</w:t>
                  </w:r>
                </w:p>
              </w:tc>
              <w:tc>
                <w:tcPr>
                  <w:tcW w:w="1443" w:type="dxa"/>
                  <w:vAlign w:val="center"/>
                </w:tcPr>
                <w:p w14:paraId="72280C9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p>
              </w:tc>
              <w:tc>
                <w:tcPr>
                  <w:tcW w:w="1721" w:type="dxa"/>
                  <w:vAlign w:val="center"/>
                </w:tcPr>
                <w:p w14:paraId="13F80876">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160</w:t>
                  </w:r>
                </w:p>
              </w:tc>
            </w:tr>
            <w:tr w14:paraId="5405C8B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30" w:type="dxa"/>
                  <w:bottom w:w="0" w:type="dxa"/>
                  <w:right w:w="30" w:type="dxa"/>
                </w:tblCellMar>
              </w:tblPrEx>
              <w:trPr>
                <w:trHeight w:val="284" w:hRule="atLeast"/>
                <w:jc w:val="center"/>
              </w:trPr>
              <w:tc>
                <w:tcPr>
                  <w:tcW w:w="1159" w:type="dxa"/>
                  <w:vAlign w:val="center"/>
                </w:tcPr>
                <w:p w14:paraId="37E682D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占标率</w:t>
                  </w:r>
                </w:p>
              </w:tc>
              <w:tc>
                <w:tcPr>
                  <w:tcW w:w="1134" w:type="dxa"/>
                  <w:vAlign w:val="center"/>
                </w:tcPr>
                <w:p w14:paraId="58C81EBD">
                  <w:pPr>
                    <w:jc w:val="center"/>
                    <w:rPr>
                      <w:rFonts w:eastAsia="仿宋"/>
                      <w:color w:val="000000" w:themeColor="text1"/>
                      <w:szCs w:val="21"/>
                      <w:highlight w:val="none"/>
                      <w14:textFill>
                        <w14:solidFill>
                          <w14:schemeClr w14:val="tx1"/>
                        </w14:solidFill>
                      </w14:textFill>
                    </w:rPr>
                  </w:pPr>
                  <w:r>
                    <w:rPr>
                      <w:rFonts w:hint="eastAsia" w:eastAsia="仿宋"/>
                      <w:color w:val="000000" w:themeColor="text1"/>
                      <w:szCs w:val="21"/>
                      <w:highlight w:val="none"/>
                      <w:lang w:val="en-US" w:eastAsia="zh-CN"/>
                      <w14:textFill>
                        <w14:solidFill>
                          <w14:schemeClr w14:val="tx1"/>
                        </w14:solidFill>
                      </w14:textFill>
                    </w:rPr>
                    <w:t>16.7</w:t>
                  </w:r>
                  <w:r>
                    <w:rPr>
                      <w:rFonts w:eastAsia="仿宋"/>
                      <w:color w:val="000000" w:themeColor="text1"/>
                      <w:szCs w:val="21"/>
                      <w:highlight w:val="none"/>
                      <w14:textFill>
                        <w14:solidFill>
                          <w14:schemeClr w14:val="tx1"/>
                        </w14:solidFill>
                      </w14:textFill>
                    </w:rPr>
                    <w:t>%</w:t>
                  </w:r>
                </w:p>
              </w:tc>
              <w:tc>
                <w:tcPr>
                  <w:tcW w:w="1134" w:type="dxa"/>
                  <w:vAlign w:val="center"/>
                </w:tcPr>
                <w:p w14:paraId="680205EC">
                  <w:pPr>
                    <w:jc w:val="center"/>
                    <w:rPr>
                      <w:rFonts w:eastAsia="仿宋"/>
                      <w:color w:val="000000" w:themeColor="text1"/>
                      <w:szCs w:val="21"/>
                      <w:highlight w:val="none"/>
                      <w14:textFill>
                        <w14:solidFill>
                          <w14:schemeClr w14:val="tx1"/>
                        </w14:solidFill>
                      </w14:textFill>
                    </w:rPr>
                  </w:pPr>
                  <w:r>
                    <w:rPr>
                      <w:rFonts w:hint="eastAsia" w:eastAsia="仿宋"/>
                      <w:color w:val="000000" w:themeColor="text1"/>
                      <w:szCs w:val="21"/>
                      <w:highlight w:val="none"/>
                      <w:lang w:val="en-US" w:eastAsia="zh-CN"/>
                      <w14:textFill>
                        <w14:solidFill>
                          <w14:schemeClr w14:val="tx1"/>
                        </w14:solidFill>
                      </w14:textFill>
                    </w:rPr>
                    <w:t>75</w:t>
                  </w:r>
                  <w:r>
                    <w:rPr>
                      <w:rFonts w:eastAsia="仿宋"/>
                      <w:color w:val="000000" w:themeColor="text1"/>
                      <w:szCs w:val="21"/>
                      <w:highlight w:val="none"/>
                      <w14:textFill>
                        <w14:solidFill>
                          <w14:schemeClr w14:val="tx1"/>
                        </w14:solidFill>
                      </w14:textFill>
                    </w:rPr>
                    <w:t>%</w:t>
                  </w:r>
                </w:p>
              </w:tc>
              <w:tc>
                <w:tcPr>
                  <w:tcW w:w="1134" w:type="dxa"/>
                  <w:vAlign w:val="center"/>
                </w:tcPr>
                <w:p w14:paraId="0959B84B">
                  <w:pPr>
                    <w:jc w:val="center"/>
                    <w:rPr>
                      <w:rFonts w:eastAsia="仿宋"/>
                      <w:color w:val="000000" w:themeColor="text1"/>
                      <w:szCs w:val="21"/>
                      <w:highlight w:val="none"/>
                      <w14:textFill>
                        <w14:solidFill>
                          <w14:schemeClr w14:val="tx1"/>
                        </w14:solidFill>
                      </w14:textFill>
                    </w:rPr>
                  </w:pPr>
                  <w:r>
                    <w:rPr>
                      <w:rFonts w:hint="eastAsia" w:eastAsia="仿宋"/>
                      <w:color w:val="000000" w:themeColor="text1"/>
                      <w:szCs w:val="21"/>
                      <w:highlight w:val="none"/>
                      <w:lang w:val="en-US" w:eastAsia="zh-CN"/>
                      <w14:textFill>
                        <w14:solidFill>
                          <w14:schemeClr w14:val="tx1"/>
                        </w14:solidFill>
                      </w14:textFill>
                    </w:rPr>
                    <w:t>100</w:t>
                  </w:r>
                  <w:r>
                    <w:rPr>
                      <w:rFonts w:eastAsia="仿宋"/>
                      <w:color w:val="000000" w:themeColor="text1"/>
                      <w:szCs w:val="21"/>
                      <w:highlight w:val="none"/>
                      <w14:textFill>
                        <w14:solidFill>
                          <w14:schemeClr w14:val="tx1"/>
                        </w14:solidFill>
                      </w14:textFill>
                    </w:rPr>
                    <w:t>%</w:t>
                  </w:r>
                </w:p>
              </w:tc>
              <w:tc>
                <w:tcPr>
                  <w:tcW w:w="1134" w:type="dxa"/>
                  <w:vAlign w:val="center"/>
                </w:tcPr>
                <w:p w14:paraId="29A882F3">
                  <w:pPr>
                    <w:jc w:val="center"/>
                    <w:rPr>
                      <w:rFonts w:eastAsia="仿宋"/>
                      <w:color w:val="000000" w:themeColor="text1"/>
                      <w:szCs w:val="21"/>
                      <w:highlight w:val="none"/>
                      <w14:textFill>
                        <w14:solidFill>
                          <w14:schemeClr w14:val="tx1"/>
                        </w14:solidFill>
                      </w14:textFill>
                    </w:rPr>
                  </w:pPr>
                  <w:r>
                    <w:rPr>
                      <w:rFonts w:hint="eastAsia" w:eastAsia="仿宋"/>
                      <w:color w:val="000000" w:themeColor="text1"/>
                      <w:szCs w:val="21"/>
                      <w:highlight w:val="none"/>
                      <w:lang w:val="en-US" w:eastAsia="zh-CN"/>
                      <w14:textFill>
                        <w14:solidFill>
                          <w14:schemeClr w14:val="tx1"/>
                        </w14:solidFill>
                      </w14:textFill>
                    </w:rPr>
                    <w:t>100</w:t>
                  </w:r>
                  <w:r>
                    <w:rPr>
                      <w:rFonts w:eastAsia="仿宋"/>
                      <w:color w:val="000000" w:themeColor="text1"/>
                      <w:szCs w:val="21"/>
                      <w:highlight w:val="none"/>
                      <w14:textFill>
                        <w14:solidFill>
                          <w14:schemeClr w14:val="tx1"/>
                        </w14:solidFill>
                      </w14:textFill>
                    </w:rPr>
                    <w:t>%</w:t>
                  </w:r>
                </w:p>
              </w:tc>
              <w:tc>
                <w:tcPr>
                  <w:tcW w:w="1443" w:type="dxa"/>
                  <w:vAlign w:val="center"/>
                </w:tcPr>
                <w:p w14:paraId="474A7C27">
                  <w:pPr>
                    <w:jc w:val="center"/>
                    <w:rPr>
                      <w:rFonts w:eastAsia="仿宋"/>
                      <w:color w:val="000000" w:themeColor="text1"/>
                      <w:szCs w:val="21"/>
                      <w:highlight w:val="none"/>
                      <w14:textFill>
                        <w14:solidFill>
                          <w14:schemeClr w14:val="tx1"/>
                        </w14:solidFill>
                      </w14:textFill>
                    </w:rPr>
                  </w:pPr>
                  <w:r>
                    <w:rPr>
                      <w:rFonts w:hint="eastAsia" w:eastAsia="仿宋"/>
                      <w:color w:val="000000" w:themeColor="text1"/>
                      <w:szCs w:val="21"/>
                      <w:highlight w:val="none"/>
                      <w:lang w:val="en-US" w:eastAsia="zh-CN"/>
                      <w14:textFill>
                        <w14:solidFill>
                          <w14:schemeClr w14:val="tx1"/>
                        </w14:solidFill>
                      </w14:textFill>
                    </w:rPr>
                    <w:t>35</w:t>
                  </w:r>
                  <w:r>
                    <w:rPr>
                      <w:rFonts w:eastAsia="仿宋"/>
                      <w:color w:val="000000" w:themeColor="text1"/>
                      <w:szCs w:val="21"/>
                      <w:highlight w:val="none"/>
                      <w14:textFill>
                        <w14:solidFill>
                          <w14:schemeClr w14:val="tx1"/>
                        </w14:solidFill>
                      </w14:textFill>
                    </w:rPr>
                    <w:t>%</w:t>
                  </w:r>
                </w:p>
              </w:tc>
              <w:tc>
                <w:tcPr>
                  <w:tcW w:w="1721" w:type="dxa"/>
                  <w:vAlign w:val="center"/>
                </w:tcPr>
                <w:p w14:paraId="514215D9">
                  <w:pPr>
                    <w:jc w:val="center"/>
                    <w:rPr>
                      <w:rFonts w:eastAsia="仿宋"/>
                      <w:color w:val="000000" w:themeColor="text1"/>
                      <w:szCs w:val="21"/>
                      <w:highlight w:val="none"/>
                      <w14:textFill>
                        <w14:solidFill>
                          <w14:schemeClr w14:val="tx1"/>
                        </w14:solidFill>
                      </w14:textFill>
                    </w:rPr>
                  </w:pPr>
                  <w:r>
                    <w:rPr>
                      <w:rFonts w:hint="eastAsia" w:eastAsia="仿宋"/>
                      <w:color w:val="000000" w:themeColor="text1"/>
                      <w:szCs w:val="21"/>
                      <w:highlight w:val="none"/>
                      <w14:textFill>
                        <w14:solidFill>
                          <w14:schemeClr w14:val="tx1"/>
                        </w14:solidFill>
                      </w14:textFill>
                    </w:rPr>
                    <w:t>11</w:t>
                  </w:r>
                  <w:r>
                    <w:rPr>
                      <w:rFonts w:hint="eastAsia" w:eastAsia="仿宋"/>
                      <w:color w:val="000000" w:themeColor="text1"/>
                      <w:szCs w:val="21"/>
                      <w:highlight w:val="none"/>
                      <w:lang w:val="en-US" w:eastAsia="zh-CN"/>
                      <w14:textFill>
                        <w14:solidFill>
                          <w14:schemeClr w14:val="tx1"/>
                        </w14:solidFill>
                      </w14:textFill>
                    </w:rPr>
                    <w:t>1.25</w:t>
                  </w:r>
                  <w:r>
                    <w:rPr>
                      <w:rFonts w:eastAsia="仿宋"/>
                      <w:color w:val="000000" w:themeColor="text1"/>
                      <w:szCs w:val="21"/>
                      <w:highlight w:val="none"/>
                      <w14:textFill>
                        <w14:solidFill>
                          <w14:schemeClr w14:val="tx1"/>
                        </w14:solidFill>
                      </w14:textFill>
                    </w:rPr>
                    <w:t>%</w:t>
                  </w:r>
                </w:p>
              </w:tc>
            </w:tr>
            <w:tr w14:paraId="518DF03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30" w:type="dxa"/>
                  <w:bottom w:w="0" w:type="dxa"/>
                  <w:right w:w="30" w:type="dxa"/>
                </w:tblCellMar>
              </w:tblPrEx>
              <w:trPr>
                <w:trHeight w:val="284" w:hRule="atLeast"/>
                <w:jc w:val="center"/>
              </w:trPr>
              <w:tc>
                <w:tcPr>
                  <w:tcW w:w="1159" w:type="dxa"/>
                  <w:vAlign w:val="center"/>
                </w:tcPr>
                <w:p w14:paraId="5CADF5D3">
                  <w:pPr>
                    <w:jc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达标情况</w:t>
                  </w:r>
                </w:p>
              </w:tc>
              <w:tc>
                <w:tcPr>
                  <w:tcW w:w="1134" w:type="dxa"/>
                  <w:vAlign w:val="center"/>
                </w:tcPr>
                <w:p w14:paraId="3BFD6FC4">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达标</w:t>
                  </w:r>
                </w:p>
              </w:tc>
              <w:tc>
                <w:tcPr>
                  <w:tcW w:w="1134" w:type="dxa"/>
                  <w:vAlign w:val="center"/>
                </w:tcPr>
                <w:p w14:paraId="2A717A68">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达标</w:t>
                  </w:r>
                </w:p>
              </w:tc>
              <w:tc>
                <w:tcPr>
                  <w:tcW w:w="1134" w:type="dxa"/>
                  <w:vAlign w:val="center"/>
                </w:tcPr>
                <w:p w14:paraId="15B13628">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达标</w:t>
                  </w:r>
                </w:p>
              </w:tc>
              <w:tc>
                <w:tcPr>
                  <w:tcW w:w="1134" w:type="dxa"/>
                  <w:vAlign w:val="center"/>
                </w:tcPr>
                <w:p w14:paraId="534E23EC">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达标</w:t>
                  </w:r>
                </w:p>
              </w:tc>
              <w:tc>
                <w:tcPr>
                  <w:tcW w:w="1443" w:type="dxa"/>
                  <w:vAlign w:val="center"/>
                </w:tcPr>
                <w:p w14:paraId="2D7BEADD">
                  <w:pPr>
                    <w:jc w:val="center"/>
                    <w:rPr>
                      <w:rFonts w:eastAsia="仿宋"/>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达标</w:t>
                  </w:r>
                </w:p>
              </w:tc>
              <w:tc>
                <w:tcPr>
                  <w:tcW w:w="1721" w:type="dxa"/>
                  <w:vAlign w:val="center"/>
                </w:tcPr>
                <w:p w14:paraId="7A1892C9">
                  <w:pPr>
                    <w:jc w:val="center"/>
                    <w:rPr>
                      <w:rFonts w:eastAsia="仿宋"/>
                      <w:color w:val="000000" w:themeColor="text1"/>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不</w:t>
                  </w:r>
                  <w:r>
                    <w:rPr>
                      <w:color w:val="000000" w:themeColor="text1"/>
                      <w:kern w:val="0"/>
                      <w:szCs w:val="21"/>
                      <w:highlight w:val="none"/>
                      <w14:textFill>
                        <w14:solidFill>
                          <w14:schemeClr w14:val="tx1"/>
                        </w14:solidFill>
                      </w14:textFill>
                    </w:rPr>
                    <w:t>达标</w:t>
                  </w:r>
                </w:p>
              </w:tc>
            </w:tr>
          </w:tbl>
          <w:p w14:paraId="23651F5A">
            <w:pPr>
              <w:spacing w:line="480" w:lineRule="exact"/>
              <w:ind w:firstLine="490" w:firstLineChars="196"/>
              <w:rPr>
                <w:color w:val="000000" w:themeColor="text1"/>
                <w:spacing w:val="5"/>
                <w:sz w:val="24"/>
                <w:highlight w:val="none"/>
                <w14:textFill>
                  <w14:solidFill>
                    <w14:schemeClr w14:val="tx1"/>
                  </w14:solidFill>
                </w14:textFill>
              </w:rPr>
            </w:pPr>
            <w:r>
              <w:rPr>
                <w:color w:val="000000" w:themeColor="text1"/>
                <w:spacing w:val="5"/>
                <w:sz w:val="24"/>
                <w:highlight w:val="none"/>
                <w14:textFill>
                  <w14:solidFill>
                    <w14:schemeClr w14:val="tx1"/>
                  </w14:solidFill>
                </w14:textFill>
              </w:rPr>
              <w:t>根据上表可知，</w:t>
            </w:r>
            <w:r>
              <w:rPr>
                <w:rFonts w:hint="eastAsia"/>
                <w:color w:val="000000" w:themeColor="text1"/>
                <w:spacing w:val="5"/>
                <w:sz w:val="24"/>
                <w:highlight w:val="none"/>
                <w14:textFill>
                  <w14:solidFill>
                    <w14:schemeClr w14:val="tx1"/>
                  </w14:solidFill>
                </w14:textFill>
              </w:rPr>
              <w:t>项目</w:t>
            </w:r>
            <w:r>
              <w:rPr>
                <w:color w:val="000000" w:themeColor="text1"/>
                <w:spacing w:val="5"/>
                <w:sz w:val="24"/>
                <w:highlight w:val="none"/>
                <w14:textFill>
                  <w14:solidFill>
                    <w14:schemeClr w14:val="tx1"/>
                  </w14:solidFill>
                </w14:textFill>
              </w:rPr>
              <w:t>所在区域</w:t>
            </w:r>
            <w:r>
              <w:rPr>
                <w:rFonts w:hint="eastAsia"/>
                <w:color w:val="000000" w:themeColor="text1"/>
                <w:spacing w:val="5"/>
                <w:sz w:val="24"/>
                <w:highlight w:val="none"/>
                <w14:textFill>
                  <w14:solidFill>
                    <w14:schemeClr w14:val="tx1"/>
                  </w14:solidFill>
                </w14:textFill>
              </w:rPr>
              <w:t>滦州市202</w:t>
            </w:r>
            <w:r>
              <w:rPr>
                <w:rFonts w:hint="eastAsia"/>
                <w:color w:val="000000" w:themeColor="text1"/>
                <w:spacing w:val="5"/>
                <w:sz w:val="24"/>
                <w:highlight w:val="none"/>
                <w:lang w:val="en-US" w:eastAsia="zh-CN"/>
                <w14:textFill>
                  <w14:solidFill>
                    <w14:schemeClr w14:val="tx1"/>
                  </w14:solidFill>
                </w14:textFill>
              </w:rPr>
              <w:t>4</w:t>
            </w:r>
            <w:r>
              <w:rPr>
                <w:rFonts w:hint="eastAsia"/>
                <w:color w:val="000000" w:themeColor="text1"/>
                <w:spacing w:val="5"/>
                <w:sz w:val="24"/>
                <w:highlight w:val="none"/>
                <w14:textFill>
                  <w14:solidFill>
                    <w14:schemeClr w14:val="tx1"/>
                  </w14:solidFill>
                </w14:textFill>
              </w:rPr>
              <w:t>年</w:t>
            </w:r>
            <w:r>
              <w:rPr>
                <w:color w:val="000000" w:themeColor="text1"/>
                <w:spacing w:val="5"/>
                <w:sz w:val="24"/>
                <w:highlight w:val="none"/>
                <w14:textFill>
                  <w14:solidFill>
                    <w14:schemeClr w14:val="tx1"/>
                  </w14:solidFill>
                </w14:textFill>
              </w:rPr>
              <w:t>环境空气质量评价指标中PM</w:t>
            </w:r>
            <w:r>
              <w:rPr>
                <w:color w:val="000000" w:themeColor="text1"/>
                <w:spacing w:val="5"/>
                <w:sz w:val="24"/>
                <w:highlight w:val="none"/>
                <w:vertAlign w:val="subscript"/>
                <w14:textFill>
                  <w14:solidFill>
                    <w14:schemeClr w14:val="tx1"/>
                  </w14:solidFill>
                </w14:textFill>
              </w:rPr>
              <w:t>10</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PM</w:t>
            </w:r>
            <w:r>
              <w:rPr>
                <w:color w:val="000000" w:themeColor="text1"/>
                <w:spacing w:val="5"/>
                <w:sz w:val="24"/>
                <w:highlight w:val="none"/>
                <w:vertAlign w:val="subscript"/>
                <w14:textFill>
                  <w14:solidFill>
                    <w14:schemeClr w14:val="tx1"/>
                  </w14:solidFill>
                </w14:textFill>
              </w:rPr>
              <w:t>2.5</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SO</w:t>
            </w:r>
            <w:r>
              <w:rPr>
                <w:color w:val="000000" w:themeColor="text1"/>
                <w:spacing w:val="5"/>
                <w:sz w:val="24"/>
                <w:highlight w:val="none"/>
                <w:vertAlign w:val="subscript"/>
                <w14:textFill>
                  <w14:solidFill>
                    <w14:schemeClr w14:val="tx1"/>
                  </w14:solidFill>
                </w14:textFill>
              </w:rPr>
              <w:t>2</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NO</w:t>
            </w:r>
            <w:r>
              <w:rPr>
                <w:color w:val="000000" w:themeColor="text1"/>
                <w:spacing w:val="5"/>
                <w:sz w:val="24"/>
                <w:highlight w:val="none"/>
                <w:vertAlign w:val="subscript"/>
                <w14:textFill>
                  <w14:solidFill>
                    <w14:schemeClr w14:val="tx1"/>
                  </w14:solidFill>
                </w14:textFill>
              </w:rPr>
              <w:t>2</w:t>
            </w:r>
            <w:r>
              <w:rPr>
                <w:rFonts w:hint="eastAsia"/>
                <w:color w:val="000000" w:themeColor="text1"/>
                <w:spacing w:val="5"/>
                <w:sz w:val="24"/>
                <w:highlight w:val="none"/>
                <w14:textFill>
                  <w14:solidFill>
                    <w14:schemeClr w14:val="tx1"/>
                  </w14:solidFill>
                </w14:textFill>
              </w:rPr>
              <w:t>年平均质量浓度和</w:t>
            </w:r>
            <w:r>
              <w:rPr>
                <w:color w:val="000000" w:themeColor="text1"/>
                <w:spacing w:val="5"/>
                <w:sz w:val="24"/>
                <w:highlight w:val="none"/>
                <w14:textFill>
                  <w14:solidFill>
                    <w14:schemeClr w14:val="tx1"/>
                  </w14:solidFill>
                </w14:textFill>
              </w:rPr>
              <w:t>CO24小时平均第95百分位数值满足《环境空气质量标准》（GB3095-2012）及修改单中二类区相应浓度限值要求，</w:t>
            </w:r>
            <w:r>
              <w:rPr>
                <w:rFonts w:hint="eastAsia"/>
                <w:color w:val="000000" w:themeColor="text1"/>
                <w:spacing w:val="5"/>
                <w:sz w:val="24"/>
                <w:highlight w:val="none"/>
                <w14:textFill>
                  <w14:solidFill>
                    <w14:schemeClr w14:val="tx1"/>
                  </w14:solidFill>
                </w14:textFill>
              </w:rPr>
              <w:t>O</w:t>
            </w:r>
            <w:r>
              <w:rPr>
                <w:rFonts w:hint="eastAsia"/>
                <w:color w:val="000000" w:themeColor="text1"/>
                <w:spacing w:val="5"/>
                <w:sz w:val="24"/>
                <w:highlight w:val="none"/>
                <w:vertAlign w:val="subscript"/>
                <w14:textFill>
                  <w14:solidFill>
                    <w14:schemeClr w14:val="tx1"/>
                  </w14:solidFill>
                </w14:textFill>
              </w:rPr>
              <w:t>3</w:t>
            </w:r>
            <w:r>
              <w:rPr>
                <w:rFonts w:hint="eastAsia"/>
                <w:color w:val="000000" w:themeColor="text1"/>
                <w:spacing w:val="5"/>
                <w:sz w:val="24"/>
                <w:highlight w:val="none"/>
                <w14:textFill>
                  <w14:solidFill>
                    <w14:schemeClr w14:val="tx1"/>
                  </w14:solidFill>
                </w14:textFill>
              </w:rPr>
              <w:t>年均</w:t>
            </w:r>
            <w:r>
              <w:rPr>
                <w:color w:val="000000" w:themeColor="text1"/>
                <w:spacing w:val="5"/>
                <w:sz w:val="24"/>
                <w:highlight w:val="none"/>
                <w14:textFill>
                  <w14:solidFill>
                    <w14:schemeClr w14:val="tx1"/>
                  </w14:solidFill>
                </w14:textFill>
              </w:rPr>
              <w:t>日最大8小时滑动平均值的第90百分位数值</w:t>
            </w:r>
            <w:r>
              <w:rPr>
                <w:rFonts w:hint="eastAsia"/>
                <w:color w:val="000000" w:themeColor="text1"/>
                <w:spacing w:val="5"/>
                <w:sz w:val="24"/>
                <w:highlight w:val="none"/>
                <w14:textFill>
                  <w14:solidFill>
                    <w14:schemeClr w14:val="tx1"/>
                  </w14:solidFill>
                </w14:textFill>
              </w:rPr>
              <w:t>浓度</w:t>
            </w:r>
            <w:r>
              <w:rPr>
                <w:color w:val="000000" w:themeColor="text1"/>
                <w:spacing w:val="5"/>
                <w:sz w:val="24"/>
                <w:highlight w:val="none"/>
                <w14:textFill>
                  <w14:solidFill>
                    <w14:schemeClr w14:val="tx1"/>
                  </w14:solidFill>
                </w14:textFill>
              </w:rPr>
              <w:t>超标。</w:t>
            </w:r>
            <w:r>
              <w:rPr>
                <w:rFonts w:hint="eastAsia"/>
                <w:color w:val="000000" w:themeColor="text1"/>
                <w:spacing w:val="5"/>
                <w:sz w:val="24"/>
                <w:highlight w:val="none"/>
                <w14:textFill>
                  <w14:solidFill>
                    <w14:schemeClr w14:val="tx1"/>
                  </w14:solidFill>
                </w14:textFill>
              </w:rPr>
              <w:t>本</w:t>
            </w:r>
            <w:r>
              <w:rPr>
                <w:color w:val="000000" w:themeColor="text1"/>
                <w:spacing w:val="5"/>
                <w:sz w:val="24"/>
                <w:highlight w:val="none"/>
                <w14:textFill>
                  <w14:solidFill>
                    <w14:schemeClr w14:val="tx1"/>
                  </w14:solidFill>
                </w14:textFill>
              </w:rPr>
              <w:t>项目</w:t>
            </w:r>
            <w:r>
              <w:rPr>
                <w:rFonts w:hint="eastAsia"/>
                <w:color w:val="000000" w:themeColor="text1"/>
                <w:spacing w:val="5"/>
                <w:sz w:val="24"/>
                <w:highlight w:val="none"/>
                <w14:textFill>
                  <w14:solidFill>
                    <w14:schemeClr w14:val="tx1"/>
                  </w14:solidFill>
                </w14:textFill>
              </w:rPr>
              <w:t>所在区域属于</w:t>
            </w:r>
            <w:r>
              <w:rPr>
                <w:color w:val="000000" w:themeColor="text1"/>
                <w:spacing w:val="5"/>
                <w:sz w:val="24"/>
                <w:highlight w:val="none"/>
                <w14:textFill>
                  <w14:solidFill>
                    <w14:schemeClr w14:val="tx1"/>
                  </w14:solidFill>
                </w14:textFill>
              </w:rPr>
              <w:t>环境空气质量不达标区域。</w:t>
            </w:r>
          </w:p>
          <w:p w14:paraId="0E6ABD0C">
            <w:pPr>
              <w:tabs>
                <w:tab w:val="left" w:pos="6048"/>
              </w:tabs>
              <w:autoSpaceDE w:val="0"/>
              <w:autoSpaceDN w:val="0"/>
              <w:adjustRightInd w:val="0"/>
              <w:snapToGrid w:val="0"/>
              <w:spacing w:line="480" w:lineRule="exact"/>
              <w:ind w:firstLine="500" w:firstLineChars="200"/>
              <w:rPr>
                <w:color w:val="000000" w:themeColor="text1"/>
                <w:spacing w:val="5"/>
                <w:sz w:val="24"/>
                <w:highlight w:val="none"/>
                <w14:textFill>
                  <w14:solidFill>
                    <w14:schemeClr w14:val="tx1"/>
                  </w14:solidFill>
                </w14:textFill>
              </w:rPr>
            </w:pPr>
            <w:r>
              <w:rPr>
                <w:rFonts w:hint="eastAsia"/>
                <w:color w:val="000000" w:themeColor="text1"/>
                <w:spacing w:val="5"/>
                <w:sz w:val="24"/>
                <w:highlight w:val="none"/>
                <w14:textFill>
                  <w14:solidFill>
                    <w14:schemeClr w14:val="tx1"/>
                  </w14:solidFill>
                </w14:textFill>
              </w:rPr>
              <w:t>⑵特征污染物</w:t>
            </w:r>
          </w:p>
          <w:p w14:paraId="3A8C48C2">
            <w:pPr>
              <w:tabs>
                <w:tab w:val="left" w:pos="6048"/>
              </w:tabs>
              <w:autoSpaceDE w:val="0"/>
              <w:autoSpaceDN w:val="0"/>
              <w:adjustRightInd w:val="0"/>
              <w:snapToGrid w:val="0"/>
              <w:spacing w:line="480" w:lineRule="exact"/>
              <w:ind w:firstLine="500" w:firstLineChars="200"/>
              <w:rPr>
                <w:color w:val="000000" w:themeColor="text1"/>
                <w:spacing w:val="5"/>
                <w:sz w:val="24"/>
                <w:highlight w:val="none"/>
                <w14:textFill>
                  <w14:solidFill>
                    <w14:schemeClr w14:val="tx1"/>
                  </w14:solidFill>
                </w14:textFill>
              </w:rPr>
            </w:pPr>
            <w:r>
              <w:rPr>
                <w:color w:val="000000" w:themeColor="text1"/>
                <w:spacing w:val="5"/>
                <w:sz w:val="24"/>
                <w:highlight w:val="none"/>
                <w14:textFill>
                  <w14:solidFill>
                    <w14:schemeClr w14:val="tx1"/>
                  </w14:solidFill>
                </w14:textFill>
              </w:rPr>
              <w:t>本项目特征污染物为</w:t>
            </w:r>
            <w:r>
              <w:rPr>
                <w:rFonts w:hint="eastAsia"/>
                <w:color w:val="000000" w:themeColor="text1"/>
                <w:spacing w:val="5"/>
                <w:sz w:val="24"/>
                <w:highlight w:val="none"/>
                <w14:textFill>
                  <w14:solidFill>
                    <w14:schemeClr w14:val="tx1"/>
                  </w14:solidFill>
                </w14:textFill>
              </w:rPr>
              <w:t>TSP、二噁英类、重金属等。本次评价特征污染物现状监测数据引用《</w:t>
            </w:r>
            <w:r>
              <w:rPr>
                <w:color w:val="000000" w:themeColor="text1"/>
                <w:spacing w:val="5"/>
                <w:sz w:val="24"/>
                <w:highlight w:val="none"/>
                <w14:textFill>
                  <w14:solidFill>
                    <w14:schemeClr w14:val="tx1"/>
                  </w14:solidFill>
                </w14:textFill>
              </w:rPr>
              <w:t>滦县翼翔新型建材有限公司固体废物综合利用技改项目</w:t>
            </w:r>
            <w:r>
              <w:rPr>
                <w:rFonts w:hint="eastAsia"/>
                <w:color w:val="000000" w:themeColor="text1"/>
                <w:spacing w:val="5"/>
                <w:sz w:val="24"/>
                <w:highlight w:val="none"/>
                <w14:textFill>
                  <w14:solidFill>
                    <w14:schemeClr w14:val="tx1"/>
                  </w14:solidFill>
                </w14:textFill>
              </w:rPr>
              <w:t>环境影响报告表》中</w:t>
            </w:r>
            <w:r>
              <w:rPr>
                <w:bCs/>
                <w:color w:val="000000" w:themeColor="text1"/>
                <w:spacing w:val="5"/>
                <w:sz w:val="24"/>
                <w:highlight w:val="none"/>
                <w14:textFill>
                  <w14:solidFill>
                    <w14:schemeClr w14:val="tx1"/>
                  </w14:solidFill>
                </w14:textFill>
              </w:rPr>
              <w:t>田疃村</w:t>
            </w:r>
            <w:r>
              <w:rPr>
                <w:rFonts w:hint="eastAsia"/>
                <w:bCs/>
                <w:color w:val="000000" w:themeColor="text1"/>
                <w:spacing w:val="5"/>
                <w:sz w:val="24"/>
                <w:highlight w:val="none"/>
                <w14:textFill>
                  <w14:solidFill>
                    <w14:schemeClr w14:val="tx1"/>
                  </w14:solidFill>
                </w14:textFill>
              </w:rPr>
              <w:t>点位现状监测数据。</w:t>
            </w:r>
            <w:r>
              <w:rPr>
                <w:rFonts w:hint="eastAsia"/>
                <w:color w:val="000000" w:themeColor="text1"/>
                <w:spacing w:val="5"/>
                <w:sz w:val="24"/>
                <w:highlight w:val="none"/>
                <w14:textFill>
                  <w14:solidFill>
                    <w14:schemeClr w14:val="tx1"/>
                  </w14:solidFill>
                </w14:textFill>
              </w:rPr>
              <w:t>北京诚天检测技术服务有限公司</w:t>
            </w:r>
            <w:r>
              <w:rPr>
                <w:color w:val="000000" w:themeColor="text1"/>
                <w:spacing w:val="5"/>
                <w:sz w:val="24"/>
                <w:highlight w:val="none"/>
                <w14:textFill>
                  <w14:solidFill>
                    <w14:schemeClr w14:val="tx1"/>
                  </w14:solidFill>
                </w14:textFill>
              </w:rPr>
              <w:t>于2023年11月</w:t>
            </w:r>
            <w:r>
              <w:rPr>
                <w:rFonts w:hint="eastAsia"/>
                <w:color w:val="000000" w:themeColor="text1"/>
                <w:spacing w:val="5"/>
                <w:sz w:val="24"/>
                <w:highlight w:val="none"/>
                <w14:textFill>
                  <w14:solidFill>
                    <w14:schemeClr w14:val="tx1"/>
                  </w14:solidFill>
                </w14:textFill>
              </w:rPr>
              <w:t>20</w:t>
            </w:r>
            <w:r>
              <w:rPr>
                <w:color w:val="000000" w:themeColor="text1"/>
                <w:spacing w:val="5"/>
                <w:sz w:val="24"/>
                <w:highlight w:val="none"/>
                <w14:textFill>
                  <w14:solidFill>
                    <w14:schemeClr w14:val="tx1"/>
                  </w14:solidFill>
                </w14:textFill>
              </w:rPr>
              <w:t>日~2023年11月</w:t>
            </w:r>
            <w:r>
              <w:rPr>
                <w:rFonts w:hint="eastAsia"/>
                <w:color w:val="000000" w:themeColor="text1"/>
                <w:spacing w:val="5"/>
                <w:sz w:val="24"/>
                <w:highlight w:val="none"/>
                <w14:textFill>
                  <w14:solidFill>
                    <w14:schemeClr w14:val="tx1"/>
                  </w14:solidFill>
                </w14:textFill>
              </w:rPr>
              <w:t>26</w:t>
            </w:r>
            <w:r>
              <w:rPr>
                <w:color w:val="000000" w:themeColor="text1"/>
                <w:spacing w:val="5"/>
                <w:sz w:val="24"/>
                <w:highlight w:val="none"/>
                <w14:textFill>
                  <w14:solidFill>
                    <w14:schemeClr w14:val="tx1"/>
                  </w14:solidFill>
                </w14:textFill>
              </w:rPr>
              <w:t>日对厂区东南侧田疃村的</w:t>
            </w:r>
            <w:r>
              <w:rPr>
                <w:rFonts w:hint="eastAsia"/>
                <w:color w:val="000000" w:themeColor="text1"/>
                <w:spacing w:val="5"/>
                <w:sz w:val="24"/>
                <w:highlight w:val="none"/>
                <w14:textFill>
                  <w14:solidFill>
                    <w14:schemeClr w14:val="tx1"/>
                  </w14:solidFill>
                </w14:textFill>
              </w:rPr>
              <w:t>TSP、</w:t>
            </w:r>
            <w:r>
              <w:rPr>
                <w:color w:val="000000" w:themeColor="text1"/>
                <w:spacing w:val="5"/>
                <w:sz w:val="24"/>
                <w:highlight w:val="none"/>
                <w14:textFill>
                  <w14:solidFill>
                    <w14:schemeClr w14:val="tx1"/>
                  </w14:solidFill>
                </w14:textFill>
              </w:rPr>
              <w:t>HCl、氟化物、镉、汞、砷、铅、六价铬、非甲烷总烃进行了现状监测采样</w:t>
            </w:r>
            <w:r>
              <w:rPr>
                <w:rFonts w:hint="eastAsia"/>
                <w:color w:val="000000" w:themeColor="text1"/>
                <w:spacing w:val="5"/>
                <w:sz w:val="24"/>
                <w:highlight w:val="none"/>
                <w14:textFill>
                  <w14:solidFill>
                    <w14:schemeClr w14:val="tx1"/>
                  </w14:solidFill>
                </w14:textFill>
              </w:rPr>
              <w:t>；浙江九安检测科技有限公司</w:t>
            </w:r>
            <w:r>
              <w:rPr>
                <w:color w:val="000000" w:themeColor="text1"/>
                <w:spacing w:val="5"/>
                <w:sz w:val="24"/>
                <w:highlight w:val="none"/>
                <w14:textFill>
                  <w14:solidFill>
                    <w14:schemeClr w14:val="tx1"/>
                  </w14:solidFill>
                </w14:textFill>
              </w:rPr>
              <w:t>于2023年11月</w:t>
            </w:r>
            <w:r>
              <w:rPr>
                <w:rFonts w:hint="eastAsia"/>
                <w:color w:val="000000" w:themeColor="text1"/>
                <w:spacing w:val="5"/>
                <w:sz w:val="24"/>
                <w:highlight w:val="none"/>
                <w14:textFill>
                  <w14:solidFill>
                    <w14:schemeClr w14:val="tx1"/>
                  </w14:solidFill>
                </w14:textFill>
              </w:rPr>
              <w:t>12</w:t>
            </w:r>
            <w:r>
              <w:rPr>
                <w:color w:val="000000" w:themeColor="text1"/>
                <w:spacing w:val="5"/>
                <w:sz w:val="24"/>
                <w:highlight w:val="none"/>
                <w14:textFill>
                  <w14:solidFill>
                    <w14:schemeClr w14:val="tx1"/>
                  </w14:solidFill>
                </w14:textFill>
              </w:rPr>
              <w:t>日~2023年11月</w:t>
            </w:r>
            <w:r>
              <w:rPr>
                <w:rFonts w:hint="eastAsia"/>
                <w:color w:val="000000" w:themeColor="text1"/>
                <w:spacing w:val="5"/>
                <w:sz w:val="24"/>
                <w:highlight w:val="none"/>
                <w14:textFill>
                  <w14:solidFill>
                    <w14:schemeClr w14:val="tx1"/>
                  </w14:solidFill>
                </w14:textFill>
              </w:rPr>
              <w:t>19</w:t>
            </w:r>
            <w:r>
              <w:rPr>
                <w:color w:val="000000" w:themeColor="text1"/>
                <w:spacing w:val="5"/>
                <w:sz w:val="24"/>
                <w:highlight w:val="none"/>
                <w14:textFill>
                  <w14:solidFill>
                    <w14:schemeClr w14:val="tx1"/>
                  </w14:solidFill>
                </w14:textFill>
              </w:rPr>
              <w:t>日对厂区东南侧田疃村的二噁英进行了现状监测采样</w:t>
            </w:r>
            <w:r>
              <w:rPr>
                <w:rFonts w:hint="eastAsia"/>
                <w:color w:val="000000" w:themeColor="text1"/>
                <w:spacing w:val="5"/>
                <w:sz w:val="24"/>
                <w:highlight w:val="none"/>
                <w14:textFill>
                  <w14:solidFill>
                    <w14:schemeClr w14:val="tx1"/>
                  </w14:solidFill>
                </w14:textFill>
              </w:rPr>
              <w:t>。该点位位于本项目东南侧，距离本项目90</w:t>
            </w:r>
            <w:r>
              <w:rPr>
                <w:color w:val="000000" w:themeColor="text1"/>
                <w:spacing w:val="5"/>
                <w:sz w:val="24"/>
                <w:highlight w:val="none"/>
                <w14:textFill>
                  <w14:solidFill>
                    <w14:schemeClr w14:val="tx1"/>
                  </w14:solidFill>
                </w14:textFill>
              </w:rPr>
              <w:t>m</w:t>
            </w:r>
            <w:r>
              <w:rPr>
                <w:rFonts w:hint="eastAsia"/>
                <w:color w:val="000000" w:themeColor="text1"/>
                <w:spacing w:val="5"/>
                <w:sz w:val="24"/>
                <w:highlight w:val="none"/>
                <w14:textFill>
                  <w14:solidFill>
                    <w14:schemeClr w14:val="tx1"/>
                  </w14:solidFill>
                </w14:textFill>
              </w:rPr>
              <w:t>。</w:t>
            </w:r>
            <w:r>
              <w:rPr>
                <w:color w:val="000000" w:themeColor="text1"/>
                <w:spacing w:val="5"/>
                <w:sz w:val="24"/>
                <w:highlight w:val="none"/>
                <w14:textFill>
                  <w14:solidFill>
                    <w14:schemeClr w14:val="tx1"/>
                  </w14:solidFill>
                </w14:textFill>
              </w:rPr>
              <w:t>监测点位</w:t>
            </w:r>
            <w:r>
              <w:rPr>
                <w:rFonts w:hint="eastAsia"/>
                <w:color w:val="000000" w:themeColor="text1"/>
                <w:spacing w:val="5"/>
                <w:sz w:val="24"/>
                <w:highlight w:val="none"/>
                <w14:textFill>
                  <w14:solidFill>
                    <w14:schemeClr w14:val="tx1"/>
                  </w14:solidFill>
                </w14:textFill>
              </w:rPr>
              <w:t>数据引用符合建设项目周边5km范围内近3年的现有监测数据要求</w:t>
            </w:r>
            <w:r>
              <w:rPr>
                <w:color w:val="000000" w:themeColor="text1"/>
                <w:spacing w:val="5"/>
                <w:sz w:val="24"/>
                <w:highlight w:val="none"/>
                <w14:textFill>
                  <w14:solidFill>
                    <w14:schemeClr w14:val="tx1"/>
                  </w14:solidFill>
                </w14:textFill>
              </w:rPr>
              <w:t>，因此，引用数据可用</w:t>
            </w:r>
            <w:r>
              <w:rPr>
                <w:rFonts w:hint="eastAsia"/>
                <w:color w:val="000000" w:themeColor="text1"/>
                <w:spacing w:val="5"/>
                <w:sz w:val="24"/>
                <w:highlight w:val="none"/>
                <w14:textFill>
                  <w14:solidFill>
                    <w14:schemeClr w14:val="tx1"/>
                  </w14:solidFill>
                </w14:textFill>
              </w:rPr>
              <w:t>。</w:t>
            </w:r>
          </w:p>
          <w:p w14:paraId="08C26D66">
            <w:pPr>
              <w:tabs>
                <w:tab w:val="left" w:pos="6048"/>
              </w:tabs>
              <w:autoSpaceDE w:val="0"/>
              <w:autoSpaceDN w:val="0"/>
              <w:adjustRightInd w:val="0"/>
              <w:snapToGrid w:val="0"/>
              <w:spacing w:line="480" w:lineRule="exact"/>
              <w:ind w:firstLine="500" w:firstLineChars="200"/>
              <w:rPr>
                <w:color w:val="000000" w:themeColor="text1"/>
                <w:spacing w:val="5"/>
                <w:sz w:val="24"/>
                <w:highlight w:val="none"/>
                <w14:textFill>
                  <w14:solidFill>
                    <w14:schemeClr w14:val="tx1"/>
                  </w14:solidFill>
                </w14:textFill>
              </w:rPr>
            </w:pPr>
            <w:r>
              <w:rPr>
                <w:rFonts w:hint="eastAsia"/>
                <w:color w:val="000000" w:themeColor="text1"/>
                <w:spacing w:val="5"/>
                <w:sz w:val="24"/>
                <w:highlight w:val="none"/>
                <w14:textFill>
                  <w14:solidFill>
                    <w14:schemeClr w14:val="tx1"/>
                  </w14:solidFill>
                </w14:textFill>
              </w:rPr>
              <w:t>特征</w:t>
            </w:r>
            <w:r>
              <w:rPr>
                <w:color w:val="000000" w:themeColor="text1"/>
                <w:spacing w:val="5"/>
                <w:sz w:val="24"/>
                <w:highlight w:val="none"/>
                <w14:textFill>
                  <w14:solidFill>
                    <w14:schemeClr w14:val="tx1"/>
                  </w14:solidFill>
                </w14:textFill>
              </w:rPr>
              <w:t>污染物环境空气现状监测数据见表3-2。</w:t>
            </w:r>
          </w:p>
          <w:p w14:paraId="70D4CAB2">
            <w:pPr>
              <w:tabs>
                <w:tab w:val="left" w:pos="6048"/>
              </w:tabs>
              <w:autoSpaceDE w:val="0"/>
              <w:autoSpaceDN w:val="0"/>
              <w:adjustRightInd w:val="0"/>
              <w:snapToGrid w:val="0"/>
              <w:spacing w:line="480" w:lineRule="exact"/>
              <w:ind w:firstLine="1320" w:firstLineChars="55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表3-2            特征污染物环境空气现状</w:t>
            </w:r>
          </w:p>
          <w:tbl>
            <w:tblPr>
              <w:tblStyle w:val="24"/>
              <w:tblW w:w="8845"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83"/>
              <w:gridCol w:w="809"/>
              <w:gridCol w:w="768"/>
              <w:gridCol w:w="1018"/>
              <w:gridCol w:w="1448"/>
              <w:gridCol w:w="1354"/>
              <w:gridCol w:w="1183"/>
              <w:gridCol w:w="489"/>
              <w:gridCol w:w="791"/>
              <w:gridCol w:w="502"/>
            </w:tblGrid>
            <w:tr w14:paraId="1563F1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noWrap/>
                  <w:vAlign w:val="center"/>
                </w:tcPr>
                <w:p w14:paraId="4A892E0F">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监测</w:t>
                  </w:r>
                </w:p>
                <w:p w14:paraId="2D16B9F0">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点位</w:t>
                  </w:r>
                </w:p>
              </w:tc>
              <w:tc>
                <w:tcPr>
                  <w:tcW w:w="457" w:type="pct"/>
                  <w:noWrap/>
                  <w:vAlign w:val="center"/>
                </w:tcPr>
                <w:p w14:paraId="51393C0E">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污染物</w:t>
                  </w:r>
                </w:p>
              </w:tc>
              <w:tc>
                <w:tcPr>
                  <w:tcW w:w="1009" w:type="pct"/>
                  <w:gridSpan w:val="2"/>
                  <w:noWrap/>
                  <w:vAlign w:val="center"/>
                </w:tcPr>
                <w:p w14:paraId="7E49FA14">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评价标准</w:t>
                  </w:r>
                  <w:r>
                    <w:rPr>
                      <w:rFonts w:ascii="Times New Roman" w:hAnsi="Times New Roman" w:eastAsia="宋体" w:cs="Times New Roman"/>
                      <w:bCs/>
                      <w:color w:val="000000" w:themeColor="text1"/>
                      <w:szCs w:val="21"/>
                      <w:highlight w:val="none"/>
                      <w14:textFill>
                        <w14:solidFill>
                          <w14:schemeClr w14:val="tx1"/>
                        </w14:solidFill>
                      </w14:textFill>
                    </w:rPr>
                    <w:t>μg/m</w:t>
                  </w:r>
                  <w:r>
                    <w:rPr>
                      <w:rFonts w:ascii="Times New Roman" w:hAnsi="Times New Roman" w:eastAsia="宋体" w:cs="Times New Roman"/>
                      <w:bCs/>
                      <w:color w:val="000000" w:themeColor="text1"/>
                      <w:szCs w:val="21"/>
                      <w:highlight w:val="none"/>
                      <w:vertAlign w:val="superscript"/>
                      <w14:textFill>
                        <w14:solidFill>
                          <w14:schemeClr w14:val="tx1"/>
                        </w14:solidFill>
                      </w14:textFill>
                    </w:rPr>
                    <w:t>3</w:t>
                  </w:r>
                </w:p>
              </w:tc>
              <w:tc>
                <w:tcPr>
                  <w:tcW w:w="818" w:type="pct"/>
                  <w:noWrap/>
                  <w:vAlign w:val="center"/>
                </w:tcPr>
                <w:p w14:paraId="51030EA6">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监测数据个数（个）</w:t>
                  </w:r>
                </w:p>
              </w:tc>
              <w:tc>
                <w:tcPr>
                  <w:tcW w:w="765" w:type="pct"/>
                  <w:noWrap/>
                  <w:vAlign w:val="center"/>
                </w:tcPr>
                <w:p w14:paraId="0310A85D">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监测浓度范围</w:t>
                  </w:r>
                  <w:r>
                    <w:rPr>
                      <w:rFonts w:ascii="Times New Roman" w:hAnsi="Times New Roman" w:eastAsia="宋体" w:cs="Times New Roman"/>
                      <w:bCs/>
                      <w:color w:val="000000" w:themeColor="text1"/>
                      <w:szCs w:val="21"/>
                      <w:highlight w:val="none"/>
                      <w14:textFill>
                        <w14:solidFill>
                          <w14:schemeClr w14:val="tx1"/>
                        </w14:solidFill>
                      </w14:textFill>
                    </w:rPr>
                    <w:t>μg/m</w:t>
                  </w:r>
                  <w:r>
                    <w:rPr>
                      <w:rFonts w:ascii="Times New Roman" w:hAnsi="Times New Roman" w:eastAsia="宋体" w:cs="Times New Roman"/>
                      <w:bCs/>
                      <w:color w:val="000000" w:themeColor="text1"/>
                      <w:szCs w:val="21"/>
                      <w:highlight w:val="none"/>
                      <w:vertAlign w:val="superscript"/>
                      <w14:textFill>
                        <w14:solidFill>
                          <w14:schemeClr w14:val="tx1"/>
                        </w14:solidFill>
                      </w14:textFill>
                    </w:rPr>
                    <w:t>3</w:t>
                  </w:r>
                </w:p>
              </w:tc>
              <w:tc>
                <w:tcPr>
                  <w:tcW w:w="668" w:type="pct"/>
                  <w:noWrap/>
                  <w:vAlign w:val="center"/>
                </w:tcPr>
                <w:p w14:paraId="679ABB3C">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标准指数</w:t>
                  </w:r>
                  <w:r>
                    <w:rPr>
                      <w:rFonts w:ascii="Times New Roman" w:hAnsi="Times New Roman" w:eastAsia="宋体" w:cs="Times New Roman"/>
                      <w:bCs/>
                      <w:color w:val="000000" w:themeColor="text1"/>
                      <w:szCs w:val="21"/>
                      <w:highlight w:val="none"/>
                      <w14:textFill>
                        <w14:solidFill>
                          <w14:schemeClr w14:val="tx1"/>
                        </w14:solidFill>
                      </w14:textFill>
                    </w:rPr>
                    <w:t>Pi</w:t>
                  </w:r>
                  <w:r>
                    <w:rPr>
                      <w:rFonts w:ascii="Times New Roman" w:hAnsi="宋体" w:eastAsia="宋体" w:cs="Times New Roman"/>
                      <w:bCs/>
                      <w:color w:val="000000" w:themeColor="text1"/>
                      <w:szCs w:val="21"/>
                      <w:highlight w:val="none"/>
                      <w14:textFill>
                        <w14:solidFill>
                          <w14:schemeClr w14:val="tx1"/>
                        </w14:solidFill>
                      </w14:textFill>
                    </w:rPr>
                    <w:t>范围</w:t>
                  </w:r>
                </w:p>
              </w:tc>
              <w:tc>
                <w:tcPr>
                  <w:tcW w:w="276" w:type="pct"/>
                  <w:noWrap/>
                  <w:vAlign w:val="center"/>
                </w:tcPr>
                <w:p w14:paraId="250E3B42">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超标率</w:t>
                  </w:r>
                </w:p>
                <w:p w14:paraId="39BAB022">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447" w:type="pct"/>
                  <w:noWrap/>
                  <w:vAlign w:val="center"/>
                </w:tcPr>
                <w:p w14:paraId="26D91985">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color w:val="000000" w:themeColor="text1"/>
                      <w:szCs w:val="21"/>
                      <w:highlight w:val="none"/>
                      <w14:textFill>
                        <w14:solidFill>
                          <w14:schemeClr w14:val="tx1"/>
                        </w14:solidFill>
                      </w14:textFill>
                    </w:rPr>
                    <w:t>最大超标倍数</w:t>
                  </w:r>
                </w:p>
              </w:tc>
              <w:tc>
                <w:tcPr>
                  <w:tcW w:w="283" w:type="pct"/>
                  <w:noWrap/>
                  <w:vAlign w:val="center"/>
                </w:tcPr>
                <w:p w14:paraId="73CF3179">
                  <w:pPr>
                    <w:pStyle w:val="68"/>
                    <w:spacing w:line="240" w:lineRule="exact"/>
                    <w:jc w:val="center"/>
                    <w:rPr>
                      <w:rFonts w:ascii="Times New Roman" w:hAnsi="宋体" w:eastAsia="宋体" w:cs="Times New Roman"/>
                      <w:color w:val="000000" w:themeColor="text1"/>
                      <w:szCs w:val="21"/>
                      <w:highlight w:val="none"/>
                      <w:lang w:val="en-US"/>
                      <w14:textFill>
                        <w14:solidFill>
                          <w14:schemeClr w14:val="tx1"/>
                        </w14:solidFill>
                      </w14:textFill>
                    </w:rPr>
                  </w:pPr>
                  <w:r>
                    <w:rPr>
                      <w:rFonts w:ascii="Times New Roman" w:hAnsi="宋体" w:eastAsia="宋体" w:cs="Times New Roman"/>
                      <w:color w:val="000000" w:themeColor="text1"/>
                      <w:szCs w:val="21"/>
                      <w:highlight w:val="none"/>
                      <w:lang w:val="en-US"/>
                      <w14:textFill>
                        <w14:solidFill>
                          <w14:schemeClr w14:val="tx1"/>
                        </w14:solidFill>
                      </w14:textFill>
                    </w:rPr>
                    <w:t>达标</w:t>
                  </w:r>
                </w:p>
                <w:p w14:paraId="145DF9E5">
                  <w:pPr>
                    <w:pStyle w:val="68"/>
                    <w:spacing w:line="24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宋体" w:eastAsia="宋体" w:cs="Times New Roman"/>
                      <w:color w:val="000000" w:themeColor="text1"/>
                      <w:szCs w:val="21"/>
                      <w:highlight w:val="none"/>
                      <w:lang w:val="en-US"/>
                      <w14:textFill>
                        <w14:solidFill>
                          <w14:schemeClr w14:val="tx1"/>
                        </w14:solidFill>
                      </w14:textFill>
                    </w:rPr>
                    <w:t>情况</w:t>
                  </w:r>
                </w:p>
              </w:tc>
            </w:tr>
            <w:tr w14:paraId="4A9DDB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restart"/>
                  <w:noWrap/>
                  <w:vAlign w:val="center"/>
                </w:tcPr>
                <w:p w14:paraId="00DCA3FF">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田疃村</w:t>
                  </w:r>
                </w:p>
              </w:tc>
              <w:tc>
                <w:tcPr>
                  <w:tcW w:w="457" w:type="pct"/>
                  <w:noWrap/>
                  <w:vAlign w:val="center"/>
                </w:tcPr>
                <w:p w14:paraId="081BE0E2">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TSP</w:t>
                  </w:r>
                </w:p>
              </w:tc>
              <w:tc>
                <w:tcPr>
                  <w:tcW w:w="434" w:type="pct"/>
                  <w:noWrap/>
                  <w:vAlign w:val="center"/>
                </w:tcPr>
                <w:p w14:paraId="184A25A1">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1F8E59A3">
                  <w:pPr>
                    <w:widowControl/>
                    <w:jc w:val="center"/>
                    <w:textAlignment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300</w:t>
                  </w:r>
                </w:p>
              </w:tc>
              <w:tc>
                <w:tcPr>
                  <w:tcW w:w="818" w:type="pct"/>
                  <w:noWrap/>
                  <w:vAlign w:val="center"/>
                </w:tcPr>
                <w:p w14:paraId="3A32C6A2">
                  <w:pPr>
                    <w:widowControl/>
                    <w:jc w:val="center"/>
                    <w:textAlignment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7</w:t>
                  </w:r>
                </w:p>
              </w:tc>
              <w:tc>
                <w:tcPr>
                  <w:tcW w:w="765" w:type="pct"/>
                  <w:noWrap/>
                  <w:vAlign w:val="center"/>
                </w:tcPr>
                <w:p w14:paraId="2CBFA0C6">
                  <w:pPr>
                    <w:pStyle w:val="68"/>
                    <w:spacing w:line="240" w:lineRule="exact"/>
                    <w:jc w:val="center"/>
                    <w:rPr>
                      <w:rFonts w:ascii="Times New Roman" w:hAnsi="Times New Roman" w:eastAsia="宋体" w:cs="Times New Roman"/>
                      <w:bCs/>
                      <w:color w:val="000000" w:themeColor="text1"/>
                      <w:szCs w:val="21"/>
                      <w:highlight w:val="none"/>
                      <w:lang w:val="en-US" w:bidi="ar-SA"/>
                      <w14:textFill>
                        <w14:solidFill>
                          <w14:schemeClr w14:val="tx1"/>
                        </w14:solidFill>
                      </w14:textFill>
                    </w:rPr>
                  </w:pPr>
                  <w:r>
                    <w:rPr>
                      <w:rFonts w:ascii="Times New Roman" w:hAnsi="Times New Roman" w:eastAsia="宋体" w:cs="Times New Roman"/>
                      <w:bCs/>
                      <w:color w:val="000000" w:themeColor="text1"/>
                      <w:szCs w:val="21"/>
                      <w:highlight w:val="none"/>
                      <w:lang w:val="en-US" w:bidi="ar-SA"/>
                      <w14:textFill>
                        <w14:solidFill>
                          <w14:schemeClr w14:val="tx1"/>
                        </w14:solidFill>
                      </w14:textFill>
                    </w:rPr>
                    <w:t>192-210</w:t>
                  </w:r>
                </w:p>
              </w:tc>
              <w:tc>
                <w:tcPr>
                  <w:tcW w:w="668" w:type="pct"/>
                  <w:noWrap/>
                  <w:vAlign w:val="center"/>
                </w:tcPr>
                <w:p w14:paraId="2385986D">
                  <w:pPr>
                    <w:pStyle w:val="68"/>
                    <w:spacing w:line="240" w:lineRule="exact"/>
                    <w:jc w:val="center"/>
                    <w:rPr>
                      <w:rFonts w:ascii="Times New Roman" w:hAnsi="Times New Roman" w:eastAsia="宋体" w:cs="Times New Roman"/>
                      <w:bCs/>
                      <w:color w:val="000000" w:themeColor="text1"/>
                      <w:szCs w:val="21"/>
                      <w:highlight w:val="none"/>
                      <w:lang w:val="en-US" w:bidi="ar-SA"/>
                      <w14:textFill>
                        <w14:solidFill>
                          <w14:schemeClr w14:val="tx1"/>
                        </w14:solidFill>
                      </w14:textFill>
                    </w:rPr>
                  </w:pPr>
                  <w:r>
                    <w:rPr>
                      <w:rFonts w:ascii="Times New Roman" w:hAnsi="Times New Roman" w:eastAsia="宋体" w:cs="Times New Roman"/>
                      <w:bCs/>
                      <w:color w:val="000000" w:themeColor="text1"/>
                      <w:szCs w:val="21"/>
                      <w:highlight w:val="none"/>
                      <w:lang w:val="en-US" w:bidi="ar-SA"/>
                      <w14:textFill>
                        <w14:solidFill>
                          <w14:schemeClr w14:val="tx1"/>
                        </w14:solidFill>
                      </w14:textFill>
                    </w:rPr>
                    <w:t>0.64-0.7</w:t>
                  </w:r>
                </w:p>
              </w:tc>
              <w:tc>
                <w:tcPr>
                  <w:tcW w:w="276" w:type="pct"/>
                  <w:noWrap/>
                  <w:vAlign w:val="center"/>
                </w:tcPr>
                <w:p w14:paraId="5825FA2F">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w:t>
                  </w:r>
                </w:p>
              </w:tc>
              <w:tc>
                <w:tcPr>
                  <w:tcW w:w="447" w:type="pct"/>
                  <w:noWrap/>
                  <w:vAlign w:val="center"/>
                </w:tcPr>
                <w:p w14:paraId="7D9B84EA">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w:t>
                  </w:r>
                </w:p>
              </w:tc>
              <w:tc>
                <w:tcPr>
                  <w:tcW w:w="283" w:type="pct"/>
                  <w:noWrap/>
                  <w:vAlign w:val="center"/>
                </w:tcPr>
                <w:p w14:paraId="371EF210">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6E2A48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3B9E9F10">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457" w:type="pct"/>
                  <w:noWrap/>
                  <w:vAlign w:val="center"/>
                </w:tcPr>
                <w:p w14:paraId="721D02F4">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汞</w:t>
                  </w:r>
                </w:p>
              </w:tc>
              <w:tc>
                <w:tcPr>
                  <w:tcW w:w="434" w:type="pct"/>
                  <w:noWrap/>
                  <w:vAlign w:val="center"/>
                </w:tcPr>
                <w:p w14:paraId="168070F3">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1042C8AF">
                  <w:pPr>
                    <w:widowControl/>
                    <w:jc w:val="center"/>
                    <w:textAlignment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0.1</w:t>
                  </w:r>
                </w:p>
              </w:tc>
              <w:tc>
                <w:tcPr>
                  <w:tcW w:w="818" w:type="pct"/>
                  <w:noWrap/>
                  <w:vAlign w:val="center"/>
                </w:tcPr>
                <w:p w14:paraId="247AF23B">
                  <w:pPr>
                    <w:widowControl/>
                    <w:jc w:val="center"/>
                    <w:textAlignment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7</w:t>
                  </w:r>
                </w:p>
              </w:tc>
              <w:tc>
                <w:tcPr>
                  <w:tcW w:w="765" w:type="pct"/>
                  <w:noWrap/>
                  <w:vAlign w:val="center"/>
                </w:tcPr>
                <w:p w14:paraId="5D7DE138">
                  <w:pPr>
                    <w:pStyle w:val="68"/>
                    <w:spacing w:line="240" w:lineRule="exact"/>
                    <w:jc w:val="center"/>
                    <w:rPr>
                      <w:rFonts w:ascii="Times New Roman" w:hAnsi="Times New Roman" w:eastAsia="宋体" w:cs="Times New Roman"/>
                      <w:bCs/>
                      <w:color w:val="000000" w:themeColor="text1"/>
                      <w:szCs w:val="21"/>
                      <w:highlight w:val="none"/>
                      <w:vertAlign w:val="superscript"/>
                      <w:lang w:val="en-US" w:bidi="ar-SA"/>
                      <w14:textFill>
                        <w14:solidFill>
                          <w14:schemeClr w14:val="tx1"/>
                        </w14:solidFill>
                      </w14:textFill>
                    </w:rPr>
                  </w:pPr>
                  <w:r>
                    <w:rPr>
                      <w:rFonts w:ascii="Times New Roman" w:hAnsi="Times New Roman" w:eastAsia="宋体" w:cs="Times New Roman"/>
                      <w:bCs/>
                      <w:color w:val="000000" w:themeColor="text1"/>
                      <w:szCs w:val="21"/>
                      <w:highlight w:val="none"/>
                      <w:lang w:val="en-US" w:bidi="ar-SA"/>
                      <w14:textFill>
                        <w14:solidFill>
                          <w14:schemeClr w14:val="tx1"/>
                        </w14:solidFill>
                      </w14:textFill>
                    </w:rPr>
                    <w:t>&lt;6.6×10</w:t>
                  </w:r>
                  <w:r>
                    <w:rPr>
                      <w:rFonts w:ascii="Times New Roman" w:hAnsi="Times New Roman" w:eastAsia="宋体" w:cs="Times New Roman"/>
                      <w:bCs/>
                      <w:color w:val="000000" w:themeColor="text1"/>
                      <w:szCs w:val="21"/>
                      <w:highlight w:val="none"/>
                      <w:vertAlign w:val="superscript"/>
                      <w:lang w:val="en-US" w:bidi="ar-SA"/>
                      <w14:textFill>
                        <w14:solidFill>
                          <w14:schemeClr w14:val="tx1"/>
                        </w14:solidFill>
                      </w14:textFill>
                    </w:rPr>
                    <w:t>-6</w:t>
                  </w:r>
                </w:p>
              </w:tc>
              <w:tc>
                <w:tcPr>
                  <w:tcW w:w="668" w:type="pct"/>
                  <w:noWrap/>
                  <w:vAlign w:val="center"/>
                </w:tcPr>
                <w:p w14:paraId="1F67B5D4">
                  <w:pPr>
                    <w:pStyle w:val="68"/>
                    <w:spacing w:line="240" w:lineRule="exact"/>
                    <w:jc w:val="center"/>
                    <w:rPr>
                      <w:rFonts w:ascii="Times New Roman" w:hAnsi="Times New Roman" w:eastAsia="宋体" w:cs="Times New Roman"/>
                      <w:bCs/>
                      <w:color w:val="000000" w:themeColor="text1"/>
                      <w:szCs w:val="21"/>
                      <w:highlight w:val="none"/>
                      <w:lang w:val="en-US" w:bidi="ar-SA"/>
                      <w14:textFill>
                        <w14:solidFill>
                          <w14:schemeClr w14:val="tx1"/>
                        </w14:solidFill>
                      </w14:textFill>
                    </w:rPr>
                  </w:pPr>
                  <w:r>
                    <w:rPr>
                      <w:rFonts w:ascii="Times New Roman" w:hAnsi="Times New Roman" w:eastAsia="宋体" w:cs="Times New Roman"/>
                      <w:bCs/>
                      <w:color w:val="000000" w:themeColor="text1"/>
                      <w:szCs w:val="21"/>
                      <w:highlight w:val="none"/>
                      <w:lang w:val="en-US" w:bidi="ar-SA"/>
                      <w14:textFill>
                        <w14:solidFill>
                          <w14:schemeClr w14:val="tx1"/>
                        </w14:solidFill>
                      </w14:textFill>
                    </w:rPr>
                    <w:t>0</w:t>
                  </w:r>
                </w:p>
              </w:tc>
              <w:tc>
                <w:tcPr>
                  <w:tcW w:w="276" w:type="pct"/>
                  <w:noWrap/>
                  <w:vAlign w:val="center"/>
                </w:tcPr>
                <w:p w14:paraId="2C8150F8">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447" w:type="pct"/>
                  <w:noWrap/>
                  <w:vAlign w:val="center"/>
                </w:tcPr>
                <w:p w14:paraId="0E969C96">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1D617E63">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27E3CB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68321C40">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23860A7E">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砷</w:t>
                  </w:r>
                </w:p>
              </w:tc>
              <w:tc>
                <w:tcPr>
                  <w:tcW w:w="434" w:type="pct"/>
                  <w:noWrap/>
                  <w:vAlign w:val="center"/>
                </w:tcPr>
                <w:p w14:paraId="0E3146FB">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3E6AD443">
                  <w:pPr>
                    <w:widowControl/>
                    <w:jc w:val="center"/>
                    <w:textAlignment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0.012</w:t>
                  </w:r>
                </w:p>
              </w:tc>
              <w:tc>
                <w:tcPr>
                  <w:tcW w:w="818" w:type="pct"/>
                  <w:noWrap/>
                  <w:vAlign w:val="center"/>
                </w:tcPr>
                <w:p w14:paraId="78E6A20C">
                  <w:pPr>
                    <w:widowControl/>
                    <w:jc w:val="center"/>
                    <w:textAlignment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7</w:t>
                  </w:r>
                </w:p>
              </w:tc>
              <w:tc>
                <w:tcPr>
                  <w:tcW w:w="765" w:type="pct"/>
                  <w:noWrap/>
                  <w:vAlign w:val="center"/>
                </w:tcPr>
                <w:p w14:paraId="0945F77E">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&lt;0.7</w:t>
                  </w:r>
                </w:p>
              </w:tc>
              <w:tc>
                <w:tcPr>
                  <w:tcW w:w="668" w:type="pct"/>
                  <w:noWrap/>
                  <w:vAlign w:val="center"/>
                </w:tcPr>
                <w:p w14:paraId="00E763F5">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w:t>
                  </w:r>
                </w:p>
              </w:tc>
              <w:tc>
                <w:tcPr>
                  <w:tcW w:w="276" w:type="pct"/>
                  <w:noWrap/>
                  <w:vAlign w:val="center"/>
                </w:tcPr>
                <w:p w14:paraId="7955114A">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447" w:type="pct"/>
                  <w:noWrap/>
                  <w:vAlign w:val="center"/>
                </w:tcPr>
                <w:p w14:paraId="26C87CEB">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2F52D06A">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49A33B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47F28460">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0136F7F8">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铅</w:t>
                  </w:r>
                </w:p>
              </w:tc>
              <w:tc>
                <w:tcPr>
                  <w:tcW w:w="434" w:type="pct"/>
                  <w:noWrap/>
                  <w:vAlign w:val="center"/>
                </w:tcPr>
                <w:p w14:paraId="0C80E98C">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7E69CA02">
                  <w:pPr>
                    <w:widowControl/>
                    <w:jc w:val="center"/>
                    <w:textAlignment w:val="center"/>
                    <w:rPr>
                      <w:bCs/>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w:t>
                  </w:r>
                </w:p>
              </w:tc>
              <w:tc>
                <w:tcPr>
                  <w:tcW w:w="818" w:type="pct"/>
                  <w:noWrap/>
                  <w:vAlign w:val="center"/>
                </w:tcPr>
                <w:p w14:paraId="4C26F301">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12BBFEC6">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&lt;0.6</w:t>
                  </w:r>
                </w:p>
              </w:tc>
              <w:tc>
                <w:tcPr>
                  <w:tcW w:w="668" w:type="pct"/>
                  <w:noWrap/>
                  <w:vAlign w:val="center"/>
                </w:tcPr>
                <w:p w14:paraId="5B1E1B26">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w:t>
                  </w:r>
                </w:p>
              </w:tc>
              <w:tc>
                <w:tcPr>
                  <w:tcW w:w="276" w:type="pct"/>
                  <w:noWrap/>
                  <w:vAlign w:val="center"/>
                </w:tcPr>
                <w:p w14:paraId="77087D01">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447" w:type="pct"/>
                  <w:noWrap/>
                  <w:vAlign w:val="center"/>
                </w:tcPr>
                <w:p w14:paraId="36AFAEBC">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47DEB89D">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0928E7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101156A1">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408BB16E">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镉</w:t>
                  </w:r>
                </w:p>
              </w:tc>
              <w:tc>
                <w:tcPr>
                  <w:tcW w:w="434" w:type="pct"/>
                  <w:noWrap/>
                  <w:vAlign w:val="center"/>
                </w:tcPr>
                <w:p w14:paraId="5D05A7ED">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05606BD9">
                  <w:pPr>
                    <w:widowControl/>
                    <w:jc w:val="center"/>
                    <w:textAlignment w:val="center"/>
                    <w:rPr>
                      <w:bCs/>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0.01</w:t>
                  </w:r>
                </w:p>
              </w:tc>
              <w:tc>
                <w:tcPr>
                  <w:tcW w:w="818" w:type="pct"/>
                  <w:noWrap/>
                  <w:vAlign w:val="center"/>
                </w:tcPr>
                <w:p w14:paraId="6F0DC236">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5F37DDDA">
                  <w:pPr>
                    <w:widowControl/>
                    <w:jc w:val="center"/>
                    <w:textAlignment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&lt;0.03</w:t>
                  </w:r>
                </w:p>
              </w:tc>
              <w:tc>
                <w:tcPr>
                  <w:tcW w:w="668" w:type="pct"/>
                  <w:noWrap/>
                  <w:vAlign w:val="center"/>
                </w:tcPr>
                <w:p w14:paraId="6A2F410D">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276" w:type="pct"/>
                  <w:noWrap/>
                  <w:vAlign w:val="center"/>
                </w:tcPr>
                <w:p w14:paraId="5A110F63">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14FCD3E8">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78E9C272">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425797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25C4968A">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56CEA721">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w:t>
                  </w:r>
                  <w:r>
                    <w:rPr>
                      <w:rFonts w:ascii="Times New Roman" w:hAnsi="宋体" w:eastAsia="宋体" w:cs="Times New Roman"/>
                      <w:bCs/>
                      <w:color w:val="000000" w:themeColor="text1"/>
                      <w:szCs w:val="21"/>
                      <w:highlight w:val="none"/>
                      <w:lang w:val="en-US"/>
                      <w14:textFill>
                        <w14:solidFill>
                          <w14:schemeClr w14:val="tx1"/>
                        </w14:solidFill>
                      </w14:textFill>
                    </w:rPr>
                    <w:t>六价铬</w:t>
                  </w:r>
                </w:p>
              </w:tc>
              <w:tc>
                <w:tcPr>
                  <w:tcW w:w="434" w:type="pct"/>
                  <w:noWrap/>
                  <w:vAlign w:val="center"/>
                </w:tcPr>
                <w:p w14:paraId="2025E3CC">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日</w:t>
                  </w:r>
                  <w:r>
                    <w:rPr>
                      <w:rFonts w:ascii="Times New Roman" w:hAnsi="宋体" w:eastAsia="宋体" w:cs="Times New Roman"/>
                      <w:bCs/>
                      <w:color w:val="000000" w:themeColor="text1"/>
                      <w:szCs w:val="21"/>
                      <w:highlight w:val="none"/>
                      <w14:textFill>
                        <w14:solidFill>
                          <w14:schemeClr w14:val="tx1"/>
                        </w14:solidFill>
                      </w14:textFill>
                    </w:rPr>
                    <w:t>均值</w:t>
                  </w:r>
                </w:p>
              </w:tc>
              <w:tc>
                <w:tcPr>
                  <w:tcW w:w="574" w:type="pct"/>
                  <w:noWrap/>
                  <w:vAlign w:val="center"/>
                </w:tcPr>
                <w:p w14:paraId="7C622BF5">
                  <w:pPr>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0.00005</w:t>
                  </w:r>
                </w:p>
              </w:tc>
              <w:tc>
                <w:tcPr>
                  <w:tcW w:w="818" w:type="pct"/>
                  <w:noWrap/>
                  <w:vAlign w:val="center"/>
                </w:tcPr>
                <w:p w14:paraId="2F1FC5E4">
                  <w:pPr>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186D90DF">
                  <w:pPr>
                    <w:jc w:val="center"/>
                    <w:textAlignment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&lt;4×10</w:t>
                  </w:r>
                  <w:r>
                    <w:rPr>
                      <w:color w:val="000000" w:themeColor="text1"/>
                      <w:szCs w:val="21"/>
                      <w:highlight w:val="none"/>
                      <w:vertAlign w:val="superscript"/>
                      <w14:textFill>
                        <w14:solidFill>
                          <w14:schemeClr w14:val="tx1"/>
                        </w14:solidFill>
                      </w14:textFill>
                    </w:rPr>
                    <w:t>-5</w:t>
                  </w:r>
                </w:p>
              </w:tc>
              <w:tc>
                <w:tcPr>
                  <w:tcW w:w="668" w:type="pct"/>
                  <w:noWrap/>
                  <w:vAlign w:val="center"/>
                </w:tcPr>
                <w:p w14:paraId="5E119287">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276" w:type="pct"/>
                  <w:noWrap/>
                  <w:vAlign w:val="center"/>
                </w:tcPr>
                <w:p w14:paraId="6D03F60C">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292C2182">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30372B72">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58ECFE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16FE0059">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vMerge w:val="restart"/>
                  <w:noWrap/>
                  <w:vAlign w:val="center"/>
                </w:tcPr>
                <w:p w14:paraId="07493C01">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氯化氢</w:t>
                  </w:r>
                </w:p>
              </w:tc>
              <w:tc>
                <w:tcPr>
                  <w:tcW w:w="434" w:type="pct"/>
                  <w:noWrap/>
                  <w:vAlign w:val="center"/>
                </w:tcPr>
                <w:p w14:paraId="09979732">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1</w:t>
                  </w:r>
                  <w:r>
                    <w:rPr>
                      <w:rFonts w:ascii="Times New Roman" w:hAnsi="宋体" w:eastAsia="宋体" w:cs="Times New Roman"/>
                      <w:bCs/>
                      <w:color w:val="000000" w:themeColor="text1"/>
                      <w:szCs w:val="21"/>
                      <w:highlight w:val="none"/>
                      <w14:textFill>
                        <w14:solidFill>
                          <w14:schemeClr w14:val="tx1"/>
                        </w14:solidFill>
                      </w14:textFill>
                    </w:rPr>
                    <w:t>小时均值</w:t>
                  </w:r>
                </w:p>
              </w:tc>
              <w:tc>
                <w:tcPr>
                  <w:tcW w:w="574" w:type="pct"/>
                  <w:noWrap/>
                  <w:vAlign w:val="center"/>
                </w:tcPr>
                <w:p w14:paraId="5775BCB0">
                  <w:pPr>
                    <w:widowControl/>
                    <w:jc w:val="center"/>
                    <w:textAlignment w:val="center"/>
                    <w:rPr>
                      <w:bCs/>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50</w:t>
                  </w:r>
                </w:p>
              </w:tc>
              <w:tc>
                <w:tcPr>
                  <w:tcW w:w="818" w:type="pct"/>
                  <w:noWrap/>
                  <w:vAlign w:val="center"/>
                </w:tcPr>
                <w:p w14:paraId="14C66B45">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28</w:t>
                  </w:r>
                </w:p>
              </w:tc>
              <w:tc>
                <w:tcPr>
                  <w:tcW w:w="765" w:type="pct"/>
                  <w:noWrap/>
                  <w:vAlign w:val="center"/>
                </w:tcPr>
                <w:p w14:paraId="2A1388F5">
                  <w:pPr>
                    <w:widowControl/>
                    <w:jc w:val="center"/>
                    <w:textAlignment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&lt;0.02</w:t>
                  </w:r>
                </w:p>
              </w:tc>
              <w:tc>
                <w:tcPr>
                  <w:tcW w:w="668" w:type="pct"/>
                  <w:noWrap/>
                  <w:vAlign w:val="center"/>
                </w:tcPr>
                <w:p w14:paraId="3A62B1B5">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276" w:type="pct"/>
                  <w:noWrap/>
                  <w:vAlign w:val="center"/>
                </w:tcPr>
                <w:p w14:paraId="397D6049">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49F0F8DB">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506FBA58">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0E2A71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79BB40B6">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vMerge w:val="continue"/>
                  <w:noWrap/>
                  <w:vAlign w:val="center"/>
                </w:tcPr>
                <w:p w14:paraId="6778C925">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34" w:type="pct"/>
                  <w:noWrap/>
                  <w:vAlign w:val="center"/>
                </w:tcPr>
                <w:p w14:paraId="00243059">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37C1CA52">
                  <w:pPr>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15</w:t>
                  </w:r>
                </w:p>
              </w:tc>
              <w:tc>
                <w:tcPr>
                  <w:tcW w:w="818" w:type="pct"/>
                  <w:noWrap/>
                  <w:vAlign w:val="center"/>
                </w:tcPr>
                <w:p w14:paraId="1AF8A5D5">
                  <w:pPr>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448DA108">
                  <w:pPr>
                    <w:jc w:val="center"/>
                    <w:textAlignment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&lt;0.02</w:t>
                  </w:r>
                </w:p>
              </w:tc>
              <w:tc>
                <w:tcPr>
                  <w:tcW w:w="668" w:type="pct"/>
                  <w:noWrap/>
                  <w:vAlign w:val="center"/>
                </w:tcPr>
                <w:p w14:paraId="137808D9">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276" w:type="pct"/>
                  <w:noWrap/>
                  <w:vAlign w:val="center"/>
                </w:tcPr>
                <w:p w14:paraId="2CD6C9D1">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6D34300C">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577D267B">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09112E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795EBC5D">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vMerge w:val="restart"/>
                  <w:noWrap/>
                  <w:vAlign w:val="center"/>
                </w:tcPr>
                <w:p w14:paraId="2E62879F">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氟化物</w:t>
                  </w:r>
                </w:p>
              </w:tc>
              <w:tc>
                <w:tcPr>
                  <w:tcW w:w="434" w:type="pct"/>
                  <w:noWrap/>
                  <w:vAlign w:val="center"/>
                </w:tcPr>
                <w:p w14:paraId="31EF87D3">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1</w:t>
                  </w:r>
                  <w:r>
                    <w:rPr>
                      <w:rFonts w:ascii="Times New Roman" w:hAnsi="宋体" w:eastAsia="宋体" w:cs="Times New Roman"/>
                      <w:bCs/>
                      <w:color w:val="000000" w:themeColor="text1"/>
                      <w:szCs w:val="21"/>
                      <w:highlight w:val="none"/>
                      <w14:textFill>
                        <w14:solidFill>
                          <w14:schemeClr w14:val="tx1"/>
                        </w14:solidFill>
                      </w14:textFill>
                    </w:rPr>
                    <w:t>小时均值</w:t>
                  </w:r>
                </w:p>
              </w:tc>
              <w:tc>
                <w:tcPr>
                  <w:tcW w:w="574" w:type="pct"/>
                  <w:noWrap/>
                  <w:vAlign w:val="center"/>
                </w:tcPr>
                <w:p w14:paraId="04DE784B">
                  <w:pPr>
                    <w:widowControl/>
                    <w:jc w:val="center"/>
                    <w:textAlignment w:val="center"/>
                    <w:rPr>
                      <w:bCs/>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20</w:t>
                  </w:r>
                </w:p>
              </w:tc>
              <w:tc>
                <w:tcPr>
                  <w:tcW w:w="818" w:type="pct"/>
                  <w:noWrap/>
                  <w:vAlign w:val="center"/>
                </w:tcPr>
                <w:p w14:paraId="3867D579">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28</w:t>
                  </w:r>
                </w:p>
              </w:tc>
              <w:tc>
                <w:tcPr>
                  <w:tcW w:w="765" w:type="pct"/>
                  <w:noWrap/>
                  <w:vAlign w:val="center"/>
                </w:tcPr>
                <w:p w14:paraId="6396D3DE">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10.5-13.1</w:t>
                  </w:r>
                </w:p>
              </w:tc>
              <w:tc>
                <w:tcPr>
                  <w:tcW w:w="668" w:type="pct"/>
                  <w:noWrap/>
                  <w:vAlign w:val="center"/>
                </w:tcPr>
                <w:p w14:paraId="2CAB9070">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0.525-0.655</w:t>
                  </w:r>
                </w:p>
              </w:tc>
              <w:tc>
                <w:tcPr>
                  <w:tcW w:w="276" w:type="pct"/>
                  <w:noWrap/>
                  <w:vAlign w:val="center"/>
                </w:tcPr>
                <w:p w14:paraId="65F30047">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447" w:type="pct"/>
                  <w:noWrap/>
                  <w:vAlign w:val="center"/>
                </w:tcPr>
                <w:p w14:paraId="73739AD4">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w:t>
                  </w:r>
                </w:p>
              </w:tc>
              <w:tc>
                <w:tcPr>
                  <w:tcW w:w="283" w:type="pct"/>
                  <w:noWrap/>
                  <w:vAlign w:val="center"/>
                </w:tcPr>
                <w:p w14:paraId="1AB70C21">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16D9EB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28D40043">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vMerge w:val="continue"/>
                  <w:noWrap/>
                  <w:vAlign w:val="center"/>
                </w:tcPr>
                <w:p w14:paraId="0FE4109F">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34" w:type="pct"/>
                  <w:noWrap/>
                  <w:vAlign w:val="center"/>
                </w:tcPr>
                <w:p w14:paraId="14104612">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4D91B1C4">
                  <w:pPr>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818" w:type="pct"/>
                  <w:noWrap/>
                  <w:vAlign w:val="center"/>
                </w:tcPr>
                <w:p w14:paraId="6BEEA270">
                  <w:pPr>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29D2A0B5">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3.4~4.9</w:t>
                  </w:r>
                </w:p>
              </w:tc>
              <w:tc>
                <w:tcPr>
                  <w:tcW w:w="668" w:type="pct"/>
                  <w:noWrap/>
                  <w:vAlign w:val="center"/>
                </w:tcPr>
                <w:p w14:paraId="58058CF5">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0.48-0.7</w:t>
                  </w:r>
                </w:p>
              </w:tc>
              <w:tc>
                <w:tcPr>
                  <w:tcW w:w="276" w:type="pct"/>
                  <w:noWrap/>
                  <w:vAlign w:val="center"/>
                </w:tcPr>
                <w:p w14:paraId="2FE39A6F">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0</w:t>
                  </w:r>
                </w:p>
              </w:tc>
              <w:tc>
                <w:tcPr>
                  <w:tcW w:w="447" w:type="pct"/>
                  <w:noWrap/>
                  <w:vAlign w:val="center"/>
                </w:tcPr>
                <w:p w14:paraId="1C3D71DC">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w:t>
                  </w:r>
                </w:p>
              </w:tc>
              <w:tc>
                <w:tcPr>
                  <w:tcW w:w="283" w:type="pct"/>
                  <w:noWrap/>
                  <w:vAlign w:val="center"/>
                </w:tcPr>
                <w:p w14:paraId="1CB6E13F">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2856277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1A8EDCC5">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23C9C0F3">
                  <w:pPr>
                    <w:pStyle w:val="68"/>
                    <w:spacing w:line="24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宋体" w:eastAsia="宋体" w:cs="Times New Roman"/>
                      <w:color w:val="000000" w:themeColor="text1"/>
                      <w:szCs w:val="21"/>
                      <w:highlight w:val="none"/>
                      <w14:textFill>
                        <w14:solidFill>
                          <w14:schemeClr w14:val="tx1"/>
                        </w14:solidFill>
                      </w14:textFill>
                    </w:rPr>
                    <w:t>氨</w:t>
                  </w:r>
                </w:p>
              </w:tc>
              <w:tc>
                <w:tcPr>
                  <w:tcW w:w="434" w:type="pct"/>
                  <w:noWrap/>
                  <w:vAlign w:val="center"/>
                </w:tcPr>
                <w:p w14:paraId="4C176892">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1</w:t>
                  </w:r>
                  <w:r>
                    <w:rPr>
                      <w:rFonts w:ascii="Times New Roman" w:hAnsi="宋体" w:eastAsia="宋体" w:cs="Times New Roman"/>
                      <w:bCs/>
                      <w:color w:val="000000" w:themeColor="text1"/>
                      <w:szCs w:val="21"/>
                      <w:highlight w:val="none"/>
                      <w14:textFill>
                        <w14:solidFill>
                          <w14:schemeClr w14:val="tx1"/>
                        </w14:solidFill>
                      </w14:textFill>
                    </w:rPr>
                    <w:t>小时均值</w:t>
                  </w:r>
                </w:p>
              </w:tc>
              <w:tc>
                <w:tcPr>
                  <w:tcW w:w="574" w:type="pct"/>
                  <w:noWrap/>
                  <w:vAlign w:val="center"/>
                </w:tcPr>
                <w:p w14:paraId="08CAD51E">
                  <w:pPr>
                    <w:widowControl/>
                    <w:jc w:val="center"/>
                    <w:textAlignment w:val="center"/>
                    <w:rPr>
                      <w:bCs/>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200</w:t>
                  </w:r>
                </w:p>
              </w:tc>
              <w:tc>
                <w:tcPr>
                  <w:tcW w:w="818" w:type="pct"/>
                  <w:noWrap/>
                  <w:vAlign w:val="center"/>
                </w:tcPr>
                <w:p w14:paraId="0B63B6D7">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28</w:t>
                  </w:r>
                </w:p>
              </w:tc>
              <w:tc>
                <w:tcPr>
                  <w:tcW w:w="765" w:type="pct"/>
                  <w:noWrap/>
                  <w:vAlign w:val="center"/>
                </w:tcPr>
                <w:p w14:paraId="3C72B7B3">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50-90</w:t>
                  </w:r>
                </w:p>
              </w:tc>
              <w:tc>
                <w:tcPr>
                  <w:tcW w:w="668" w:type="pct"/>
                  <w:noWrap/>
                  <w:vAlign w:val="center"/>
                </w:tcPr>
                <w:p w14:paraId="58962ED7">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0.25</w:t>
                  </w:r>
                  <w:r>
                    <w:rPr>
                      <w:rFonts w:ascii="Times New Roman" w:hAnsi="Times New Roman" w:eastAsia="宋体" w:cs="Times New Roman"/>
                      <w:bCs/>
                      <w:color w:val="000000" w:themeColor="text1"/>
                      <w:szCs w:val="21"/>
                      <w:highlight w:val="none"/>
                      <w14:textFill>
                        <w14:solidFill>
                          <w14:schemeClr w14:val="tx1"/>
                        </w14:solidFill>
                      </w14:textFill>
                    </w:rPr>
                    <w:t>-0.</w:t>
                  </w:r>
                  <w:r>
                    <w:rPr>
                      <w:rFonts w:ascii="Times New Roman" w:hAnsi="Times New Roman" w:eastAsia="宋体" w:cs="Times New Roman"/>
                      <w:bCs/>
                      <w:color w:val="000000" w:themeColor="text1"/>
                      <w:szCs w:val="21"/>
                      <w:highlight w:val="none"/>
                      <w:lang w:val="en-US"/>
                      <w14:textFill>
                        <w14:solidFill>
                          <w14:schemeClr w14:val="tx1"/>
                        </w14:solidFill>
                      </w14:textFill>
                    </w:rPr>
                    <w:t>45</w:t>
                  </w:r>
                </w:p>
              </w:tc>
              <w:tc>
                <w:tcPr>
                  <w:tcW w:w="276" w:type="pct"/>
                  <w:noWrap/>
                  <w:vAlign w:val="center"/>
                </w:tcPr>
                <w:p w14:paraId="17D1A7D6">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2B2CE46E">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w:t>
                  </w:r>
                </w:p>
              </w:tc>
              <w:tc>
                <w:tcPr>
                  <w:tcW w:w="283" w:type="pct"/>
                  <w:noWrap/>
                  <w:vAlign w:val="center"/>
                </w:tcPr>
                <w:p w14:paraId="12DC5C18">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27E46B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003AD9DE">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5609CF7B">
                  <w:pPr>
                    <w:pStyle w:val="68"/>
                    <w:spacing w:line="24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宋体" w:eastAsia="宋体" w:cs="Times New Roman"/>
                      <w:color w:val="000000" w:themeColor="text1"/>
                      <w:szCs w:val="21"/>
                      <w:highlight w:val="none"/>
                      <w14:textFill>
                        <w14:solidFill>
                          <w14:schemeClr w14:val="tx1"/>
                        </w14:solidFill>
                      </w14:textFill>
                    </w:rPr>
                    <w:t>硫化氢</w:t>
                  </w:r>
                </w:p>
              </w:tc>
              <w:tc>
                <w:tcPr>
                  <w:tcW w:w="434" w:type="pct"/>
                  <w:noWrap/>
                  <w:vAlign w:val="center"/>
                </w:tcPr>
                <w:p w14:paraId="47978096">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1</w:t>
                  </w:r>
                  <w:r>
                    <w:rPr>
                      <w:rFonts w:ascii="Times New Roman" w:hAnsi="宋体" w:eastAsia="宋体" w:cs="Times New Roman"/>
                      <w:bCs/>
                      <w:color w:val="000000" w:themeColor="text1"/>
                      <w:szCs w:val="21"/>
                      <w:highlight w:val="none"/>
                      <w14:textFill>
                        <w14:solidFill>
                          <w14:schemeClr w14:val="tx1"/>
                        </w14:solidFill>
                      </w14:textFill>
                    </w:rPr>
                    <w:t>小时均值</w:t>
                  </w:r>
                </w:p>
              </w:tc>
              <w:tc>
                <w:tcPr>
                  <w:tcW w:w="574" w:type="pct"/>
                  <w:noWrap/>
                  <w:vAlign w:val="center"/>
                </w:tcPr>
                <w:p w14:paraId="180DC6FB">
                  <w:pPr>
                    <w:widowControl/>
                    <w:jc w:val="center"/>
                    <w:textAlignment w:val="center"/>
                    <w:rPr>
                      <w:bCs/>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10</w:t>
                  </w:r>
                </w:p>
              </w:tc>
              <w:tc>
                <w:tcPr>
                  <w:tcW w:w="818" w:type="pct"/>
                  <w:noWrap/>
                  <w:vAlign w:val="center"/>
                </w:tcPr>
                <w:p w14:paraId="76E6F41A">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28</w:t>
                  </w:r>
                </w:p>
              </w:tc>
              <w:tc>
                <w:tcPr>
                  <w:tcW w:w="765" w:type="pct"/>
                  <w:noWrap/>
                  <w:vAlign w:val="center"/>
                </w:tcPr>
                <w:p w14:paraId="546F7B65">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1-3</w:t>
                  </w:r>
                </w:p>
              </w:tc>
              <w:tc>
                <w:tcPr>
                  <w:tcW w:w="668" w:type="pct"/>
                  <w:noWrap/>
                  <w:vAlign w:val="center"/>
                </w:tcPr>
                <w:p w14:paraId="31634AA4">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0.1-0.3</w:t>
                  </w:r>
                </w:p>
              </w:tc>
              <w:tc>
                <w:tcPr>
                  <w:tcW w:w="276" w:type="pct"/>
                  <w:noWrap/>
                  <w:vAlign w:val="center"/>
                </w:tcPr>
                <w:p w14:paraId="78B32603">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676E6134">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w:t>
                  </w:r>
                </w:p>
              </w:tc>
              <w:tc>
                <w:tcPr>
                  <w:tcW w:w="283" w:type="pct"/>
                  <w:noWrap/>
                  <w:vAlign w:val="center"/>
                </w:tcPr>
                <w:p w14:paraId="5F4F2DA9">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宋体" w:eastAsia="宋体" w:cs="Times New Roman"/>
                      <w:bCs/>
                      <w:color w:val="000000" w:themeColor="text1"/>
                      <w:szCs w:val="21"/>
                      <w:highlight w:val="none"/>
                      <w:lang w:val="en-US"/>
                      <w14:textFill>
                        <w14:solidFill>
                          <w14:schemeClr w14:val="tx1"/>
                        </w14:solidFill>
                      </w14:textFill>
                    </w:rPr>
                    <w:t>达标</w:t>
                  </w:r>
                </w:p>
              </w:tc>
            </w:tr>
            <w:tr w14:paraId="4523E7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31BACA99">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7124F28D">
                  <w:pPr>
                    <w:pStyle w:val="68"/>
                    <w:spacing w:line="24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宋体" w:eastAsia="宋体" w:cs="Times New Roman"/>
                      <w:color w:val="000000" w:themeColor="text1"/>
                      <w:szCs w:val="21"/>
                      <w:highlight w:val="none"/>
                      <w14:textFill>
                        <w14:solidFill>
                          <w14:schemeClr w14:val="tx1"/>
                        </w14:solidFill>
                      </w14:textFill>
                    </w:rPr>
                    <w:t>二噁英</w:t>
                  </w:r>
                  <w:r>
                    <w:rPr>
                      <w:rFonts w:ascii="Times New Roman" w:hAnsi="宋体" w:eastAsia="宋体" w:cs="Times New Roman"/>
                      <w:color w:val="000000" w:themeColor="text1"/>
                      <w:szCs w:val="21"/>
                      <w:highlight w:val="none"/>
                      <w:lang w:val="en-US"/>
                      <w14:textFill>
                        <w14:solidFill>
                          <w14:schemeClr w14:val="tx1"/>
                        </w14:solidFill>
                      </w14:textFill>
                    </w:rPr>
                    <w:t>类</w:t>
                  </w:r>
                  <w:r>
                    <w:rPr>
                      <w:rFonts w:ascii="Times New Roman" w:hAnsi="Times New Roman" w:eastAsia="宋体" w:cs="Times New Roman"/>
                      <w:color w:val="000000" w:themeColor="text1"/>
                      <w:szCs w:val="21"/>
                      <w:highlight w:val="none"/>
                      <w:vertAlign w:val="superscript"/>
                      <w:lang w:val="en-US"/>
                      <w14:textFill>
                        <w14:solidFill>
                          <w14:schemeClr w14:val="tx1"/>
                        </w14:solidFill>
                      </w14:textFill>
                    </w:rPr>
                    <w:t>#</w:t>
                  </w:r>
                </w:p>
              </w:tc>
              <w:tc>
                <w:tcPr>
                  <w:tcW w:w="434" w:type="pct"/>
                  <w:noWrap/>
                  <w:vAlign w:val="center"/>
                </w:tcPr>
                <w:p w14:paraId="001C12DE">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宋体" w:eastAsia="宋体" w:cs="Times New Roman"/>
                      <w:bCs/>
                      <w:color w:val="000000" w:themeColor="text1"/>
                      <w:szCs w:val="21"/>
                      <w:highlight w:val="none"/>
                      <w14:textFill>
                        <w14:solidFill>
                          <w14:schemeClr w14:val="tx1"/>
                        </w14:solidFill>
                      </w14:textFill>
                    </w:rPr>
                    <w:t>日均值</w:t>
                  </w:r>
                </w:p>
              </w:tc>
              <w:tc>
                <w:tcPr>
                  <w:tcW w:w="574" w:type="pct"/>
                  <w:noWrap/>
                  <w:vAlign w:val="center"/>
                </w:tcPr>
                <w:p w14:paraId="3ED007CF">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1.2pgTEQ/Nm</w:t>
                  </w:r>
                  <w:r>
                    <w:rPr>
                      <w:color w:val="000000" w:themeColor="text1"/>
                      <w:kern w:val="0"/>
                      <w:szCs w:val="21"/>
                      <w:highlight w:val="none"/>
                      <w:vertAlign w:val="superscript"/>
                      <w14:textFill>
                        <w14:solidFill>
                          <w14:schemeClr w14:val="tx1"/>
                        </w14:solidFill>
                      </w14:textFill>
                    </w:rPr>
                    <w:t>3</w:t>
                  </w:r>
                </w:p>
              </w:tc>
              <w:tc>
                <w:tcPr>
                  <w:tcW w:w="818" w:type="pct"/>
                  <w:noWrap/>
                  <w:vAlign w:val="center"/>
                </w:tcPr>
                <w:p w14:paraId="3E83C3A5">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49C8FCB5">
                  <w:pPr>
                    <w:pStyle w:val="68"/>
                    <w:spacing w:line="24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0.026-0.20</w:t>
                  </w:r>
                </w:p>
                <w:p w14:paraId="187222EC">
                  <w:pPr>
                    <w:pStyle w:val="68"/>
                    <w:spacing w:line="24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pgTEQ/kg</w:t>
                  </w:r>
                </w:p>
              </w:tc>
              <w:tc>
                <w:tcPr>
                  <w:tcW w:w="668" w:type="pct"/>
                  <w:noWrap/>
                  <w:vAlign w:val="center"/>
                </w:tcPr>
                <w:p w14:paraId="4DCB4EA5">
                  <w:pPr>
                    <w:pStyle w:val="68"/>
                    <w:spacing w:line="24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0.022-0.17</w:t>
                  </w:r>
                </w:p>
              </w:tc>
              <w:tc>
                <w:tcPr>
                  <w:tcW w:w="276" w:type="pct"/>
                  <w:noWrap/>
                  <w:vAlign w:val="center"/>
                </w:tcPr>
                <w:p w14:paraId="6E3B84C6">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0</w:t>
                  </w:r>
                </w:p>
              </w:tc>
              <w:tc>
                <w:tcPr>
                  <w:tcW w:w="447" w:type="pct"/>
                  <w:noWrap/>
                  <w:vAlign w:val="center"/>
                </w:tcPr>
                <w:p w14:paraId="1A17E02D">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w:t>
                  </w:r>
                </w:p>
              </w:tc>
              <w:tc>
                <w:tcPr>
                  <w:tcW w:w="283" w:type="pct"/>
                  <w:noWrap/>
                  <w:vAlign w:val="center"/>
                </w:tcPr>
                <w:p w14:paraId="2772084A">
                  <w:pPr>
                    <w:jc w:val="center"/>
                    <w:rPr>
                      <w:bCs/>
                      <w:color w:val="000000" w:themeColor="text1"/>
                      <w:szCs w:val="21"/>
                      <w:highlight w:val="none"/>
                      <w14:textFill>
                        <w14:solidFill>
                          <w14:schemeClr w14:val="tx1"/>
                        </w14:solidFill>
                      </w14:textFill>
                    </w:rPr>
                  </w:pPr>
                  <w:r>
                    <w:rPr>
                      <w:rFonts w:hAnsi="宋体"/>
                      <w:bCs/>
                      <w:color w:val="000000" w:themeColor="text1"/>
                      <w:szCs w:val="21"/>
                      <w:highlight w:val="none"/>
                      <w14:textFill>
                        <w14:solidFill>
                          <w14:schemeClr w14:val="tx1"/>
                        </w14:solidFill>
                      </w14:textFill>
                    </w:rPr>
                    <w:t>达标</w:t>
                  </w:r>
                </w:p>
              </w:tc>
            </w:tr>
            <w:tr w14:paraId="5F8AE9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273" w:type="pct"/>
                  <w:vMerge w:val="continue"/>
                  <w:noWrap/>
                  <w:vAlign w:val="center"/>
                </w:tcPr>
                <w:p w14:paraId="41ACE093">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p>
              </w:tc>
              <w:tc>
                <w:tcPr>
                  <w:tcW w:w="457" w:type="pct"/>
                  <w:noWrap/>
                  <w:vAlign w:val="center"/>
                </w:tcPr>
                <w:p w14:paraId="6107E1A1">
                  <w:pPr>
                    <w:pStyle w:val="68"/>
                    <w:spacing w:line="24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宋体" w:eastAsia="宋体" w:cs="Times New Roman"/>
                      <w:color w:val="000000" w:themeColor="text1"/>
                      <w:szCs w:val="21"/>
                      <w:highlight w:val="none"/>
                      <w:lang w:val="en-US"/>
                      <w14:textFill>
                        <w14:solidFill>
                          <w14:schemeClr w14:val="tx1"/>
                        </w14:solidFill>
                      </w14:textFill>
                    </w:rPr>
                    <w:t>非甲烷总烃</w:t>
                  </w:r>
                </w:p>
              </w:tc>
              <w:tc>
                <w:tcPr>
                  <w:tcW w:w="434" w:type="pct"/>
                  <w:noWrap/>
                  <w:vAlign w:val="center"/>
                </w:tcPr>
                <w:p w14:paraId="4F1752C7">
                  <w:pPr>
                    <w:pStyle w:val="68"/>
                    <w:spacing w:line="240" w:lineRule="exact"/>
                    <w:jc w:val="center"/>
                    <w:rPr>
                      <w:rFonts w:ascii="Times New Roman" w:hAnsi="Times New Roman" w:eastAsia="宋体" w:cs="Times New Roman"/>
                      <w:bCs/>
                      <w:color w:val="000000" w:themeColor="text1"/>
                      <w:szCs w:val="21"/>
                      <w:highlight w:val="none"/>
                      <w14:textFill>
                        <w14:solidFill>
                          <w14:schemeClr w14:val="tx1"/>
                        </w14:solidFill>
                      </w14:textFill>
                    </w:rPr>
                  </w:pPr>
                  <w:r>
                    <w:rPr>
                      <w:rFonts w:ascii="Times New Roman" w:hAnsi="Times New Roman" w:eastAsia="宋体" w:cs="Times New Roman"/>
                      <w:bCs/>
                      <w:color w:val="000000" w:themeColor="text1"/>
                      <w:szCs w:val="21"/>
                      <w:highlight w:val="none"/>
                      <w14:textFill>
                        <w14:solidFill>
                          <w14:schemeClr w14:val="tx1"/>
                        </w14:solidFill>
                      </w14:textFill>
                    </w:rPr>
                    <w:t>1</w:t>
                  </w:r>
                  <w:r>
                    <w:rPr>
                      <w:rFonts w:ascii="Times New Roman" w:hAnsi="宋体" w:eastAsia="宋体" w:cs="Times New Roman"/>
                      <w:bCs/>
                      <w:color w:val="000000" w:themeColor="text1"/>
                      <w:szCs w:val="21"/>
                      <w:highlight w:val="none"/>
                      <w14:textFill>
                        <w14:solidFill>
                          <w14:schemeClr w14:val="tx1"/>
                        </w14:solidFill>
                      </w14:textFill>
                    </w:rPr>
                    <w:t>小时均值</w:t>
                  </w:r>
                </w:p>
              </w:tc>
              <w:tc>
                <w:tcPr>
                  <w:tcW w:w="574" w:type="pct"/>
                  <w:noWrap/>
                  <w:vAlign w:val="center"/>
                </w:tcPr>
                <w:p w14:paraId="04C43BF7">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2000</w:t>
                  </w:r>
                </w:p>
              </w:tc>
              <w:tc>
                <w:tcPr>
                  <w:tcW w:w="818" w:type="pct"/>
                  <w:noWrap/>
                  <w:vAlign w:val="center"/>
                </w:tcPr>
                <w:p w14:paraId="235F1B65">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7</w:t>
                  </w:r>
                </w:p>
              </w:tc>
              <w:tc>
                <w:tcPr>
                  <w:tcW w:w="765" w:type="pct"/>
                  <w:noWrap/>
                  <w:vAlign w:val="center"/>
                </w:tcPr>
                <w:p w14:paraId="1DC29A69">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450-940</w:t>
                  </w:r>
                </w:p>
              </w:tc>
              <w:tc>
                <w:tcPr>
                  <w:tcW w:w="668" w:type="pct"/>
                  <w:noWrap/>
                  <w:vAlign w:val="center"/>
                </w:tcPr>
                <w:p w14:paraId="166CD785">
                  <w:pPr>
                    <w:pStyle w:val="68"/>
                    <w:spacing w:line="24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0.225-0.47</w:t>
                  </w:r>
                </w:p>
              </w:tc>
              <w:tc>
                <w:tcPr>
                  <w:tcW w:w="276" w:type="pct"/>
                  <w:noWrap/>
                  <w:vAlign w:val="center"/>
                </w:tcPr>
                <w:p w14:paraId="7522F2EC">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0</w:t>
                  </w:r>
                </w:p>
              </w:tc>
              <w:tc>
                <w:tcPr>
                  <w:tcW w:w="447" w:type="pct"/>
                  <w:noWrap/>
                  <w:vAlign w:val="center"/>
                </w:tcPr>
                <w:p w14:paraId="5A35CA85">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w:t>
                  </w:r>
                </w:p>
              </w:tc>
              <w:tc>
                <w:tcPr>
                  <w:tcW w:w="283" w:type="pct"/>
                  <w:noWrap/>
                  <w:vAlign w:val="center"/>
                </w:tcPr>
                <w:p w14:paraId="0E505D19">
                  <w:pPr>
                    <w:jc w:val="center"/>
                    <w:rPr>
                      <w:bCs/>
                      <w:color w:val="000000" w:themeColor="text1"/>
                      <w:szCs w:val="21"/>
                      <w:highlight w:val="none"/>
                      <w14:textFill>
                        <w14:solidFill>
                          <w14:schemeClr w14:val="tx1"/>
                        </w14:solidFill>
                      </w14:textFill>
                    </w:rPr>
                  </w:pPr>
                  <w:r>
                    <w:rPr>
                      <w:rFonts w:hAnsi="宋体"/>
                      <w:bCs/>
                      <w:color w:val="000000" w:themeColor="text1"/>
                      <w:szCs w:val="21"/>
                      <w:highlight w:val="none"/>
                      <w14:textFill>
                        <w14:solidFill>
                          <w14:schemeClr w14:val="tx1"/>
                        </w14:solidFill>
                      </w14:textFill>
                    </w:rPr>
                    <w:t>达标</w:t>
                  </w:r>
                </w:p>
              </w:tc>
            </w:tr>
          </w:tbl>
          <w:p w14:paraId="535514FF">
            <w:pPr>
              <w:tabs>
                <w:tab w:val="left" w:pos="6048"/>
              </w:tabs>
              <w:autoSpaceDE w:val="0"/>
              <w:autoSpaceDN w:val="0"/>
              <w:adjustRightInd w:val="0"/>
              <w:snapToGrid w:val="0"/>
              <w:spacing w:line="400" w:lineRule="exac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kern w:val="0"/>
                <w:szCs w:val="21"/>
                <w:highlight w:val="none"/>
                <w14:textFill>
                  <w14:solidFill>
                    <w14:schemeClr w14:val="tx1"/>
                  </w14:solidFill>
                </w14:textFill>
              </w:rPr>
              <w:t>备注：标*为分包项目，无相应资质能力。分包单位为北京华成星科检测服务有限公司，报告编号为H231120590b、H231123633b，资质证书编号为210112051074。标</w:t>
            </w:r>
            <w:r>
              <w:rPr>
                <w:rFonts w:hint="eastAsia" w:ascii="仿宋" w:hAnsi="仿宋" w:eastAsia="仿宋"/>
                <w:color w:val="000000" w:themeColor="text1"/>
                <w:kern w:val="0"/>
                <w:szCs w:val="21"/>
                <w:highlight w:val="none"/>
                <w:vertAlign w:val="superscript"/>
                <w14:textFill>
                  <w14:solidFill>
                    <w14:schemeClr w14:val="tx1"/>
                  </w14:solidFill>
                </w14:textFill>
              </w:rPr>
              <w:t>#</w:t>
            </w:r>
            <w:r>
              <w:rPr>
                <w:rFonts w:hint="eastAsia" w:ascii="仿宋" w:hAnsi="仿宋" w:eastAsia="仿宋"/>
                <w:color w:val="000000" w:themeColor="text1"/>
                <w:kern w:val="0"/>
                <w:szCs w:val="21"/>
                <w:highlight w:val="none"/>
                <w14:textFill>
                  <w14:solidFill>
                    <w14:schemeClr w14:val="tx1"/>
                  </w14:solidFill>
                </w14:textFill>
              </w:rPr>
              <w:t>项目委托浙江九安检测科技有限公司进行监测，报告编号为HC232764。</w:t>
            </w:r>
          </w:p>
          <w:p w14:paraId="349E5262">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由现状监测可知，</w:t>
            </w:r>
            <w:r>
              <w:rPr>
                <w:rFonts w:hint="eastAsia"/>
                <w:color w:val="000000" w:themeColor="text1"/>
                <w:sz w:val="24"/>
                <w:highlight w:val="none"/>
                <w14:textFill>
                  <w14:solidFill>
                    <w14:schemeClr w14:val="tx1"/>
                  </w14:solidFill>
                </w14:textFill>
              </w:rPr>
              <w:t>监测期间</w:t>
            </w:r>
            <w:r>
              <w:rPr>
                <w:color w:val="000000" w:themeColor="text1"/>
                <w:sz w:val="24"/>
                <w:highlight w:val="none"/>
                <w14:textFill>
                  <w14:solidFill>
                    <w14:schemeClr w14:val="tx1"/>
                  </w14:solidFill>
                </w14:textFill>
              </w:rPr>
              <w:t>评价区域内监测点汞、砷、镉、氟化物、六价铬满足《环境空气质量标准》（GB3095-2012）及其修改单附录A表A.1参考浓度限值要求；</w:t>
            </w:r>
            <w:r>
              <w:rPr>
                <w:rFonts w:hint="eastAsia"/>
                <w:color w:val="000000" w:themeColor="text1"/>
                <w:sz w:val="24"/>
                <w:highlight w:val="none"/>
                <w14:textFill>
                  <w14:solidFill>
                    <w14:schemeClr w14:val="tx1"/>
                  </w14:solidFill>
                </w14:textFill>
              </w:rPr>
              <w:t>TSP、</w:t>
            </w:r>
            <w:r>
              <w:rPr>
                <w:color w:val="000000" w:themeColor="text1"/>
                <w:sz w:val="24"/>
                <w:highlight w:val="none"/>
                <w14:textFill>
                  <w14:solidFill>
                    <w14:schemeClr w14:val="tx1"/>
                  </w14:solidFill>
                </w14:textFill>
              </w:rPr>
              <w:t>铅满足《环境空气质量标准》（GB3095-2012）及其修改单中表2二级标准标准要求；氯化氢、氨、硫化氢满足《环境影响评价技术导则</w:t>
            </w:r>
            <w:r>
              <w:rPr>
                <w:rFonts w:hint="eastAsia"/>
                <w:color w:val="000000" w:themeColor="text1"/>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大气环境》（HJ2.2-2018）附录D中参考浓度限值要求；二噁英满足日本环境空气质量标准中日平均浓度限值；非甲烷总烃满足《环境空气质量 非甲烷总烃限值》（DB/1577-2012）表1浓度限值要求。</w:t>
            </w:r>
          </w:p>
          <w:p w14:paraId="043CCCBA">
            <w:pPr>
              <w:spacing w:line="480" w:lineRule="exact"/>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2、声环境</w:t>
            </w:r>
          </w:p>
          <w:p w14:paraId="09DB4F12">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本项目厂界外50m范围内无声环境保护目标，未进行声环境监测。改扩建</w:t>
            </w:r>
            <w:r>
              <w:rPr>
                <w:color w:val="000000" w:themeColor="text1"/>
                <w:sz w:val="24"/>
                <w:highlight w:val="none"/>
                <w14:textFill>
                  <w14:solidFill>
                    <w14:schemeClr w14:val="tx1"/>
                  </w14:solidFill>
                </w14:textFill>
              </w:rPr>
              <w:t>项目位于滦州市响嘡街道田疃村西北滦县翼翔新型建材有限公司</w:t>
            </w:r>
            <w:r>
              <w:rPr>
                <w:rFonts w:hint="eastAsia"/>
                <w:color w:val="000000" w:themeColor="text1"/>
                <w:sz w:val="24"/>
                <w:highlight w:val="none"/>
                <w14:textFill>
                  <w14:solidFill>
                    <w14:schemeClr w14:val="tx1"/>
                  </w14:solidFill>
                </w14:textFill>
              </w:rPr>
              <w:t>现有厂区内</w:t>
            </w:r>
            <w:r>
              <w:rPr>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所在区域执行</w:t>
            </w:r>
            <w:r>
              <w:rPr>
                <w:rFonts w:hint="eastAsia"/>
                <w:color w:val="000000" w:themeColor="text1"/>
                <w:sz w:val="24"/>
                <w:highlight w:val="none"/>
                <w14:textFill>
                  <w14:solidFill>
                    <w14:schemeClr w14:val="tx1"/>
                  </w14:solidFill>
                </w14:textFill>
              </w:rPr>
              <w:t>2类声环境功能区要求</w:t>
            </w:r>
            <w:r>
              <w:rPr>
                <w:color w:val="000000" w:themeColor="text1"/>
                <w:sz w:val="24"/>
                <w:highlight w:val="none"/>
                <w14:textFill>
                  <w14:solidFill>
                    <w14:schemeClr w14:val="tx1"/>
                  </w14:solidFill>
                </w14:textFill>
              </w:rPr>
              <w:t>。</w:t>
            </w:r>
          </w:p>
          <w:p w14:paraId="7103CBD3">
            <w:pPr>
              <w:spacing w:line="48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3、地表水环境</w:t>
            </w:r>
          </w:p>
          <w:p w14:paraId="3A5206AC">
            <w:pPr>
              <w:spacing w:line="48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本项目所在区域最近地表水为东侧116m处的狗尿河。狗尿河属滦河水系，滦河水质执行《地表水环境质量标准》（GB3838-2002）Ⅲ类标准。本项目无生产、生活废水外排，对地表水环境影响较小。根据《202</w:t>
            </w: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年唐山市生态环境状况公报》可知，202</w:t>
            </w: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年全市共有地表水国、省考监测断面14个，其中国考监测断面12个，省考监测断面2个，分别布于滦河4个、还乡河2个、陡河2个、青龙河1个、蓟运河1个、煤河1个、淋河1个、黎河1个、沙河1个。202</w:t>
            </w: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年国、省考核9条河流、2个湖库的14个断面优良（Ⅰ-Ⅲ）比例为85.71%，完成省达目标要求。</w:t>
            </w:r>
          </w:p>
          <w:p w14:paraId="700F36A7">
            <w:pPr>
              <w:spacing w:line="480" w:lineRule="exact"/>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4</w:t>
            </w:r>
            <w:r>
              <w:rPr>
                <w:rFonts w:hint="eastAsia"/>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土壤</w:t>
            </w:r>
            <w:r>
              <w:rPr>
                <w:rFonts w:hint="eastAsia"/>
                <w:b/>
                <w:color w:val="000000" w:themeColor="text1"/>
                <w:sz w:val="24"/>
                <w:highlight w:val="none"/>
                <w14:textFill>
                  <w14:solidFill>
                    <w14:schemeClr w14:val="tx1"/>
                  </w14:solidFill>
                </w14:textFill>
              </w:rPr>
              <w:t>环境</w:t>
            </w:r>
          </w:p>
          <w:p w14:paraId="3B5CD20D">
            <w:pPr>
              <w:spacing w:line="480" w:lineRule="exact"/>
              <w:ind w:firstLine="480" w:firstLineChars="20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本次评价在厂区污泥库附件设1个监测点采集了表层样（0-20cm）作为背景值，具体达标情况见下表。</w:t>
            </w:r>
          </w:p>
          <w:p w14:paraId="30147A5D">
            <w:pPr>
              <w:spacing w:line="480" w:lineRule="exact"/>
              <w:ind w:firstLine="1080" w:firstLineChars="450"/>
              <w:jc w:val="center"/>
              <w:rPr>
                <w:rFonts w:hint="eastAsia" w:ascii="黑体" w:hAnsi="黑体" w:eastAsia="黑体"/>
                <w:bCs/>
                <w:color w:val="000000" w:themeColor="text1"/>
                <w:sz w:val="24"/>
                <w:highlight w:val="none"/>
                <w:lang w:val="en-US" w:eastAsia="zh-CN"/>
                <w14:textFill>
                  <w14:solidFill>
                    <w14:schemeClr w14:val="tx1"/>
                  </w14:solidFill>
                </w14:textFill>
              </w:rPr>
            </w:pPr>
            <w:r>
              <w:rPr>
                <w:rFonts w:hint="eastAsia" w:ascii="黑体" w:hAnsi="黑体" w:eastAsia="黑体"/>
                <w:bCs/>
                <w:color w:val="000000" w:themeColor="text1"/>
                <w:sz w:val="24"/>
                <w:highlight w:val="none"/>
                <w:lang w:val="en-US" w:eastAsia="zh-CN"/>
                <w14:textFill>
                  <w14:solidFill>
                    <w14:schemeClr w14:val="tx1"/>
                  </w14:solidFill>
                </w14:textFill>
              </w:rPr>
              <w:t xml:space="preserve">表3-3  </w:t>
            </w:r>
            <w:r>
              <w:rPr>
                <w:rFonts w:hint="default" w:ascii="黑体" w:hAnsi="黑体" w:eastAsia="黑体"/>
                <w:bCs/>
                <w:color w:val="000000" w:themeColor="text1"/>
                <w:sz w:val="24"/>
                <w:highlight w:val="none"/>
                <w14:textFill>
                  <w14:solidFill>
                    <w14:schemeClr w14:val="tx1"/>
                  </w14:solidFill>
                </w14:textFill>
              </w:rPr>
              <w:t>土壤环境质量现状监测结果一览表</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4"/>
              <w:gridCol w:w="2493"/>
              <w:gridCol w:w="1072"/>
              <w:gridCol w:w="1184"/>
              <w:gridCol w:w="1725"/>
              <w:gridCol w:w="1693"/>
            </w:tblGrid>
            <w:tr w14:paraId="73F6A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51" w:type="pct"/>
                  <w:gridSpan w:val="4"/>
                  <w:tcBorders>
                    <w:tl2br w:val="nil"/>
                    <w:tr2bl w:val="nil"/>
                  </w:tcBorders>
                  <w:noWrap w:val="0"/>
                  <w:vAlign w:val="center"/>
                </w:tcPr>
                <w:p w14:paraId="3436F9BB">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检测点位</w:t>
                  </w:r>
                </w:p>
              </w:tc>
              <w:tc>
                <w:tcPr>
                  <w:tcW w:w="1948" w:type="pct"/>
                  <w:gridSpan w:val="2"/>
                  <w:tcBorders>
                    <w:tl2br w:val="nil"/>
                    <w:tr2bl w:val="nil"/>
                  </w:tcBorders>
                  <w:noWrap w:val="0"/>
                  <w:vAlign w:val="center"/>
                </w:tcPr>
                <w:p w14:paraId="5DA9EF3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宋体" w:hAnsi="宋体" w:eastAsia="宋体" w:cs="宋体"/>
                      <w:color w:val="auto"/>
                      <w:highlight w:val="none"/>
                      <w:lang w:val="en-US" w:eastAsia="zh-CN"/>
                    </w:rPr>
                    <w:t>厂区污泥库附近</w:t>
                  </w:r>
                </w:p>
              </w:tc>
            </w:tr>
            <w:tr w14:paraId="65C6E6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51" w:type="pct"/>
                  <w:gridSpan w:val="4"/>
                  <w:tcBorders>
                    <w:tl2br w:val="nil"/>
                    <w:tr2bl w:val="nil"/>
                  </w:tcBorders>
                  <w:noWrap w:val="0"/>
                  <w:vAlign w:val="center"/>
                </w:tcPr>
                <w:p w14:paraId="13D0A32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采样时间</w:t>
                  </w:r>
                </w:p>
              </w:tc>
              <w:tc>
                <w:tcPr>
                  <w:tcW w:w="1948" w:type="pct"/>
                  <w:gridSpan w:val="2"/>
                  <w:tcBorders>
                    <w:tl2br w:val="nil"/>
                    <w:tr2bl w:val="nil"/>
                  </w:tcBorders>
                  <w:noWrap w:val="0"/>
                  <w:vAlign w:val="center"/>
                </w:tcPr>
                <w:p w14:paraId="7FF96DD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202</w:t>
                  </w:r>
                  <w:r>
                    <w:rPr>
                      <w:rFonts w:hint="eastAsia" w:ascii="Times New Roman" w:hAnsi="Times New Roman" w:eastAsia="宋体" w:cs="Times New Roman"/>
                      <w:bCs/>
                      <w:color w:val="auto"/>
                      <w:sz w:val="21"/>
                      <w:szCs w:val="21"/>
                      <w:highlight w:val="none"/>
                      <w:lang w:val="en-US" w:eastAsia="zh-CN"/>
                    </w:rPr>
                    <w:t>5</w:t>
                  </w:r>
                  <w:r>
                    <w:rPr>
                      <w:rFonts w:hint="default" w:ascii="Times New Roman" w:hAnsi="Times New Roman" w:eastAsia="宋体" w:cs="Times New Roman"/>
                      <w:bCs/>
                      <w:color w:val="auto"/>
                      <w:sz w:val="21"/>
                      <w:szCs w:val="21"/>
                      <w:highlight w:val="none"/>
                      <w:lang w:val="en-US" w:eastAsia="zh-CN"/>
                    </w:rPr>
                    <w:t>.</w:t>
                  </w:r>
                  <w:r>
                    <w:rPr>
                      <w:rFonts w:hint="eastAsia" w:eastAsia="宋体"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lang w:val="en-US" w:eastAsia="zh-CN"/>
                    </w:rPr>
                    <w:t>.</w:t>
                  </w:r>
                  <w:r>
                    <w:rPr>
                      <w:rFonts w:hint="eastAsia" w:eastAsia="宋体" w:cs="Times New Roman"/>
                      <w:bCs/>
                      <w:color w:val="auto"/>
                      <w:sz w:val="21"/>
                      <w:szCs w:val="21"/>
                      <w:highlight w:val="none"/>
                      <w:lang w:val="en-US" w:eastAsia="zh-CN"/>
                    </w:rPr>
                    <w:t>4</w:t>
                  </w:r>
                </w:p>
              </w:tc>
            </w:tr>
            <w:tr w14:paraId="25FAD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51" w:type="pct"/>
                  <w:gridSpan w:val="4"/>
                  <w:tcBorders>
                    <w:tl2br w:val="nil"/>
                    <w:tr2bl w:val="nil"/>
                  </w:tcBorders>
                  <w:noWrap w:val="0"/>
                  <w:vAlign w:val="center"/>
                </w:tcPr>
                <w:p w14:paraId="1BE4CD8E">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采样深度</w:t>
                  </w:r>
                </w:p>
              </w:tc>
              <w:tc>
                <w:tcPr>
                  <w:tcW w:w="1948" w:type="pct"/>
                  <w:gridSpan w:val="2"/>
                  <w:tcBorders>
                    <w:tl2br w:val="nil"/>
                    <w:tr2bl w:val="nil"/>
                  </w:tcBorders>
                  <w:noWrap w:val="0"/>
                  <w:vAlign w:val="center"/>
                </w:tcPr>
                <w:p w14:paraId="66ECB1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pacing w:val="-10"/>
                      <w:sz w:val="21"/>
                      <w:szCs w:val="21"/>
                      <w:highlight w:val="none"/>
                      <w:lang w:val="en-US" w:eastAsia="zh-CN"/>
                    </w:rPr>
                  </w:pPr>
                  <w:r>
                    <w:rPr>
                      <w:rFonts w:hint="default" w:ascii="Times New Roman" w:hAnsi="Times New Roman" w:eastAsia="宋体" w:cs="Times New Roman"/>
                      <w:color w:val="auto"/>
                      <w:spacing w:val="-10"/>
                      <w:sz w:val="21"/>
                      <w:szCs w:val="21"/>
                      <w:highlight w:val="none"/>
                      <w:lang w:val="en-US" w:eastAsia="zh-CN"/>
                    </w:rPr>
                    <w:t>0</w:t>
                  </w:r>
                  <w:r>
                    <w:rPr>
                      <w:rFonts w:hint="eastAsia" w:eastAsia="宋体" w:cs="Times New Roman"/>
                      <w:color w:val="auto"/>
                      <w:spacing w:val="-10"/>
                      <w:sz w:val="21"/>
                      <w:szCs w:val="21"/>
                      <w:highlight w:val="none"/>
                      <w:lang w:val="en-US" w:eastAsia="zh-CN"/>
                    </w:rPr>
                    <w:t>~0.2</w:t>
                  </w:r>
                  <w:r>
                    <w:rPr>
                      <w:rFonts w:hint="default" w:ascii="Times New Roman" w:hAnsi="Times New Roman" w:eastAsia="宋体" w:cs="Times New Roman"/>
                      <w:color w:val="auto"/>
                      <w:spacing w:val="-10"/>
                      <w:sz w:val="21"/>
                      <w:szCs w:val="21"/>
                      <w:highlight w:val="none"/>
                    </w:rPr>
                    <w:t>m</w:t>
                  </w:r>
                </w:p>
              </w:tc>
            </w:tr>
            <w:tr w14:paraId="2D935A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5" w:type="pct"/>
                  <w:gridSpan w:val="2"/>
                  <w:tcBorders>
                    <w:tl2br w:val="nil"/>
                    <w:tr2bl w:val="nil"/>
                  </w:tcBorders>
                  <w:noWrap w:val="0"/>
                  <w:vAlign w:val="center"/>
                </w:tcPr>
                <w:p w14:paraId="2366D6BA">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检测项目</w:t>
                  </w:r>
                </w:p>
              </w:tc>
              <w:tc>
                <w:tcPr>
                  <w:tcW w:w="611" w:type="pct"/>
                  <w:tcBorders>
                    <w:tl2br w:val="nil"/>
                    <w:tr2bl w:val="nil"/>
                  </w:tcBorders>
                  <w:noWrap w:val="0"/>
                  <w:vAlign w:val="center"/>
                </w:tcPr>
                <w:p w14:paraId="3F401CA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单位</w:t>
                  </w:r>
                </w:p>
              </w:tc>
              <w:tc>
                <w:tcPr>
                  <w:tcW w:w="674" w:type="pct"/>
                  <w:tcBorders>
                    <w:tl2br w:val="nil"/>
                    <w:tr2bl w:val="nil"/>
                  </w:tcBorders>
                  <w:noWrap w:val="0"/>
                  <w:vAlign w:val="center"/>
                </w:tcPr>
                <w:p w14:paraId="4EC37278">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标准</w:t>
                  </w:r>
                </w:p>
              </w:tc>
              <w:tc>
                <w:tcPr>
                  <w:tcW w:w="983" w:type="pct"/>
                  <w:tcBorders>
                    <w:tl2br w:val="nil"/>
                    <w:tr2bl w:val="nil"/>
                  </w:tcBorders>
                  <w:noWrap w:val="0"/>
                  <w:vAlign w:val="center"/>
                </w:tcPr>
                <w:p w14:paraId="144E953C">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pacing w:val="-11"/>
                      <w:sz w:val="21"/>
                      <w:szCs w:val="21"/>
                      <w:highlight w:val="none"/>
                      <w:lang w:val="en-US" w:eastAsia="zh-CN"/>
                    </w:rPr>
                  </w:pPr>
                  <w:r>
                    <w:rPr>
                      <w:rFonts w:hint="default" w:ascii="Times New Roman" w:hAnsi="Times New Roman" w:eastAsia="宋体" w:cs="Times New Roman"/>
                      <w:bCs/>
                      <w:color w:val="auto"/>
                      <w:spacing w:val="-11"/>
                      <w:sz w:val="21"/>
                      <w:szCs w:val="21"/>
                      <w:highlight w:val="none"/>
                      <w:lang w:val="en-US" w:eastAsia="zh-CN"/>
                    </w:rPr>
                    <w:t>检测结果</w:t>
                  </w:r>
                </w:p>
              </w:tc>
              <w:tc>
                <w:tcPr>
                  <w:tcW w:w="965" w:type="pct"/>
                  <w:tcBorders>
                    <w:tl2br w:val="nil"/>
                    <w:tr2bl w:val="nil"/>
                  </w:tcBorders>
                  <w:noWrap w:val="0"/>
                  <w:vAlign w:val="center"/>
                </w:tcPr>
                <w:p w14:paraId="7931F7C9">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标准指数</w:t>
                  </w:r>
                </w:p>
              </w:tc>
            </w:tr>
            <w:tr w14:paraId="69CAC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restart"/>
                  <w:tcBorders>
                    <w:tl2br w:val="nil"/>
                    <w:tr2bl w:val="nil"/>
                  </w:tcBorders>
                  <w:noWrap w:val="0"/>
                  <w:vAlign w:val="center"/>
                </w:tcPr>
                <w:p w14:paraId="13DD738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0"/>
                      <w:sz w:val="21"/>
                      <w:szCs w:val="21"/>
                      <w:highlight w:val="none"/>
                    </w:rPr>
                    <w:t>挥发性有机物</w:t>
                  </w:r>
                </w:p>
              </w:tc>
              <w:tc>
                <w:tcPr>
                  <w:tcW w:w="1421" w:type="pct"/>
                  <w:tcBorders>
                    <w:tl2br w:val="nil"/>
                    <w:tr2bl w:val="nil"/>
                  </w:tcBorders>
                  <w:noWrap w:val="0"/>
                  <w:vAlign w:val="center"/>
                </w:tcPr>
                <w:p w14:paraId="5D77FAC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四氯化碳</w:t>
                  </w:r>
                </w:p>
              </w:tc>
              <w:tc>
                <w:tcPr>
                  <w:tcW w:w="611" w:type="pct"/>
                  <w:vMerge w:val="restart"/>
                  <w:tcBorders>
                    <w:tl2br w:val="nil"/>
                    <w:tr2bl w:val="nil"/>
                  </w:tcBorders>
                  <w:noWrap w:val="0"/>
                  <w:vAlign w:val="center"/>
                </w:tcPr>
                <w:p w14:paraId="0D532C3B">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m</w:t>
                  </w:r>
                  <w:r>
                    <w:rPr>
                      <w:rFonts w:hint="default" w:ascii="Times New Roman" w:hAnsi="Times New Roman" w:eastAsia="宋体" w:cs="Times New Roman"/>
                      <w:bCs/>
                      <w:color w:val="auto"/>
                      <w:sz w:val="21"/>
                      <w:szCs w:val="21"/>
                      <w:highlight w:val="none"/>
                    </w:rPr>
                    <w:t>g/kg</w:t>
                  </w:r>
                </w:p>
              </w:tc>
              <w:tc>
                <w:tcPr>
                  <w:tcW w:w="674" w:type="pct"/>
                  <w:tcBorders>
                    <w:tl2br w:val="nil"/>
                    <w:tr2bl w:val="nil"/>
                  </w:tcBorders>
                  <w:noWrap w:val="0"/>
                  <w:vAlign w:val="center"/>
                </w:tcPr>
                <w:p w14:paraId="3D53D67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2.8</w:t>
                  </w:r>
                </w:p>
              </w:tc>
              <w:tc>
                <w:tcPr>
                  <w:tcW w:w="983" w:type="pct"/>
                  <w:tcBorders>
                    <w:tl2br w:val="nil"/>
                    <w:tr2bl w:val="nil"/>
                  </w:tcBorders>
                  <w:noWrap w:val="0"/>
                  <w:vAlign w:val="center"/>
                </w:tcPr>
                <w:p w14:paraId="7899F470">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BD9B2CF">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0.0002</w:t>
                  </w:r>
                </w:p>
              </w:tc>
            </w:tr>
            <w:tr w14:paraId="543A5F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3AA961A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sz w:val="21"/>
                      <w:szCs w:val="21"/>
                      <w:highlight w:val="none"/>
                    </w:rPr>
                  </w:pPr>
                </w:p>
              </w:tc>
              <w:tc>
                <w:tcPr>
                  <w:tcW w:w="1421" w:type="pct"/>
                  <w:tcBorders>
                    <w:tl2br w:val="nil"/>
                    <w:tr2bl w:val="nil"/>
                  </w:tcBorders>
                  <w:noWrap w:val="0"/>
                  <w:vAlign w:val="center"/>
                </w:tcPr>
                <w:p w14:paraId="30A1FB6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氯仿</w:t>
                  </w:r>
                </w:p>
              </w:tc>
              <w:tc>
                <w:tcPr>
                  <w:tcW w:w="611" w:type="pct"/>
                  <w:vMerge w:val="continue"/>
                  <w:tcBorders>
                    <w:tl2br w:val="nil"/>
                    <w:tr2bl w:val="nil"/>
                  </w:tcBorders>
                  <w:noWrap w:val="0"/>
                  <w:vAlign w:val="center"/>
                </w:tcPr>
                <w:p w14:paraId="5C455D8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44158C82">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0.9</w:t>
                  </w:r>
                </w:p>
              </w:tc>
              <w:tc>
                <w:tcPr>
                  <w:tcW w:w="983" w:type="pct"/>
                  <w:tcBorders>
                    <w:tl2br w:val="nil"/>
                    <w:tr2bl w:val="nil"/>
                  </w:tcBorders>
                  <w:noWrap w:val="0"/>
                  <w:vAlign w:val="center"/>
                </w:tcPr>
                <w:p w14:paraId="23EB9D8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D92AAFF">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0.0006</w:t>
                  </w:r>
                </w:p>
              </w:tc>
            </w:tr>
            <w:tr w14:paraId="4EE51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235ADFE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7E17C9E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氯甲烷</w:t>
                  </w:r>
                </w:p>
              </w:tc>
              <w:tc>
                <w:tcPr>
                  <w:tcW w:w="611" w:type="pct"/>
                  <w:vMerge w:val="continue"/>
                  <w:tcBorders>
                    <w:tl2br w:val="nil"/>
                    <w:tr2bl w:val="nil"/>
                  </w:tcBorders>
                  <w:noWrap w:val="0"/>
                  <w:vAlign w:val="center"/>
                </w:tcPr>
                <w:p w14:paraId="3797C77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06F9561A">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37</w:t>
                  </w:r>
                </w:p>
              </w:tc>
              <w:tc>
                <w:tcPr>
                  <w:tcW w:w="983" w:type="pct"/>
                  <w:tcBorders>
                    <w:tl2br w:val="nil"/>
                    <w:tr2bl w:val="nil"/>
                  </w:tcBorders>
                  <w:noWrap w:val="0"/>
                  <w:vAlign w:val="center"/>
                </w:tcPr>
                <w:p w14:paraId="2841476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75DC9E6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1.4×10</w:t>
                  </w:r>
                  <w:r>
                    <w:rPr>
                      <w:rFonts w:hint="default" w:ascii="Times New Roman" w:hAnsi="Times New Roman" w:eastAsia="宋体" w:cs="Times New Roman"/>
                      <w:bCs/>
                      <w:color w:val="auto"/>
                      <w:sz w:val="21"/>
                      <w:szCs w:val="21"/>
                      <w:highlight w:val="none"/>
                      <w:vertAlign w:val="superscript"/>
                      <w:lang w:val="en-US" w:eastAsia="zh-CN"/>
                    </w:rPr>
                    <w:t>-5</w:t>
                  </w:r>
                </w:p>
              </w:tc>
            </w:tr>
            <w:tr w14:paraId="0D4716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032F1C3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375AAB0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1,1-二氯乙烷</w:t>
                  </w:r>
                </w:p>
              </w:tc>
              <w:tc>
                <w:tcPr>
                  <w:tcW w:w="611" w:type="pct"/>
                  <w:vMerge w:val="continue"/>
                  <w:tcBorders>
                    <w:tl2br w:val="nil"/>
                    <w:tr2bl w:val="nil"/>
                  </w:tcBorders>
                  <w:noWrap w:val="0"/>
                  <w:vAlign w:val="center"/>
                </w:tcPr>
                <w:p w14:paraId="1FB0350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1005547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9</w:t>
                  </w:r>
                </w:p>
              </w:tc>
              <w:tc>
                <w:tcPr>
                  <w:tcW w:w="983" w:type="pct"/>
                  <w:tcBorders>
                    <w:tl2br w:val="nil"/>
                    <w:tr2bl w:val="nil"/>
                  </w:tcBorders>
                  <w:noWrap w:val="0"/>
                  <w:vAlign w:val="center"/>
                </w:tcPr>
                <w:p w14:paraId="049BFAD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3D553FE">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6.7</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7F851A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3FD59AF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70C3562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1,2-二氯乙烷</w:t>
                  </w:r>
                </w:p>
              </w:tc>
              <w:tc>
                <w:tcPr>
                  <w:tcW w:w="611" w:type="pct"/>
                  <w:vMerge w:val="continue"/>
                  <w:tcBorders>
                    <w:tl2br w:val="nil"/>
                    <w:tr2bl w:val="nil"/>
                  </w:tcBorders>
                  <w:noWrap w:val="0"/>
                  <w:vAlign w:val="center"/>
                </w:tcPr>
                <w:p w14:paraId="43BA026E">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7A2B4132">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w:t>
                  </w:r>
                </w:p>
              </w:tc>
              <w:tc>
                <w:tcPr>
                  <w:tcW w:w="983" w:type="pct"/>
                  <w:tcBorders>
                    <w:tl2br w:val="nil"/>
                    <w:tr2bl w:val="nil"/>
                  </w:tcBorders>
                  <w:noWrap w:val="0"/>
                  <w:vAlign w:val="center"/>
                </w:tcPr>
                <w:p w14:paraId="6818110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0BEE5845">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highlight w:val="none"/>
                      <w:lang w:val="en-US" w:eastAsia="zh-CN"/>
                    </w:rPr>
                    <w:t>0.0001</w:t>
                  </w:r>
                </w:p>
              </w:tc>
            </w:tr>
            <w:tr w14:paraId="2A7858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61EEA65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5747FBF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1,1-二氯乙烯</w:t>
                  </w:r>
                </w:p>
              </w:tc>
              <w:tc>
                <w:tcPr>
                  <w:tcW w:w="611" w:type="pct"/>
                  <w:vMerge w:val="continue"/>
                  <w:tcBorders>
                    <w:tl2br w:val="nil"/>
                    <w:tr2bl w:val="nil"/>
                  </w:tcBorders>
                  <w:noWrap w:val="0"/>
                  <w:vAlign w:val="center"/>
                </w:tcPr>
                <w:p w14:paraId="22DB171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6DBFDA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66</w:t>
                  </w:r>
                </w:p>
              </w:tc>
              <w:tc>
                <w:tcPr>
                  <w:tcW w:w="983" w:type="pct"/>
                  <w:tcBorders>
                    <w:tl2br w:val="nil"/>
                    <w:tr2bl w:val="nil"/>
                  </w:tcBorders>
                  <w:noWrap w:val="0"/>
                  <w:vAlign w:val="center"/>
                </w:tcPr>
                <w:p w14:paraId="6FF005D7">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23F528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7.6</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6</w:t>
                  </w:r>
                </w:p>
              </w:tc>
            </w:tr>
            <w:tr w14:paraId="12B199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2417A75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6546AD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顺-1,2-二氯乙烯</w:t>
                  </w:r>
                </w:p>
              </w:tc>
              <w:tc>
                <w:tcPr>
                  <w:tcW w:w="611" w:type="pct"/>
                  <w:vMerge w:val="continue"/>
                  <w:tcBorders>
                    <w:tl2br w:val="nil"/>
                    <w:tr2bl w:val="nil"/>
                  </w:tcBorders>
                  <w:noWrap w:val="0"/>
                  <w:vAlign w:val="center"/>
                </w:tcPr>
                <w:p w14:paraId="3F228BCB">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6594C68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596</w:t>
                  </w:r>
                </w:p>
              </w:tc>
              <w:tc>
                <w:tcPr>
                  <w:tcW w:w="983" w:type="pct"/>
                  <w:tcBorders>
                    <w:tl2br w:val="nil"/>
                    <w:tr2bl w:val="nil"/>
                  </w:tcBorders>
                  <w:noWrap w:val="0"/>
                  <w:vAlign w:val="center"/>
                </w:tcPr>
                <w:p w14:paraId="2676B06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F1E4E1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1.1</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6</w:t>
                  </w:r>
                </w:p>
              </w:tc>
            </w:tr>
            <w:tr w14:paraId="78F04D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30B88F0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0A5DC43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反-1,2-二氯乙烯</w:t>
                  </w:r>
                </w:p>
              </w:tc>
              <w:tc>
                <w:tcPr>
                  <w:tcW w:w="611" w:type="pct"/>
                  <w:vMerge w:val="continue"/>
                  <w:tcBorders>
                    <w:tl2br w:val="nil"/>
                    <w:tr2bl w:val="nil"/>
                  </w:tcBorders>
                  <w:noWrap w:val="0"/>
                  <w:vAlign w:val="center"/>
                </w:tcPr>
                <w:p w14:paraId="58AFEDD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6DD8EC1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54</w:t>
                  </w:r>
                </w:p>
              </w:tc>
              <w:tc>
                <w:tcPr>
                  <w:tcW w:w="983" w:type="pct"/>
                  <w:tcBorders>
                    <w:tl2br w:val="nil"/>
                    <w:tr2bl w:val="nil"/>
                  </w:tcBorders>
                  <w:noWrap w:val="0"/>
                  <w:vAlign w:val="center"/>
                </w:tcPr>
                <w:p w14:paraId="0426C727">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720C3A7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2283A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6C3E22F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2B3048C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二氯甲烷</w:t>
                  </w:r>
                </w:p>
              </w:tc>
              <w:tc>
                <w:tcPr>
                  <w:tcW w:w="611" w:type="pct"/>
                  <w:vMerge w:val="continue"/>
                  <w:tcBorders>
                    <w:tl2br w:val="nil"/>
                    <w:tr2bl w:val="nil"/>
                  </w:tcBorders>
                  <w:noWrap w:val="0"/>
                  <w:vAlign w:val="center"/>
                </w:tcPr>
                <w:p w14:paraId="69F9DC9E">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180D8CF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616</w:t>
                  </w:r>
                </w:p>
              </w:tc>
              <w:tc>
                <w:tcPr>
                  <w:tcW w:w="983" w:type="pct"/>
                  <w:tcBorders>
                    <w:tl2br w:val="nil"/>
                    <w:tr2bl w:val="nil"/>
                  </w:tcBorders>
                  <w:noWrap w:val="0"/>
                  <w:vAlign w:val="center"/>
                </w:tcPr>
                <w:p w14:paraId="7F9848B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974483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6</w:t>
                  </w:r>
                </w:p>
              </w:tc>
            </w:tr>
            <w:tr w14:paraId="40FCD1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135BD60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01CE5D6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1,2-二氯丙烷</w:t>
                  </w:r>
                </w:p>
              </w:tc>
              <w:tc>
                <w:tcPr>
                  <w:tcW w:w="611" w:type="pct"/>
                  <w:vMerge w:val="continue"/>
                  <w:tcBorders>
                    <w:tl2br w:val="nil"/>
                    <w:tr2bl w:val="nil"/>
                  </w:tcBorders>
                  <w:noWrap w:val="0"/>
                  <w:vAlign w:val="center"/>
                </w:tcPr>
                <w:p w14:paraId="3CD166AF">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33129310">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w:t>
                  </w:r>
                </w:p>
              </w:tc>
              <w:tc>
                <w:tcPr>
                  <w:tcW w:w="983" w:type="pct"/>
                  <w:tcBorders>
                    <w:tl2br w:val="nil"/>
                    <w:tr2bl w:val="nil"/>
                  </w:tcBorders>
                  <w:noWrap w:val="0"/>
                  <w:vAlign w:val="center"/>
                </w:tcPr>
                <w:p w14:paraId="01B38DF2">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F0CA37E">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highlight w:val="none"/>
                      <w:lang w:val="en-US" w:eastAsia="zh-CN"/>
                    </w:rPr>
                    <w:t>0.0001</w:t>
                  </w:r>
                </w:p>
              </w:tc>
            </w:tr>
            <w:tr w14:paraId="7E306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2BF16EB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E634CA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1,1,1,2-四氯乙烷</w:t>
                  </w:r>
                </w:p>
              </w:tc>
              <w:tc>
                <w:tcPr>
                  <w:tcW w:w="611" w:type="pct"/>
                  <w:vMerge w:val="continue"/>
                  <w:tcBorders>
                    <w:tl2br w:val="nil"/>
                    <w:tr2bl w:val="nil"/>
                  </w:tcBorders>
                  <w:noWrap w:val="0"/>
                  <w:vAlign w:val="center"/>
                </w:tcPr>
                <w:p w14:paraId="722B663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30723A4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10</w:t>
                  </w:r>
                </w:p>
              </w:tc>
              <w:tc>
                <w:tcPr>
                  <w:tcW w:w="983" w:type="pct"/>
                  <w:tcBorders>
                    <w:tl2br w:val="nil"/>
                    <w:tr2bl w:val="nil"/>
                  </w:tcBorders>
                  <w:noWrap w:val="0"/>
                  <w:vAlign w:val="center"/>
                </w:tcPr>
                <w:p w14:paraId="24D8F297">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1110FB90">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33027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7E25560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2910A45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1,1,2,2-四氯乙烷</w:t>
                  </w:r>
                </w:p>
              </w:tc>
              <w:tc>
                <w:tcPr>
                  <w:tcW w:w="611" w:type="pct"/>
                  <w:vMerge w:val="continue"/>
                  <w:tcBorders>
                    <w:tl2br w:val="nil"/>
                    <w:tr2bl w:val="nil"/>
                  </w:tcBorders>
                  <w:noWrap w:val="0"/>
                  <w:vAlign w:val="center"/>
                </w:tcPr>
                <w:p w14:paraId="3396C83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6CD4506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6.8</w:t>
                  </w:r>
                </w:p>
              </w:tc>
              <w:tc>
                <w:tcPr>
                  <w:tcW w:w="983" w:type="pct"/>
                  <w:tcBorders>
                    <w:tl2br w:val="nil"/>
                    <w:tr2bl w:val="nil"/>
                  </w:tcBorders>
                  <w:noWrap w:val="0"/>
                  <w:vAlign w:val="center"/>
                </w:tcPr>
                <w:p w14:paraId="5C1B4E72">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3EE094D">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2A7E4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282B2B6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3250755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四氯乙烯</w:t>
                  </w:r>
                </w:p>
              </w:tc>
              <w:tc>
                <w:tcPr>
                  <w:tcW w:w="611" w:type="pct"/>
                  <w:vMerge w:val="continue"/>
                  <w:tcBorders>
                    <w:tl2br w:val="nil"/>
                    <w:tr2bl w:val="nil"/>
                  </w:tcBorders>
                  <w:noWrap w:val="0"/>
                  <w:vAlign w:val="center"/>
                </w:tcPr>
                <w:p w14:paraId="5EE0366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76A6F28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53</w:t>
                  </w:r>
                </w:p>
              </w:tc>
              <w:tc>
                <w:tcPr>
                  <w:tcW w:w="983" w:type="pct"/>
                  <w:tcBorders>
                    <w:tl2br w:val="nil"/>
                    <w:tr2bl w:val="nil"/>
                  </w:tcBorders>
                  <w:noWrap w:val="0"/>
                  <w:vAlign w:val="center"/>
                </w:tcPr>
                <w:p w14:paraId="61E8E95A">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2AA79A9C">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5B6D0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4" w:type="pct"/>
                  <w:vMerge w:val="continue"/>
                  <w:tcBorders>
                    <w:tl2br w:val="nil"/>
                    <w:tr2bl w:val="nil"/>
                  </w:tcBorders>
                  <w:noWrap w:val="0"/>
                  <w:vAlign w:val="center"/>
                </w:tcPr>
                <w:p w14:paraId="38467D9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D5BA3B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r>
                    <w:rPr>
                      <w:rFonts w:hint="default" w:ascii="Times New Roman" w:hAnsi="Times New Roman" w:eastAsia="宋体" w:cs="Times New Roman"/>
                      <w:color w:val="auto"/>
                      <w:spacing w:val="13"/>
                      <w:sz w:val="21"/>
                      <w:szCs w:val="21"/>
                      <w:highlight w:val="none"/>
                    </w:rPr>
                    <w:t>1,1,1-三氯乙烷</w:t>
                  </w:r>
                </w:p>
              </w:tc>
              <w:tc>
                <w:tcPr>
                  <w:tcW w:w="611" w:type="pct"/>
                  <w:vMerge w:val="continue"/>
                  <w:tcBorders>
                    <w:tl2br w:val="nil"/>
                    <w:tr2bl w:val="nil"/>
                  </w:tcBorders>
                  <w:noWrap w:val="0"/>
                  <w:vAlign w:val="center"/>
                </w:tcPr>
                <w:p w14:paraId="4DEC8B8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5CC9E34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840</w:t>
                  </w:r>
                </w:p>
              </w:tc>
              <w:tc>
                <w:tcPr>
                  <w:tcW w:w="983" w:type="pct"/>
                  <w:tcBorders>
                    <w:tl2br w:val="nil"/>
                    <w:tr2bl w:val="nil"/>
                  </w:tcBorders>
                  <w:noWrap w:val="0"/>
                  <w:vAlign w:val="center"/>
                </w:tcPr>
                <w:p w14:paraId="5BE65B3A">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55E46C6">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7.7</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7</w:t>
                  </w:r>
                </w:p>
              </w:tc>
            </w:tr>
            <w:tr w14:paraId="14F31D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25C4EC0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6EFAD99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1,1,2-三氯乙烷</w:t>
                  </w:r>
                </w:p>
              </w:tc>
              <w:tc>
                <w:tcPr>
                  <w:tcW w:w="611" w:type="pct"/>
                  <w:vMerge w:val="continue"/>
                  <w:tcBorders>
                    <w:tl2br w:val="nil"/>
                    <w:tr2bl w:val="nil"/>
                  </w:tcBorders>
                  <w:noWrap w:val="0"/>
                  <w:vAlign w:val="center"/>
                </w:tcPr>
                <w:p w14:paraId="7498D290">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0E22941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2.8</w:t>
                  </w:r>
                </w:p>
              </w:tc>
              <w:tc>
                <w:tcPr>
                  <w:tcW w:w="983" w:type="pct"/>
                  <w:tcBorders>
                    <w:tl2br w:val="nil"/>
                    <w:tr2bl w:val="nil"/>
                  </w:tcBorders>
                  <w:noWrap w:val="0"/>
                  <w:vAlign w:val="center"/>
                </w:tcPr>
                <w:p w14:paraId="63B18732">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6E6B25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r>
            <w:tr w14:paraId="50E857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02CFA34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02B756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三氯乙烯</w:t>
                  </w:r>
                </w:p>
              </w:tc>
              <w:tc>
                <w:tcPr>
                  <w:tcW w:w="611" w:type="pct"/>
                  <w:vMerge w:val="continue"/>
                  <w:tcBorders>
                    <w:tl2br w:val="nil"/>
                    <w:tr2bl w:val="nil"/>
                  </w:tcBorders>
                  <w:noWrap w:val="0"/>
                  <w:vAlign w:val="center"/>
                </w:tcPr>
                <w:p w14:paraId="47A62CC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153E9F3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2.8</w:t>
                  </w:r>
                </w:p>
              </w:tc>
              <w:tc>
                <w:tcPr>
                  <w:tcW w:w="983" w:type="pct"/>
                  <w:tcBorders>
                    <w:tl2br w:val="nil"/>
                    <w:tr2bl w:val="nil"/>
                  </w:tcBorders>
                  <w:noWrap w:val="0"/>
                  <w:vAlign w:val="center"/>
                </w:tcPr>
                <w:p w14:paraId="57F48320">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4C3B47E">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0.0002 </w:t>
                  </w:r>
                </w:p>
              </w:tc>
            </w:tr>
            <w:tr w14:paraId="05026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31DEF3E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2D5E0B5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1,2,3-三氯丙烷</w:t>
                  </w:r>
                </w:p>
              </w:tc>
              <w:tc>
                <w:tcPr>
                  <w:tcW w:w="611" w:type="pct"/>
                  <w:vMerge w:val="continue"/>
                  <w:tcBorders>
                    <w:tl2br w:val="nil"/>
                    <w:tr2bl w:val="nil"/>
                  </w:tcBorders>
                  <w:noWrap w:val="0"/>
                  <w:vAlign w:val="center"/>
                </w:tcPr>
                <w:p w14:paraId="3F459D7F">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6969A710">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0.5</w:t>
                  </w:r>
                </w:p>
              </w:tc>
              <w:tc>
                <w:tcPr>
                  <w:tcW w:w="983" w:type="pct"/>
                  <w:tcBorders>
                    <w:tl2br w:val="nil"/>
                    <w:tr2bl w:val="nil"/>
                  </w:tcBorders>
                  <w:noWrap w:val="0"/>
                  <w:vAlign w:val="center"/>
                </w:tcPr>
                <w:p w14:paraId="63CDBB3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9E58C6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0.0012</w:t>
                  </w:r>
                </w:p>
              </w:tc>
            </w:tr>
            <w:tr w14:paraId="327AC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2FCFA7E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0E29515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氯乙烯</w:t>
                  </w:r>
                </w:p>
              </w:tc>
              <w:tc>
                <w:tcPr>
                  <w:tcW w:w="611" w:type="pct"/>
                  <w:vMerge w:val="continue"/>
                  <w:tcBorders>
                    <w:tl2br w:val="nil"/>
                    <w:tr2bl w:val="nil"/>
                  </w:tcBorders>
                  <w:noWrap w:val="0"/>
                  <w:vAlign w:val="center"/>
                </w:tcPr>
                <w:p w14:paraId="6A8A446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7D60A0A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0.43</w:t>
                  </w:r>
                </w:p>
              </w:tc>
              <w:tc>
                <w:tcPr>
                  <w:tcW w:w="983" w:type="pct"/>
                  <w:tcBorders>
                    <w:tl2br w:val="nil"/>
                    <w:tr2bl w:val="nil"/>
                  </w:tcBorders>
                  <w:noWrap w:val="0"/>
                  <w:vAlign w:val="center"/>
                </w:tcPr>
                <w:p w14:paraId="7DA3101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2B54DCB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0.0012</w:t>
                  </w:r>
                </w:p>
              </w:tc>
            </w:tr>
            <w:tr w14:paraId="0253B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0777B24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6D51058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w:t>
                  </w:r>
                </w:p>
              </w:tc>
              <w:tc>
                <w:tcPr>
                  <w:tcW w:w="611" w:type="pct"/>
                  <w:vMerge w:val="continue"/>
                  <w:tcBorders>
                    <w:tl2br w:val="nil"/>
                    <w:tr2bl w:val="nil"/>
                  </w:tcBorders>
                  <w:noWrap w:val="0"/>
                  <w:vAlign w:val="center"/>
                </w:tcPr>
                <w:p w14:paraId="1C8D9FF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71846FFB">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4</w:t>
                  </w:r>
                </w:p>
              </w:tc>
              <w:tc>
                <w:tcPr>
                  <w:tcW w:w="983" w:type="pct"/>
                  <w:tcBorders>
                    <w:tl2br w:val="nil"/>
                    <w:tr2bl w:val="nil"/>
                  </w:tcBorders>
                  <w:noWrap w:val="0"/>
                  <w:vAlign w:val="center"/>
                </w:tcPr>
                <w:p w14:paraId="207C9219">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3E4563ED">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0.0002</w:t>
                  </w:r>
                </w:p>
              </w:tc>
            </w:tr>
            <w:tr w14:paraId="70E5F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61AD649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663D5B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sz w:val="21"/>
                      <w:szCs w:val="21"/>
                      <w:highlight w:val="none"/>
                    </w:rPr>
                  </w:pPr>
                  <w:r>
                    <w:rPr>
                      <w:rFonts w:hint="default" w:ascii="Times New Roman" w:hAnsi="Times New Roman" w:eastAsia="宋体" w:cs="Times New Roman"/>
                      <w:color w:val="auto"/>
                      <w:spacing w:val="13"/>
                      <w:sz w:val="21"/>
                      <w:szCs w:val="21"/>
                      <w:highlight w:val="none"/>
                    </w:rPr>
                    <w:t>氯苯</w:t>
                  </w:r>
                </w:p>
              </w:tc>
              <w:tc>
                <w:tcPr>
                  <w:tcW w:w="611" w:type="pct"/>
                  <w:vMerge w:val="continue"/>
                  <w:tcBorders>
                    <w:tl2br w:val="nil"/>
                    <w:tr2bl w:val="nil"/>
                  </w:tcBorders>
                  <w:noWrap w:val="0"/>
                  <w:vAlign w:val="center"/>
                </w:tcPr>
                <w:p w14:paraId="7E31B24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5716DB3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270</w:t>
                  </w:r>
                </w:p>
              </w:tc>
              <w:tc>
                <w:tcPr>
                  <w:tcW w:w="983" w:type="pct"/>
                  <w:tcBorders>
                    <w:tl2br w:val="nil"/>
                    <w:tr2bl w:val="nil"/>
                  </w:tcBorders>
                  <w:noWrap w:val="0"/>
                  <w:vAlign w:val="center"/>
                </w:tcPr>
                <w:p w14:paraId="566A761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1E5073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2.2</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6</w:t>
                  </w:r>
                </w:p>
              </w:tc>
            </w:tr>
            <w:tr w14:paraId="50512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49A2DCD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22D60F4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1,2-二氯苯</w:t>
                  </w:r>
                </w:p>
              </w:tc>
              <w:tc>
                <w:tcPr>
                  <w:tcW w:w="611" w:type="pct"/>
                  <w:vMerge w:val="continue"/>
                  <w:tcBorders>
                    <w:tl2br w:val="nil"/>
                    <w:tr2bl w:val="nil"/>
                  </w:tcBorders>
                  <w:noWrap w:val="0"/>
                  <w:vAlign w:val="center"/>
                </w:tcPr>
                <w:p w14:paraId="172C07D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3C7B623">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560</w:t>
                  </w:r>
                </w:p>
              </w:tc>
              <w:tc>
                <w:tcPr>
                  <w:tcW w:w="983" w:type="pct"/>
                  <w:tcBorders>
                    <w:tl2br w:val="nil"/>
                    <w:tr2bl w:val="nil"/>
                  </w:tcBorders>
                  <w:noWrap w:val="0"/>
                  <w:vAlign w:val="center"/>
                </w:tcPr>
                <w:p w14:paraId="0C7F97E9">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018B70D">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6</w:t>
                  </w:r>
                </w:p>
              </w:tc>
            </w:tr>
            <w:tr w14:paraId="421A4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3161296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07525DF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1,4-二氯苯</w:t>
                  </w:r>
                </w:p>
              </w:tc>
              <w:tc>
                <w:tcPr>
                  <w:tcW w:w="611" w:type="pct"/>
                  <w:vMerge w:val="continue"/>
                  <w:tcBorders>
                    <w:tl2br w:val="nil"/>
                    <w:tr2bl w:val="nil"/>
                  </w:tcBorders>
                  <w:noWrap w:val="0"/>
                  <w:vAlign w:val="center"/>
                </w:tcPr>
                <w:p w14:paraId="7C601432">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482148E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w:t>
                  </w:r>
                </w:p>
              </w:tc>
              <w:tc>
                <w:tcPr>
                  <w:tcW w:w="983" w:type="pct"/>
                  <w:tcBorders>
                    <w:tl2br w:val="nil"/>
                    <w:tr2bl w:val="nil"/>
                  </w:tcBorders>
                  <w:noWrap w:val="0"/>
                  <w:vAlign w:val="center"/>
                </w:tcPr>
                <w:p w14:paraId="0F85B0AC">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7BBCEFC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3.8</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7956C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restart"/>
                  <w:tcBorders>
                    <w:tl2br w:val="nil"/>
                    <w:tr2bl w:val="nil"/>
                  </w:tcBorders>
                  <w:noWrap w:val="0"/>
                  <w:vAlign w:val="center"/>
                </w:tcPr>
                <w:p w14:paraId="598593F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0"/>
                      <w:sz w:val="21"/>
                      <w:szCs w:val="21"/>
                      <w:highlight w:val="none"/>
                    </w:rPr>
                    <w:t>挥发性有机物</w:t>
                  </w:r>
                </w:p>
              </w:tc>
              <w:tc>
                <w:tcPr>
                  <w:tcW w:w="1421" w:type="pct"/>
                  <w:tcBorders>
                    <w:tl2br w:val="nil"/>
                    <w:tr2bl w:val="nil"/>
                  </w:tcBorders>
                  <w:noWrap w:val="0"/>
                  <w:vAlign w:val="center"/>
                </w:tcPr>
                <w:p w14:paraId="5274FE8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乙苯</w:t>
                  </w:r>
                </w:p>
              </w:tc>
              <w:tc>
                <w:tcPr>
                  <w:tcW w:w="611" w:type="pct"/>
                  <w:vMerge w:val="restart"/>
                  <w:tcBorders>
                    <w:tl2br w:val="nil"/>
                    <w:tr2bl w:val="nil"/>
                  </w:tcBorders>
                  <w:noWrap w:val="0"/>
                  <w:vAlign w:val="center"/>
                </w:tcPr>
                <w:p w14:paraId="34907458">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m</w:t>
                  </w:r>
                  <w:r>
                    <w:rPr>
                      <w:rFonts w:hint="default" w:ascii="Times New Roman" w:hAnsi="Times New Roman" w:eastAsia="宋体" w:cs="Times New Roman"/>
                      <w:bCs/>
                      <w:color w:val="auto"/>
                      <w:sz w:val="21"/>
                      <w:szCs w:val="21"/>
                      <w:highlight w:val="none"/>
                    </w:rPr>
                    <w:t>g/kg</w:t>
                  </w:r>
                </w:p>
              </w:tc>
              <w:tc>
                <w:tcPr>
                  <w:tcW w:w="674" w:type="pct"/>
                  <w:tcBorders>
                    <w:tl2br w:val="nil"/>
                    <w:tr2bl w:val="nil"/>
                  </w:tcBorders>
                  <w:noWrap w:val="0"/>
                  <w:vAlign w:val="center"/>
                </w:tcPr>
                <w:p w14:paraId="28B33F31">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28</w:t>
                  </w:r>
                </w:p>
              </w:tc>
              <w:tc>
                <w:tcPr>
                  <w:tcW w:w="983" w:type="pct"/>
                  <w:tcBorders>
                    <w:tl2br w:val="nil"/>
                    <w:tr2bl w:val="nil"/>
                  </w:tcBorders>
                  <w:noWrap w:val="0"/>
                  <w:vAlign w:val="center"/>
                </w:tcPr>
                <w:p w14:paraId="734A5AC0">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2E4818C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2.1</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4DC4A2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023F09E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5E56A17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苯乙烯</w:t>
                  </w:r>
                </w:p>
              </w:tc>
              <w:tc>
                <w:tcPr>
                  <w:tcW w:w="611" w:type="pct"/>
                  <w:vMerge w:val="continue"/>
                  <w:tcBorders>
                    <w:tl2br w:val="nil"/>
                    <w:tr2bl w:val="nil"/>
                  </w:tcBorders>
                  <w:noWrap w:val="0"/>
                  <w:vAlign w:val="center"/>
                </w:tcPr>
                <w:p w14:paraId="37105DD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F462C68">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1290</w:t>
                  </w:r>
                </w:p>
              </w:tc>
              <w:tc>
                <w:tcPr>
                  <w:tcW w:w="983" w:type="pct"/>
                  <w:tcBorders>
                    <w:tl2br w:val="nil"/>
                    <w:tr2bl w:val="nil"/>
                  </w:tcBorders>
                  <w:noWrap w:val="0"/>
                  <w:vAlign w:val="center"/>
                </w:tcPr>
                <w:p w14:paraId="3F7E6EBB">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42AD0A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7</w:t>
                  </w:r>
                </w:p>
              </w:tc>
            </w:tr>
            <w:tr w14:paraId="55C58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280A4F8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32BB3EB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甲苯</w:t>
                  </w:r>
                </w:p>
              </w:tc>
              <w:tc>
                <w:tcPr>
                  <w:tcW w:w="611" w:type="pct"/>
                  <w:vMerge w:val="continue"/>
                  <w:tcBorders>
                    <w:tl2br w:val="nil"/>
                    <w:tr2bl w:val="nil"/>
                  </w:tcBorders>
                  <w:noWrap w:val="0"/>
                  <w:vAlign w:val="top"/>
                </w:tcPr>
                <w:p w14:paraId="7F82505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0EAE8AB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1200</w:t>
                  </w:r>
                </w:p>
              </w:tc>
              <w:tc>
                <w:tcPr>
                  <w:tcW w:w="983" w:type="pct"/>
                  <w:tcBorders>
                    <w:tl2br w:val="nil"/>
                    <w:tr2bl w:val="nil"/>
                  </w:tcBorders>
                  <w:noWrap w:val="0"/>
                  <w:vAlign w:val="center"/>
                </w:tcPr>
                <w:p w14:paraId="312BDD17">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19A6DDD">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7</w:t>
                  </w:r>
                </w:p>
              </w:tc>
            </w:tr>
            <w:tr w14:paraId="221844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66E087B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03D469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间二甲苯+对二甲苯</w:t>
                  </w:r>
                </w:p>
              </w:tc>
              <w:tc>
                <w:tcPr>
                  <w:tcW w:w="611" w:type="pct"/>
                  <w:vMerge w:val="continue"/>
                  <w:tcBorders>
                    <w:tl2br w:val="nil"/>
                    <w:tr2bl w:val="nil"/>
                  </w:tcBorders>
                  <w:noWrap w:val="0"/>
                  <w:vAlign w:val="top"/>
                </w:tcPr>
                <w:p w14:paraId="0CC95082">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6DFDBB5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570</w:t>
                  </w:r>
                </w:p>
              </w:tc>
              <w:tc>
                <w:tcPr>
                  <w:tcW w:w="983" w:type="pct"/>
                  <w:tcBorders>
                    <w:tl2br w:val="nil"/>
                    <w:tr2bl w:val="nil"/>
                  </w:tcBorders>
                  <w:noWrap w:val="0"/>
                  <w:vAlign w:val="center"/>
                </w:tcPr>
                <w:p w14:paraId="27B1185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5F4278F">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1.1</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6</w:t>
                  </w:r>
                </w:p>
              </w:tc>
            </w:tr>
            <w:tr w14:paraId="2BE7E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3A6B018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27D415C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邻二甲苯</w:t>
                  </w:r>
                </w:p>
              </w:tc>
              <w:tc>
                <w:tcPr>
                  <w:tcW w:w="611" w:type="pct"/>
                  <w:vMerge w:val="continue"/>
                  <w:tcBorders>
                    <w:tl2br w:val="nil"/>
                    <w:tr2bl w:val="nil"/>
                  </w:tcBorders>
                  <w:noWrap w:val="0"/>
                  <w:vAlign w:val="top"/>
                </w:tcPr>
                <w:p w14:paraId="1029190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8E8829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640</w:t>
                  </w:r>
                </w:p>
              </w:tc>
              <w:tc>
                <w:tcPr>
                  <w:tcW w:w="983" w:type="pct"/>
                  <w:tcBorders>
                    <w:tl2br w:val="nil"/>
                    <w:tr2bl w:val="nil"/>
                  </w:tcBorders>
                  <w:noWrap w:val="0"/>
                  <w:vAlign w:val="center"/>
                </w:tcPr>
                <w:p w14:paraId="58DC4B0C">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6F9EA9A">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highlight w:val="none"/>
                      <w:lang w:val="en-US" w:eastAsia="zh-CN"/>
                    </w:rPr>
                    <w:t>9.4</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7</w:t>
                  </w:r>
                </w:p>
              </w:tc>
            </w:tr>
            <w:tr w14:paraId="0A9E6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restart"/>
                  <w:tcBorders>
                    <w:tl2br w:val="nil"/>
                    <w:tr2bl w:val="nil"/>
                  </w:tcBorders>
                  <w:noWrap w:val="0"/>
                  <w:vAlign w:val="center"/>
                </w:tcPr>
                <w:p w14:paraId="19A2FD5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0"/>
                      <w:sz w:val="21"/>
                      <w:szCs w:val="21"/>
                      <w:highlight w:val="none"/>
                    </w:rPr>
                    <w:t>半挥发性有机物</w:t>
                  </w:r>
                </w:p>
              </w:tc>
              <w:tc>
                <w:tcPr>
                  <w:tcW w:w="1421" w:type="pct"/>
                  <w:tcBorders>
                    <w:tl2br w:val="nil"/>
                    <w:tr2bl w:val="nil"/>
                  </w:tcBorders>
                  <w:noWrap w:val="0"/>
                  <w:vAlign w:val="center"/>
                </w:tcPr>
                <w:p w14:paraId="0BC83EB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硝基苯</w:t>
                  </w:r>
                </w:p>
              </w:tc>
              <w:tc>
                <w:tcPr>
                  <w:tcW w:w="611" w:type="pct"/>
                  <w:vMerge w:val="restart"/>
                  <w:tcBorders>
                    <w:tl2br w:val="nil"/>
                    <w:tr2bl w:val="nil"/>
                  </w:tcBorders>
                  <w:noWrap w:val="0"/>
                  <w:vAlign w:val="center"/>
                </w:tcPr>
                <w:p w14:paraId="3AD900BF">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mg/kg</w:t>
                  </w:r>
                </w:p>
              </w:tc>
              <w:tc>
                <w:tcPr>
                  <w:tcW w:w="674" w:type="pct"/>
                  <w:tcBorders>
                    <w:tl2br w:val="nil"/>
                    <w:tr2bl w:val="nil"/>
                  </w:tcBorders>
                  <w:noWrap w:val="0"/>
                  <w:vAlign w:val="center"/>
                </w:tcPr>
                <w:p w14:paraId="04A46F5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76</w:t>
                  </w:r>
                </w:p>
              </w:tc>
              <w:tc>
                <w:tcPr>
                  <w:tcW w:w="983" w:type="pct"/>
                  <w:tcBorders>
                    <w:tl2br w:val="nil"/>
                    <w:tr2bl w:val="nil"/>
                  </w:tcBorders>
                  <w:noWrap w:val="0"/>
                  <w:vAlign w:val="center"/>
                </w:tcPr>
                <w:p w14:paraId="359B976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FE3640F">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5.9</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4</w:t>
                  </w:r>
                </w:p>
              </w:tc>
            </w:tr>
            <w:tr w14:paraId="05BF6E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4AD26C7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3295E67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2-氯酚</w:t>
                  </w:r>
                </w:p>
              </w:tc>
              <w:tc>
                <w:tcPr>
                  <w:tcW w:w="611" w:type="pct"/>
                  <w:vMerge w:val="continue"/>
                  <w:tcBorders>
                    <w:tl2br w:val="nil"/>
                    <w:tr2bl w:val="nil"/>
                  </w:tcBorders>
                  <w:noWrap w:val="0"/>
                  <w:vAlign w:val="top"/>
                </w:tcPr>
                <w:p w14:paraId="21F7BE93">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14CB7952">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2256</w:t>
                  </w:r>
                </w:p>
              </w:tc>
              <w:tc>
                <w:tcPr>
                  <w:tcW w:w="983" w:type="pct"/>
                  <w:tcBorders>
                    <w:tl2br w:val="nil"/>
                    <w:tr2bl w:val="nil"/>
                  </w:tcBorders>
                  <w:noWrap w:val="0"/>
                  <w:vAlign w:val="center"/>
                </w:tcPr>
                <w:p w14:paraId="17F8373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5877839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26E45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3765D31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C30729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苯并[a]蒽</w:t>
                  </w:r>
                </w:p>
              </w:tc>
              <w:tc>
                <w:tcPr>
                  <w:tcW w:w="611" w:type="pct"/>
                  <w:vMerge w:val="continue"/>
                  <w:tcBorders>
                    <w:tl2br w:val="nil"/>
                    <w:tr2bl w:val="nil"/>
                  </w:tcBorders>
                  <w:noWrap w:val="0"/>
                  <w:vAlign w:val="top"/>
                </w:tcPr>
                <w:p w14:paraId="59C64DA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313702F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83" w:type="pct"/>
                  <w:tcBorders>
                    <w:tl2br w:val="nil"/>
                    <w:tr2bl w:val="nil"/>
                  </w:tcBorders>
                  <w:noWrap w:val="0"/>
                  <w:vAlign w:val="center"/>
                </w:tcPr>
                <w:p w14:paraId="30FF4BC9">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0F05F22B">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3</w:t>
                  </w:r>
                </w:p>
              </w:tc>
            </w:tr>
            <w:tr w14:paraId="3DCC8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6C45126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359B98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苯并[a]芘</w:t>
                  </w:r>
                </w:p>
              </w:tc>
              <w:tc>
                <w:tcPr>
                  <w:tcW w:w="611" w:type="pct"/>
                  <w:vMerge w:val="continue"/>
                  <w:tcBorders>
                    <w:tl2br w:val="nil"/>
                    <w:tr2bl w:val="nil"/>
                  </w:tcBorders>
                  <w:noWrap w:val="0"/>
                  <w:vAlign w:val="top"/>
                </w:tcPr>
                <w:p w14:paraId="0AC06BE8">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0C302C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83" w:type="pct"/>
                  <w:tcBorders>
                    <w:tl2br w:val="nil"/>
                    <w:tr2bl w:val="nil"/>
                  </w:tcBorders>
                  <w:noWrap w:val="0"/>
                  <w:vAlign w:val="center"/>
                </w:tcPr>
                <w:p w14:paraId="6A56CA8E">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12997967">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0.033</w:t>
                  </w:r>
                </w:p>
              </w:tc>
            </w:tr>
            <w:tr w14:paraId="0E9538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58DB1C7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B4FC67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苯并[b]荧蒽</w:t>
                  </w:r>
                </w:p>
              </w:tc>
              <w:tc>
                <w:tcPr>
                  <w:tcW w:w="611" w:type="pct"/>
                  <w:vMerge w:val="continue"/>
                  <w:tcBorders>
                    <w:tl2br w:val="nil"/>
                    <w:tr2bl w:val="nil"/>
                  </w:tcBorders>
                  <w:noWrap w:val="0"/>
                  <w:vAlign w:val="top"/>
                </w:tcPr>
                <w:p w14:paraId="6AD9E143">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0C383E57">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83" w:type="pct"/>
                  <w:tcBorders>
                    <w:tl2br w:val="nil"/>
                    <w:tr2bl w:val="nil"/>
                  </w:tcBorders>
                  <w:noWrap w:val="0"/>
                  <w:vAlign w:val="center"/>
                </w:tcPr>
                <w:p w14:paraId="052C845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05ABEC6D">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0.0067</w:t>
                  </w:r>
                </w:p>
              </w:tc>
            </w:tr>
            <w:tr w14:paraId="655E9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2B909E3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9F83ED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苯并[k]荧蒽</w:t>
                  </w:r>
                </w:p>
              </w:tc>
              <w:tc>
                <w:tcPr>
                  <w:tcW w:w="611" w:type="pct"/>
                  <w:vMerge w:val="continue"/>
                  <w:tcBorders>
                    <w:tl2br w:val="nil"/>
                    <w:tr2bl w:val="nil"/>
                  </w:tcBorders>
                  <w:noWrap w:val="0"/>
                  <w:vAlign w:val="top"/>
                </w:tcPr>
                <w:p w14:paraId="143DB38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73F3DC93">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151</w:t>
                  </w:r>
                </w:p>
              </w:tc>
              <w:tc>
                <w:tcPr>
                  <w:tcW w:w="983" w:type="pct"/>
                  <w:tcBorders>
                    <w:tl2br w:val="nil"/>
                    <w:tr2bl w:val="nil"/>
                  </w:tcBorders>
                  <w:noWrap w:val="0"/>
                  <w:vAlign w:val="center"/>
                </w:tcPr>
                <w:p w14:paraId="7D8F854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735F693A">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3.3</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4</w:t>
                  </w:r>
                </w:p>
              </w:tc>
            </w:tr>
            <w:tr w14:paraId="31D76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22B0F44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5669D10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䓛</w:t>
                  </w:r>
                </w:p>
              </w:tc>
              <w:tc>
                <w:tcPr>
                  <w:tcW w:w="611" w:type="pct"/>
                  <w:vMerge w:val="continue"/>
                  <w:tcBorders>
                    <w:tl2br w:val="nil"/>
                    <w:tr2bl w:val="nil"/>
                  </w:tcBorders>
                  <w:noWrap w:val="0"/>
                  <w:vAlign w:val="top"/>
                </w:tcPr>
                <w:p w14:paraId="11E080D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4C77759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1293</w:t>
                  </w:r>
                </w:p>
              </w:tc>
              <w:tc>
                <w:tcPr>
                  <w:tcW w:w="983" w:type="pct"/>
                  <w:tcBorders>
                    <w:tl2br w:val="nil"/>
                    <w:tr2bl w:val="nil"/>
                  </w:tcBorders>
                  <w:noWrap w:val="0"/>
                  <w:vAlign w:val="center"/>
                </w:tcPr>
                <w:p w14:paraId="2A1B493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1EC932C2">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3.9</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5</w:t>
                  </w:r>
                </w:p>
              </w:tc>
            </w:tr>
            <w:tr w14:paraId="663C7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6590E55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7BA5B2C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二苯并[a,h]蒽</w:t>
                  </w:r>
                </w:p>
              </w:tc>
              <w:tc>
                <w:tcPr>
                  <w:tcW w:w="611" w:type="pct"/>
                  <w:vMerge w:val="continue"/>
                  <w:tcBorders>
                    <w:tl2br w:val="nil"/>
                    <w:tr2bl w:val="nil"/>
                  </w:tcBorders>
                  <w:noWrap w:val="0"/>
                  <w:vAlign w:val="top"/>
                </w:tcPr>
                <w:p w14:paraId="5104F32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36FE309">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83" w:type="pct"/>
                  <w:tcBorders>
                    <w:tl2br w:val="nil"/>
                    <w:tr2bl w:val="nil"/>
                  </w:tcBorders>
                  <w:noWrap w:val="0"/>
                  <w:vAlign w:val="center"/>
                </w:tcPr>
                <w:p w14:paraId="0BE81D3E">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FF4A0ED">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0.033</w:t>
                  </w:r>
                </w:p>
              </w:tc>
            </w:tr>
            <w:tr w14:paraId="6A3F4B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55568F5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7983C0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茚并[1,2,3-cd]芘</w:t>
                  </w:r>
                </w:p>
              </w:tc>
              <w:tc>
                <w:tcPr>
                  <w:tcW w:w="611" w:type="pct"/>
                  <w:vMerge w:val="continue"/>
                  <w:tcBorders>
                    <w:tl2br w:val="nil"/>
                    <w:tr2bl w:val="nil"/>
                  </w:tcBorders>
                  <w:noWrap w:val="0"/>
                  <w:vAlign w:val="top"/>
                </w:tcPr>
                <w:p w14:paraId="7714396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14E5380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15</w:t>
                  </w:r>
                </w:p>
              </w:tc>
              <w:tc>
                <w:tcPr>
                  <w:tcW w:w="983" w:type="pct"/>
                  <w:tcBorders>
                    <w:tl2br w:val="nil"/>
                    <w:tr2bl w:val="nil"/>
                  </w:tcBorders>
                  <w:noWrap w:val="0"/>
                  <w:vAlign w:val="center"/>
                </w:tcPr>
                <w:p w14:paraId="750B31E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7EC3373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highlight w:val="none"/>
                      <w:lang w:val="en-US" w:eastAsia="zh-CN"/>
                    </w:rPr>
                    <w:t>0.003</w:t>
                  </w:r>
                </w:p>
              </w:tc>
            </w:tr>
            <w:tr w14:paraId="1201F2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701D449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365243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萘</w:t>
                  </w:r>
                </w:p>
              </w:tc>
              <w:tc>
                <w:tcPr>
                  <w:tcW w:w="611" w:type="pct"/>
                  <w:vMerge w:val="continue"/>
                  <w:tcBorders>
                    <w:tl2br w:val="nil"/>
                    <w:tr2bl w:val="nil"/>
                  </w:tcBorders>
                  <w:noWrap w:val="0"/>
                  <w:vAlign w:val="top"/>
                </w:tcPr>
                <w:p w14:paraId="2FBEC781">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CAB682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70</w:t>
                  </w:r>
                </w:p>
              </w:tc>
              <w:tc>
                <w:tcPr>
                  <w:tcW w:w="983" w:type="pct"/>
                  <w:tcBorders>
                    <w:tl2br w:val="nil"/>
                    <w:tr2bl w:val="nil"/>
                  </w:tcBorders>
                  <w:noWrap w:val="0"/>
                  <w:vAlign w:val="center"/>
                </w:tcPr>
                <w:p w14:paraId="16C543E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45E01163">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highlight w:val="none"/>
                      <w:lang w:val="en-US" w:eastAsia="zh-CN"/>
                    </w:rPr>
                    <w:t>0.115</w:t>
                  </w:r>
                </w:p>
              </w:tc>
            </w:tr>
            <w:tr w14:paraId="4A51CD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05E1149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EE8993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苯胺</w:t>
                  </w:r>
                </w:p>
              </w:tc>
              <w:tc>
                <w:tcPr>
                  <w:tcW w:w="611" w:type="pct"/>
                  <w:vMerge w:val="continue"/>
                  <w:tcBorders>
                    <w:tl2br w:val="nil"/>
                    <w:tr2bl w:val="nil"/>
                  </w:tcBorders>
                  <w:noWrap w:val="0"/>
                  <w:vAlign w:val="top"/>
                </w:tcPr>
                <w:p w14:paraId="48870C4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69892DB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260</w:t>
                  </w:r>
                </w:p>
              </w:tc>
              <w:tc>
                <w:tcPr>
                  <w:tcW w:w="983" w:type="pct"/>
                  <w:tcBorders>
                    <w:tl2br w:val="nil"/>
                    <w:tr2bl w:val="nil"/>
                  </w:tcBorders>
                  <w:noWrap w:val="0"/>
                  <w:vAlign w:val="center"/>
                </w:tcPr>
                <w:p w14:paraId="2172CCB8">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29D44311">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3.8</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default" w:ascii="Times New Roman" w:hAnsi="Times New Roman" w:eastAsia="宋体" w:cs="Times New Roman"/>
                      <w:color w:val="auto"/>
                      <w:spacing w:val="-14"/>
                      <w:szCs w:val="21"/>
                      <w:highlight w:val="none"/>
                      <w:vertAlign w:val="superscript"/>
                      <w:lang w:val="en-US" w:eastAsia="zh-CN"/>
                    </w:rPr>
                    <w:t>4</w:t>
                  </w:r>
                </w:p>
              </w:tc>
            </w:tr>
            <w:tr w14:paraId="5C6CAB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restart"/>
                  <w:tcBorders>
                    <w:tl2br w:val="nil"/>
                    <w:tr2bl w:val="nil"/>
                  </w:tcBorders>
                  <w:noWrap w:val="0"/>
                  <w:vAlign w:val="center"/>
                </w:tcPr>
                <w:p w14:paraId="063B10F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0"/>
                      <w:sz w:val="21"/>
                      <w:szCs w:val="21"/>
                      <w:highlight w:val="none"/>
                    </w:rPr>
                    <w:t>重金属和无机物</w:t>
                  </w:r>
                </w:p>
              </w:tc>
              <w:tc>
                <w:tcPr>
                  <w:tcW w:w="1421" w:type="pct"/>
                  <w:tcBorders>
                    <w:tl2br w:val="nil"/>
                    <w:tr2bl w:val="nil"/>
                  </w:tcBorders>
                  <w:noWrap w:val="0"/>
                  <w:vAlign w:val="center"/>
                </w:tcPr>
                <w:p w14:paraId="7C018AE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砷</w:t>
                  </w:r>
                </w:p>
              </w:tc>
              <w:tc>
                <w:tcPr>
                  <w:tcW w:w="611" w:type="pct"/>
                  <w:vMerge w:val="restart"/>
                  <w:tcBorders>
                    <w:tl2br w:val="nil"/>
                    <w:tr2bl w:val="nil"/>
                  </w:tcBorders>
                  <w:noWrap w:val="0"/>
                  <w:vAlign w:val="center"/>
                </w:tcPr>
                <w:p w14:paraId="0578A3B5">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m</w:t>
                  </w:r>
                  <w:r>
                    <w:rPr>
                      <w:rFonts w:hint="default" w:ascii="Times New Roman" w:hAnsi="Times New Roman" w:eastAsia="宋体" w:cs="Times New Roman"/>
                      <w:bCs/>
                      <w:color w:val="auto"/>
                      <w:sz w:val="21"/>
                      <w:szCs w:val="21"/>
                      <w:highlight w:val="none"/>
                    </w:rPr>
                    <w:t>g/kg</w:t>
                  </w:r>
                </w:p>
              </w:tc>
              <w:tc>
                <w:tcPr>
                  <w:tcW w:w="674" w:type="pct"/>
                  <w:tcBorders>
                    <w:tl2br w:val="nil"/>
                    <w:tr2bl w:val="nil"/>
                  </w:tcBorders>
                  <w:noWrap w:val="0"/>
                  <w:vAlign w:val="center"/>
                </w:tcPr>
                <w:p w14:paraId="74D6D7A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60</w:t>
                  </w:r>
                </w:p>
              </w:tc>
              <w:tc>
                <w:tcPr>
                  <w:tcW w:w="983" w:type="pct"/>
                  <w:tcBorders>
                    <w:tl2br w:val="nil"/>
                    <w:tr2bl w:val="nil"/>
                  </w:tcBorders>
                  <w:noWrap w:val="0"/>
                  <w:vAlign w:val="center"/>
                </w:tcPr>
                <w:p w14:paraId="146A4E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3.09</w:t>
                  </w:r>
                </w:p>
              </w:tc>
              <w:tc>
                <w:tcPr>
                  <w:tcW w:w="965" w:type="pct"/>
                  <w:tcBorders>
                    <w:tl2br w:val="nil"/>
                    <w:tr2bl w:val="nil"/>
                  </w:tcBorders>
                  <w:noWrap w:val="0"/>
                  <w:vAlign w:val="center"/>
                </w:tcPr>
                <w:p w14:paraId="23280A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w:t>
                  </w:r>
                  <w:r>
                    <w:rPr>
                      <w:rFonts w:hint="eastAsia" w:eastAsia="宋体" w:cs="Times New Roman"/>
                      <w:i w:val="0"/>
                      <w:iCs w:val="0"/>
                      <w:color w:val="auto"/>
                      <w:kern w:val="0"/>
                      <w:sz w:val="21"/>
                      <w:szCs w:val="21"/>
                      <w:highlight w:val="none"/>
                      <w:u w:val="none"/>
                      <w:lang w:val="en-US" w:eastAsia="zh-CN" w:bidi="ar"/>
                    </w:rPr>
                    <w:t>515</w:t>
                  </w:r>
                </w:p>
              </w:tc>
            </w:tr>
            <w:tr w14:paraId="74F328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3784B28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30914D3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汞</w:t>
                  </w:r>
                </w:p>
              </w:tc>
              <w:tc>
                <w:tcPr>
                  <w:tcW w:w="611" w:type="pct"/>
                  <w:vMerge w:val="continue"/>
                  <w:tcBorders>
                    <w:tl2br w:val="nil"/>
                    <w:tr2bl w:val="nil"/>
                  </w:tcBorders>
                  <w:noWrap w:val="0"/>
                  <w:vAlign w:val="center"/>
                </w:tcPr>
                <w:p w14:paraId="63B2107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p>
              </w:tc>
              <w:tc>
                <w:tcPr>
                  <w:tcW w:w="674" w:type="pct"/>
                  <w:tcBorders>
                    <w:tl2br w:val="nil"/>
                    <w:tr2bl w:val="nil"/>
                  </w:tcBorders>
                  <w:noWrap w:val="0"/>
                  <w:vAlign w:val="center"/>
                </w:tcPr>
                <w:p w14:paraId="234D01D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38</w:t>
                  </w:r>
                </w:p>
              </w:tc>
              <w:tc>
                <w:tcPr>
                  <w:tcW w:w="983" w:type="pct"/>
                  <w:tcBorders>
                    <w:tl2br w:val="nil"/>
                    <w:tr2bl w:val="nil"/>
                  </w:tcBorders>
                  <w:noWrap w:val="0"/>
                  <w:vAlign w:val="center"/>
                </w:tcPr>
                <w:p w14:paraId="4AE1DC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w:t>
                  </w:r>
                  <w:r>
                    <w:rPr>
                      <w:rFonts w:hint="eastAsia" w:eastAsia="宋体" w:cs="Times New Roman"/>
                      <w:bCs/>
                      <w:color w:val="auto"/>
                      <w:kern w:val="2"/>
                      <w:sz w:val="21"/>
                      <w:szCs w:val="21"/>
                      <w:highlight w:val="none"/>
                      <w:lang w:val="en-US" w:eastAsia="zh-CN" w:bidi="ar-SA"/>
                    </w:rPr>
                    <w:t>74</w:t>
                  </w:r>
                </w:p>
              </w:tc>
              <w:tc>
                <w:tcPr>
                  <w:tcW w:w="965" w:type="pct"/>
                  <w:tcBorders>
                    <w:tl2br w:val="nil"/>
                    <w:tr2bl w:val="nil"/>
                  </w:tcBorders>
                  <w:noWrap w:val="0"/>
                  <w:vAlign w:val="center"/>
                </w:tcPr>
                <w:p w14:paraId="16BDD9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w:t>
                  </w:r>
                  <w:r>
                    <w:rPr>
                      <w:rFonts w:hint="eastAsia" w:eastAsia="宋体" w:cs="Times New Roman"/>
                      <w:i w:val="0"/>
                      <w:iCs w:val="0"/>
                      <w:color w:val="auto"/>
                      <w:kern w:val="0"/>
                      <w:sz w:val="21"/>
                      <w:szCs w:val="21"/>
                      <w:highlight w:val="none"/>
                      <w:u w:val="none"/>
                      <w:lang w:val="en-US" w:eastAsia="zh-CN" w:bidi="ar"/>
                    </w:rPr>
                    <w:t>2</w:t>
                  </w:r>
                </w:p>
              </w:tc>
            </w:tr>
            <w:tr w14:paraId="546E2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5B7F338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6B6683CC">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auto"/>
                      <w:spacing w:val="13"/>
                      <w:sz w:val="21"/>
                      <w:szCs w:val="21"/>
                      <w:highlight w:val="none"/>
                      <w:lang w:val="en-US" w:eastAsia="zh-CN"/>
                    </w:rPr>
                  </w:pPr>
                  <w:r>
                    <w:rPr>
                      <w:rFonts w:hint="eastAsia" w:eastAsia="宋体" w:cs="Times New Roman"/>
                      <w:color w:val="auto"/>
                      <w:spacing w:val="13"/>
                      <w:sz w:val="21"/>
                      <w:szCs w:val="21"/>
                      <w:highlight w:val="none"/>
                      <w:lang w:val="en-US" w:eastAsia="zh-CN"/>
                    </w:rPr>
                    <w:t>硒</w:t>
                  </w:r>
                </w:p>
              </w:tc>
              <w:tc>
                <w:tcPr>
                  <w:tcW w:w="611" w:type="pct"/>
                  <w:vMerge w:val="continue"/>
                  <w:tcBorders>
                    <w:tl2br w:val="nil"/>
                    <w:tr2bl w:val="nil"/>
                  </w:tcBorders>
                  <w:noWrap w:val="0"/>
                  <w:vAlign w:val="center"/>
                </w:tcPr>
                <w:p w14:paraId="52CB3E12">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p>
              </w:tc>
              <w:tc>
                <w:tcPr>
                  <w:tcW w:w="674" w:type="pct"/>
                  <w:tcBorders>
                    <w:tl2br w:val="nil"/>
                    <w:tr2bl w:val="nil"/>
                  </w:tcBorders>
                  <w:noWrap w:val="0"/>
                  <w:vAlign w:val="center"/>
                </w:tcPr>
                <w:p w14:paraId="0D465E7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eastAsia="宋体" w:cs="Times New Roman"/>
                      <w:bCs/>
                      <w:color w:val="auto"/>
                      <w:sz w:val="21"/>
                      <w:szCs w:val="21"/>
                      <w:highlight w:val="none"/>
                      <w:lang w:val="en-US" w:eastAsia="zh-CN"/>
                    </w:rPr>
                    <w:t>2393</w:t>
                  </w:r>
                </w:p>
              </w:tc>
              <w:tc>
                <w:tcPr>
                  <w:tcW w:w="983" w:type="pct"/>
                  <w:tcBorders>
                    <w:tl2br w:val="nil"/>
                    <w:tr2bl w:val="nil"/>
                  </w:tcBorders>
                  <w:noWrap w:val="0"/>
                  <w:vAlign w:val="center"/>
                </w:tcPr>
                <w:p w14:paraId="65D57B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0.23</w:t>
                  </w:r>
                </w:p>
              </w:tc>
              <w:tc>
                <w:tcPr>
                  <w:tcW w:w="965" w:type="pct"/>
                  <w:tcBorders>
                    <w:tl2br w:val="nil"/>
                    <w:tr2bl w:val="nil"/>
                  </w:tcBorders>
                  <w:noWrap w:val="0"/>
                  <w:vAlign w:val="center"/>
                </w:tcPr>
                <w:p w14:paraId="189CB9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0.0001</w:t>
                  </w:r>
                </w:p>
              </w:tc>
            </w:tr>
            <w:tr w14:paraId="750A76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48DA7ED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2F6253E3">
                  <w:pPr>
                    <w:keepNext w:val="0"/>
                    <w:keepLines w:val="0"/>
                    <w:suppressLineNumbers w:val="0"/>
                    <w:spacing w:before="0" w:beforeAutospacing="0" w:after="0" w:afterAutospacing="0" w:line="0" w:lineRule="atLeast"/>
                    <w:ind w:left="0" w:right="0"/>
                    <w:jc w:val="center"/>
                    <w:rPr>
                      <w:rFonts w:hint="default" w:eastAsia="宋体" w:cs="Times New Roman"/>
                      <w:color w:val="auto"/>
                      <w:spacing w:val="13"/>
                      <w:sz w:val="21"/>
                      <w:szCs w:val="21"/>
                      <w:highlight w:val="none"/>
                      <w:lang w:val="en-US" w:eastAsia="zh-CN"/>
                    </w:rPr>
                  </w:pPr>
                  <w:r>
                    <w:rPr>
                      <w:rFonts w:hint="eastAsia" w:eastAsia="宋体" w:cs="Times New Roman"/>
                      <w:color w:val="auto"/>
                      <w:spacing w:val="13"/>
                      <w:sz w:val="21"/>
                      <w:szCs w:val="21"/>
                      <w:highlight w:val="none"/>
                      <w:lang w:val="en-US" w:eastAsia="zh-CN"/>
                    </w:rPr>
                    <w:t>铍</w:t>
                  </w:r>
                </w:p>
              </w:tc>
              <w:tc>
                <w:tcPr>
                  <w:tcW w:w="611" w:type="pct"/>
                  <w:vMerge w:val="continue"/>
                  <w:tcBorders>
                    <w:tl2br w:val="nil"/>
                    <w:tr2bl w:val="nil"/>
                  </w:tcBorders>
                  <w:noWrap w:val="0"/>
                  <w:vAlign w:val="center"/>
                </w:tcPr>
                <w:p w14:paraId="30A19AC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p>
              </w:tc>
              <w:tc>
                <w:tcPr>
                  <w:tcW w:w="674" w:type="pct"/>
                  <w:tcBorders>
                    <w:tl2br w:val="nil"/>
                    <w:tr2bl w:val="nil"/>
                  </w:tcBorders>
                  <w:noWrap w:val="0"/>
                  <w:vAlign w:val="center"/>
                </w:tcPr>
                <w:p w14:paraId="6EF76E7E">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eastAsia="宋体" w:cs="Times New Roman"/>
                      <w:bCs/>
                      <w:color w:val="auto"/>
                      <w:sz w:val="21"/>
                      <w:szCs w:val="21"/>
                      <w:highlight w:val="none"/>
                      <w:lang w:val="en-US" w:eastAsia="zh-CN"/>
                    </w:rPr>
                    <w:t>29</w:t>
                  </w:r>
                </w:p>
              </w:tc>
              <w:tc>
                <w:tcPr>
                  <w:tcW w:w="983" w:type="pct"/>
                  <w:tcBorders>
                    <w:tl2br w:val="nil"/>
                    <w:tr2bl w:val="nil"/>
                  </w:tcBorders>
                  <w:noWrap w:val="0"/>
                  <w:vAlign w:val="center"/>
                </w:tcPr>
                <w:p w14:paraId="7458AD20">
                  <w:pPr>
                    <w:keepNext w:val="0"/>
                    <w:keepLines w:val="0"/>
                    <w:widowControl/>
                    <w:suppressLineNumbers w:val="0"/>
                    <w:spacing w:before="0" w:beforeAutospacing="0" w:after="0" w:afterAutospacing="0"/>
                    <w:ind w:left="0" w:right="0"/>
                    <w:jc w:val="center"/>
                    <w:textAlignment w:val="center"/>
                    <w:rPr>
                      <w:rFonts w:hint="default"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2.08</w:t>
                  </w:r>
                </w:p>
              </w:tc>
              <w:tc>
                <w:tcPr>
                  <w:tcW w:w="965" w:type="pct"/>
                  <w:tcBorders>
                    <w:tl2br w:val="nil"/>
                    <w:tr2bl w:val="nil"/>
                  </w:tcBorders>
                  <w:noWrap w:val="0"/>
                  <w:vAlign w:val="center"/>
                </w:tcPr>
                <w:p w14:paraId="1072C4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0.072</w:t>
                  </w:r>
                </w:p>
              </w:tc>
            </w:tr>
            <w:tr w14:paraId="44767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5ABA676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192405B3">
                  <w:pPr>
                    <w:keepNext w:val="0"/>
                    <w:keepLines w:val="0"/>
                    <w:suppressLineNumbers w:val="0"/>
                    <w:spacing w:before="0" w:beforeAutospacing="0" w:after="0" w:afterAutospacing="0" w:line="0" w:lineRule="atLeast"/>
                    <w:ind w:left="0" w:right="0"/>
                    <w:jc w:val="center"/>
                    <w:rPr>
                      <w:rFonts w:hint="default" w:eastAsia="宋体" w:cs="Times New Roman"/>
                      <w:color w:val="auto"/>
                      <w:spacing w:val="13"/>
                      <w:sz w:val="21"/>
                      <w:szCs w:val="21"/>
                      <w:highlight w:val="none"/>
                      <w:lang w:val="en-US" w:eastAsia="zh-CN"/>
                    </w:rPr>
                  </w:pPr>
                  <w:r>
                    <w:rPr>
                      <w:rFonts w:hint="eastAsia" w:eastAsia="宋体" w:cs="Times New Roman"/>
                      <w:color w:val="auto"/>
                      <w:spacing w:val="13"/>
                      <w:sz w:val="21"/>
                      <w:szCs w:val="21"/>
                      <w:highlight w:val="none"/>
                      <w:lang w:val="en-US" w:eastAsia="zh-CN"/>
                    </w:rPr>
                    <w:t>钴</w:t>
                  </w:r>
                </w:p>
              </w:tc>
              <w:tc>
                <w:tcPr>
                  <w:tcW w:w="611" w:type="pct"/>
                  <w:vMerge w:val="continue"/>
                  <w:tcBorders>
                    <w:tl2br w:val="nil"/>
                    <w:tr2bl w:val="nil"/>
                  </w:tcBorders>
                  <w:noWrap w:val="0"/>
                  <w:vAlign w:val="center"/>
                </w:tcPr>
                <w:p w14:paraId="2D707223">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p>
              </w:tc>
              <w:tc>
                <w:tcPr>
                  <w:tcW w:w="674" w:type="pct"/>
                  <w:tcBorders>
                    <w:tl2br w:val="nil"/>
                    <w:tr2bl w:val="nil"/>
                  </w:tcBorders>
                  <w:noWrap w:val="0"/>
                  <w:vAlign w:val="center"/>
                </w:tcPr>
                <w:p w14:paraId="29E7CAA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eastAsia="宋体" w:cs="Times New Roman"/>
                      <w:bCs/>
                      <w:color w:val="auto"/>
                      <w:sz w:val="21"/>
                      <w:szCs w:val="21"/>
                      <w:highlight w:val="none"/>
                      <w:lang w:val="en-US" w:eastAsia="zh-CN"/>
                    </w:rPr>
                    <w:t>70</w:t>
                  </w:r>
                </w:p>
              </w:tc>
              <w:tc>
                <w:tcPr>
                  <w:tcW w:w="983" w:type="pct"/>
                  <w:tcBorders>
                    <w:tl2br w:val="nil"/>
                    <w:tr2bl w:val="nil"/>
                  </w:tcBorders>
                  <w:noWrap w:val="0"/>
                  <w:vAlign w:val="center"/>
                </w:tcPr>
                <w:p w14:paraId="7CE2B25D">
                  <w:pPr>
                    <w:keepNext w:val="0"/>
                    <w:keepLines w:val="0"/>
                    <w:widowControl/>
                    <w:suppressLineNumbers w:val="0"/>
                    <w:spacing w:before="0" w:beforeAutospacing="0" w:after="0" w:afterAutospacing="0"/>
                    <w:ind w:left="0" w:right="0"/>
                    <w:jc w:val="center"/>
                    <w:textAlignment w:val="center"/>
                    <w:rPr>
                      <w:rFonts w:hint="default"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12</w:t>
                  </w:r>
                </w:p>
              </w:tc>
              <w:tc>
                <w:tcPr>
                  <w:tcW w:w="965" w:type="pct"/>
                  <w:tcBorders>
                    <w:tl2br w:val="nil"/>
                    <w:tr2bl w:val="nil"/>
                  </w:tcBorders>
                  <w:noWrap w:val="0"/>
                  <w:vAlign w:val="center"/>
                </w:tcPr>
                <w:p w14:paraId="11D6AA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0.17</w:t>
                  </w:r>
                </w:p>
              </w:tc>
            </w:tr>
            <w:tr w14:paraId="5717C3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05E954E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6896758C">
                  <w:pPr>
                    <w:keepNext w:val="0"/>
                    <w:keepLines w:val="0"/>
                    <w:suppressLineNumbers w:val="0"/>
                    <w:spacing w:before="0" w:beforeAutospacing="0" w:after="0" w:afterAutospacing="0" w:line="0" w:lineRule="atLeast"/>
                    <w:ind w:left="0" w:right="0"/>
                    <w:jc w:val="center"/>
                    <w:rPr>
                      <w:rFonts w:hint="default" w:eastAsia="宋体" w:cs="Times New Roman"/>
                      <w:color w:val="auto"/>
                      <w:spacing w:val="13"/>
                      <w:sz w:val="21"/>
                      <w:szCs w:val="21"/>
                      <w:highlight w:val="none"/>
                      <w:lang w:val="en-US" w:eastAsia="zh-CN"/>
                    </w:rPr>
                  </w:pPr>
                  <w:r>
                    <w:rPr>
                      <w:rFonts w:hint="eastAsia" w:eastAsia="宋体" w:cs="Times New Roman"/>
                      <w:color w:val="auto"/>
                      <w:spacing w:val="13"/>
                      <w:sz w:val="21"/>
                      <w:szCs w:val="21"/>
                      <w:highlight w:val="none"/>
                      <w:lang w:val="en-US" w:eastAsia="zh-CN"/>
                    </w:rPr>
                    <w:t>钡</w:t>
                  </w:r>
                </w:p>
              </w:tc>
              <w:tc>
                <w:tcPr>
                  <w:tcW w:w="611" w:type="pct"/>
                  <w:vMerge w:val="continue"/>
                  <w:tcBorders>
                    <w:tl2br w:val="nil"/>
                    <w:tr2bl w:val="nil"/>
                  </w:tcBorders>
                  <w:noWrap w:val="0"/>
                  <w:vAlign w:val="center"/>
                </w:tcPr>
                <w:p w14:paraId="6838A00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p>
              </w:tc>
              <w:tc>
                <w:tcPr>
                  <w:tcW w:w="674" w:type="pct"/>
                  <w:tcBorders>
                    <w:tl2br w:val="nil"/>
                    <w:tr2bl w:val="nil"/>
                  </w:tcBorders>
                  <w:noWrap w:val="0"/>
                  <w:vAlign w:val="center"/>
                </w:tcPr>
                <w:p w14:paraId="23A9A61D">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eastAsia="宋体" w:cs="Times New Roman"/>
                      <w:bCs/>
                      <w:color w:val="auto"/>
                      <w:sz w:val="21"/>
                      <w:szCs w:val="21"/>
                      <w:highlight w:val="none"/>
                      <w:lang w:val="en-US" w:eastAsia="zh-CN"/>
                    </w:rPr>
                    <w:t>5460</w:t>
                  </w:r>
                </w:p>
              </w:tc>
              <w:tc>
                <w:tcPr>
                  <w:tcW w:w="983" w:type="pct"/>
                  <w:tcBorders>
                    <w:tl2br w:val="nil"/>
                    <w:tr2bl w:val="nil"/>
                  </w:tcBorders>
                  <w:noWrap w:val="0"/>
                  <w:vAlign w:val="center"/>
                </w:tcPr>
                <w:p w14:paraId="573C6007">
                  <w:pPr>
                    <w:keepNext w:val="0"/>
                    <w:keepLines w:val="0"/>
                    <w:widowControl/>
                    <w:suppressLineNumbers w:val="0"/>
                    <w:spacing w:before="0" w:beforeAutospacing="0" w:after="0" w:afterAutospacing="0"/>
                    <w:ind w:left="0" w:right="0"/>
                    <w:jc w:val="center"/>
                    <w:textAlignment w:val="center"/>
                    <w:rPr>
                      <w:rFonts w:hint="default"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210</w:t>
                  </w:r>
                </w:p>
              </w:tc>
              <w:tc>
                <w:tcPr>
                  <w:tcW w:w="965" w:type="pct"/>
                  <w:tcBorders>
                    <w:tl2br w:val="nil"/>
                    <w:tr2bl w:val="nil"/>
                  </w:tcBorders>
                  <w:noWrap w:val="0"/>
                  <w:vAlign w:val="center"/>
                </w:tcPr>
                <w:p w14:paraId="4F5202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0.038</w:t>
                  </w:r>
                </w:p>
              </w:tc>
            </w:tr>
            <w:tr w14:paraId="1D363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6E17C2F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0AED739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铜</w:t>
                  </w:r>
                </w:p>
              </w:tc>
              <w:tc>
                <w:tcPr>
                  <w:tcW w:w="611" w:type="pct"/>
                  <w:vMerge w:val="continue"/>
                  <w:tcBorders>
                    <w:tl2br w:val="nil"/>
                    <w:tr2bl w:val="nil"/>
                  </w:tcBorders>
                  <w:noWrap w:val="0"/>
                  <w:vAlign w:val="center"/>
                </w:tcPr>
                <w:p w14:paraId="624F08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674" w:type="pct"/>
                  <w:tcBorders>
                    <w:tl2br w:val="nil"/>
                    <w:tr2bl w:val="nil"/>
                  </w:tcBorders>
                  <w:noWrap w:val="0"/>
                  <w:vAlign w:val="center"/>
                </w:tcPr>
                <w:p w14:paraId="689954C4">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18000</w:t>
                  </w:r>
                </w:p>
              </w:tc>
              <w:tc>
                <w:tcPr>
                  <w:tcW w:w="983" w:type="pct"/>
                  <w:tcBorders>
                    <w:tl2br w:val="nil"/>
                    <w:tr2bl w:val="nil"/>
                  </w:tcBorders>
                  <w:noWrap w:val="0"/>
                  <w:vAlign w:val="center"/>
                </w:tcPr>
                <w:p w14:paraId="6761A9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i w:val="0"/>
                      <w:iCs w:val="0"/>
                      <w:color w:val="auto"/>
                      <w:kern w:val="0"/>
                      <w:sz w:val="21"/>
                      <w:szCs w:val="21"/>
                      <w:highlight w:val="none"/>
                      <w:u w:val="none"/>
                      <w:lang w:val="en-US" w:eastAsia="zh-CN" w:bidi="ar"/>
                    </w:rPr>
                    <w:t>30</w:t>
                  </w:r>
                </w:p>
              </w:tc>
              <w:tc>
                <w:tcPr>
                  <w:tcW w:w="965" w:type="pct"/>
                  <w:tcBorders>
                    <w:tl2br w:val="nil"/>
                    <w:tr2bl w:val="nil"/>
                  </w:tcBorders>
                  <w:noWrap w:val="0"/>
                  <w:vAlign w:val="center"/>
                </w:tcPr>
                <w:p w14:paraId="04A76F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w:t>
                  </w:r>
                  <w:r>
                    <w:rPr>
                      <w:rFonts w:hint="eastAsia" w:eastAsia="宋体" w:cs="Times New Roman"/>
                      <w:i w:val="0"/>
                      <w:iCs w:val="0"/>
                      <w:color w:val="auto"/>
                      <w:kern w:val="0"/>
                      <w:sz w:val="21"/>
                      <w:szCs w:val="21"/>
                      <w:highlight w:val="none"/>
                      <w:u w:val="none"/>
                      <w:lang w:val="en-US" w:eastAsia="zh-CN" w:bidi="ar"/>
                    </w:rPr>
                    <w:t>7</w:t>
                  </w:r>
                </w:p>
              </w:tc>
            </w:tr>
            <w:tr w14:paraId="34B157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115ECFD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19D24B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镍</w:t>
                  </w:r>
                </w:p>
              </w:tc>
              <w:tc>
                <w:tcPr>
                  <w:tcW w:w="611" w:type="pct"/>
                  <w:vMerge w:val="continue"/>
                  <w:tcBorders>
                    <w:tl2br w:val="nil"/>
                    <w:tr2bl w:val="nil"/>
                  </w:tcBorders>
                  <w:noWrap w:val="0"/>
                  <w:vAlign w:val="center"/>
                </w:tcPr>
                <w:p w14:paraId="16DCA3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674" w:type="pct"/>
                  <w:tcBorders>
                    <w:tl2br w:val="nil"/>
                    <w:tr2bl w:val="nil"/>
                  </w:tcBorders>
                  <w:noWrap w:val="0"/>
                  <w:vAlign w:val="center"/>
                </w:tcPr>
                <w:p w14:paraId="03ADC892">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900</w:t>
                  </w:r>
                </w:p>
              </w:tc>
              <w:tc>
                <w:tcPr>
                  <w:tcW w:w="983" w:type="pct"/>
                  <w:tcBorders>
                    <w:tl2br w:val="nil"/>
                    <w:tr2bl w:val="nil"/>
                  </w:tcBorders>
                  <w:noWrap w:val="0"/>
                  <w:vAlign w:val="center"/>
                </w:tcPr>
                <w:p w14:paraId="2CC7B0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106</w:t>
                  </w:r>
                </w:p>
              </w:tc>
              <w:tc>
                <w:tcPr>
                  <w:tcW w:w="965" w:type="pct"/>
                  <w:tcBorders>
                    <w:tl2br w:val="nil"/>
                    <w:tr2bl w:val="nil"/>
                  </w:tcBorders>
                  <w:noWrap w:val="0"/>
                  <w:vAlign w:val="center"/>
                </w:tcPr>
                <w:p w14:paraId="5B2D9D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eastAsia="宋体" w:cs="Times New Roman"/>
                      <w:i w:val="0"/>
                      <w:iCs w:val="0"/>
                      <w:color w:val="auto"/>
                      <w:kern w:val="0"/>
                      <w:sz w:val="21"/>
                      <w:szCs w:val="21"/>
                      <w:highlight w:val="none"/>
                      <w:u w:val="none"/>
                      <w:lang w:val="en-US" w:eastAsia="zh-CN" w:bidi="ar"/>
                    </w:rPr>
                    <w:t>118</w:t>
                  </w:r>
                </w:p>
              </w:tc>
            </w:tr>
            <w:tr w14:paraId="59BBA2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3559117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7B1F387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铅</w:t>
                  </w:r>
                </w:p>
              </w:tc>
              <w:tc>
                <w:tcPr>
                  <w:tcW w:w="611" w:type="pct"/>
                  <w:vMerge w:val="continue"/>
                  <w:tcBorders>
                    <w:tl2br w:val="nil"/>
                    <w:tr2bl w:val="nil"/>
                  </w:tcBorders>
                  <w:noWrap w:val="0"/>
                  <w:vAlign w:val="center"/>
                </w:tcPr>
                <w:p w14:paraId="0F7E2C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674" w:type="pct"/>
                  <w:tcBorders>
                    <w:tl2br w:val="nil"/>
                    <w:tr2bl w:val="nil"/>
                  </w:tcBorders>
                  <w:noWrap w:val="0"/>
                  <w:vAlign w:val="center"/>
                </w:tcPr>
                <w:p w14:paraId="0F9A3503">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800</w:t>
                  </w:r>
                </w:p>
              </w:tc>
              <w:tc>
                <w:tcPr>
                  <w:tcW w:w="983" w:type="pct"/>
                  <w:tcBorders>
                    <w:tl2br w:val="nil"/>
                    <w:tr2bl w:val="nil"/>
                  </w:tcBorders>
                  <w:noWrap w:val="0"/>
                  <w:vAlign w:val="center"/>
                </w:tcPr>
                <w:p w14:paraId="678E48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22</w:t>
                  </w:r>
                </w:p>
              </w:tc>
              <w:tc>
                <w:tcPr>
                  <w:tcW w:w="965" w:type="pct"/>
                  <w:tcBorders>
                    <w:tl2br w:val="nil"/>
                    <w:tr2bl w:val="nil"/>
                  </w:tcBorders>
                  <w:noWrap w:val="0"/>
                  <w:vAlign w:val="center"/>
                </w:tcPr>
                <w:p w14:paraId="18EB38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w:t>
                  </w:r>
                  <w:r>
                    <w:rPr>
                      <w:rFonts w:hint="eastAsia" w:eastAsia="宋体" w:cs="Times New Roman"/>
                      <w:i w:val="0"/>
                      <w:iCs w:val="0"/>
                      <w:color w:val="auto"/>
                      <w:kern w:val="0"/>
                      <w:sz w:val="21"/>
                      <w:szCs w:val="21"/>
                      <w:highlight w:val="none"/>
                      <w:u w:val="none"/>
                      <w:lang w:val="en-US" w:eastAsia="zh-CN" w:bidi="ar"/>
                    </w:rPr>
                    <w:t>275</w:t>
                  </w:r>
                </w:p>
              </w:tc>
            </w:tr>
            <w:tr w14:paraId="17988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685B7D3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54E15C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镉</w:t>
                  </w:r>
                </w:p>
              </w:tc>
              <w:tc>
                <w:tcPr>
                  <w:tcW w:w="611" w:type="pct"/>
                  <w:vMerge w:val="continue"/>
                  <w:tcBorders>
                    <w:tl2br w:val="nil"/>
                    <w:tr2bl w:val="nil"/>
                  </w:tcBorders>
                  <w:noWrap w:val="0"/>
                  <w:vAlign w:val="center"/>
                </w:tcPr>
                <w:p w14:paraId="103575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674" w:type="pct"/>
                  <w:tcBorders>
                    <w:tl2br w:val="nil"/>
                    <w:tr2bl w:val="nil"/>
                  </w:tcBorders>
                  <w:noWrap w:val="0"/>
                  <w:vAlign w:val="center"/>
                </w:tcPr>
                <w:p w14:paraId="2214A654">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65</w:t>
                  </w:r>
                </w:p>
              </w:tc>
              <w:tc>
                <w:tcPr>
                  <w:tcW w:w="983" w:type="pct"/>
                  <w:tcBorders>
                    <w:tl2br w:val="nil"/>
                    <w:tr2bl w:val="nil"/>
                  </w:tcBorders>
                  <w:noWrap w:val="0"/>
                  <w:vAlign w:val="center"/>
                </w:tcPr>
                <w:p w14:paraId="37B6A4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0.11</w:t>
                  </w:r>
                </w:p>
              </w:tc>
              <w:tc>
                <w:tcPr>
                  <w:tcW w:w="965" w:type="pct"/>
                  <w:tcBorders>
                    <w:tl2br w:val="nil"/>
                    <w:tr2bl w:val="nil"/>
                  </w:tcBorders>
                  <w:noWrap w:val="0"/>
                  <w:vAlign w:val="center"/>
                </w:tcPr>
                <w:p w14:paraId="695F2F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w:t>
                  </w:r>
                  <w:r>
                    <w:rPr>
                      <w:rFonts w:hint="eastAsia" w:eastAsia="宋体"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7</w:t>
                  </w:r>
                </w:p>
              </w:tc>
            </w:tr>
            <w:tr w14:paraId="1A91B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top"/>
                </w:tcPr>
                <w:p w14:paraId="5F072E9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sz w:val="21"/>
                      <w:szCs w:val="21"/>
                      <w:highlight w:val="none"/>
                    </w:rPr>
                  </w:pPr>
                </w:p>
              </w:tc>
              <w:tc>
                <w:tcPr>
                  <w:tcW w:w="1421" w:type="pct"/>
                  <w:tcBorders>
                    <w:tl2br w:val="nil"/>
                    <w:tr2bl w:val="nil"/>
                  </w:tcBorders>
                  <w:noWrap w:val="0"/>
                  <w:vAlign w:val="center"/>
                </w:tcPr>
                <w:p w14:paraId="4300CA1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pacing w:val="13"/>
                      <w:sz w:val="21"/>
                      <w:szCs w:val="21"/>
                      <w:highlight w:val="none"/>
                      <w:lang w:val="en-US" w:eastAsia="zh-CN"/>
                    </w:rPr>
                  </w:pPr>
                  <w:r>
                    <w:rPr>
                      <w:rFonts w:hint="eastAsia" w:ascii="Times New Roman" w:hAnsi="Times New Roman" w:eastAsia="宋体" w:cs="Times New Roman"/>
                      <w:color w:val="auto"/>
                      <w:spacing w:val="13"/>
                      <w:sz w:val="21"/>
                      <w:szCs w:val="21"/>
                      <w:highlight w:val="none"/>
                      <w:lang w:val="en-US" w:eastAsia="zh-CN"/>
                    </w:rPr>
                    <w:t>锌</w:t>
                  </w:r>
                </w:p>
              </w:tc>
              <w:tc>
                <w:tcPr>
                  <w:tcW w:w="611" w:type="pct"/>
                  <w:vMerge w:val="continue"/>
                  <w:tcBorders>
                    <w:tl2br w:val="nil"/>
                    <w:tr2bl w:val="nil"/>
                  </w:tcBorders>
                  <w:noWrap w:val="0"/>
                  <w:vAlign w:val="center"/>
                </w:tcPr>
                <w:p w14:paraId="75F18B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674" w:type="pct"/>
                  <w:tcBorders>
                    <w:tl2br w:val="nil"/>
                    <w:tr2bl w:val="nil"/>
                  </w:tcBorders>
                  <w:noWrap w:val="0"/>
                  <w:vAlign w:val="center"/>
                </w:tcPr>
                <w:p w14:paraId="23C2172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10000</w:t>
                  </w:r>
                </w:p>
              </w:tc>
              <w:tc>
                <w:tcPr>
                  <w:tcW w:w="983" w:type="pct"/>
                  <w:tcBorders>
                    <w:tl2br w:val="nil"/>
                    <w:tr2bl w:val="nil"/>
                  </w:tcBorders>
                  <w:noWrap w:val="0"/>
                  <w:vAlign w:val="center"/>
                </w:tcPr>
                <w:p w14:paraId="1202D0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40</w:t>
                  </w:r>
                </w:p>
              </w:tc>
              <w:tc>
                <w:tcPr>
                  <w:tcW w:w="965" w:type="pct"/>
                  <w:tcBorders>
                    <w:tl2br w:val="nil"/>
                    <w:tr2bl w:val="nil"/>
                  </w:tcBorders>
                  <w:noWrap w:val="0"/>
                  <w:vAlign w:val="center"/>
                </w:tcPr>
                <w:p w14:paraId="6FF0F8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0.004</w:t>
                  </w:r>
                </w:p>
              </w:tc>
            </w:tr>
            <w:tr w14:paraId="3E409B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4" w:type="pct"/>
                  <w:vMerge w:val="continue"/>
                  <w:tcBorders>
                    <w:tl2br w:val="nil"/>
                    <w:tr2bl w:val="nil"/>
                  </w:tcBorders>
                  <w:noWrap w:val="0"/>
                  <w:vAlign w:val="center"/>
                </w:tcPr>
                <w:p w14:paraId="0A15399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p>
              </w:tc>
              <w:tc>
                <w:tcPr>
                  <w:tcW w:w="1421" w:type="pct"/>
                  <w:tcBorders>
                    <w:tl2br w:val="nil"/>
                    <w:tr2bl w:val="nil"/>
                  </w:tcBorders>
                  <w:noWrap w:val="0"/>
                  <w:vAlign w:val="center"/>
                </w:tcPr>
                <w:p w14:paraId="1418DEC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0"/>
                      <w:sz w:val="21"/>
                      <w:szCs w:val="21"/>
                      <w:highlight w:val="none"/>
                    </w:rPr>
                    <w:t>六价铬</w:t>
                  </w:r>
                </w:p>
              </w:tc>
              <w:tc>
                <w:tcPr>
                  <w:tcW w:w="611" w:type="pct"/>
                  <w:vMerge w:val="continue"/>
                  <w:tcBorders>
                    <w:tl2br w:val="nil"/>
                    <w:tr2bl w:val="nil"/>
                  </w:tcBorders>
                  <w:noWrap w:val="0"/>
                  <w:vAlign w:val="center"/>
                </w:tcPr>
                <w:p w14:paraId="1E8258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674" w:type="pct"/>
                  <w:tcBorders>
                    <w:tl2br w:val="nil"/>
                    <w:tr2bl w:val="nil"/>
                  </w:tcBorders>
                  <w:noWrap w:val="0"/>
                  <w:vAlign w:val="center"/>
                </w:tcPr>
                <w:p w14:paraId="6243AEC3">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5.7</w:t>
                  </w:r>
                </w:p>
              </w:tc>
              <w:tc>
                <w:tcPr>
                  <w:tcW w:w="983" w:type="pct"/>
                  <w:tcBorders>
                    <w:tl2br w:val="nil"/>
                    <w:tr2bl w:val="nil"/>
                  </w:tcBorders>
                  <w:noWrap w:val="0"/>
                  <w:vAlign w:val="center"/>
                </w:tcPr>
                <w:p w14:paraId="269C5E96">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未检出</w:t>
                  </w:r>
                </w:p>
              </w:tc>
              <w:tc>
                <w:tcPr>
                  <w:tcW w:w="965" w:type="pct"/>
                  <w:tcBorders>
                    <w:tl2br w:val="nil"/>
                    <w:tr2bl w:val="nil"/>
                  </w:tcBorders>
                  <w:noWrap w:val="0"/>
                  <w:vAlign w:val="center"/>
                </w:tcPr>
                <w:p w14:paraId="6863FCF4">
                  <w:pPr>
                    <w:keepNext w:val="0"/>
                    <w:keepLines w:val="0"/>
                    <w:suppressLineNumbers w:val="0"/>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0.044</w:t>
                  </w:r>
                </w:p>
              </w:tc>
            </w:tr>
            <w:tr w14:paraId="5B6BDA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5" w:type="pct"/>
                  <w:gridSpan w:val="2"/>
                  <w:tcBorders>
                    <w:tl2br w:val="nil"/>
                    <w:tr2bl w:val="nil"/>
                  </w:tcBorders>
                  <w:noWrap w:val="0"/>
                  <w:vAlign w:val="center"/>
                </w:tcPr>
                <w:p w14:paraId="3608E9C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0"/>
                      <w:sz w:val="21"/>
                      <w:szCs w:val="21"/>
                      <w:highlight w:val="none"/>
                      <w:lang w:val="en-US" w:eastAsia="zh-CN" w:bidi="ar-SA"/>
                    </w:rPr>
                    <w:t>pH值</w:t>
                  </w:r>
                </w:p>
              </w:tc>
              <w:tc>
                <w:tcPr>
                  <w:tcW w:w="611" w:type="pct"/>
                  <w:tcBorders>
                    <w:tl2br w:val="nil"/>
                    <w:tr2bl w:val="nil"/>
                  </w:tcBorders>
                  <w:noWrap w:val="0"/>
                  <w:vAlign w:val="center"/>
                </w:tcPr>
                <w:p w14:paraId="2B265A9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无量纲</w:t>
                  </w:r>
                </w:p>
              </w:tc>
              <w:tc>
                <w:tcPr>
                  <w:tcW w:w="674" w:type="pct"/>
                  <w:tcBorders>
                    <w:tl2br w:val="nil"/>
                    <w:tr2bl w:val="nil"/>
                  </w:tcBorders>
                  <w:noWrap w:val="0"/>
                  <w:vAlign w:val="center"/>
                </w:tcPr>
                <w:p w14:paraId="1D442F0E">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6-9</w:t>
                  </w:r>
                </w:p>
              </w:tc>
              <w:tc>
                <w:tcPr>
                  <w:tcW w:w="983" w:type="pct"/>
                  <w:tcBorders>
                    <w:tl2br w:val="nil"/>
                    <w:tr2bl w:val="nil"/>
                  </w:tcBorders>
                  <w:noWrap w:val="0"/>
                  <w:vAlign w:val="center"/>
                </w:tcPr>
                <w:p w14:paraId="2CA56F9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sz w:val="21"/>
                      <w:szCs w:val="21"/>
                      <w:highlight w:val="none"/>
                      <w:lang w:val="en-US" w:eastAsia="zh-CN"/>
                    </w:rPr>
                    <w:t>7.98</w:t>
                  </w:r>
                </w:p>
              </w:tc>
              <w:tc>
                <w:tcPr>
                  <w:tcW w:w="965" w:type="pct"/>
                  <w:tcBorders>
                    <w:tl2br w:val="nil"/>
                    <w:tr2bl w:val="nil"/>
                  </w:tcBorders>
                  <w:noWrap w:val="0"/>
                  <w:vAlign w:val="center"/>
                </w:tcPr>
                <w:p w14:paraId="2B65403E">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r>
            <w:tr w14:paraId="31BAA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5" w:type="pct"/>
                  <w:gridSpan w:val="2"/>
                  <w:tcBorders>
                    <w:tl2br w:val="nil"/>
                    <w:tr2bl w:val="nil"/>
                  </w:tcBorders>
                  <w:noWrap w:val="0"/>
                  <w:vAlign w:val="center"/>
                </w:tcPr>
                <w:p w14:paraId="3959220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default" w:ascii="Times New Roman" w:hAnsi="Times New Roman" w:eastAsia="宋体" w:cs="Times New Roman"/>
                      <w:color w:val="auto"/>
                      <w:spacing w:val="13"/>
                      <w:sz w:val="21"/>
                      <w:szCs w:val="21"/>
                      <w:highlight w:val="none"/>
                    </w:rPr>
                    <w:t>石油烃</w:t>
                  </w:r>
                  <w:r>
                    <w:rPr>
                      <w:rFonts w:hint="default" w:ascii="Times New Roman" w:hAnsi="Times New Roman" w:eastAsia="宋体" w:cs="Times New Roman"/>
                      <w:color w:val="auto"/>
                      <w:spacing w:val="13"/>
                      <w:sz w:val="21"/>
                      <w:szCs w:val="21"/>
                      <w:highlight w:val="none"/>
                      <w:lang w:eastAsia="zh-CN"/>
                    </w:rPr>
                    <w:t>（</w:t>
                  </w:r>
                  <w:r>
                    <w:rPr>
                      <w:rFonts w:hint="default" w:ascii="Times New Roman" w:hAnsi="Times New Roman" w:eastAsia="宋体" w:cs="Times New Roman"/>
                      <w:color w:val="auto"/>
                      <w:spacing w:val="13"/>
                      <w:sz w:val="21"/>
                      <w:szCs w:val="21"/>
                      <w:highlight w:val="none"/>
                      <w:lang w:val="en-US" w:eastAsia="zh-CN"/>
                    </w:rPr>
                    <w:t>C</w:t>
                  </w:r>
                  <w:r>
                    <w:rPr>
                      <w:rFonts w:hint="default" w:ascii="Times New Roman" w:hAnsi="Times New Roman" w:eastAsia="宋体" w:cs="Times New Roman"/>
                      <w:color w:val="auto"/>
                      <w:spacing w:val="13"/>
                      <w:sz w:val="21"/>
                      <w:szCs w:val="21"/>
                      <w:highlight w:val="none"/>
                      <w:vertAlign w:val="subscript"/>
                      <w:lang w:val="en-US" w:eastAsia="zh-CN"/>
                    </w:rPr>
                    <w:t>10</w:t>
                  </w:r>
                  <w:r>
                    <w:rPr>
                      <w:rFonts w:hint="default" w:ascii="Times New Roman" w:hAnsi="Times New Roman" w:eastAsia="宋体" w:cs="Times New Roman"/>
                      <w:color w:val="auto"/>
                      <w:spacing w:val="13"/>
                      <w:sz w:val="21"/>
                      <w:szCs w:val="21"/>
                      <w:highlight w:val="none"/>
                      <w:lang w:val="en-US" w:eastAsia="zh-CN"/>
                    </w:rPr>
                    <w:t>-C</w:t>
                  </w:r>
                  <w:r>
                    <w:rPr>
                      <w:rFonts w:hint="default" w:ascii="Times New Roman" w:hAnsi="Times New Roman" w:eastAsia="宋体" w:cs="Times New Roman"/>
                      <w:color w:val="auto"/>
                      <w:spacing w:val="13"/>
                      <w:sz w:val="21"/>
                      <w:szCs w:val="21"/>
                      <w:highlight w:val="none"/>
                      <w:vertAlign w:val="subscript"/>
                      <w:lang w:val="en-US" w:eastAsia="zh-CN"/>
                    </w:rPr>
                    <w:t>40</w:t>
                  </w:r>
                  <w:r>
                    <w:rPr>
                      <w:rFonts w:hint="default" w:ascii="Times New Roman" w:hAnsi="Times New Roman" w:eastAsia="宋体" w:cs="Times New Roman"/>
                      <w:color w:val="auto"/>
                      <w:spacing w:val="13"/>
                      <w:sz w:val="21"/>
                      <w:szCs w:val="21"/>
                      <w:highlight w:val="none"/>
                      <w:lang w:eastAsia="zh-CN"/>
                    </w:rPr>
                    <w:t>）</w:t>
                  </w:r>
                </w:p>
              </w:tc>
              <w:tc>
                <w:tcPr>
                  <w:tcW w:w="611" w:type="pct"/>
                  <w:vMerge w:val="restart"/>
                  <w:tcBorders>
                    <w:tl2br w:val="nil"/>
                    <w:tr2bl w:val="nil"/>
                  </w:tcBorders>
                  <w:noWrap w:val="0"/>
                  <w:vAlign w:val="center"/>
                </w:tcPr>
                <w:p w14:paraId="14DD1E0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mg/kg</w:t>
                  </w:r>
                </w:p>
              </w:tc>
              <w:tc>
                <w:tcPr>
                  <w:tcW w:w="674" w:type="pct"/>
                  <w:tcBorders>
                    <w:tl2br w:val="nil"/>
                    <w:tr2bl w:val="nil"/>
                  </w:tcBorders>
                  <w:noWrap w:val="0"/>
                  <w:vAlign w:val="center"/>
                </w:tcPr>
                <w:p w14:paraId="2ACF0AA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4500</w:t>
                  </w:r>
                </w:p>
              </w:tc>
              <w:tc>
                <w:tcPr>
                  <w:tcW w:w="983" w:type="pct"/>
                  <w:tcBorders>
                    <w:tl2br w:val="nil"/>
                    <w:tr2bl w:val="nil"/>
                  </w:tcBorders>
                  <w:noWrap w:val="0"/>
                  <w:vAlign w:val="center"/>
                </w:tcPr>
                <w:p w14:paraId="7A9C42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i w:val="0"/>
                      <w:iCs w:val="0"/>
                      <w:color w:val="auto"/>
                      <w:kern w:val="0"/>
                      <w:sz w:val="21"/>
                      <w:szCs w:val="21"/>
                      <w:highlight w:val="none"/>
                      <w:u w:val="none"/>
                      <w:lang w:val="en-US" w:eastAsia="zh-CN" w:bidi="ar"/>
                    </w:rPr>
                    <w:t>40</w:t>
                  </w:r>
                </w:p>
              </w:tc>
              <w:tc>
                <w:tcPr>
                  <w:tcW w:w="965" w:type="pct"/>
                  <w:tcBorders>
                    <w:tl2br w:val="nil"/>
                    <w:tr2bl w:val="nil"/>
                  </w:tcBorders>
                  <w:noWrap w:val="0"/>
                  <w:vAlign w:val="center"/>
                </w:tcPr>
                <w:p w14:paraId="21D6F4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w:t>
                  </w:r>
                  <w:r>
                    <w:rPr>
                      <w:rFonts w:hint="eastAsia" w:eastAsia="宋体" w:cs="Times New Roman"/>
                      <w:i w:val="0"/>
                      <w:iCs w:val="0"/>
                      <w:color w:val="auto"/>
                      <w:kern w:val="0"/>
                      <w:sz w:val="21"/>
                      <w:szCs w:val="21"/>
                      <w:highlight w:val="none"/>
                      <w:u w:val="none"/>
                      <w:lang w:val="en-US" w:eastAsia="zh-CN" w:bidi="ar"/>
                    </w:rPr>
                    <w:t>9</w:t>
                  </w:r>
                </w:p>
              </w:tc>
            </w:tr>
            <w:tr w14:paraId="072B93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5" w:type="pct"/>
                  <w:gridSpan w:val="2"/>
                  <w:tcBorders>
                    <w:tl2br w:val="nil"/>
                    <w:tr2bl w:val="nil"/>
                  </w:tcBorders>
                  <w:noWrap w:val="0"/>
                  <w:vAlign w:val="center"/>
                </w:tcPr>
                <w:p w14:paraId="7C35B20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sz w:val="21"/>
                      <w:szCs w:val="21"/>
                      <w:highlight w:val="none"/>
                    </w:rPr>
                  </w:pPr>
                  <w:r>
                    <w:rPr>
                      <w:rFonts w:hint="default" w:ascii="Times New Roman" w:hAnsi="Times New Roman" w:eastAsia="宋体" w:cs="Times New Roman"/>
                      <w:color w:val="auto"/>
                      <w:spacing w:val="13"/>
                      <w:sz w:val="21"/>
                      <w:szCs w:val="21"/>
                      <w:highlight w:val="none"/>
                      <w:lang w:val="en-US" w:eastAsia="zh-CN"/>
                    </w:rPr>
                    <w:t>氨氮</w:t>
                  </w:r>
                </w:p>
              </w:tc>
              <w:tc>
                <w:tcPr>
                  <w:tcW w:w="611" w:type="pct"/>
                  <w:vMerge w:val="continue"/>
                  <w:tcBorders>
                    <w:tl2br w:val="nil"/>
                    <w:tr2bl w:val="nil"/>
                  </w:tcBorders>
                  <w:noWrap w:val="0"/>
                  <w:vAlign w:val="center"/>
                </w:tcPr>
                <w:p w14:paraId="2B0A7486">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53B3BD04">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1200</w:t>
                  </w:r>
                </w:p>
              </w:tc>
              <w:tc>
                <w:tcPr>
                  <w:tcW w:w="983" w:type="pct"/>
                  <w:tcBorders>
                    <w:tl2br w:val="nil"/>
                    <w:tr2bl w:val="nil"/>
                  </w:tcBorders>
                  <w:noWrap w:val="0"/>
                  <w:vAlign w:val="center"/>
                </w:tcPr>
                <w:p w14:paraId="7EF6EE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4.59</w:t>
                  </w:r>
                </w:p>
              </w:tc>
              <w:tc>
                <w:tcPr>
                  <w:tcW w:w="965" w:type="pct"/>
                  <w:tcBorders>
                    <w:tl2br w:val="nil"/>
                    <w:tr2bl w:val="nil"/>
                  </w:tcBorders>
                  <w:noWrap w:val="0"/>
                  <w:vAlign w:val="center"/>
                </w:tcPr>
                <w:p w14:paraId="4F08B3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w:t>
                  </w:r>
                  <w:r>
                    <w:rPr>
                      <w:rFonts w:hint="eastAsia" w:eastAsia="宋体" w:cs="Times New Roman"/>
                      <w:i w:val="0"/>
                      <w:iCs w:val="0"/>
                      <w:color w:val="auto"/>
                      <w:kern w:val="0"/>
                      <w:sz w:val="21"/>
                      <w:szCs w:val="21"/>
                      <w:highlight w:val="none"/>
                      <w:u w:val="none"/>
                      <w:lang w:val="en-US" w:eastAsia="zh-CN" w:bidi="ar"/>
                    </w:rPr>
                    <w:t>38</w:t>
                  </w:r>
                </w:p>
              </w:tc>
            </w:tr>
            <w:tr w14:paraId="159DDD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5" w:type="pct"/>
                  <w:gridSpan w:val="2"/>
                  <w:tcBorders>
                    <w:tl2br w:val="nil"/>
                    <w:tr2bl w:val="nil"/>
                  </w:tcBorders>
                  <w:noWrap w:val="0"/>
                  <w:vAlign w:val="center"/>
                </w:tcPr>
                <w:p w14:paraId="5C046F4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sz w:val="21"/>
                      <w:szCs w:val="21"/>
                      <w:highlight w:val="none"/>
                      <w:lang w:val="en-US" w:eastAsia="zh-CN"/>
                    </w:rPr>
                  </w:pPr>
                  <w:r>
                    <w:rPr>
                      <w:rFonts w:hint="eastAsia" w:ascii="Times New Roman" w:hAnsi="Times New Roman" w:eastAsia="宋体" w:cs="Times New Roman"/>
                      <w:color w:val="auto"/>
                      <w:spacing w:val="13"/>
                      <w:sz w:val="21"/>
                      <w:szCs w:val="21"/>
                      <w:highlight w:val="none"/>
                      <w:lang w:val="en-US" w:eastAsia="zh-CN"/>
                    </w:rPr>
                    <w:t>水溶性氟化物</w:t>
                  </w:r>
                </w:p>
              </w:tc>
              <w:tc>
                <w:tcPr>
                  <w:tcW w:w="611" w:type="pct"/>
                  <w:vMerge w:val="continue"/>
                  <w:tcBorders>
                    <w:tl2br w:val="nil"/>
                    <w:tr2bl w:val="nil"/>
                  </w:tcBorders>
                  <w:noWrap w:val="0"/>
                  <w:vAlign w:val="center"/>
                </w:tcPr>
                <w:p w14:paraId="6A52C6BA">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rPr>
                  </w:pPr>
                </w:p>
              </w:tc>
              <w:tc>
                <w:tcPr>
                  <w:tcW w:w="674" w:type="pct"/>
                  <w:tcBorders>
                    <w:tl2br w:val="nil"/>
                    <w:tr2bl w:val="nil"/>
                  </w:tcBorders>
                  <w:noWrap w:val="0"/>
                  <w:vAlign w:val="center"/>
                </w:tcPr>
                <w:p w14:paraId="22E2773B">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10000</w:t>
                  </w:r>
                </w:p>
              </w:tc>
              <w:tc>
                <w:tcPr>
                  <w:tcW w:w="983" w:type="pct"/>
                  <w:tcBorders>
                    <w:tl2br w:val="nil"/>
                    <w:tr2bl w:val="nil"/>
                  </w:tcBorders>
                  <w:noWrap w:val="0"/>
                  <w:vAlign w:val="center"/>
                </w:tcPr>
                <w:p w14:paraId="4FFE39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3.6</w:t>
                  </w:r>
                </w:p>
              </w:tc>
              <w:tc>
                <w:tcPr>
                  <w:tcW w:w="965" w:type="pct"/>
                  <w:tcBorders>
                    <w:tl2br w:val="nil"/>
                    <w:tr2bl w:val="nil"/>
                  </w:tcBorders>
                  <w:noWrap w:val="0"/>
                  <w:vAlign w:val="center"/>
                </w:tcPr>
                <w:p w14:paraId="082BA5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w:t>
                  </w:r>
                  <w:r>
                    <w:rPr>
                      <w:rFonts w:hint="eastAsia" w:eastAsia="宋体" w:cs="Times New Roman"/>
                      <w:i w:val="0"/>
                      <w:iCs w:val="0"/>
                      <w:color w:val="auto"/>
                      <w:kern w:val="0"/>
                      <w:sz w:val="21"/>
                      <w:szCs w:val="21"/>
                      <w:highlight w:val="none"/>
                      <w:u w:val="none"/>
                      <w:lang w:val="en-US" w:eastAsia="zh-CN" w:bidi="ar"/>
                    </w:rPr>
                    <w:t>36</w:t>
                  </w:r>
                </w:p>
              </w:tc>
            </w:tr>
            <w:tr w14:paraId="214CA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5" w:type="pct"/>
                  <w:gridSpan w:val="2"/>
                  <w:tcBorders>
                    <w:tl2br w:val="nil"/>
                    <w:tr2bl w:val="nil"/>
                  </w:tcBorders>
                  <w:noWrap w:val="0"/>
                  <w:vAlign w:val="center"/>
                </w:tcPr>
                <w:p w14:paraId="5E5CAE8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pacing w:val="13"/>
                      <w:kern w:val="2"/>
                      <w:sz w:val="21"/>
                      <w:szCs w:val="21"/>
                      <w:highlight w:val="none"/>
                      <w:lang w:val="en-US" w:eastAsia="zh-CN" w:bidi="ar-SA"/>
                    </w:rPr>
                  </w:pPr>
                  <w:r>
                    <w:rPr>
                      <w:rFonts w:hint="eastAsia" w:ascii="Times New Roman" w:hAnsi="Times New Roman" w:eastAsia="宋体" w:cs="Times New Roman"/>
                      <w:color w:val="auto"/>
                      <w:spacing w:val="13"/>
                      <w:sz w:val="21"/>
                      <w:szCs w:val="21"/>
                      <w:highlight w:val="none"/>
                      <w:lang w:val="en-US" w:eastAsia="zh-CN"/>
                    </w:rPr>
                    <w:t>二噁英类</w:t>
                  </w:r>
                </w:p>
              </w:tc>
              <w:tc>
                <w:tcPr>
                  <w:tcW w:w="611" w:type="pct"/>
                  <w:tcBorders>
                    <w:tl2br w:val="nil"/>
                    <w:tr2bl w:val="nil"/>
                  </w:tcBorders>
                  <w:noWrap w:val="0"/>
                  <w:vAlign w:val="center"/>
                </w:tcPr>
                <w:p w14:paraId="67BD865F">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bCs/>
                      <w:color w:val="auto"/>
                      <w:kern w:val="2"/>
                      <w:sz w:val="21"/>
                      <w:szCs w:val="21"/>
                      <w:highlight w:val="none"/>
                      <w:lang w:val="en-US" w:eastAsia="zh-CN" w:bidi="ar-SA"/>
                    </w:rPr>
                    <w:t>总毒性当量</w:t>
                  </w:r>
                </w:p>
              </w:tc>
              <w:tc>
                <w:tcPr>
                  <w:tcW w:w="674" w:type="pct"/>
                  <w:tcBorders>
                    <w:tl2br w:val="nil"/>
                    <w:tr2bl w:val="nil"/>
                  </w:tcBorders>
                  <w:noWrap w:val="0"/>
                  <w:vAlign w:val="center"/>
                </w:tcPr>
                <w:p w14:paraId="0AFAEE4C">
                  <w:pPr>
                    <w:keepNext w:val="0"/>
                    <w:keepLines w:val="0"/>
                    <w:suppressLineNumbers w:val="0"/>
                    <w:tabs>
                      <w:tab w:val="right" w:pos="9638"/>
                    </w:tabs>
                    <w:spacing w:before="0" w:beforeAutospacing="0" w:after="0" w:afterAutospacing="0" w:line="360" w:lineRule="exact"/>
                    <w:ind w:left="-105" w:leftChars="-50" w:right="-105" w:rightChars="-5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4</w:t>
                  </w:r>
                  <w:r>
                    <w:rPr>
                      <w:rFonts w:hint="default" w:ascii="Times New Roman" w:hAnsi="Times New Roman" w:eastAsia="宋体" w:cs="Times New Roman"/>
                      <w:color w:val="auto"/>
                      <w:spacing w:val="-14"/>
                      <w:szCs w:val="21"/>
                      <w:highlight w:val="none"/>
                    </w:rPr>
                    <w:t>×10</w:t>
                  </w:r>
                  <w:r>
                    <w:rPr>
                      <w:rFonts w:hint="eastAsia" w:ascii="Times New Roman" w:hAnsi="Times New Roman" w:eastAsia="宋体" w:cs="Times New Roman"/>
                      <w:color w:val="auto"/>
                      <w:spacing w:val="-14"/>
                      <w:szCs w:val="21"/>
                      <w:highlight w:val="none"/>
                      <w:vertAlign w:val="superscript"/>
                      <w:lang w:val="en-US" w:eastAsia="zh-CN"/>
                    </w:rPr>
                    <w:t>-5</w:t>
                  </w:r>
                </w:p>
              </w:tc>
              <w:tc>
                <w:tcPr>
                  <w:tcW w:w="983" w:type="pct"/>
                  <w:tcBorders>
                    <w:tl2br w:val="nil"/>
                    <w:tr2bl w:val="nil"/>
                  </w:tcBorders>
                  <w:noWrap w:val="0"/>
                  <w:vAlign w:val="center"/>
                </w:tcPr>
                <w:p w14:paraId="15FF26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eastAsia="宋体" w:cs="Times New Roman"/>
                      <w:i w:val="0"/>
                      <w:iCs w:val="0"/>
                      <w:color w:val="auto"/>
                      <w:kern w:val="0"/>
                      <w:sz w:val="21"/>
                      <w:szCs w:val="21"/>
                      <w:highlight w:val="none"/>
                      <w:u w:val="none"/>
                      <w:lang w:val="en-US" w:eastAsia="zh-CN" w:bidi="ar"/>
                    </w:rPr>
                    <w:t>0.39</w:t>
                  </w:r>
                  <w:r>
                    <w:rPr>
                      <w:rFonts w:hint="default" w:ascii="Times New Roman" w:hAnsi="Times New Roman" w:eastAsia="宋体" w:cs="Times New Roman"/>
                      <w:color w:val="auto"/>
                      <w:spacing w:val="-14"/>
                      <w:szCs w:val="21"/>
                      <w:highlight w:val="none"/>
                    </w:rPr>
                    <w:t>×10</w:t>
                  </w:r>
                  <w:r>
                    <w:rPr>
                      <w:rFonts w:hint="default" w:ascii="Times New Roman" w:hAnsi="Times New Roman" w:eastAsia="宋体" w:cs="Times New Roman"/>
                      <w:color w:val="auto"/>
                      <w:spacing w:val="-14"/>
                      <w:szCs w:val="21"/>
                      <w:highlight w:val="none"/>
                      <w:vertAlign w:val="superscript"/>
                    </w:rPr>
                    <w:t>-</w:t>
                  </w:r>
                  <w:r>
                    <w:rPr>
                      <w:rFonts w:hint="eastAsia" w:ascii="Times New Roman" w:hAnsi="Times New Roman" w:eastAsia="宋体" w:cs="Times New Roman"/>
                      <w:color w:val="auto"/>
                      <w:spacing w:val="-14"/>
                      <w:szCs w:val="21"/>
                      <w:highlight w:val="none"/>
                      <w:vertAlign w:val="superscript"/>
                      <w:lang w:val="en-US" w:eastAsia="zh-CN"/>
                    </w:rPr>
                    <w:t>6</w:t>
                  </w:r>
                </w:p>
              </w:tc>
              <w:tc>
                <w:tcPr>
                  <w:tcW w:w="965" w:type="pct"/>
                  <w:tcBorders>
                    <w:tl2br w:val="nil"/>
                    <w:tr2bl w:val="nil"/>
                  </w:tcBorders>
                  <w:noWrap w:val="0"/>
                  <w:vAlign w:val="center"/>
                </w:tcPr>
                <w:p w14:paraId="6027BE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w:t>
                  </w:r>
                </w:p>
              </w:tc>
            </w:tr>
          </w:tbl>
          <w:p w14:paraId="011912D2">
            <w:pPr>
              <w:spacing w:line="480" w:lineRule="exact"/>
              <w:ind w:firstLine="470" w:firstLineChars="196"/>
              <w:rPr>
                <w:rFonts w:hint="eastAsia" w:eastAsia="宋体"/>
                <w:color w:val="000000" w:themeColor="text1"/>
                <w:kern w:val="24"/>
                <w:sz w:val="24"/>
                <w:highlight w:val="none"/>
                <w:lang w:val="en-US" w:eastAsia="zh-CN"/>
                <w14:textFill>
                  <w14:solidFill>
                    <w14:schemeClr w14:val="tx1"/>
                  </w14:solidFill>
                </w14:textFill>
              </w:rPr>
            </w:pPr>
            <w:r>
              <w:rPr>
                <w:rFonts w:hint="default" w:eastAsia="宋体"/>
                <w:color w:val="000000" w:themeColor="text1"/>
                <w:kern w:val="24"/>
                <w:sz w:val="24"/>
                <w:highlight w:val="none"/>
                <w:lang w:eastAsia="zh-CN"/>
                <w14:textFill>
                  <w14:solidFill>
                    <w14:schemeClr w14:val="tx1"/>
                  </w14:solidFill>
                </w14:textFill>
              </w:rPr>
              <w:t>由</w:t>
            </w:r>
            <w:r>
              <w:rPr>
                <w:rFonts w:hint="eastAsia" w:eastAsia="宋体"/>
                <w:color w:val="000000" w:themeColor="text1"/>
                <w:kern w:val="24"/>
                <w:sz w:val="24"/>
                <w:highlight w:val="none"/>
                <w:lang w:val="en-US" w:eastAsia="zh-CN"/>
                <w14:textFill>
                  <w14:solidFill>
                    <w14:schemeClr w14:val="tx1"/>
                  </w14:solidFill>
                </w14:textFill>
              </w:rPr>
              <w:t>以上统计结果</w:t>
            </w:r>
            <w:r>
              <w:rPr>
                <w:rFonts w:hint="default" w:eastAsia="宋体"/>
                <w:color w:val="000000" w:themeColor="text1"/>
                <w:kern w:val="24"/>
                <w:sz w:val="24"/>
                <w:highlight w:val="none"/>
                <w:lang w:eastAsia="zh-CN"/>
                <w14:textFill>
                  <w14:solidFill>
                    <w14:schemeClr w14:val="tx1"/>
                  </w14:solidFill>
                </w14:textFill>
              </w:rPr>
              <w:t>可知，</w:t>
            </w:r>
            <w:r>
              <w:rPr>
                <w:rFonts w:hint="eastAsia" w:eastAsia="宋体"/>
                <w:color w:val="000000" w:themeColor="text1"/>
                <w:kern w:val="24"/>
                <w:sz w:val="24"/>
                <w:highlight w:val="none"/>
                <w:lang w:val="en-US" w:eastAsia="zh-CN"/>
                <w14:textFill>
                  <w14:solidFill>
                    <w14:schemeClr w14:val="tx1"/>
                  </w14:solidFill>
                </w14:textFill>
              </w:rPr>
              <w:t>该</w:t>
            </w:r>
            <w:r>
              <w:rPr>
                <w:rFonts w:hint="default" w:eastAsia="宋体"/>
                <w:color w:val="000000" w:themeColor="text1"/>
                <w:kern w:val="24"/>
                <w:sz w:val="24"/>
                <w:highlight w:val="none"/>
                <w:lang w:val="en-US" w:eastAsia="zh-CN"/>
                <w14:textFill>
                  <w14:solidFill>
                    <w14:schemeClr w14:val="tx1"/>
                  </w14:solidFill>
                </w14:textFill>
              </w:rPr>
              <w:t>监测点位各因子监测值均</w:t>
            </w:r>
            <w:r>
              <w:rPr>
                <w:rFonts w:hint="default" w:eastAsia="宋体"/>
                <w:color w:val="000000" w:themeColor="text1"/>
                <w:kern w:val="24"/>
                <w:sz w:val="24"/>
                <w:highlight w:val="none"/>
                <w:lang w:eastAsia="zh-CN"/>
                <w14:textFill>
                  <w14:solidFill>
                    <w14:schemeClr w14:val="tx1"/>
                  </w14:solidFill>
                </w14:textFill>
              </w:rPr>
              <w:t>满足《土壤环境质量 建设用地土壤污染风险管控标准》（GB36600-2018）和《建设用地土壤污染风险筛选值》（DB13/T5216-202</w:t>
            </w:r>
            <w:r>
              <w:rPr>
                <w:rFonts w:hint="default" w:eastAsia="宋体"/>
                <w:color w:val="000000" w:themeColor="text1"/>
                <w:kern w:val="24"/>
                <w:sz w:val="24"/>
                <w:highlight w:val="none"/>
                <w:lang w:val="en-US" w:eastAsia="zh-CN"/>
                <w14:textFill>
                  <w14:solidFill>
                    <w14:schemeClr w14:val="tx1"/>
                  </w14:solidFill>
                </w14:textFill>
              </w:rPr>
              <w:t>2</w:t>
            </w:r>
            <w:r>
              <w:rPr>
                <w:rFonts w:hint="default" w:eastAsia="宋体"/>
                <w:color w:val="000000" w:themeColor="text1"/>
                <w:kern w:val="24"/>
                <w:sz w:val="24"/>
                <w:highlight w:val="none"/>
                <w:lang w:eastAsia="zh-CN"/>
                <w14:textFill>
                  <w14:solidFill>
                    <w14:schemeClr w14:val="tx1"/>
                  </w14:solidFill>
                </w14:textFill>
              </w:rPr>
              <w:t>）中</w:t>
            </w:r>
            <w:r>
              <w:rPr>
                <w:rFonts w:hint="default" w:eastAsia="宋体"/>
                <w:color w:val="000000" w:themeColor="text1"/>
                <w:kern w:val="24"/>
                <w:sz w:val="24"/>
                <w:highlight w:val="none"/>
                <w:lang w:val="en-US" w:eastAsia="zh-CN"/>
                <w14:textFill>
                  <w14:solidFill>
                    <w14:schemeClr w14:val="tx1"/>
                  </w14:solidFill>
                </w14:textFill>
              </w:rPr>
              <w:t>第二类用地</w:t>
            </w:r>
            <w:r>
              <w:rPr>
                <w:rFonts w:hint="default" w:eastAsia="宋体"/>
                <w:color w:val="000000" w:themeColor="text1"/>
                <w:kern w:val="24"/>
                <w:sz w:val="24"/>
                <w:highlight w:val="none"/>
                <w:lang w:eastAsia="zh-CN"/>
                <w14:textFill>
                  <w14:solidFill>
                    <w14:schemeClr w14:val="tx1"/>
                  </w14:solidFill>
                </w14:textFill>
              </w:rPr>
              <w:t>风险筛选值</w:t>
            </w:r>
            <w:r>
              <w:rPr>
                <w:rFonts w:hint="eastAsia" w:eastAsia="宋体"/>
                <w:color w:val="000000" w:themeColor="text1"/>
                <w:kern w:val="24"/>
                <w:sz w:val="24"/>
                <w:highlight w:val="none"/>
                <w:lang w:val="en-US" w:eastAsia="zh-CN"/>
                <w14:textFill>
                  <w14:solidFill>
                    <w14:schemeClr w14:val="tx1"/>
                  </w14:solidFill>
                </w14:textFill>
              </w:rPr>
              <w:t>要求。</w:t>
            </w:r>
          </w:p>
          <w:p w14:paraId="739C844F">
            <w:pPr>
              <w:spacing w:line="480" w:lineRule="exact"/>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5</w:t>
            </w:r>
            <w:r>
              <w:rPr>
                <w:rFonts w:hint="eastAsia"/>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地下水</w:t>
            </w:r>
          </w:p>
          <w:p w14:paraId="5880405B">
            <w:pPr>
              <w:spacing w:line="480" w:lineRule="exact"/>
              <w:ind w:firstLine="480" w:firstLineChars="200"/>
              <w:rPr>
                <w:rFonts w:hint="eastAsia" w:ascii="黑体" w:hAnsi="黑体" w:eastAsia="黑体"/>
                <w:bCs/>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本次评价在厂区污泥库下游设1个地下水监测点作为背景值，具体达标情况见下表。</w:t>
            </w:r>
          </w:p>
          <w:p w14:paraId="7AE79A6A">
            <w:pPr>
              <w:spacing w:line="480" w:lineRule="exact"/>
              <w:ind w:firstLine="1080" w:firstLineChars="450"/>
              <w:jc w:val="center"/>
              <w:rPr>
                <w:rFonts w:hint="eastAsia" w:ascii="黑体" w:hAnsi="黑体" w:eastAsia="黑体"/>
                <w:bCs/>
                <w:color w:val="000000" w:themeColor="text1"/>
                <w:sz w:val="24"/>
                <w:highlight w:val="none"/>
                <w:lang w:val="en-US" w:eastAsia="zh-CN"/>
                <w14:textFill>
                  <w14:solidFill>
                    <w14:schemeClr w14:val="tx1"/>
                  </w14:solidFill>
                </w14:textFill>
              </w:rPr>
            </w:pPr>
            <w:r>
              <w:rPr>
                <w:rFonts w:hint="eastAsia" w:ascii="黑体" w:hAnsi="黑体" w:eastAsia="黑体"/>
                <w:bCs/>
                <w:color w:val="000000" w:themeColor="text1"/>
                <w:sz w:val="24"/>
                <w:highlight w:val="none"/>
                <w:lang w:val="en-US" w:eastAsia="zh-CN"/>
                <w14:textFill>
                  <w14:solidFill>
                    <w14:schemeClr w14:val="tx1"/>
                  </w14:solidFill>
                </w14:textFill>
              </w:rPr>
              <w:t>表3-4  地下水</w:t>
            </w:r>
            <w:r>
              <w:rPr>
                <w:rFonts w:hint="default" w:ascii="黑体" w:hAnsi="黑体" w:eastAsia="黑体"/>
                <w:bCs/>
                <w:color w:val="000000" w:themeColor="text1"/>
                <w:sz w:val="24"/>
                <w:highlight w:val="none"/>
                <w14:textFill>
                  <w14:solidFill>
                    <w14:schemeClr w14:val="tx1"/>
                  </w14:solidFill>
                </w14:textFill>
              </w:rPr>
              <w:t>质量现状监测结果一览表</w:t>
            </w:r>
          </w:p>
          <w:tbl>
            <w:tblPr>
              <w:tblStyle w:val="2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494"/>
              <w:gridCol w:w="2287"/>
              <w:gridCol w:w="2909"/>
            </w:tblGrid>
            <w:tr w14:paraId="2AE3C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037" w:type="pct"/>
                  <w:gridSpan w:val="2"/>
                  <w:tcBorders>
                    <w:tl2br w:val="nil"/>
                    <w:tr2bl w:val="nil"/>
                  </w:tcBorders>
                  <w:noWrap w:val="0"/>
                  <w:vAlign w:val="center"/>
                </w:tcPr>
                <w:p w14:paraId="23354B01">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监测点位</w:t>
                  </w:r>
                </w:p>
              </w:tc>
              <w:tc>
                <w:tcPr>
                  <w:tcW w:w="1303" w:type="pct"/>
                  <w:tcBorders>
                    <w:tl2br w:val="nil"/>
                    <w:tr2bl w:val="nil"/>
                  </w:tcBorders>
                  <w:noWrap w:val="0"/>
                  <w:vAlign w:val="center"/>
                </w:tcPr>
                <w:p w14:paraId="74BA55D7">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pacing w:val="-10"/>
                      <w:sz w:val="21"/>
                      <w:szCs w:val="21"/>
                      <w:highlight w:val="none"/>
                      <w:lang w:val="en-US" w:eastAsia="zh-CN"/>
                    </w:rPr>
                    <w:t>监测结果（</w:t>
                  </w:r>
                  <w:r>
                    <w:rPr>
                      <w:rFonts w:hint="default" w:ascii="Times New Roman" w:hAnsi="Times New Roman" w:eastAsia="宋体" w:cs="Times New Roman"/>
                      <w:color w:val="000000"/>
                      <w:sz w:val="21"/>
                      <w:szCs w:val="21"/>
                      <w:highlight w:val="none"/>
                    </w:rPr>
                    <w:t>mg/L</w:t>
                  </w:r>
                  <w:r>
                    <w:rPr>
                      <w:rFonts w:hint="eastAsia" w:eastAsia="宋体" w:cs="Times New Roman"/>
                      <w:color w:val="000000"/>
                      <w:spacing w:val="-10"/>
                      <w:sz w:val="21"/>
                      <w:szCs w:val="21"/>
                      <w:highlight w:val="none"/>
                      <w:lang w:val="en-US" w:eastAsia="zh-CN"/>
                    </w:rPr>
                    <w:t>）</w:t>
                  </w:r>
                </w:p>
              </w:tc>
              <w:tc>
                <w:tcPr>
                  <w:tcW w:w="1658" w:type="pct"/>
                  <w:tcBorders>
                    <w:tl2br w:val="nil"/>
                    <w:tr2bl w:val="nil"/>
                  </w:tcBorders>
                  <w:noWrap w:val="0"/>
                  <w:vAlign w:val="center"/>
                </w:tcPr>
                <w:p w14:paraId="00683C60">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标准值</w:t>
                  </w:r>
                </w:p>
              </w:tc>
            </w:tr>
            <w:tr w14:paraId="0BC14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63AABFD7">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1</w:t>
                  </w:r>
                </w:p>
              </w:tc>
              <w:tc>
                <w:tcPr>
                  <w:tcW w:w="1420" w:type="pct"/>
                  <w:tcBorders>
                    <w:tl2br w:val="nil"/>
                    <w:tr2bl w:val="nil"/>
                  </w:tcBorders>
                  <w:noWrap w:val="0"/>
                  <w:vAlign w:val="center"/>
                </w:tcPr>
                <w:p w14:paraId="01C60515">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pH</w:t>
                  </w:r>
                </w:p>
              </w:tc>
              <w:tc>
                <w:tcPr>
                  <w:tcW w:w="1303" w:type="pct"/>
                  <w:tcBorders>
                    <w:tl2br w:val="nil"/>
                    <w:tr2bl w:val="nil"/>
                  </w:tcBorders>
                  <w:noWrap w:val="0"/>
                  <w:vAlign w:val="center"/>
                </w:tcPr>
                <w:p w14:paraId="2889F27E">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7.2（无量纲）</w:t>
                  </w:r>
                </w:p>
              </w:tc>
              <w:tc>
                <w:tcPr>
                  <w:tcW w:w="1658" w:type="pct"/>
                  <w:tcBorders>
                    <w:tl2br w:val="nil"/>
                    <w:tr2bl w:val="nil"/>
                  </w:tcBorders>
                  <w:noWrap w:val="0"/>
                  <w:vAlign w:val="center"/>
                </w:tcPr>
                <w:p w14:paraId="121537FB">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6.5-8.5</w:t>
                  </w:r>
                </w:p>
              </w:tc>
            </w:tr>
            <w:tr w14:paraId="610AB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370888AB">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2</w:t>
                  </w:r>
                </w:p>
              </w:tc>
              <w:tc>
                <w:tcPr>
                  <w:tcW w:w="1420" w:type="pct"/>
                  <w:tcBorders>
                    <w:tl2br w:val="nil"/>
                    <w:tr2bl w:val="nil"/>
                  </w:tcBorders>
                  <w:noWrap w:val="0"/>
                  <w:vAlign w:val="center"/>
                </w:tcPr>
                <w:p w14:paraId="36C46BAA">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总硬度</w:t>
                  </w:r>
                </w:p>
              </w:tc>
              <w:tc>
                <w:tcPr>
                  <w:tcW w:w="1303" w:type="pct"/>
                  <w:tcBorders>
                    <w:tl2br w:val="nil"/>
                    <w:tr2bl w:val="nil"/>
                  </w:tcBorders>
                  <w:noWrap w:val="0"/>
                  <w:vAlign w:val="center"/>
                </w:tcPr>
                <w:p w14:paraId="79F7C2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eastAsia="宋体" w:cs="Times New Roman"/>
                      <w:i w:val="0"/>
                      <w:iCs w:val="0"/>
                      <w:color w:val="000000"/>
                      <w:kern w:val="0"/>
                      <w:sz w:val="21"/>
                      <w:szCs w:val="21"/>
                      <w:highlight w:val="none"/>
                      <w:u w:val="none"/>
                      <w:lang w:val="en-US" w:eastAsia="zh-CN" w:bidi="ar"/>
                    </w:rPr>
                    <w:t>316</w:t>
                  </w:r>
                </w:p>
              </w:tc>
              <w:tc>
                <w:tcPr>
                  <w:tcW w:w="1658" w:type="pct"/>
                  <w:tcBorders>
                    <w:tl2br w:val="nil"/>
                    <w:tr2bl w:val="nil"/>
                  </w:tcBorders>
                  <w:noWrap w:val="0"/>
                  <w:vAlign w:val="center"/>
                </w:tcPr>
                <w:p w14:paraId="4D7868CB">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450</w:t>
                  </w:r>
                  <w:r>
                    <w:rPr>
                      <w:rFonts w:hint="default" w:ascii="Times New Roman" w:hAnsi="Times New Roman" w:eastAsia="宋体" w:cs="Times New Roman"/>
                      <w:color w:val="000000"/>
                      <w:sz w:val="21"/>
                      <w:szCs w:val="21"/>
                      <w:highlight w:val="none"/>
                    </w:rPr>
                    <w:t>mg/L</w:t>
                  </w:r>
                </w:p>
              </w:tc>
            </w:tr>
            <w:tr w14:paraId="0229B7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492AB1C6">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3</w:t>
                  </w:r>
                </w:p>
              </w:tc>
              <w:tc>
                <w:tcPr>
                  <w:tcW w:w="1420" w:type="pct"/>
                  <w:tcBorders>
                    <w:tl2br w:val="nil"/>
                    <w:tr2bl w:val="nil"/>
                  </w:tcBorders>
                  <w:noWrap w:val="0"/>
                  <w:vAlign w:val="center"/>
                </w:tcPr>
                <w:p w14:paraId="0C65003C">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溶解性总固体</w:t>
                  </w:r>
                </w:p>
              </w:tc>
              <w:tc>
                <w:tcPr>
                  <w:tcW w:w="1303" w:type="pct"/>
                  <w:tcBorders>
                    <w:tl2br w:val="nil"/>
                    <w:tr2bl w:val="nil"/>
                  </w:tcBorders>
                  <w:noWrap w:val="0"/>
                  <w:vAlign w:val="center"/>
                </w:tcPr>
                <w:p w14:paraId="7DA8D8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eastAsia="宋体" w:cs="Times New Roman"/>
                      <w:i w:val="0"/>
                      <w:iCs w:val="0"/>
                      <w:color w:val="000000"/>
                      <w:kern w:val="0"/>
                      <w:sz w:val="21"/>
                      <w:szCs w:val="21"/>
                      <w:highlight w:val="none"/>
                      <w:u w:val="none"/>
                      <w:lang w:val="en-US" w:eastAsia="zh-CN" w:bidi="ar"/>
                    </w:rPr>
                    <w:t>492</w:t>
                  </w:r>
                </w:p>
              </w:tc>
              <w:tc>
                <w:tcPr>
                  <w:tcW w:w="1658" w:type="pct"/>
                  <w:tcBorders>
                    <w:tl2br w:val="nil"/>
                    <w:tr2bl w:val="nil"/>
                  </w:tcBorders>
                  <w:noWrap w:val="0"/>
                  <w:vAlign w:val="center"/>
                </w:tcPr>
                <w:p w14:paraId="461BF0DB">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1000</w:t>
                  </w:r>
                  <w:r>
                    <w:rPr>
                      <w:rFonts w:hint="default" w:ascii="Times New Roman" w:hAnsi="Times New Roman" w:eastAsia="宋体" w:cs="Times New Roman"/>
                      <w:color w:val="000000"/>
                      <w:sz w:val="21"/>
                      <w:szCs w:val="21"/>
                      <w:highlight w:val="none"/>
                    </w:rPr>
                    <w:t>mg/L</w:t>
                  </w:r>
                </w:p>
              </w:tc>
            </w:tr>
            <w:tr w14:paraId="19A87C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78EECB77">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4</w:t>
                  </w:r>
                </w:p>
              </w:tc>
              <w:tc>
                <w:tcPr>
                  <w:tcW w:w="1420" w:type="pct"/>
                  <w:tcBorders>
                    <w:tl2br w:val="nil"/>
                    <w:tr2bl w:val="nil"/>
                  </w:tcBorders>
                  <w:noWrap w:val="0"/>
                  <w:vAlign w:val="center"/>
                </w:tcPr>
                <w:p w14:paraId="087CBBC6">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硫酸盐</w:t>
                  </w:r>
                </w:p>
              </w:tc>
              <w:tc>
                <w:tcPr>
                  <w:tcW w:w="1303" w:type="pct"/>
                  <w:tcBorders>
                    <w:tl2br w:val="nil"/>
                    <w:tr2bl w:val="nil"/>
                  </w:tcBorders>
                  <w:noWrap w:val="0"/>
                  <w:vAlign w:val="center"/>
                </w:tcPr>
                <w:p w14:paraId="2A26C8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eastAsia="宋体" w:cs="Times New Roman"/>
                      <w:i w:val="0"/>
                      <w:iCs w:val="0"/>
                      <w:color w:val="000000"/>
                      <w:kern w:val="0"/>
                      <w:sz w:val="21"/>
                      <w:szCs w:val="21"/>
                      <w:highlight w:val="none"/>
                      <w:u w:val="none"/>
                      <w:lang w:val="en-US" w:eastAsia="zh-CN" w:bidi="ar"/>
                    </w:rPr>
                    <w:t>62</w:t>
                  </w:r>
                </w:p>
              </w:tc>
              <w:tc>
                <w:tcPr>
                  <w:tcW w:w="1658" w:type="pct"/>
                  <w:tcBorders>
                    <w:tl2br w:val="nil"/>
                    <w:tr2bl w:val="nil"/>
                  </w:tcBorders>
                  <w:noWrap w:val="0"/>
                  <w:vAlign w:val="center"/>
                </w:tcPr>
                <w:p w14:paraId="660B940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250</w:t>
                  </w:r>
                  <w:r>
                    <w:rPr>
                      <w:rFonts w:hint="default" w:ascii="Times New Roman" w:hAnsi="Times New Roman" w:eastAsia="宋体" w:cs="Times New Roman"/>
                      <w:color w:val="000000"/>
                      <w:sz w:val="21"/>
                      <w:szCs w:val="21"/>
                      <w:highlight w:val="none"/>
                    </w:rPr>
                    <w:t>mg/L</w:t>
                  </w:r>
                </w:p>
              </w:tc>
            </w:tr>
            <w:tr w14:paraId="6B1A84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427B55E3">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5</w:t>
                  </w:r>
                </w:p>
              </w:tc>
              <w:tc>
                <w:tcPr>
                  <w:tcW w:w="1420" w:type="pct"/>
                  <w:tcBorders>
                    <w:tl2br w:val="nil"/>
                    <w:tr2bl w:val="nil"/>
                  </w:tcBorders>
                  <w:noWrap w:val="0"/>
                  <w:vAlign w:val="center"/>
                </w:tcPr>
                <w:p w14:paraId="4B324986">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氯化物</w:t>
                  </w:r>
                </w:p>
              </w:tc>
              <w:tc>
                <w:tcPr>
                  <w:tcW w:w="1303" w:type="pct"/>
                  <w:tcBorders>
                    <w:tl2br w:val="nil"/>
                    <w:tr2bl w:val="nil"/>
                  </w:tcBorders>
                  <w:noWrap w:val="0"/>
                  <w:vAlign w:val="center"/>
                </w:tcPr>
                <w:p w14:paraId="6E0956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eastAsia="宋体" w:cs="Times New Roman"/>
                      <w:i w:val="0"/>
                      <w:iCs w:val="0"/>
                      <w:color w:val="000000"/>
                      <w:kern w:val="0"/>
                      <w:sz w:val="21"/>
                      <w:szCs w:val="21"/>
                      <w:highlight w:val="none"/>
                      <w:u w:val="none"/>
                      <w:lang w:val="en-US" w:eastAsia="zh-CN" w:bidi="ar"/>
                    </w:rPr>
                    <w:t>104</w:t>
                  </w:r>
                </w:p>
              </w:tc>
              <w:tc>
                <w:tcPr>
                  <w:tcW w:w="1658" w:type="pct"/>
                  <w:tcBorders>
                    <w:tl2br w:val="nil"/>
                    <w:tr2bl w:val="nil"/>
                  </w:tcBorders>
                  <w:noWrap w:val="0"/>
                  <w:vAlign w:val="center"/>
                </w:tcPr>
                <w:p w14:paraId="479B6BB0">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250</w:t>
                  </w:r>
                  <w:r>
                    <w:rPr>
                      <w:rFonts w:hint="default" w:ascii="Times New Roman" w:hAnsi="Times New Roman" w:eastAsia="宋体" w:cs="Times New Roman"/>
                      <w:color w:val="000000"/>
                      <w:sz w:val="21"/>
                      <w:szCs w:val="21"/>
                      <w:highlight w:val="none"/>
                    </w:rPr>
                    <w:t>mg/L</w:t>
                  </w:r>
                </w:p>
              </w:tc>
            </w:tr>
            <w:tr w14:paraId="0066D8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10D70815">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6</w:t>
                  </w:r>
                </w:p>
              </w:tc>
              <w:tc>
                <w:tcPr>
                  <w:tcW w:w="1420" w:type="pct"/>
                  <w:tcBorders>
                    <w:tl2br w:val="nil"/>
                    <w:tr2bl w:val="nil"/>
                  </w:tcBorders>
                  <w:noWrap w:val="0"/>
                  <w:vAlign w:val="center"/>
                </w:tcPr>
                <w:p w14:paraId="0EDC2A0D">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铁</w:t>
                  </w:r>
                </w:p>
              </w:tc>
              <w:tc>
                <w:tcPr>
                  <w:tcW w:w="1303" w:type="pct"/>
                  <w:tcBorders>
                    <w:tl2br w:val="nil"/>
                    <w:tr2bl w:val="nil"/>
                  </w:tcBorders>
                  <w:noWrap w:val="0"/>
                  <w:vAlign w:val="center"/>
                </w:tcPr>
                <w:p w14:paraId="351D78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eastAsia" w:eastAsia="宋体" w:cs="Times New Roman"/>
                      <w:color w:val="000000"/>
                      <w:sz w:val="21"/>
                      <w:szCs w:val="21"/>
                      <w:highlight w:val="none"/>
                      <w:lang w:val="en-US" w:eastAsia="zh-CN"/>
                    </w:rPr>
                    <w:t>0.03L</w:t>
                  </w:r>
                </w:p>
              </w:tc>
              <w:tc>
                <w:tcPr>
                  <w:tcW w:w="1658" w:type="pct"/>
                  <w:tcBorders>
                    <w:tl2br w:val="nil"/>
                    <w:tr2bl w:val="nil"/>
                  </w:tcBorders>
                  <w:noWrap w:val="0"/>
                  <w:vAlign w:val="center"/>
                </w:tcPr>
                <w:p w14:paraId="09B5586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0.3</w:t>
                  </w:r>
                  <w:r>
                    <w:rPr>
                      <w:rFonts w:hint="default" w:ascii="Times New Roman" w:hAnsi="Times New Roman" w:eastAsia="宋体" w:cs="Times New Roman"/>
                      <w:color w:val="000000"/>
                      <w:sz w:val="21"/>
                      <w:szCs w:val="21"/>
                      <w:highlight w:val="none"/>
                    </w:rPr>
                    <w:t>mg/L</w:t>
                  </w:r>
                </w:p>
              </w:tc>
            </w:tr>
            <w:tr w14:paraId="7E913D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253D4F36">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7</w:t>
                  </w:r>
                </w:p>
              </w:tc>
              <w:tc>
                <w:tcPr>
                  <w:tcW w:w="1420" w:type="pct"/>
                  <w:tcBorders>
                    <w:tl2br w:val="nil"/>
                    <w:tr2bl w:val="nil"/>
                  </w:tcBorders>
                  <w:noWrap w:val="0"/>
                  <w:vAlign w:val="center"/>
                </w:tcPr>
                <w:p w14:paraId="3472E949">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锰</w:t>
                  </w:r>
                </w:p>
              </w:tc>
              <w:tc>
                <w:tcPr>
                  <w:tcW w:w="1303" w:type="pct"/>
                  <w:tcBorders>
                    <w:tl2br w:val="nil"/>
                    <w:tr2bl w:val="nil"/>
                  </w:tcBorders>
                  <w:noWrap w:val="0"/>
                  <w:vAlign w:val="center"/>
                </w:tcPr>
                <w:p w14:paraId="2A5804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w:t>
                  </w:r>
                  <w:r>
                    <w:rPr>
                      <w:rFonts w:hint="eastAsia" w:eastAsia="宋体" w:cs="Times New Roman"/>
                      <w:i w:val="0"/>
                      <w:iCs w:val="0"/>
                      <w:color w:val="000000"/>
                      <w:kern w:val="0"/>
                      <w:sz w:val="21"/>
                      <w:szCs w:val="21"/>
                      <w:highlight w:val="none"/>
                      <w:u w:val="none"/>
                      <w:lang w:val="en-US" w:eastAsia="zh-CN" w:bidi="ar"/>
                    </w:rPr>
                    <w:t>1</w:t>
                  </w:r>
                  <w:r>
                    <w:rPr>
                      <w:rFonts w:hint="eastAsia" w:eastAsia="宋体" w:cs="Times New Roman"/>
                      <w:color w:val="000000"/>
                      <w:sz w:val="21"/>
                      <w:szCs w:val="21"/>
                      <w:highlight w:val="none"/>
                      <w:lang w:val="en-US" w:eastAsia="zh-CN"/>
                    </w:rPr>
                    <w:t>L</w:t>
                  </w:r>
                </w:p>
              </w:tc>
              <w:tc>
                <w:tcPr>
                  <w:tcW w:w="1658" w:type="pct"/>
                  <w:tcBorders>
                    <w:tl2br w:val="nil"/>
                    <w:tr2bl w:val="nil"/>
                  </w:tcBorders>
                  <w:noWrap w:val="0"/>
                  <w:vAlign w:val="center"/>
                </w:tcPr>
                <w:p w14:paraId="09F520C5">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0.1</w:t>
                  </w:r>
                  <w:r>
                    <w:rPr>
                      <w:rFonts w:hint="default" w:ascii="Times New Roman" w:hAnsi="Times New Roman" w:eastAsia="宋体" w:cs="Times New Roman"/>
                      <w:color w:val="000000"/>
                      <w:sz w:val="21"/>
                      <w:szCs w:val="21"/>
                      <w:highlight w:val="none"/>
                    </w:rPr>
                    <w:t>mg/L</w:t>
                  </w:r>
                </w:p>
              </w:tc>
            </w:tr>
            <w:tr w14:paraId="75B6FD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55F2B0A5">
                  <w:pPr>
                    <w:keepNext w:val="0"/>
                    <w:keepLines w:val="0"/>
                    <w:suppressLineNumbers w:val="0"/>
                    <w:tabs>
                      <w:tab w:val="right" w:pos="9638"/>
                    </w:tabs>
                    <w:spacing w:before="0" w:beforeAutospacing="0" w:after="0" w:afterAutospacing="0"/>
                    <w:ind w:left="0" w:leftChars="0" w:right="0" w:rightChars="0"/>
                    <w:jc w:val="center"/>
                    <w:rPr>
                      <w:rFonts w:hint="eastAsia" w:ascii="Times New Roman" w:hAnsi="Times New Roman" w:eastAsia="宋体" w:cs="Times New Roman"/>
                      <w:color w:val="000000"/>
                      <w:sz w:val="21"/>
                      <w:szCs w:val="21"/>
                      <w:highlight w:val="none"/>
                      <w:lang w:eastAsia="zh-CN"/>
                    </w:rPr>
                  </w:pPr>
                  <w:r>
                    <w:rPr>
                      <w:rFonts w:hint="eastAsia" w:ascii="Times New Roman" w:hAnsi="Times New Roman" w:eastAsia="宋体" w:cs="Times New Roman"/>
                      <w:color w:val="000000"/>
                      <w:sz w:val="21"/>
                      <w:szCs w:val="21"/>
                      <w:highlight w:val="none"/>
                      <w:lang w:val="en-US" w:eastAsia="zh-CN"/>
                    </w:rPr>
                    <w:t>8</w:t>
                  </w:r>
                </w:p>
              </w:tc>
              <w:tc>
                <w:tcPr>
                  <w:tcW w:w="1420" w:type="pct"/>
                  <w:tcBorders>
                    <w:tl2br w:val="nil"/>
                    <w:tr2bl w:val="nil"/>
                  </w:tcBorders>
                  <w:noWrap w:val="0"/>
                  <w:vAlign w:val="center"/>
                </w:tcPr>
                <w:p w14:paraId="246FC7F3">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钠</w:t>
                  </w:r>
                </w:p>
              </w:tc>
              <w:tc>
                <w:tcPr>
                  <w:tcW w:w="1303" w:type="pct"/>
                  <w:tcBorders>
                    <w:tl2br w:val="nil"/>
                    <w:tr2bl w:val="nil"/>
                  </w:tcBorders>
                  <w:noWrap w:val="0"/>
                  <w:vAlign w:val="center"/>
                </w:tcPr>
                <w:p w14:paraId="7693DC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eastAsia" w:eastAsia="宋体" w:cs="Times New Roman"/>
                      <w:color w:val="000000"/>
                      <w:sz w:val="21"/>
                      <w:szCs w:val="21"/>
                      <w:highlight w:val="none"/>
                      <w:lang w:val="en-US" w:eastAsia="zh-CN"/>
                    </w:rPr>
                    <w:t>32.4</w:t>
                  </w:r>
                </w:p>
              </w:tc>
              <w:tc>
                <w:tcPr>
                  <w:tcW w:w="1658" w:type="pct"/>
                  <w:tcBorders>
                    <w:tl2br w:val="nil"/>
                    <w:tr2bl w:val="nil"/>
                  </w:tcBorders>
                  <w:noWrap w:val="0"/>
                  <w:vAlign w:val="center"/>
                </w:tcPr>
                <w:p w14:paraId="5C45462E">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200</w:t>
                  </w:r>
                  <w:r>
                    <w:rPr>
                      <w:rFonts w:hint="default" w:ascii="Times New Roman" w:hAnsi="Times New Roman" w:eastAsia="宋体" w:cs="Times New Roman"/>
                      <w:color w:val="000000"/>
                      <w:sz w:val="21"/>
                      <w:szCs w:val="21"/>
                      <w:highlight w:val="none"/>
                    </w:rPr>
                    <w:t>mg/L</w:t>
                  </w:r>
                </w:p>
              </w:tc>
            </w:tr>
            <w:tr w14:paraId="0A789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5DE6A23E">
                  <w:pPr>
                    <w:keepNext w:val="0"/>
                    <w:keepLines w:val="0"/>
                    <w:suppressLineNumbers w:val="0"/>
                    <w:tabs>
                      <w:tab w:val="right" w:pos="9638"/>
                    </w:tabs>
                    <w:spacing w:before="0" w:beforeAutospacing="0" w:after="0" w:afterAutospacing="0"/>
                    <w:ind w:left="0" w:leftChars="0" w:right="0" w:rightChars="0"/>
                    <w:jc w:val="center"/>
                    <w:rPr>
                      <w:rFonts w:hint="eastAsia" w:ascii="Times New Roman" w:hAnsi="Times New Roman" w:eastAsia="宋体" w:cs="Times New Roman"/>
                      <w:color w:val="000000"/>
                      <w:sz w:val="21"/>
                      <w:szCs w:val="21"/>
                      <w:highlight w:val="none"/>
                      <w:lang w:eastAsia="zh-CN"/>
                    </w:rPr>
                  </w:pPr>
                  <w:r>
                    <w:rPr>
                      <w:rFonts w:hint="eastAsia" w:ascii="Times New Roman" w:hAnsi="Times New Roman" w:eastAsia="宋体" w:cs="Times New Roman"/>
                      <w:color w:val="000000"/>
                      <w:sz w:val="21"/>
                      <w:szCs w:val="21"/>
                      <w:highlight w:val="none"/>
                      <w:lang w:val="en-US" w:eastAsia="zh-CN"/>
                    </w:rPr>
                    <w:t>9</w:t>
                  </w:r>
                </w:p>
              </w:tc>
              <w:tc>
                <w:tcPr>
                  <w:tcW w:w="1420" w:type="pct"/>
                  <w:tcBorders>
                    <w:tl2br w:val="nil"/>
                    <w:tr2bl w:val="nil"/>
                  </w:tcBorders>
                  <w:noWrap w:val="0"/>
                  <w:vAlign w:val="center"/>
                </w:tcPr>
                <w:p w14:paraId="1FCC2C19">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挥发性酚类</w:t>
                  </w:r>
                </w:p>
              </w:tc>
              <w:tc>
                <w:tcPr>
                  <w:tcW w:w="1303" w:type="pct"/>
                  <w:tcBorders>
                    <w:tl2br w:val="nil"/>
                    <w:tr2bl w:val="nil"/>
                  </w:tcBorders>
                  <w:noWrap w:val="0"/>
                  <w:vAlign w:val="center"/>
                </w:tcPr>
                <w:p w14:paraId="17638C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eastAsia" w:ascii="Times New Roman" w:hAnsi="Times New Roman" w:eastAsia="宋体" w:cs="Times New Roman"/>
                      <w:color w:val="000000"/>
                      <w:sz w:val="21"/>
                      <w:szCs w:val="21"/>
                      <w:highlight w:val="none"/>
                      <w:lang w:val="en-US" w:eastAsia="zh-CN"/>
                    </w:rPr>
                    <w:t>0.</w:t>
                  </w:r>
                  <w:r>
                    <w:rPr>
                      <w:rFonts w:hint="eastAsia" w:eastAsia="宋体" w:cs="Times New Roman"/>
                      <w:color w:val="000000"/>
                      <w:sz w:val="21"/>
                      <w:szCs w:val="21"/>
                      <w:highlight w:val="none"/>
                      <w:lang w:val="en-US" w:eastAsia="zh-CN"/>
                    </w:rPr>
                    <w:t>0003L</w:t>
                  </w:r>
                </w:p>
              </w:tc>
              <w:tc>
                <w:tcPr>
                  <w:tcW w:w="1658" w:type="pct"/>
                  <w:tcBorders>
                    <w:tl2br w:val="nil"/>
                    <w:tr2bl w:val="nil"/>
                  </w:tcBorders>
                  <w:noWrap w:val="0"/>
                  <w:vAlign w:val="center"/>
                </w:tcPr>
                <w:p w14:paraId="795D5F8C">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0.002</w:t>
                  </w:r>
                  <w:r>
                    <w:rPr>
                      <w:rFonts w:hint="default" w:ascii="Times New Roman" w:hAnsi="Times New Roman" w:eastAsia="宋体" w:cs="Times New Roman"/>
                      <w:color w:val="000000"/>
                      <w:sz w:val="21"/>
                      <w:szCs w:val="21"/>
                      <w:highlight w:val="none"/>
                    </w:rPr>
                    <w:t>mg/L</w:t>
                  </w:r>
                </w:p>
              </w:tc>
            </w:tr>
            <w:tr w14:paraId="719DEC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2C7492F5">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w:t>
                  </w:r>
                </w:p>
              </w:tc>
              <w:tc>
                <w:tcPr>
                  <w:tcW w:w="1420" w:type="pct"/>
                  <w:tcBorders>
                    <w:tl2br w:val="nil"/>
                    <w:tr2bl w:val="nil"/>
                  </w:tcBorders>
                  <w:noWrap w:val="0"/>
                  <w:vAlign w:val="center"/>
                </w:tcPr>
                <w:p w14:paraId="20D4D2A8">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耗氧量</w:t>
                  </w:r>
                </w:p>
              </w:tc>
              <w:tc>
                <w:tcPr>
                  <w:tcW w:w="1303" w:type="pct"/>
                  <w:tcBorders>
                    <w:tl2br w:val="nil"/>
                    <w:tr2bl w:val="nil"/>
                  </w:tcBorders>
                  <w:noWrap w:val="0"/>
                  <w:vAlign w:val="center"/>
                </w:tcPr>
                <w:p w14:paraId="08F244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default" w:ascii="Times New Roman" w:hAnsi="Times New Roman" w:eastAsia="宋体" w:cs="Times New Roman"/>
                      <w:color w:val="000000"/>
                      <w:sz w:val="21"/>
                      <w:szCs w:val="21"/>
                      <w:highlight w:val="none"/>
                      <w:lang w:val="en-US" w:eastAsia="zh-CN"/>
                    </w:rPr>
                    <w:t>0.</w:t>
                  </w:r>
                  <w:r>
                    <w:rPr>
                      <w:rFonts w:hint="eastAsia" w:eastAsia="宋体" w:cs="Times New Roman"/>
                      <w:color w:val="000000"/>
                      <w:sz w:val="21"/>
                      <w:szCs w:val="21"/>
                      <w:highlight w:val="none"/>
                      <w:lang w:val="en-US" w:eastAsia="zh-CN"/>
                    </w:rPr>
                    <w:t>86</w:t>
                  </w:r>
                </w:p>
              </w:tc>
              <w:tc>
                <w:tcPr>
                  <w:tcW w:w="1658" w:type="pct"/>
                  <w:tcBorders>
                    <w:tl2br w:val="nil"/>
                    <w:tr2bl w:val="nil"/>
                  </w:tcBorders>
                  <w:noWrap w:val="0"/>
                  <w:vAlign w:val="center"/>
                </w:tcPr>
                <w:p w14:paraId="2FDC6644">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3</w:t>
                  </w:r>
                  <w:r>
                    <w:rPr>
                      <w:rFonts w:hint="default" w:ascii="Times New Roman" w:hAnsi="Times New Roman" w:eastAsia="宋体" w:cs="Times New Roman"/>
                      <w:color w:val="000000"/>
                      <w:sz w:val="21"/>
                      <w:szCs w:val="21"/>
                      <w:highlight w:val="none"/>
                    </w:rPr>
                    <w:t>mg/L</w:t>
                  </w:r>
                </w:p>
              </w:tc>
            </w:tr>
            <w:tr w14:paraId="4925DE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3A87C777">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11</w:t>
                  </w:r>
                </w:p>
              </w:tc>
              <w:tc>
                <w:tcPr>
                  <w:tcW w:w="1420" w:type="pct"/>
                  <w:tcBorders>
                    <w:tl2br w:val="nil"/>
                    <w:tr2bl w:val="nil"/>
                  </w:tcBorders>
                  <w:noWrap w:val="0"/>
                  <w:vAlign w:val="center"/>
                </w:tcPr>
                <w:p w14:paraId="51E2210C">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氨氮</w:t>
                  </w:r>
                </w:p>
              </w:tc>
              <w:tc>
                <w:tcPr>
                  <w:tcW w:w="1303" w:type="pct"/>
                  <w:tcBorders>
                    <w:tl2br w:val="nil"/>
                    <w:tr2bl w:val="nil"/>
                  </w:tcBorders>
                  <w:noWrap w:val="0"/>
                  <w:vAlign w:val="center"/>
                </w:tcPr>
                <w:p w14:paraId="22453C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0.</w:t>
                  </w:r>
                  <w:r>
                    <w:rPr>
                      <w:rFonts w:hint="eastAsia" w:eastAsia="宋体" w:cs="Times New Roman"/>
                      <w:color w:val="000000"/>
                      <w:sz w:val="21"/>
                      <w:szCs w:val="21"/>
                      <w:highlight w:val="none"/>
                      <w:lang w:val="en-US" w:eastAsia="zh-CN"/>
                    </w:rPr>
                    <w:t>102</w:t>
                  </w:r>
                </w:p>
              </w:tc>
              <w:tc>
                <w:tcPr>
                  <w:tcW w:w="1658" w:type="pct"/>
                  <w:tcBorders>
                    <w:tl2br w:val="nil"/>
                    <w:tr2bl w:val="nil"/>
                  </w:tcBorders>
                  <w:noWrap w:val="0"/>
                  <w:vAlign w:val="center"/>
                </w:tcPr>
                <w:p w14:paraId="50EE7FEA">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0.5</w:t>
                  </w:r>
                  <w:r>
                    <w:rPr>
                      <w:rFonts w:hint="default" w:ascii="Times New Roman" w:hAnsi="Times New Roman" w:eastAsia="宋体" w:cs="Times New Roman"/>
                      <w:color w:val="000000"/>
                      <w:sz w:val="21"/>
                      <w:szCs w:val="21"/>
                      <w:highlight w:val="none"/>
                    </w:rPr>
                    <w:t>mg/L</w:t>
                  </w:r>
                </w:p>
              </w:tc>
            </w:tr>
            <w:tr w14:paraId="097B0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0BDC4ACB">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12</w:t>
                  </w:r>
                </w:p>
              </w:tc>
              <w:tc>
                <w:tcPr>
                  <w:tcW w:w="1420" w:type="pct"/>
                  <w:tcBorders>
                    <w:tl2br w:val="nil"/>
                    <w:tr2bl w:val="nil"/>
                  </w:tcBorders>
                  <w:noWrap w:val="0"/>
                  <w:vAlign w:val="center"/>
                </w:tcPr>
                <w:p w14:paraId="38AE4A69">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硝酸盐</w:t>
                  </w:r>
                </w:p>
              </w:tc>
              <w:tc>
                <w:tcPr>
                  <w:tcW w:w="2305" w:type="dxa"/>
                  <w:tcBorders>
                    <w:tl2br w:val="nil"/>
                    <w:tr2bl w:val="nil"/>
                  </w:tcBorders>
                  <w:noWrap w:val="0"/>
                  <w:vAlign w:val="center"/>
                </w:tcPr>
                <w:p w14:paraId="1385085F">
                  <w:pPr>
                    <w:widowControl/>
                    <w:jc w:val="center"/>
                    <w:textAlignment w:val="center"/>
                    <w:rPr>
                      <w:rFonts w:hint="default" w:ascii="Times New Roman" w:hAnsi="Times New Roman" w:eastAsia="宋体" w:cs="Times New Roman"/>
                      <w:color w:val="000000"/>
                      <w:sz w:val="21"/>
                      <w:szCs w:val="21"/>
                      <w:highlight w:val="none"/>
                    </w:rPr>
                  </w:pPr>
                  <w:r>
                    <w:rPr>
                      <w:rFonts w:hint="eastAsia" w:ascii="Times New Roman" w:hAnsi="Times New Roman"/>
                      <w:color w:val="000000" w:themeColor="text1"/>
                      <w:kern w:val="0"/>
                      <w:szCs w:val="21"/>
                      <w:highlight w:val="none"/>
                      <w:lang w:val="en-US" w:eastAsia="zh-CN" w:bidi="ar"/>
                      <w14:textFill>
                        <w14:solidFill>
                          <w14:schemeClr w14:val="tx1"/>
                        </w14:solidFill>
                      </w14:textFill>
                    </w:rPr>
                    <w:t>10.4</w:t>
                  </w:r>
                </w:p>
              </w:tc>
              <w:tc>
                <w:tcPr>
                  <w:tcW w:w="1658" w:type="pct"/>
                  <w:tcBorders>
                    <w:tl2br w:val="nil"/>
                    <w:tr2bl w:val="nil"/>
                  </w:tcBorders>
                  <w:noWrap w:val="0"/>
                  <w:vAlign w:val="center"/>
                </w:tcPr>
                <w:p w14:paraId="5F5A8DB9">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20</w:t>
                  </w:r>
                  <w:r>
                    <w:rPr>
                      <w:rFonts w:hint="default" w:ascii="Times New Roman" w:hAnsi="Times New Roman" w:eastAsia="宋体" w:cs="Times New Roman"/>
                      <w:color w:val="000000"/>
                      <w:sz w:val="21"/>
                      <w:szCs w:val="21"/>
                      <w:highlight w:val="none"/>
                    </w:rPr>
                    <w:t>mg/L</w:t>
                  </w:r>
                </w:p>
              </w:tc>
            </w:tr>
            <w:tr w14:paraId="366521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57F6EE25">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13</w:t>
                  </w:r>
                </w:p>
              </w:tc>
              <w:tc>
                <w:tcPr>
                  <w:tcW w:w="1420" w:type="pct"/>
                  <w:tcBorders>
                    <w:tl2br w:val="nil"/>
                    <w:tr2bl w:val="nil"/>
                  </w:tcBorders>
                  <w:noWrap w:val="0"/>
                  <w:vAlign w:val="center"/>
                </w:tcPr>
                <w:p w14:paraId="2B75600F">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亚硝酸盐</w:t>
                  </w:r>
                </w:p>
              </w:tc>
              <w:tc>
                <w:tcPr>
                  <w:tcW w:w="2305" w:type="dxa"/>
                  <w:tcBorders>
                    <w:tl2br w:val="nil"/>
                    <w:tr2bl w:val="nil"/>
                  </w:tcBorders>
                  <w:noWrap w:val="0"/>
                  <w:vAlign w:val="center"/>
                </w:tcPr>
                <w:p w14:paraId="23489891">
                  <w:pPr>
                    <w:widowControl/>
                    <w:jc w:val="center"/>
                    <w:textAlignment w:val="center"/>
                    <w:rPr>
                      <w:rFonts w:hint="default" w:ascii="Times New Roman" w:hAnsi="Times New Roman" w:eastAsia="宋体" w:cs="Times New Roman"/>
                      <w:color w:val="000000"/>
                      <w:sz w:val="21"/>
                      <w:szCs w:val="21"/>
                      <w:highlight w:val="none"/>
                      <w:lang w:val="en-US"/>
                    </w:rPr>
                  </w:pPr>
                  <w:r>
                    <w:rPr>
                      <w:rFonts w:hint="eastAsia" w:ascii="Times New Roman" w:hAnsi="Times New Roman"/>
                      <w:color w:val="000000" w:themeColor="text1"/>
                      <w:kern w:val="0"/>
                      <w:szCs w:val="21"/>
                      <w:highlight w:val="none"/>
                      <w:lang w:val="en-US" w:eastAsia="zh-CN" w:bidi="ar"/>
                      <w14:textFill>
                        <w14:solidFill>
                          <w14:schemeClr w14:val="tx1"/>
                        </w14:solidFill>
                      </w14:textFill>
                    </w:rPr>
                    <w:t>0.001L</w:t>
                  </w:r>
                </w:p>
              </w:tc>
              <w:tc>
                <w:tcPr>
                  <w:tcW w:w="1658" w:type="pct"/>
                  <w:tcBorders>
                    <w:tl2br w:val="nil"/>
                    <w:tr2bl w:val="nil"/>
                  </w:tcBorders>
                  <w:noWrap w:val="0"/>
                  <w:vAlign w:val="center"/>
                </w:tcPr>
                <w:p w14:paraId="1D4D1BAB">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w:t>
                  </w:r>
                  <w:r>
                    <w:rPr>
                      <w:rFonts w:hint="default" w:ascii="Times New Roman" w:hAnsi="Times New Roman" w:eastAsia="宋体" w:cs="Times New Roman"/>
                      <w:color w:val="000000"/>
                      <w:sz w:val="21"/>
                      <w:szCs w:val="21"/>
                      <w:highlight w:val="none"/>
                    </w:rPr>
                    <w:t>mg/L</w:t>
                  </w:r>
                </w:p>
              </w:tc>
            </w:tr>
            <w:tr w14:paraId="46D30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56F3F9DD">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14</w:t>
                  </w:r>
                </w:p>
              </w:tc>
              <w:tc>
                <w:tcPr>
                  <w:tcW w:w="1420" w:type="pct"/>
                  <w:tcBorders>
                    <w:tl2br w:val="nil"/>
                    <w:tr2bl w:val="nil"/>
                  </w:tcBorders>
                  <w:noWrap w:val="0"/>
                  <w:vAlign w:val="center"/>
                </w:tcPr>
                <w:p w14:paraId="5B606308">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硫化物</w:t>
                  </w:r>
                </w:p>
              </w:tc>
              <w:tc>
                <w:tcPr>
                  <w:tcW w:w="1303" w:type="pct"/>
                  <w:tcBorders>
                    <w:tl2br w:val="nil"/>
                    <w:tr2bl w:val="nil"/>
                  </w:tcBorders>
                  <w:noWrap w:val="0"/>
                  <w:vAlign w:val="center"/>
                </w:tcPr>
                <w:p w14:paraId="326ED0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rPr>
                  </w:pPr>
                  <w:r>
                    <w:rPr>
                      <w:rFonts w:hint="eastAsia" w:ascii="Times New Roman" w:hAnsi="Times New Roman"/>
                      <w:color w:val="000000" w:themeColor="text1"/>
                      <w:kern w:val="0"/>
                      <w:szCs w:val="21"/>
                      <w:highlight w:val="none"/>
                      <w:lang w:val="en-US" w:eastAsia="zh-CN" w:bidi="ar"/>
                      <w14:textFill>
                        <w14:solidFill>
                          <w14:schemeClr w14:val="tx1"/>
                        </w14:solidFill>
                      </w14:textFill>
                    </w:rPr>
                    <w:t>0.003L</w:t>
                  </w:r>
                </w:p>
              </w:tc>
              <w:tc>
                <w:tcPr>
                  <w:tcW w:w="1658" w:type="pct"/>
                  <w:tcBorders>
                    <w:tl2br w:val="nil"/>
                    <w:tr2bl w:val="nil"/>
                  </w:tcBorders>
                  <w:noWrap w:val="0"/>
                  <w:vAlign w:val="center"/>
                </w:tcPr>
                <w:p w14:paraId="6907C659">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0.02</w:t>
                  </w:r>
                  <w:r>
                    <w:rPr>
                      <w:rFonts w:hint="default" w:ascii="Times New Roman" w:hAnsi="Times New Roman" w:eastAsia="宋体" w:cs="Times New Roman"/>
                      <w:color w:val="000000"/>
                      <w:sz w:val="21"/>
                      <w:szCs w:val="21"/>
                      <w:highlight w:val="none"/>
                    </w:rPr>
                    <w:t>mg/L</w:t>
                  </w:r>
                </w:p>
              </w:tc>
            </w:tr>
            <w:tr w14:paraId="4518AD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655118D6">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15</w:t>
                  </w:r>
                </w:p>
              </w:tc>
              <w:tc>
                <w:tcPr>
                  <w:tcW w:w="1420" w:type="pct"/>
                  <w:tcBorders>
                    <w:tl2br w:val="nil"/>
                    <w:tr2bl w:val="nil"/>
                  </w:tcBorders>
                  <w:noWrap w:val="0"/>
                  <w:vAlign w:val="center"/>
                </w:tcPr>
                <w:p w14:paraId="043483AF">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氰化物</w:t>
                  </w:r>
                </w:p>
              </w:tc>
              <w:tc>
                <w:tcPr>
                  <w:tcW w:w="2305" w:type="dxa"/>
                  <w:tcBorders>
                    <w:tl2br w:val="nil"/>
                    <w:tr2bl w:val="nil"/>
                  </w:tcBorders>
                  <w:noWrap w:val="0"/>
                  <w:vAlign w:val="center"/>
                </w:tcPr>
                <w:p w14:paraId="408262F5">
                  <w:pPr>
                    <w:widowControl/>
                    <w:spacing w:line="240" w:lineRule="atLeast"/>
                    <w:jc w:val="center"/>
                    <w:textAlignment w:val="center"/>
                    <w:rPr>
                      <w:rFonts w:hint="default" w:ascii="Times New Roman" w:hAnsi="Times New Roman" w:eastAsia="宋体" w:cs="Times New Roman"/>
                      <w:color w:val="000000"/>
                      <w:sz w:val="21"/>
                      <w:szCs w:val="21"/>
                      <w:highlight w:val="none"/>
                    </w:rPr>
                  </w:pPr>
                  <w:r>
                    <w:rPr>
                      <w:rFonts w:hint="eastAsia" w:ascii="Times New Roman" w:hAnsi="Times New Roman"/>
                      <w:color w:val="000000" w:themeColor="text1"/>
                      <w:szCs w:val="21"/>
                      <w:highlight w:val="none"/>
                      <w:lang w:val="en-US" w:eastAsia="zh-CN"/>
                      <w14:textFill>
                        <w14:solidFill>
                          <w14:schemeClr w14:val="tx1"/>
                        </w14:solidFill>
                      </w14:textFill>
                    </w:rPr>
                    <w:t>0.002L</w:t>
                  </w:r>
                </w:p>
              </w:tc>
              <w:tc>
                <w:tcPr>
                  <w:tcW w:w="1658" w:type="pct"/>
                  <w:tcBorders>
                    <w:tl2br w:val="nil"/>
                    <w:tr2bl w:val="nil"/>
                  </w:tcBorders>
                  <w:noWrap w:val="0"/>
                  <w:vAlign w:val="center"/>
                </w:tcPr>
                <w:p w14:paraId="174AD6F4">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0.05</w:t>
                  </w:r>
                  <w:r>
                    <w:rPr>
                      <w:rFonts w:hint="default" w:ascii="Times New Roman" w:hAnsi="Times New Roman" w:eastAsia="宋体" w:cs="Times New Roman"/>
                      <w:color w:val="000000"/>
                      <w:sz w:val="21"/>
                      <w:szCs w:val="21"/>
                      <w:highlight w:val="none"/>
                    </w:rPr>
                    <w:t>mg/L</w:t>
                  </w:r>
                </w:p>
              </w:tc>
            </w:tr>
            <w:tr w14:paraId="71EA76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61368B05">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16</w:t>
                  </w:r>
                </w:p>
              </w:tc>
              <w:tc>
                <w:tcPr>
                  <w:tcW w:w="1420" w:type="pct"/>
                  <w:tcBorders>
                    <w:tl2br w:val="nil"/>
                    <w:tr2bl w:val="nil"/>
                  </w:tcBorders>
                  <w:noWrap w:val="0"/>
                  <w:vAlign w:val="center"/>
                </w:tcPr>
                <w:p w14:paraId="4BF0393C">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氟化物</w:t>
                  </w:r>
                </w:p>
              </w:tc>
              <w:tc>
                <w:tcPr>
                  <w:tcW w:w="2305" w:type="dxa"/>
                  <w:tcBorders>
                    <w:tl2br w:val="nil"/>
                    <w:tr2bl w:val="nil"/>
                  </w:tcBorders>
                  <w:noWrap w:val="0"/>
                  <w:vAlign w:val="center"/>
                </w:tcPr>
                <w:p w14:paraId="7EE5CB32">
                  <w:pPr>
                    <w:widowControl/>
                    <w:spacing w:line="240" w:lineRule="atLeast"/>
                    <w:jc w:val="center"/>
                    <w:textAlignment w:val="center"/>
                    <w:rPr>
                      <w:rFonts w:hint="default" w:ascii="Times New Roman" w:hAnsi="Times New Roman" w:eastAsia="宋体" w:cs="Times New Roman"/>
                      <w:color w:val="000000"/>
                      <w:sz w:val="21"/>
                      <w:szCs w:val="21"/>
                      <w:highlight w:val="none"/>
                    </w:rPr>
                  </w:pPr>
                  <w:r>
                    <w:rPr>
                      <w:rFonts w:hint="eastAsia" w:ascii="Times New Roman" w:hAnsi="Times New Roman"/>
                      <w:color w:val="000000" w:themeColor="text1"/>
                      <w:kern w:val="0"/>
                      <w:szCs w:val="21"/>
                      <w:highlight w:val="none"/>
                      <w:lang w:val="en-US" w:eastAsia="zh-CN" w:bidi="ar"/>
                      <w14:textFill>
                        <w14:solidFill>
                          <w14:schemeClr w14:val="tx1"/>
                        </w14:solidFill>
                      </w14:textFill>
                    </w:rPr>
                    <w:t>0.11</w:t>
                  </w:r>
                </w:p>
              </w:tc>
              <w:tc>
                <w:tcPr>
                  <w:tcW w:w="1658" w:type="pct"/>
                  <w:tcBorders>
                    <w:tl2br w:val="nil"/>
                    <w:tr2bl w:val="nil"/>
                  </w:tcBorders>
                  <w:noWrap w:val="0"/>
                  <w:vAlign w:val="center"/>
                </w:tcPr>
                <w:p w14:paraId="4CF0C021">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w:t>
                  </w:r>
                  <w:r>
                    <w:rPr>
                      <w:rFonts w:hint="default" w:ascii="Times New Roman" w:hAnsi="Times New Roman" w:eastAsia="宋体" w:cs="Times New Roman"/>
                      <w:color w:val="000000"/>
                      <w:sz w:val="21"/>
                      <w:szCs w:val="21"/>
                      <w:highlight w:val="none"/>
                    </w:rPr>
                    <w:t>mg/L</w:t>
                  </w:r>
                </w:p>
              </w:tc>
            </w:tr>
            <w:tr w14:paraId="28F4E1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7B9FCE10">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17</w:t>
                  </w:r>
                </w:p>
              </w:tc>
              <w:tc>
                <w:tcPr>
                  <w:tcW w:w="1420" w:type="pct"/>
                  <w:tcBorders>
                    <w:tl2br w:val="nil"/>
                    <w:tr2bl w:val="nil"/>
                  </w:tcBorders>
                  <w:noWrap w:val="0"/>
                  <w:vAlign w:val="center"/>
                </w:tcPr>
                <w:p w14:paraId="7AAADE4B">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汞</w:t>
                  </w:r>
                </w:p>
              </w:tc>
              <w:tc>
                <w:tcPr>
                  <w:tcW w:w="1303" w:type="pct"/>
                  <w:tcBorders>
                    <w:tl2br w:val="nil"/>
                    <w:tr2bl w:val="nil"/>
                  </w:tcBorders>
                  <w:noWrap w:val="0"/>
                  <w:vAlign w:val="center"/>
                </w:tcPr>
                <w:p w14:paraId="4F572E6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0.0</w:t>
                  </w:r>
                  <w:r>
                    <w:rPr>
                      <w:rFonts w:hint="eastAsia" w:eastAsia="宋体" w:cs="Times New Roman"/>
                      <w:color w:val="000000"/>
                      <w:sz w:val="21"/>
                      <w:szCs w:val="21"/>
                      <w:highlight w:val="none"/>
                      <w:lang w:val="en-US" w:eastAsia="zh-CN"/>
                    </w:rPr>
                    <w:t>4L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4602C25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w:t>
                  </w:r>
                  <w:r>
                    <w:rPr>
                      <w:rFonts w:hint="default" w:ascii="Times New Roman" w:hAnsi="Times New Roman" w:eastAsia="宋体" w:cs="Times New Roman"/>
                      <w:color w:val="000000"/>
                      <w:sz w:val="21"/>
                      <w:szCs w:val="21"/>
                      <w:highlight w:val="none"/>
                    </w:rPr>
                    <w:t>μg/L</w:t>
                  </w:r>
                </w:p>
              </w:tc>
            </w:tr>
            <w:tr w14:paraId="3D7A98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137040CB">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18</w:t>
                  </w:r>
                </w:p>
              </w:tc>
              <w:tc>
                <w:tcPr>
                  <w:tcW w:w="1420" w:type="pct"/>
                  <w:tcBorders>
                    <w:tl2br w:val="nil"/>
                    <w:tr2bl w:val="nil"/>
                  </w:tcBorders>
                  <w:noWrap w:val="0"/>
                  <w:vAlign w:val="center"/>
                </w:tcPr>
                <w:p w14:paraId="4428A4A5">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砷</w:t>
                  </w:r>
                </w:p>
              </w:tc>
              <w:tc>
                <w:tcPr>
                  <w:tcW w:w="1303" w:type="pct"/>
                  <w:tcBorders>
                    <w:tl2br w:val="nil"/>
                    <w:tr2bl w:val="nil"/>
                  </w:tcBorders>
                  <w:noWrap w:val="0"/>
                  <w:vAlign w:val="bottom"/>
                </w:tcPr>
                <w:p w14:paraId="3FF41A1C">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color w:val="000000"/>
                      <w:sz w:val="21"/>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0.</w:t>
                  </w:r>
                  <w:r>
                    <w:rPr>
                      <w:rFonts w:hint="eastAsia" w:eastAsia="宋体" w:cs="Times New Roman"/>
                      <w:i w:val="0"/>
                      <w:iCs w:val="0"/>
                      <w:color w:val="000000"/>
                      <w:kern w:val="0"/>
                      <w:sz w:val="21"/>
                      <w:szCs w:val="21"/>
                      <w:highlight w:val="none"/>
                      <w:u w:val="none"/>
                      <w:lang w:val="en-US" w:eastAsia="zh-CN" w:bidi="ar"/>
                    </w:rPr>
                    <w:t>3</w:t>
                  </w:r>
                  <w:r>
                    <w:rPr>
                      <w:rFonts w:hint="eastAsia" w:eastAsia="宋体" w:cs="Times New Roman"/>
                      <w:color w:val="000000"/>
                      <w:sz w:val="21"/>
                      <w:szCs w:val="21"/>
                      <w:highlight w:val="none"/>
                      <w:lang w:val="en-US" w:eastAsia="zh-CN"/>
                    </w:rPr>
                    <w:t>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258B8EB8">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w:t>
                  </w:r>
                  <w:r>
                    <w:rPr>
                      <w:rFonts w:hint="default" w:ascii="Times New Roman" w:hAnsi="Times New Roman" w:eastAsia="宋体" w:cs="Times New Roman"/>
                      <w:color w:val="000000"/>
                      <w:sz w:val="21"/>
                      <w:szCs w:val="21"/>
                      <w:highlight w:val="none"/>
                    </w:rPr>
                    <w:t>μg/L</w:t>
                  </w:r>
                </w:p>
              </w:tc>
            </w:tr>
            <w:tr w14:paraId="25455C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271DF2CC">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19</w:t>
                  </w:r>
                </w:p>
              </w:tc>
              <w:tc>
                <w:tcPr>
                  <w:tcW w:w="1420" w:type="pct"/>
                  <w:tcBorders>
                    <w:tl2br w:val="nil"/>
                    <w:tr2bl w:val="nil"/>
                  </w:tcBorders>
                  <w:noWrap w:val="0"/>
                  <w:vAlign w:val="center"/>
                </w:tcPr>
                <w:p w14:paraId="66A64B9B">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硒</w:t>
                  </w:r>
                </w:p>
              </w:tc>
              <w:tc>
                <w:tcPr>
                  <w:tcW w:w="1303" w:type="pct"/>
                  <w:tcBorders>
                    <w:tl2br w:val="nil"/>
                    <w:tr2bl w:val="nil"/>
                  </w:tcBorders>
                  <w:noWrap w:val="0"/>
                  <w:vAlign w:val="bottom"/>
                </w:tcPr>
                <w:p w14:paraId="3FF5994E">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eastAsia="宋体" w:cs="Times New Roman"/>
                      <w:i w:val="0"/>
                      <w:iCs w:val="0"/>
                      <w:color w:val="000000"/>
                      <w:kern w:val="0"/>
                      <w:sz w:val="21"/>
                      <w:szCs w:val="21"/>
                      <w:highlight w:val="none"/>
                      <w:u w:val="none"/>
                      <w:lang w:val="en-US" w:eastAsia="zh-CN" w:bidi="ar"/>
                    </w:rPr>
                    <w:t>0.4</w:t>
                  </w:r>
                  <w:r>
                    <w:rPr>
                      <w:rFonts w:hint="eastAsia" w:eastAsia="宋体" w:cs="Times New Roman"/>
                      <w:color w:val="000000"/>
                      <w:sz w:val="21"/>
                      <w:szCs w:val="21"/>
                      <w:highlight w:val="none"/>
                      <w:lang w:val="en-US" w:eastAsia="zh-CN"/>
                    </w:rPr>
                    <w:t>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194DBBAC">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w:t>
                  </w:r>
                  <w:r>
                    <w:rPr>
                      <w:rFonts w:hint="default" w:ascii="Times New Roman" w:hAnsi="Times New Roman" w:eastAsia="宋体" w:cs="Times New Roman"/>
                      <w:color w:val="000000"/>
                      <w:sz w:val="21"/>
                      <w:szCs w:val="21"/>
                      <w:highlight w:val="none"/>
                    </w:rPr>
                    <w:t>μg/L</w:t>
                  </w:r>
                </w:p>
              </w:tc>
            </w:tr>
            <w:tr w14:paraId="4F5F0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4C9F85C7">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20</w:t>
                  </w:r>
                </w:p>
              </w:tc>
              <w:tc>
                <w:tcPr>
                  <w:tcW w:w="1420" w:type="pct"/>
                  <w:tcBorders>
                    <w:tl2br w:val="nil"/>
                    <w:tr2bl w:val="nil"/>
                  </w:tcBorders>
                  <w:noWrap w:val="0"/>
                  <w:vAlign w:val="center"/>
                </w:tcPr>
                <w:p w14:paraId="13393ABD">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镉</w:t>
                  </w:r>
                </w:p>
              </w:tc>
              <w:tc>
                <w:tcPr>
                  <w:tcW w:w="1303" w:type="pct"/>
                  <w:tcBorders>
                    <w:tl2br w:val="nil"/>
                    <w:tr2bl w:val="nil"/>
                  </w:tcBorders>
                  <w:noWrap w:val="0"/>
                  <w:vAlign w:val="center"/>
                </w:tcPr>
                <w:p w14:paraId="4B5490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0.05</w:t>
                  </w:r>
                  <w:r>
                    <w:rPr>
                      <w:rFonts w:hint="eastAsia" w:ascii="Times New Roman" w:hAnsi="Times New Roman" w:eastAsia="宋体" w:cs="Times New Roman"/>
                      <w:i w:val="0"/>
                      <w:iCs w:val="0"/>
                      <w:color w:val="auto"/>
                      <w:kern w:val="0"/>
                      <w:sz w:val="21"/>
                      <w:szCs w:val="21"/>
                      <w:highlight w:val="none"/>
                      <w:u w:val="none"/>
                      <w:lang w:val="en-US" w:eastAsia="zh-CN" w:bidi="ar"/>
                    </w:rPr>
                    <w:t>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601A7177">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5</w:t>
                  </w:r>
                  <w:r>
                    <w:rPr>
                      <w:rFonts w:hint="default" w:ascii="Times New Roman" w:hAnsi="Times New Roman" w:eastAsia="宋体" w:cs="Times New Roman"/>
                      <w:color w:val="000000"/>
                      <w:sz w:val="21"/>
                      <w:szCs w:val="21"/>
                      <w:highlight w:val="none"/>
                    </w:rPr>
                    <w:t>μg/L</w:t>
                  </w:r>
                </w:p>
              </w:tc>
            </w:tr>
            <w:tr w14:paraId="4AF7C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21BE49FD">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21</w:t>
                  </w:r>
                </w:p>
              </w:tc>
              <w:tc>
                <w:tcPr>
                  <w:tcW w:w="1420" w:type="pct"/>
                  <w:tcBorders>
                    <w:tl2br w:val="nil"/>
                    <w:tr2bl w:val="nil"/>
                  </w:tcBorders>
                  <w:noWrap w:val="0"/>
                  <w:vAlign w:val="center"/>
                </w:tcPr>
                <w:p w14:paraId="6B5AD548">
                  <w:pPr>
                    <w:keepNext w:val="0"/>
                    <w:keepLines w:val="0"/>
                    <w:suppressLineNumbers w:val="0"/>
                    <w:tabs>
                      <w:tab w:val="right" w:pos="9638"/>
                    </w:tabs>
                    <w:spacing w:before="0" w:beforeAutospacing="0" w:after="0" w:afterAutospacing="0"/>
                    <w:ind w:left="0" w:right="0"/>
                    <w:jc w:val="center"/>
                    <w:rPr>
                      <w:rFonts w:hint="eastAsia"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铍</w:t>
                  </w:r>
                </w:p>
              </w:tc>
              <w:tc>
                <w:tcPr>
                  <w:tcW w:w="1303" w:type="pct"/>
                  <w:tcBorders>
                    <w:tl2br w:val="nil"/>
                    <w:tr2bl w:val="nil"/>
                  </w:tcBorders>
                  <w:noWrap w:val="0"/>
                  <w:vAlign w:val="center"/>
                </w:tcPr>
                <w:p w14:paraId="7F200580">
                  <w:pPr>
                    <w:widowControl/>
                    <w:spacing w:line="240" w:lineRule="atLeas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0.04L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7FB7E367">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0.002</w:t>
                  </w:r>
                  <w:r>
                    <w:rPr>
                      <w:rFonts w:hint="default" w:ascii="Times New Roman" w:hAnsi="Times New Roman" w:eastAsia="宋体" w:cs="Times New Roman"/>
                      <w:color w:val="000000"/>
                      <w:sz w:val="21"/>
                      <w:szCs w:val="21"/>
                      <w:highlight w:val="none"/>
                    </w:rPr>
                    <w:t>mg/L</w:t>
                  </w:r>
                </w:p>
              </w:tc>
            </w:tr>
            <w:tr w14:paraId="6F0C59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4430A36B">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22</w:t>
                  </w:r>
                </w:p>
              </w:tc>
              <w:tc>
                <w:tcPr>
                  <w:tcW w:w="1420" w:type="pct"/>
                  <w:tcBorders>
                    <w:tl2br w:val="nil"/>
                    <w:tr2bl w:val="nil"/>
                  </w:tcBorders>
                  <w:noWrap w:val="0"/>
                  <w:vAlign w:val="center"/>
                </w:tcPr>
                <w:p w14:paraId="6BDEC3EE">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钴</w:t>
                  </w:r>
                </w:p>
              </w:tc>
              <w:tc>
                <w:tcPr>
                  <w:tcW w:w="1303" w:type="pct"/>
                  <w:tcBorders>
                    <w:tl2br w:val="nil"/>
                    <w:tr2bl w:val="nil"/>
                  </w:tcBorders>
                  <w:noWrap w:val="0"/>
                  <w:vAlign w:val="center"/>
                </w:tcPr>
                <w:p w14:paraId="207F9409">
                  <w:pPr>
                    <w:widowControl/>
                    <w:spacing w:line="240" w:lineRule="atLeas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0.03L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22947FF3">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50</w:t>
                  </w:r>
                  <w:r>
                    <w:rPr>
                      <w:rFonts w:hint="default" w:ascii="Times New Roman" w:hAnsi="Times New Roman" w:eastAsia="宋体" w:cs="Times New Roman"/>
                      <w:color w:val="000000"/>
                      <w:sz w:val="21"/>
                      <w:szCs w:val="21"/>
                      <w:highlight w:val="none"/>
                    </w:rPr>
                    <w:t>μg/L</w:t>
                  </w:r>
                </w:p>
              </w:tc>
            </w:tr>
            <w:tr w14:paraId="61BF11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2B68177A">
                  <w:pPr>
                    <w:keepNext w:val="0"/>
                    <w:keepLines w:val="0"/>
                    <w:suppressLineNumbers w:val="0"/>
                    <w:tabs>
                      <w:tab w:val="right" w:pos="9638"/>
                    </w:tabs>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2</w:t>
                  </w:r>
                  <w:r>
                    <w:rPr>
                      <w:rFonts w:hint="eastAsia" w:ascii="Times New Roman" w:hAnsi="Times New Roman" w:eastAsia="宋体" w:cs="Times New Roman"/>
                      <w:color w:val="000000"/>
                      <w:sz w:val="21"/>
                      <w:szCs w:val="21"/>
                      <w:highlight w:val="none"/>
                      <w:lang w:val="en-US" w:eastAsia="zh-CN"/>
                    </w:rPr>
                    <w:t>3</w:t>
                  </w:r>
                </w:p>
              </w:tc>
              <w:tc>
                <w:tcPr>
                  <w:tcW w:w="1420" w:type="pct"/>
                  <w:tcBorders>
                    <w:tl2br w:val="nil"/>
                    <w:tr2bl w:val="nil"/>
                  </w:tcBorders>
                  <w:noWrap w:val="0"/>
                  <w:vAlign w:val="center"/>
                </w:tcPr>
                <w:p w14:paraId="0B34BB23">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铬（六价）</w:t>
                  </w:r>
                </w:p>
              </w:tc>
              <w:tc>
                <w:tcPr>
                  <w:tcW w:w="1303" w:type="pct"/>
                  <w:tcBorders>
                    <w:tl2br w:val="nil"/>
                    <w:tr2bl w:val="nil"/>
                  </w:tcBorders>
                  <w:noWrap w:val="0"/>
                  <w:vAlign w:val="center"/>
                </w:tcPr>
                <w:p w14:paraId="2AA9B0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0.</w:t>
                  </w:r>
                  <w:r>
                    <w:rPr>
                      <w:rFonts w:hint="default" w:ascii="Times New Roman" w:hAnsi="Times New Roman" w:eastAsia="宋体" w:cs="Times New Roman"/>
                      <w:color w:val="000000"/>
                      <w:sz w:val="21"/>
                      <w:szCs w:val="21"/>
                      <w:highlight w:val="none"/>
                      <w:lang w:val="en-US" w:eastAsia="zh-CN"/>
                    </w:rPr>
                    <w:t>0</w:t>
                  </w:r>
                  <w:r>
                    <w:rPr>
                      <w:rFonts w:hint="eastAsia"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rPr>
                    <w:t>4</w:t>
                  </w:r>
                  <w:r>
                    <w:rPr>
                      <w:rFonts w:hint="default" w:ascii="Times New Roman" w:hAnsi="Times New Roman" w:eastAsia="楷体" w:cs="Times New Roman"/>
                      <w:color w:val="auto"/>
                      <w:kern w:val="2"/>
                      <w:sz w:val="21"/>
                      <w:szCs w:val="21"/>
                      <w:highlight w:val="none"/>
                      <w:lang w:val="en-US" w:eastAsia="zh-CN" w:bidi="ar-SA"/>
                    </w:rPr>
                    <w:t>L</w:t>
                  </w:r>
                </w:p>
              </w:tc>
              <w:tc>
                <w:tcPr>
                  <w:tcW w:w="1658" w:type="pct"/>
                  <w:tcBorders>
                    <w:tl2br w:val="nil"/>
                    <w:tr2bl w:val="nil"/>
                  </w:tcBorders>
                  <w:noWrap w:val="0"/>
                  <w:vAlign w:val="center"/>
                </w:tcPr>
                <w:p w14:paraId="75C22661">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0.05</w:t>
                  </w:r>
                  <w:r>
                    <w:rPr>
                      <w:rFonts w:hint="default" w:ascii="Times New Roman" w:hAnsi="Times New Roman" w:eastAsia="宋体" w:cs="Times New Roman"/>
                      <w:color w:val="000000"/>
                      <w:sz w:val="21"/>
                      <w:szCs w:val="21"/>
                      <w:highlight w:val="none"/>
                    </w:rPr>
                    <w:t>mg/L</w:t>
                  </w:r>
                </w:p>
              </w:tc>
            </w:tr>
            <w:tr w14:paraId="74449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05E2EF32">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24</w:t>
                  </w:r>
                </w:p>
              </w:tc>
              <w:tc>
                <w:tcPr>
                  <w:tcW w:w="1420" w:type="pct"/>
                  <w:tcBorders>
                    <w:tl2br w:val="nil"/>
                    <w:tr2bl w:val="nil"/>
                  </w:tcBorders>
                  <w:noWrap w:val="0"/>
                  <w:vAlign w:val="center"/>
                </w:tcPr>
                <w:p w14:paraId="2265CA78">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镍</w:t>
                  </w:r>
                </w:p>
              </w:tc>
              <w:tc>
                <w:tcPr>
                  <w:tcW w:w="1303" w:type="pct"/>
                  <w:tcBorders>
                    <w:tl2br w:val="nil"/>
                    <w:tr2bl w:val="nil"/>
                  </w:tcBorders>
                  <w:noWrap w:val="0"/>
                  <w:vAlign w:val="center"/>
                </w:tcPr>
                <w:p w14:paraId="2D1343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楷体" w:cs="Times New Roman"/>
                      <w:color w:val="auto"/>
                      <w:kern w:val="2"/>
                      <w:sz w:val="21"/>
                      <w:szCs w:val="21"/>
                      <w:highlight w:val="none"/>
                      <w:lang w:val="en-US" w:eastAsia="zh-CN" w:bidi="ar-SA"/>
                    </w:rPr>
                    <w:t>0.06</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52A25F33">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20</w:t>
                  </w:r>
                  <w:r>
                    <w:rPr>
                      <w:rFonts w:hint="default" w:ascii="Times New Roman" w:hAnsi="Times New Roman" w:eastAsia="宋体" w:cs="Times New Roman"/>
                      <w:color w:val="000000"/>
                      <w:sz w:val="21"/>
                      <w:szCs w:val="21"/>
                      <w:highlight w:val="none"/>
                    </w:rPr>
                    <w:t>μg/L</w:t>
                  </w:r>
                </w:p>
              </w:tc>
            </w:tr>
            <w:tr w14:paraId="22F36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1D2E9E47">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25</w:t>
                  </w:r>
                </w:p>
              </w:tc>
              <w:tc>
                <w:tcPr>
                  <w:tcW w:w="1420" w:type="pct"/>
                  <w:tcBorders>
                    <w:tl2br w:val="nil"/>
                    <w:tr2bl w:val="nil"/>
                  </w:tcBorders>
                  <w:noWrap w:val="0"/>
                  <w:vAlign w:val="center"/>
                </w:tcPr>
                <w:p w14:paraId="5DA58324">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铜</w:t>
                  </w:r>
                </w:p>
              </w:tc>
              <w:tc>
                <w:tcPr>
                  <w:tcW w:w="1303" w:type="pct"/>
                  <w:tcBorders>
                    <w:tl2br w:val="nil"/>
                    <w:tr2bl w:val="nil"/>
                  </w:tcBorders>
                  <w:noWrap w:val="0"/>
                  <w:vAlign w:val="center"/>
                </w:tcPr>
                <w:p w14:paraId="41D2F7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eastAsia" w:eastAsia="宋体" w:cs="Times New Roman"/>
                      <w:i w:val="0"/>
                      <w:iCs w:val="0"/>
                      <w:color w:val="000000"/>
                      <w:kern w:val="0"/>
                      <w:sz w:val="21"/>
                      <w:szCs w:val="21"/>
                      <w:highlight w:val="none"/>
                      <w:u w:val="none"/>
                      <w:lang w:val="en-US" w:eastAsia="zh-CN" w:bidi="ar"/>
                    </w:rPr>
                    <w:t>0.05L</w:t>
                  </w:r>
                </w:p>
              </w:tc>
              <w:tc>
                <w:tcPr>
                  <w:tcW w:w="1658" w:type="pct"/>
                  <w:tcBorders>
                    <w:tl2br w:val="nil"/>
                    <w:tr2bl w:val="nil"/>
                  </w:tcBorders>
                  <w:noWrap w:val="0"/>
                  <w:vAlign w:val="center"/>
                </w:tcPr>
                <w:p w14:paraId="0316BD3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1000</w:t>
                  </w:r>
                  <w:r>
                    <w:rPr>
                      <w:rFonts w:hint="default" w:ascii="Times New Roman" w:hAnsi="Times New Roman" w:eastAsia="宋体" w:cs="Times New Roman"/>
                      <w:color w:val="000000"/>
                      <w:sz w:val="21"/>
                      <w:szCs w:val="21"/>
                      <w:highlight w:val="none"/>
                    </w:rPr>
                    <w:t>μg/L</w:t>
                  </w:r>
                </w:p>
              </w:tc>
            </w:tr>
            <w:tr w14:paraId="3AD05F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4CAE01F7">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26</w:t>
                  </w:r>
                </w:p>
              </w:tc>
              <w:tc>
                <w:tcPr>
                  <w:tcW w:w="1420" w:type="pct"/>
                  <w:tcBorders>
                    <w:tl2br w:val="nil"/>
                    <w:tr2bl w:val="nil"/>
                  </w:tcBorders>
                  <w:noWrap w:val="0"/>
                  <w:vAlign w:val="center"/>
                </w:tcPr>
                <w:p w14:paraId="66E92F1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锌</w:t>
                  </w:r>
                </w:p>
              </w:tc>
              <w:tc>
                <w:tcPr>
                  <w:tcW w:w="1303" w:type="pct"/>
                  <w:tcBorders>
                    <w:tl2br w:val="nil"/>
                    <w:tr2bl w:val="nil"/>
                  </w:tcBorders>
                  <w:noWrap w:val="0"/>
                  <w:vAlign w:val="center"/>
                </w:tcPr>
                <w:p w14:paraId="2141F4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eastAsia" w:eastAsia="宋体" w:cs="Times New Roman"/>
                      <w:i w:val="0"/>
                      <w:iCs w:val="0"/>
                      <w:color w:val="000000"/>
                      <w:kern w:val="0"/>
                      <w:sz w:val="21"/>
                      <w:szCs w:val="21"/>
                      <w:highlight w:val="none"/>
                      <w:u w:val="none"/>
                      <w:lang w:val="en-US" w:eastAsia="zh-CN" w:bidi="ar"/>
                    </w:rPr>
                    <w:t>0.05L</w:t>
                  </w:r>
                </w:p>
              </w:tc>
              <w:tc>
                <w:tcPr>
                  <w:tcW w:w="1658" w:type="pct"/>
                  <w:tcBorders>
                    <w:tl2br w:val="nil"/>
                    <w:tr2bl w:val="nil"/>
                  </w:tcBorders>
                  <w:noWrap w:val="0"/>
                  <w:vAlign w:val="center"/>
                </w:tcPr>
                <w:p w14:paraId="2AE8F821">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1000</w:t>
                  </w:r>
                  <w:r>
                    <w:rPr>
                      <w:rFonts w:hint="default" w:ascii="Times New Roman" w:hAnsi="Times New Roman" w:eastAsia="宋体" w:cs="Times New Roman"/>
                      <w:color w:val="000000"/>
                      <w:sz w:val="21"/>
                      <w:szCs w:val="21"/>
                      <w:highlight w:val="none"/>
                    </w:rPr>
                    <w:t>μg/L</w:t>
                  </w:r>
                </w:p>
              </w:tc>
            </w:tr>
            <w:tr w14:paraId="6DB169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089" w:type="dxa"/>
                  <w:tcBorders>
                    <w:tl2br w:val="nil"/>
                    <w:tr2bl w:val="nil"/>
                  </w:tcBorders>
                  <w:noWrap w:val="0"/>
                  <w:vAlign w:val="center"/>
                </w:tcPr>
                <w:p w14:paraId="0BAB7CC1">
                  <w:pPr>
                    <w:keepNext w:val="0"/>
                    <w:keepLines w:val="0"/>
                    <w:suppressLineNumbers w:val="0"/>
                    <w:tabs>
                      <w:tab w:val="right" w:pos="9638"/>
                    </w:tabs>
                    <w:spacing w:before="0" w:beforeAutospacing="0" w:after="0" w:afterAutospacing="0"/>
                    <w:ind w:left="0" w:leftChars="0" w:right="0" w:right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27</w:t>
                  </w:r>
                </w:p>
              </w:tc>
              <w:tc>
                <w:tcPr>
                  <w:tcW w:w="1420" w:type="pct"/>
                  <w:tcBorders>
                    <w:tl2br w:val="nil"/>
                    <w:tr2bl w:val="nil"/>
                  </w:tcBorders>
                  <w:noWrap w:val="0"/>
                  <w:vAlign w:val="center"/>
                </w:tcPr>
                <w:p w14:paraId="579C5728">
                  <w:pPr>
                    <w:keepNext w:val="0"/>
                    <w:keepLines w:val="0"/>
                    <w:suppressLineNumbers w:val="0"/>
                    <w:tabs>
                      <w:tab w:val="right" w:pos="9638"/>
                    </w:tabs>
                    <w:spacing w:before="0" w:beforeAutospacing="0" w:after="0" w:afterAutospacing="0"/>
                    <w:ind w:left="0" w:right="0"/>
                    <w:jc w:val="center"/>
                    <w:rPr>
                      <w:rFonts w:hint="eastAsia"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钡</w:t>
                  </w:r>
                </w:p>
              </w:tc>
              <w:tc>
                <w:tcPr>
                  <w:tcW w:w="1303" w:type="pct"/>
                  <w:tcBorders>
                    <w:tl2br w:val="nil"/>
                    <w:tr2bl w:val="nil"/>
                  </w:tcBorders>
                  <w:noWrap w:val="0"/>
                  <w:vAlign w:val="center"/>
                </w:tcPr>
                <w:p w14:paraId="57687497">
                  <w:pPr>
                    <w:keepNext w:val="0"/>
                    <w:keepLines w:val="0"/>
                    <w:widowControl/>
                    <w:suppressLineNumbers w:val="0"/>
                    <w:spacing w:before="0" w:beforeAutospacing="0" w:after="0" w:afterAutospacing="0"/>
                    <w:ind w:left="0" w:right="0"/>
                    <w:jc w:val="center"/>
                    <w:textAlignment w:val="center"/>
                    <w:rPr>
                      <w:rFonts w:hint="default" w:eastAsia="宋体" w:cs="Times New Roman"/>
                      <w:i w:val="0"/>
                      <w:iCs w:val="0"/>
                      <w:color w:val="000000"/>
                      <w:kern w:val="0"/>
                      <w:sz w:val="21"/>
                      <w:szCs w:val="21"/>
                      <w:highlight w:val="none"/>
                      <w:u w:val="none"/>
                      <w:lang w:val="en-US" w:eastAsia="zh-CN" w:bidi="ar"/>
                    </w:rPr>
                  </w:pPr>
                  <w:r>
                    <w:rPr>
                      <w:rFonts w:hint="eastAsia" w:eastAsia="宋体" w:cs="Times New Roman"/>
                      <w:i w:val="0"/>
                      <w:iCs w:val="0"/>
                      <w:color w:val="000000"/>
                      <w:kern w:val="0"/>
                      <w:sz w:val="21"/>
                      <w:szCs w:val="21"/>
                      <w:highlight w:val="none"/>
                      <w:u w:val="none"/>
                      <w:lang w:val="en-US" w:eastAsia="zh-CN" w:bidi="ar"/>
                    </w:rPr>
                    <w:t>0.20L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6D1D7FA6">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0.7</w:t>
                  </w:r>
                  <w:r>
                    <w:rPr>
                      <w:rFonts w:hint="default" w:ascii="Times New Roman" w:hAnsi="Times New Roman" w:eastAsia="宋体" w:cs="Times New Roman"/>
                      <w:color w:val="000000"/>
                      <w:sz w:val="21"/>
                      <w:szCs w:val="21"/>
                      <w:highlight w:val="none"/>
                    </w:rPr>
                    <w:t>mg/L</w:t>
                  </w:r>
                </w:p>
              </w:tc>
            </w:tr>
            <w:tr w14:paraId="666DB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16" w:type="pct"/>
                  <w:tcBorders>
                    <w:tl2br w:val="nil"/>
                    <w:tr2bl w:val="nil"/>
                  </w:tcBorders>
                  <w:noWrap w:val="0"/>
                  <w:vAlign w:val="center"/>
                </w:tcPr>
                <w:p w14:paraId="4B9AE56C">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r>
                    <w:rPr>
                      <w:rFonts w:hint="eastAsia" w:eastAsia="宋体" w:cs="Times New Roman"/>
                      <w:color w:val="000000"/>
                      <w:kern w:val="2"/>
                      <w:sz w:val="21"/>
                      <w:szCs w:val="21"/>
                      <w:highlight w:val="none"/>
                      <w:lang w:val="en-US" w:eastAsia="zh-CN" w:bidi="ar-SA"/>
                    </w:rPr>
                    <w:t>28</w:t>
                  </w:r>
                </w:p>
              </w:tc>
              <w:tc>
                <w:tcPr>
                  <w:tcW w:w="1420" w:type="pct"/>
                  <w:tcBorders>
                    <w:tl2br w:val="nil"/>
                    <w:tr2bl w:val="nil"/>
                  </w:tcBorders>
                  <w:noWrap w:val="0"/>
                  <w:vAlign w:val="center"/>
                </w:tcPr>
                <w:p w14:paraId="280453E1">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铅</w:t>
                  </w:r>
                </w:p>
              </w:tc>
              <w:tc>
                <w:tcPr>
                  <w:tcW w:w="1303" w:type="pct"/>
                  <w:tcBorders>
                    <w:tl2br w:val="nil"/>
                    <w:tr2bl w:val="nil"/>
                  </w:tcBorders>
                  <w:noWrap w:val="0"/>
                  <w:vAlign w:val="center"/>
                </w:tcPr>
                <w:p w14:paraId="2B7004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rPr>
                  </w:pPr>
                  <w:r>
                    <w:rPr>
                      <w:rFonts w:hint="eastAsia" w:ascii="Times New Roman" w:hAnsi="Times New Roman" w:eastAsia="宋体" w:cs="Times New Roman"/>
                      <w:i w:val="0"/>
                      <w:iCs w:val="0"/>
                      <w:color w:val="000000"/>
                      <w:kern w:val="0"/>
                      <w:sz w:val="21"/>
                      <w:szCs w:val="21"/>
                      <w:highlight w:val="none"/>
                      <w:u w:val="none"/>
                      <w:lang w:val="en-US" w:eastAsia="zh-CN" w:bidi="ar"/>
                    </w:rPr>
                    <w:t>0.</w:t>
                  </w:r>
                  <w:r>
                    <w:rPr>
                      <w:rFonts w:hint="eastAsia" w:eastAsia="宋体" w:cs="Times New Roman"/>
                      <w:i w:val="0"/>
                      <w:iCs w:val="0"/>
                      <w:color w:val="000000"/>
                      <w:kern w:val="0"/>
                      <w:sz w:val="21"/>
                      <w:szCs w:val="21"/>
                      <w:highlight w:val="none"/>
                      <w:u w:val="none"/>
                      <w:lang w:val="en-US" w:eastAsia="zh-CN" w:bidi="ar"/>
                    </w:rPr>
                    <w:t>09L</w:t>
                  </w:r>
                  <w:r>
                    <w:rPr>
                      <w:rFonts w:hint="default" w:ascii="Times New Roman" w:hAnsi="Times New Roman" w:eastAsia="楷体" w:cs="Times New Roman"/>
                      <w:color w:val="auto"/>
                      <w:kern w:val="2"/>
                      <w:sz w:val="21"/>
                      <w:szCs w:val="21"/>
                      <w:highlight w:val="none"/>
                      <w:lang w:val="en-US" w:eastAsia="zh-CN" w:bidi="ar-SA"/>
                    </w:rPr>
                    <w:t>μg/L</w:t>
                  </w:r>
                </w:p>
              </w:tc>
              <w:tc>
                <w:tcPr>
                  <w:tcW w:w="1658" w:type="pct"/>
                  <w:tcBorders>
                    <w:tl2br w:val="nil"/>
                    <w:tr2bl w:val="nil"/>
                  </w:tcBorders>
                  <w:noWrap w:val="0"/>
                  <w:vAlign w:val="center"/>
                </w:tcPr>
                <w:p w14:paraId="3478C372">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10</w:t>
                  </w:r>
                  <w:r>
                    <w:rPr>
                      <w:rFonts w:hint="default" w:ascii="Times New Roman" w:hAnsi="Times New Roman" w:eastAsia="宋体" w:cs="Times New Roman"/>
                      <w:color w:val="000000"/>
                      <w:sz w:val="21"/>
                      <w:szCs w:val="21"/>
                      <w:highlight w:val="none"/>
                    </w:rPr>
                    <w:t>μg/L</w:t>
                  </w:r>
                </w:p>
              </w:tc>
            </w:tr>
            <w:tr w14:paraId="794AA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16" w:type="pct"/>
                  <w:tcBorders>
                    <w:tl2br w:val="nil"/>
                    <w:tr2bl w:val="nil"/>
                  </w:tcBorders>
                  <w:noWrap w:val="0"/>
                  <w:vAlign w:val="center"/>
                </w:tcPr>
                <w:p w14:paraId="4B5CE484">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29</w:t>
                  </w:r>
                </w:p>
              </w:tc>
              <w:tc>
                <w:tcPr>
                  <w:tcW w:w="1420" w:type="pct"/>
                  <w:tcBorders>
                    <w:tl2br w:val="nil"/>
                    <w:tr2bl w:val="nil"/>
                  </w:tcBorders>
                  <w:noWrap w:val="0"/>
                  <w:vAlign w:val="center"/>
                </w:tcPr>
                <w:p w14:paraId="0B6E7499">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石油类</w:t>
                  </w:r>
                </w:p>
              </w:tc>
              <w:tc>
                <w:tcPr>
                  <w:tcW w:w="1303" w:type="pct"/>
                  <w:tcBorders>
                    <w:tl2br w:val="nil"/>
                    <w:tr2bl w:val="nil"/>
                  </w:tcBorders>
                  <w:noWrap w:val="0"/>
                  <w:vAlign w:val="center"/>
                </w:tcPr>
                <w:p w14:paraId="62F7B0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0.</w:t>
                  </w:r>
                  <w:r>
                    <w:rPr>
                      <w:rFonts w:hint="eastAsia" w:eastAsia="宋体" w:cs="Times New Roman"/>
                      <w:i w:val="0"/>
                      <w:iCs w:val="0"/>
                      <w:color w:val="000000"/>
                      <w:kern w:val="0"/>
                      <w:sz w:val="21"/>
                      <w:szCs w:val="21"/>
                      <w:highlight w:val="none"/>
                      <w:u w:val="none"/>
                      <w:lang w:val="en-US" w:eastAsia="zh-CN" w:bidi="ar"/>
                    </w:rPr>
                    <w:t>0</w:t>
                  </w:r>
                  <w:r>
                    <w:rPr>
                      <w:rFonts w:hint="default" w:ascii="Times New Roman" w:hAnsi="Times New Roman" w:eastAsia="宋体" w:cs="Times New Roman"/>
                      <w:i w:val="0"/>
                      <w:iCs w:val="0"/>
                      <w:color w:val="000000"/>
                      <w:kern w:val="0"/>
                      <w:sz w:val="21"/>
                      <w:szCs w:val="21"/>
                      <w:highlight w:val="none"/>
                      <w:u w:val="none"/>
                      <w:lang w:val="en-US" w:eastAsia="zh-CN" w:bidi="ar"/>
                    </w:rPr>
                    <w:t>1</w:t>
                  </w:r>
                  <w:r>
                    <w:rPr>
                      <w:rFonts w:hint="eastAsia" w:eastAsia="宋体" w:cs="Times New Roman"/>
                      <w:i w:val="0"/>
                      <w:iCs w:val="0"/>
                      <w:color w:val="000000"/>
                      <w:kern w:val="0"/>
                      <w:sz w:val="21"/>
                      <w:szCs w:val="21"/>
                      <w:highlight w:val="none"/>
                      <w:u w:val="none"/>
                      <w:lang w:val="en-US" w:eastAsia="zh-CN" w:bidi="ar"/>
                    </w:rPr>
                    <w:t>L</w:t>
                  </w:r>
                </w:p>
              </w:tc>
              <w:tc>
                <w:tcPr>
                  <w:tcW w:w="1658" w:type="pct"/>
                  <w:tcBorders>
                    <w:tl2br w:val="nil"/>
                    <w:tr2bl w:val="nil"/>
                  </w:tcBorders>
                  <w:noWrap w:val="0"/>
                  <w:vAlign w:val="center"/>
                </w:tcPr>
                <w:p w14:paraId="00FE84B1">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color w:val="000000"/>
                      <w:sz w:val="21"/>
                      <w:szCs w:val="21"/>
                      <w:highlight w:val="none"/>
                      <w:lang w:val="en-US" w:eastAsia="zh-CN"/>
                    </w:rPr>
                    <w:t>0.05</w:t>
                  </w:r>
                  <w:r>
                    <w:rPr>
                      <w:rFonts w:hint="default" w:ascii="Times New Roman" w:hAnsi="Times New Roman" w:eastAsia="宋体" w:cs="Times New Roman"/>
                      <w:color w:val="000000"/>
                      <w:sz w:val="21"/>
                      <w:szCs w:val="21"/>
                      <w:highlight w:val="none"/>
                    </w:rPr>
                    <w:t>mg/L</w:t>
                  </w:r>
                </w:p>
              </w:tc>
            </w:tr>
            <w:tr w14:paraId="5E474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16" w:type="pct"/>
                  <w:tcBorders>
                    <w:tl2br w:val="nil"/>
                    <w:tr2bl w:val="nil"/>
                  </w:tcBorders>
                  <w:noWrap w:val="0"/>
                  <w:vAlign w:val="center"/>
                </w:tcPr>
                <w:p w14:paraId="369E3A41">
                  <w:pPr>
                    <w:keepNext w:val="0"/>
                    <w:keepLines w:val="0"/>
                    <w:suppressLineNumbers w:val="0"/>
                    <w:tabs>
                      <w:tab w:val="right" w:pos="9638"/>
                    </w:tabs>
                    <w:spacing w:before="0" w:beforeAutospacing="0" w:after="0" w:afterAutospacing="0"/>
                    <w:ind w:left="0" w:right="0"/>
                    <w:jc w:val="center"/>
                    <w:rPr>
                      <w:rFonts w:hint="default"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30</w:t>
                  </w:r>
                </w:p>
              </w:tc>
              <w:tc>
                <w:tcPr>
                  <w:tcW w:w="2514" w:type="dxa"/>
                  <w:tcBorders>
                    <w:tl2br w:val="nil"/>
                    <w:tr2bl w:val="nil"/>
                  </w:tcBorders>
                  <w:noWrap w:val="0"/>
                  <w:vAlign w:val="center"/>
                </w:tcPr>
                <w:p w14:paraId="3F66FC7A">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总大肠菌群</w:t>
                  </w:r>
                </w:p>
              </w:tc>
              <w:tc>
                <w:tcPr>
                  <w:tcW w:w="2305" w:type="dxa"/>
                  <w:tcBorders>
                    <w:tl2br w:val="nil"/>
                    <w:tr2bl w:val="nil"/>
                  </w:tcBorders>
                  <w:noWrap w:val="0"/>
                  <w:vAlign w:val="center"/>
                </w:tcPr>
                <w:p w14:paraId="2D24C614">
                  <w:pPr>
                    <w:widowControl/>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ND</w:t>
                  </w:r>
                </w:p>
              </w:tc>
              <w:tc>
                <w:tcPr>
                  <w:tcW w:w="1658" w:type="pct"/>
                  <w:tcBorders>
                    <w:tl2br w:val="nil"/>
                    <w:tr2bl w:val="nil"/>
                  </w:tcBorders>
                  <w:noWrap w:val="0"/>
                  <w:vAlign w:val="center"/>
                </w:tcPr>
                <w:p w14:paraId="0061321D">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3</w:t>
                  </w:r>
                  <w:r>
                    <w:rPr>
                      <w:rFonts w:hint="default" w:ascii="Times New Roman" w:hAnsi="Times New Roman" w:eastAsia="宋体" w:cs="Times New Roman"/>
                      <w:i w:val="0"/>
                      <w:iCs w:val="0"/>
                      <w:color w:val="auto"/>
                      <w:kern w:val="0"/>
                      <w:sz w:val="21"/>
                      <w:szCs w:val="21"/>
                      <w:highlight w:val="none"/>
                      <w:u w:val="none"/>
                      <w:lang w:val="en-US" w:eastAsia="zh-CN" w:bidi="ar"/>
                    </w:rPr>
                    <w:t>MPN/100mL</w:t>
                  </w:r>
                </w:p>
              </w:tc>
            </w:tr>
            <w:tr w14:paraId="592179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16" w:type="pct"/>
                  <w:tcBorders>
                    <w:tl2br w:val="nil"/>
                    <w:tr2bl w:val="nil"/>
                  </w:tcBorders>
                  <w:noWrap w:val="0"/>
                  <w:vAlign w:val="center"/>
                </w:tcPr>
                <w:p w14:paraId="7D785C63">
                  <w:pPr>
                    <w:keepNext w:val="0"/>
                    <w:keepLines w:val="0"/>
                    <w:suppressLineNumbers w:val="0"/>
                    <w:tabs>
                      <w:tab w:val="right" w:pos="9638"/>
                    </w:tabs>
                    <w:spacing w:before="0" w:beforeAutospacing="0" w:after="0" w:afterAutospacing="0"/>
                    <w:ind w:left="0" w:right="0"/>
                    <w:jc w:val="center"/>
                    <w:rPr>
                      <w:rFonts w:hint="default"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31</w:t>
                  </w:r>
                </w:p>
              </w:tc>
              <w:tc>
                <w:tcPr>
                  <w:tcW w:w="2514" w:type="dxa"/>
                  <w:tcBorders>
                    <w:tl2br w:val="nil"/>
                    <w:tr2bl w:val="nil"/>
                  </w:tcBorders>
                  <w:noWrap w:val="0"/>
                  <w:vAlign w:val="center"/>
                </w:tcPr>
                <w:p w14:paraId="46D28D3D">
                  <w:pPr>
                    <w:keepNext w:val="0"/>
                    <w:keepLines w:val="0"/>
                    <w:pageBreakBefore w:val="0"/>
                    <w:widowControl/>
                    <w:suppressLineNumbers w:val="0"/>
                    <w:kinsoku/>
                    <w:wordWrap/>
                    <w:overflowPunct/>
                    <w:topLinePunct w:val="0"/>
                    <w:bidi w:val="0"/>
                    <w:adjustRightInd/>
                    <w:snapToGrid/>
                    <w:spacing w:line="240" w:lineRule="atLeast"/>
                    <w:jc w:val="center"/>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菌落总数</w:t>
                  </w:r>
                </w:p>
              </w:tc>
              <w:tc>
                <w:tcPr>
                  <w:tcW w:w="2305" w:type="dxa"/>
                  <w:tcBorders>
                    <w:tl2br w:val="nil"/>
                    <w:tr2bl w:val="nil"/>
                  </w:tcBorders>
                  <w:noWrap w:val="0"/>
                  <w:vAlign w:val="center"/>
                </w:tcPr>
                <w:p w14:paraId="7D8270DF">
                  <w:pPr>
                    <w:keepNext w:val="0"/>
                    <w:keepLines w:val="0"/>
                    <w:pageBreakBefore w:val="0"/>
                    <w:widowControl/>
                    <w:suppressLineNumbers w:val="0"/>
                    <w:kinsoku/>
                    <w:wordWrap/>
                    <w:overflowPunct/>
                    <w:topLinePunct w:val="0"/>
                    <w:bidi w:val="0"/>
                    <w:adjustRightInd/>
                    <w:snapToGrid/>
                    <w:spacing w:line="240" w:lineRule="atLeas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cs="Times New Roman"/>
                      <w:i w:val="0"/>
                      <w:iCs w:val="0"/>
                      <w:color w:val="auto"/>
                      <w:sz w:val="21"/>
                      <w:szCs w:val="21"/>
                      <w:highlight w:val="none"/>
                      <w:u w:val="none"/>
                      <w:lang w:val="en-US" w:eastAsia="zh-CN"/>
                    </w:rPr>
                    <w:t>23</w:t>
                  </w:r>
                  <w:r>
                    <w:rPr>
                      <w:rFonts w:hint="default" w:ascii="Times New Roman" w:hAnsi="Times New Roman" w:cs="Times New Roman"/>
                      <w:i w:val="0"/>
                      <w:iCs w:val="0"/>
                      <w:color w:val="auto"/>
                      <w:sz w:val="21"/>
                      <w:szCs w:val="21"/>
                      <w:highlight w:val="none"/>
                      <w:u w:val="none"/>
                      <w:lang w:val="en-US" w:eastAsia="zh-CN"/>
                    </w:rPr>
                    <w:t>CFU/mL</w:t>
                  </w:r>
                </w:p>
              </w:tc>
              <w:tc>
                <w:tcPr>
                  <w:tcW w:w="1658" w:type="pct"/>
                  <w:tcBorders>
                    <w:tl2br w:val="nil"/>
                    <w:tr2bl w:val="nil"/>
                  </w:tcBorders>
                  <w:noWrap w:val="0"/>
                  <w:vAlign w:val="center"/>
                </w:tcPr>
                <w:p w14:paraId="7A9E435E">
                  <w:pPr>
                    <w:keepNext w:val="0"/>
                    <w:keepLines w:val="0"/>
                    <w:suppressLineNumbers w:val="0"/>
                    <w:tabs>
                      <w:tab w:val="right" w:pos="9638"/>
                    </w:tabs>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eastAsia="宋体" w:cs="Times New Roman"/>
                      <w:color w:val="000000"/>
                      <w:sz w:val="21"/>
                      <w:szCs w:val="21"/>
                      <w:highlight w:val="none"/>
                      <w:lang w:val="en-US" w:eastAsia="zh-CN"/>
                    </w:rPr>
                    <w:t>100</w:t>
                  </w:r>
                  <w:r>
                    <w:rPr>
                      <w:rFonts w:hint="default" w:ascii="Times New Roman" w:hAnsi="Times New Roman" w:cs="Times New Roman"/>
                      <w:i w:val="0"/>
                      <w:iCs w:val="0"/>
                      <w:color w:val="auto"/>
                      <w:sz w:val="21"/>
                      <w:szCs w:val="21"/>
                      <w:highlight w:val="none"/>
                      <w:u w:val="none"/>
                      <w:lang w:val="en-US" w:eastAsia="zh-CN"/>
                    </w:rPr>
                    <w:t>CFU/mL</w:t>
                  </w:r>
                </w:p>
              </w:tc>
            </w:tr>
          </w:tbl>
          <w:p w14:paraId="1986F72B">
            <w:pPr>
              <w:spacing w:line="480" w:lineRule="exact"/>
              <w:ind w:firstLine="480" w:firstLineChars="200"/>
              <w:rPr>
                <w:rFonts w:hint="default" w:eastAsia="宋体"/>
                <w:color w:val="000000" w:themeColor="text1"/>
                <w:kern w:val="24"/>
                <w:sz w:val="24"/>
                <w:highlight w:val="none"/>
                <w:lang w:val="en-US" w:eastAsia="zh-CN"/>
                <w14:textFill>
                  <w14:solidFill>
                    <w14:schemeClr w14:val="tx1"/>
                  </w14:solidFill>
                </w14:textFill>
              </w:rPr>
            </w:pPr>
            <w:r>
              <w:rPr>
                <w:rFonts w:hint="default" w:eastAsia="宋体"/>
                <w:color w:val="000000" w:themeColor="text1"/>
                <w:kern w:val="24"/>
                <w:sz w:val="24"/>
                <w:highlight w:val="none"/>
                <w:lang w:val="en-US" w:eastAsia="zh-CN"/>
                <w14:textFill>
                  <w14:solidFill>
                    <w14:schemeClr w14:val="tx1"/>
                  </w14:solidFill>
                </w14:textFill>
              </w:rPr>
              <w:t>由上表分析可知，</w:t>
            </w:r>
            <w:r>
              <w:rPr>
                <w:rFonts w:hint="eastAsia" w:eastAsia="宋体"/>
                <w:color w:val="000000" w:themeColor="text1"/>
                <w:kern w:val="24"/>
                <w:sz w:val="24"/>
                <w:highlight w:val="none"/>
                <w:lang w:val="en-US" w:eastAsia="zh-CN"/>
                <w14:textFill>
                  <w14:solidFill>
                    <w14:schemeClr w14:val="tx1"/>
                  </w14:solidFill>
                </w14:textFill>
              </w:rPr>
              <w:t>该</w:t>
            </w:r>
            <w:r>
              <w:rPr>
                <w:rFonts w:hint="default" w:eastAsia="宋体"/>
                <w:color w:val="000000" w:themeColor="text1"/>
                <w:kern w:val="24"/>
                <w:sz w:val="24"/>
                <w:highlight w:val="none"/>
                <w:lang w:val="en-US" w:eastAsia="zh-CN"/>
                <w14:textFill>
                  <w14:solidFill>
                    <w14:schemeClr w14:val="tx1"/>
                  </w14:solidFill>
                </w14:textFill>
              </w:rPr>
              <w:t>监测点位所有监测项目均满足《地下水质量标准》（GB/T14848-2017）中Ⅲ类标准，石油类满足《生活饮用水卫生标准》（GB5749-2022）要求。</w:t>
            </w:r>
          </w:p>
        </w:tc>
      </w:tr>
      <w:tr w14:paraId="12B1CD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8990" w:type="dxa"/>
            <w:vAlign w:val="center"/>
          </w:tcPr>
          <w:p w14:paraId="6A9407A7">
            <w:pPr>
              <w:adjustRightInd w:val="0"/>
              <w:snapToGrid w:val="0"/>
              <w:spacing w:line="480" w:lineRule="exact"/>
              <w:jc w:val="left"/>
              <w:rPr>
                <w:rFonts w:ascii="黑体" w:hAnsi="黑体" w:eastAsia="黑体" w:cs="宋体"/>
                <w:b/>
                <w:color w:val="000000" w:themeColor="text1"/>
                <w:kern w:val="0"/>
                <w:sz w:val="28"/>
                <w:szCs w:val="28"/>
                <w:highlight w:val="none"/>
                <w14:textFill>
                  <w14:solidFill>
                    <w14:schemeClr w14:val="tx1"/>
                  </w14:solidFill>
                </w14:textFill>
              </w:rPr>
            </w:pPr>
            <w:r>
              <w:rPr>
                <w:rFonts w:hint="eastAsia" w:ascii="黑体" w:hAnsi="黑体" w:eastAsia="黑体" w:cs="宋体"/>
                <w:b/>
                <w:color w:val="000000" w:themeColor="text1"/>
                <w:kern w:val="0"/>
                <w:sz w:val="28"/>
                <w:szCs w:val="28"/>
                <w:highlight w:val="none"/>
                <w14:textFill>
                  <w14:solidFill>
                    <w14:schemeClr w14:val="tx1"/>
                  </w14:solidFill>
                </w14:textFill>
              </w:rPr>
              <w:t>环境保护目标</w:t>
            </w:r>
          </w:p>
          <w:p w14:paraId="631ED17D">
            <w:pPr>
              <w:spacing w:line="520" w:lineRule="exact"/>
              <w:rPr>
                <w:b/>
                <w:color w:val="000000" w:themeColor="text1"/>
                <w:kern w:val="24"/>
                <w:sz w:val="24"/>
                <w:highlight w:val="none"/>
                <w14:textFill>
                  <w14:solidFill>
                    <w14:schemeClr w14:val="tx1"/>
                  </w14:solidFill>
                </w14:textFill>
              </w:rPr>
            </w:pPr>
            <w:r>
              <w:rPr>
                <w:rFonts w:hint="eastAsia"/>
                <w:b/>
                <w:color w:val="000000" w:themeColor="text1"/>
                <w:kern w:val="24"/>
                <w:sz w:val="24"/>
                <w:highlight w:val="none"/>
                <w14:textFill>
                  <w14:solidFill>
                    <w14:schemeClr w14:val="tx1"/>
                  </w14:solidFill>
                </w14:textFill>
              </w:rPr>
              <w:t>1、大气环境</w:t>
            </w:r>
          </w:p>
          <w:p w14:paraId="557BC4DA">
            <w:pPr>
              <w:spacing w:line="480" w:lineRule="exact"/>
              <w:ind w:firstLine="470" w:firstLineChars="196"/>
              <w:rPr>
                <w:rFonts w:hint="eastAsia"/>
                <w:bCs/>
                <w:color w:val="000000" w:themeColor="text1"/>
                <w:kern w:val="24"/>
                <w:sz w:val="24"/>
                <w:highlight w:val="none"/>
                <w14:textFill>
                  <w14:solidFill>
                    <w14:schemeClr w14:val="tx1"/>
                  </w14:solidFill>
                </w14:textFill>
              </w:rPr>
            </w:pPr>
            <w:r>
              <w:rPr>
                <w:color w:val="000000" w:themeColor="text1"/>
                <w:kern w:val="24"/>
                <w:sz w:val="24"/>
                <w:highlight w:val="none"/>
                <w14:textFill>
                  <w14:solidFill>
                    <w14:schemeClr w14:val="tx1"/>
                  </w14:solidFill>
                </w14:textFill>
              </w:rPr>
              <w:t>根据项目特点及周围环境特征，确定环境空气保护目标为大气环境影响评价范围</w:t>
            </w:r>
            <w:r>
              <w:rPr>
                <w:rFonts w:hint="eastAsia"/>
                <w:color w:val="000000" w:themeColor="text1"/>
                <w:kern w:val="24"/>
                <w:sz w:val="24"/>
                <w:highlight w:val="none"/>
                <w14:textFill>
                  <w14:solidFill>
                    <w14:schemeClr w14:val="tx1"/>
                  </w14:solidFill>
                </w14:textFill>
              </w:rPr>
              <w:t>（</w:t>
            </w:r>
            <w:r>
              <w:rPr>
                <w:color w:val="000000" w:themeColor="text1"/>
                <w:kern w:val="24"/>
                <w:sz w:val="24"/>
                <w:highlight w:val="none"/>
                <w14:textFill>
                  <w14:solidFill>
                    <w14:schemeClr w14:val="tx1"/>
                  </w14:solidFill>
                </w14:textFill>
              </w:rPr>
              <w:t>以厂址为中心，边长5km的矩形</w:t>
            </w:r>
            <w:r>
              <w:rPr>
                <w:rFonts w:hint="eastAsia"/>
                <w:color w:val="000000" w:themeColor="text1"/>
                <w:kern w:val="24"/>
                <w:sz w:val="24"/>
                <w:highlight w:val="none"/>
                <w14:textFill>
                  <w14:solidFill>
                    <w14:schemeClr w14:val="tx1"/>
                  </w14:solidFill>
                </w14:textFill>
              </w:rPr>
              <w:t>）</w:t>
            </w:r>
            <w:r>
              <w:rPr>
                <w:color w:val="000000" w:themeColor="text1"/>
                <w:kern w:val="24"/>
                <w:sz w:val="24"/>
                <w:highlight w:val="none"/>
                <w14:textFill>
                  <w14:solidFill>
                    <w14:schemeClr w14:val="tx1"/>
                  </w14:solidFill>
                </w14:textFill>
              </w:rPr>
              <w:t>内</w:t>
            </w:r>
            <w:r>
              <w:rPr>
                <w:rFonts w:hint="eastAsia"/>
                <w:color w:val="000000" w:themeColor="text1"/>
                <w:kern w:val="24"/>
                <w:sz w:val="24"/>
                <w:highlight w:val="none"/>
                <w14:textFill>
                  <w14:solidFill>
                    <w14:schemeClr w14:val="tx1"/>
                  </w14:solidFill>
                </w14:textFill>
              </w:rPr>
              <w:t>的</w:t>
            </w:r>
            <w:r>
              <w:rPr>
                <w:color w:val="000000" w:themeColor="text1"/>
                <w:kern w:val="24"/>
                <w:sz w:val="24"/>
                <w:highlight w:val="none"/>
                <w14:textFill>
                  <w14:solidFill>
                    <w14:schemeClr w14:val="tx1"/>
                  </w14:solidFill>
                </w14:textFill>
              </w:rPr>
              <w:t>居住区</w:t>
            </w:r>
            <w:r>
              <w:rPr>
                <w:rFonts w:hint="eastAsia"/>
                <w:color w:val="000000" w:themeColor="text1"/>
                <w:kern w:val="24"/>
                <w:sz w:val="24"/>
                <w:highlight w:val="none"/>
                <w14:textFill>
                  <w14:solidFill>
                    <w14:schemeClr w14:val="tx1"/>
                  </w14:solidFill>
                </w14:textFill>
              </w:rPr>
              <w:t>、学校</w:t>
            </w:r>
            <w:r>
              <w:rPr>
                <w:color w:val="000000" w:themeColor="text1"/>
                <w:kern w:val="24"/>
                <w:sz w:val="24"/>
                <w:highlight w:val="none"/>
                <w14:textFill>
                  <w14:solidFill>
                    <w14:schemeClr w14:val="tx1"/>
                  </w14:solidFill>
                </w14:textFill>
              </w:rPr>
              <w:t>等敏感点。</w:t>
            </w:r>
            <w:r>
              <w:rPr>
                <w:rFonts w:hint="eastAsia"/>
                <w:bCs/>
                <w:color w:val="000000" w:themeColor="text1"/>
                <w:kern w:val="24"/>
                <w:sz w:val="24"/>
                <w:highlight w:val="none"/>
                <w:lang w:val="en-US" w:eastAsia="zh-CN"/>
                <w14:textFill>
                  <w14:solidFill>
                    <w14:schemeClr w14:val="tx1"/>
                  </w14:solidFill>
                </w14:textFill>
              </w:rPr>
              <w:t>详</w:t>
            </w:r>
            <w:r>
              <w:rPr>
                <w:rFonts w:hint="eastAsia"/>
                <w:bCs/>
                <w:color w:val="000000" w:themeColor="text1"/>
                <w:kern w:val="24"/>
                <w:sz w:val="24"/>
                <w:highlight w:val="none"/>
                <w14:textFill>
                  <w14:solidFill>
                    <w14:schemeClr w14:val="tx1"/>
                  </w14:solidFill>
                </w14:textFill>
              </w:rPr>
              <w:t>见下表。</w:t>
            </w:r>
          </w:p>
          <w:p w14:paraId="66571842">
            <w:pPr>
              <w:spacing w:line="480" w:lineRule="exact"/>
              <w:ind w:firstLine="470" w:firstLineChars="196"/>
              <w:rPr>
                <w:rFonts w:hint="eastAsia"/>
                <w:bCs/>
                <w:color w:val="000000" w:themeColor="text1"/>
                <w:kern w:val="24"/>
                <w:sz w:val="24"/>
                <w:highlight w:val="none"/>
                <w14:textFill>
                  <w14:solidFill>
                    <w14:schemeClr w14:val="tx1"/>
                  </w14:solidFill>
                </w14:textFill>
              </w:rPr>
            </w:pPr>
          </w:p>
          <w:p w14:paraId="0D06ABE5">
            <w:pPr>
              <w:spacing w:line="480" w:lineRule="exact"/>
              <w:ind w:firstLine="1080" w:firstLineChars="450"/>
              <w:jc w:val="left"/>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3-</w:t>
            </w:r>
            <w:r>
              <w:rPr>
                <w:rFonts w:hint="eastAsia" w:ascii="黑体" w:hAnsi="黑体" w:eastAsia="黑体"/>
                <w:bCs/>
                <w:color w:val="000000" w:themeColor="text1"/>
                <w:sz w:val="24"/>
                <w:highlight w:val="none"/>
                <w:lang w:val="en-US" w:eastAsia="zh-CN"/>
                <w14:textFill>
                  <w14:solidFill>
                    <w14:schemeClr w14:val="tx1"/>
                  </w14:solidFill>
                </w14:textFill>
              </w:rPr>
              <w:t>6</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大气环境保护目标一览表</w:t>
            </w:r>
          </w:p>
          <w:tbl>
            <w:tblPr>
              <w:tblStyle w:val="24"/>
              <w:tblW w:w="876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28" w:type="dxa"/>
                <w:left w:w="108" w:type="dxa"/>
                <w:bottom w:w="28" w:type="dxa"/>
                <w:right w:w="108" w:type="dxa"/>
              </w:tblCellMar>
            </w:tblPr>
            <w:tblGrid>
              <w:gridCol w:w="400"/>
              <w:gridCol w:w="1118"/>
              <w:gridCol w:w="1134"/>
              <w:gridCol w:w="1134"/>
              <w:gridCol w:w="708"/>
              <w:gridCol w:w="709"/>
              <w:gridCol w:w="1134"/>
              <w:gridCol w:w="851"/>
              <w:gridCol w:w="850"/>
              <w:gridCol w:w="722"/>
            </w:tblGrid>
            <w:tr w14:paraId="7AEDAE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400" w:type="dxa"/>
                  <w:vMerge w:val="restart"/>
                  <w:noWrap/>
                  <w:tcMar>
                    <w:top w:w="0" w:type="dxa"/>
                    <w:left w:w="51" w:type="dxa"/>
                    <w:bottom w:w="0" w:type="dxa"/>
                    <w:right w:w="51" w:type="dxa"/>
                  </w:tcMar>
                  <w:vAlign w:val="center"/>
                </w:tcPr>
                <w:p w14:paraId="411D519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序号</w:t>
                  </w:r>
                </w:p>
              </w:tc>
              <w:tc>
                <w:tcPr>
                  <w:tcW w:w="1118" w:type="dxa"/>
                  <w:vMerge w:val="restart"/>
                  <w:noWrap/>
                  <w:tcMar>
                    <w:top w:w="0" w:type="dxa"/>
                    <w:left w:w="51" w:type="dxa"/>
                    <w:bottom w:w="0" w:type="dxa"/>
                    <w:right w:w="51" w:type="dxa"/>
                  </w:tcMar>
                  <w:vAlign w:val="center"/>
                </w:tcPr>
                <w:p w14:paraId="28D4185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名称</w:t>
                  </w:r>
                </w:p>
              </w:tc>
              <w:tc>
                <w:tcPr>
                  <w:tcW w:w="2268" w:type="dxa"/>
                  <w:gridSpan w:val="2"/>
                  <w:noWrap/>
                  <w:tcMar>
                    <w:top w:w="0" w:type="dxa"/>
                    <w:left w:w="51" w:type="dxa"/>
                    <w:bottom w:w="0" w:type="dxa"/>
                    <w:right w:w="51" w:type="dxa"/>
                  </w:tcMar>
                  <w:vAlign w:val="center"/>
                </w:tcPr>
                <w:p w14:paraId="40B50BC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坐标</w:t>
                  </w:r>
                </w:p>
              </w:tc>
              <w:tc>
                <w:tcPr>
                  <w:tcW w:w="708" w:type="dxa"/>
                  <w:vMerge w:val="restart"/>
                  <w:noWrap/>
                  <w:tcMar>
                    <w:top w:w="0" w:type="dxa"/>
                    <w:left w:w="51" w:type="dxa"/>
                    <w:bottom w:w="0" w:type="dxa"/>
                    <w:right w:w="51" w:type="dxa"/>
                  </w:tcMar>
                  <w:vAlign w:val="center"/>
                </w:tcPr>
                <w:p w14:paraId="7CEF14E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保护对象</w:t>
                  </w:r>
                </w:p>
              </w:tc>
              <w:tc>
                <w:tcPr>
                  <w:tcW w:w="709" w:type="dxa"/>
                  <w:vMerge w:val="restart"/>
                  <w:noWrap/>
                  <w:tcMar>
                    <w:top w:w="0" w:type="dxa"/>
                    <w:left w:w="51" w:type="dxa"/>
                    <w:bottom w:w="0" w:type="dxa"/>
                    <w:right w:w="51" w:type="dxa"/>
                  </w:tcMar>
                  <w:vAlign w:val="center"/>
                </w:tcPr>
                <w:p w14:paraId="14E8A1E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保护内容</w:t>
                  </w:r>
                </w:p>
              </w:tc>
              <w:tc>
                <w:tcPr>
                  <w:tcW w:w="1134" w:type="dxa"/>
                  <w:vMerge w:val="restart"/>
                  <w:noWrap/>
                  <w:tcMar>
                    <w:top w:w="0" w:type="dxa"/>
                    <w:left w:w="51" w:type="dxa"/>
                    <w:bottom w:w="0" w:type="dxa"/>
                    <w:right w:w="51" w:type="dxa"/>
                  </w:tcMar>
                  <w:vAlign w:val="center"/>
                </w:tcPr>
                <w:p w14:paraId="5BBD2D9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环境功能区</w:t>
                  </w:r>
                </w:p>
              </w:tc>
              <w:tc>
                <w:tcPr>
                  <w:tcW w:w="851" w:type="dxa"/>
                  <w:vMerge w:val="restart"/>
                  <w:noWrap/>
                  <w:tcMar>
                    <w:top w:w="0" w:type="dxa"/>
                    <w:left w:w="51" w:type="dxa"/>
                    <w:bottom w:w="0" w:type="dxa"/>
                    <w:right w:w="51" w:type="dxa"/>
                  </w:tcMar>
                  <w:vAlign w:val="center"/>
                </w:tcPr>
                <w:p w14:paraId="3892A90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相对厂址</w:t>
                  </w:r>
                </w:p>
                <w:p w14:paraId="72F595C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方位</w:t>
                  </w:r>
                </w:p>
              </w:tc>
              <w:tc>
                <w:tcPr>
                  <w:tcW w:w="850" w:type="dxa"/>
                  <w:vMerge w:val="restart"/>
                  <w:noWrap/>
                  <w:tcMar>
                    <w:top w:w="0" w:type="dxa"/>
                    <w:left w:w="51" w:type="dxa"/>
                    <w:bottom w:w="0" w:type="dxa"/>
                    <w:right w:w="51" w:type="dxa"/>
                  </w:tcMar>
                  <w:vAlign w:val="center"/>
                </w:tcPr>
                <w:p w14:paraId="571C154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相对厂界</w:t>
                  </w:r>
                </w:p>
                <w:p w14:paraId="1538201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距离/m</w:t>
                  </w:r>
                </w:p>
              </w:tc>
              <w:tc>
                <w:tcPr>
                  <w:tcW w:w="722" w:type="dxa"/>
                  <w:vMerge w:val="restart"/>
                  <w:noWrap/>
                  <w:tcMar>
                    <w:top w:w="0" w:type="dxa"/>
                    <w:left w:w="51" w:type="dxa"/>
                    <w:bottom w:w="0" w:type="dxa"/>
                    <w:right w:w="51" w:type="dxa"/>
                  </w:tcMar>
                  <w:vAlign w:val="center"/>
                </w:tcPr>
                <w:p w14:paraId="2F098C2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人口数量（人）</w:t>
                  </w:r>
                </w:p>
              </w:tc>
            </w:tr>
            <w:tr w14:paraId="11AC8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vMerge w:val="continue"/>
                  <w:noWrap/>
                  <w:tcMar>
                    <w:top w:w="0" w:type="dxa"/>
                    <w:left w:w="51" w:type="dxa"/>
                    <w:bottom w:w="0" w:type="dxa"/>
                    <w:right w:w="51" w:type="dxa"/>
                  </w:tcMar>
                  <w:vAlign w:val="center"/>
                </w:tcPr>
                <w:p w14:paraId="6C39A843">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1118" w:type="dxa"/>
                  <w:vMerge w:val="continue"/>
                  <w:noWrap/>
                  <w:tcMar>
                    <w:top w:w="0" w:type="dxa"/>
                    <w:left w:w="51" w:type="dxa"/>
                    <w:bottom w:w="0" w:type="dxa"/>
                    <w:right w:w="51" w:type="dxa"/>
                  </w:tcMar>
                  <w:vAlign w:val="center"/>
                </w:tcPr>
                <w:p w14:paraId="323D97C9">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1134" w:type="dxa"/>
                  <w:noWrap/>
                  <w:tcMar>
                    <w:top w:w="0" w:type="dxa"/>
                    <w:left w:w="51" w:type="dxa"/>
                    <w:bottom w:w="0" w:type="dxa"/>
                    <w:right w:w="51" w:type="dxa"/>
                  </w:tcMar>
                  <w:vAlign w:val="center"/>
                </w:tcPr>
                <w:p w14:paraId="41750FF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X</w:t>
                  </w:r>
                </w:p>
              </w:tc>
              <w:tc>
                <w:tcPr>
                  <w:tcW w:w="1134" w:type="dxa"/>
                  <w:noWrap/>
                  <w:tcMar>
                    <w:top w:w="0" w:type="dxa"/>
                    <w:left w:w="51" w:type="dxa"/>
                    <w:bottom w:w="0" w:type="dxa"/>
                    <w:right w:w="51" w:type="dxa"/>
                  </w:tcMar>
                  <w:vAlign w:val="center"/>
                </w:tcPr>
                <w:p w14:paraId="1CBF44F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Y</w:t>
                  </w:r>
                </w:p>
              </w:tc>
              <w:tc>
                <w:tcPr>
                  <w:tcW w:w="708" w:type="dxa"/>
                  <w:vMerge w:val="continue"/>
                  <w:noWrap/>
                  <w:tcMar>
                    <w:top w:w="0" w:type="dxa"/>
                    <w:left w:w="51" w:type="dxa"/>
                    <w:bottom w:w="0" w:type="dxa"/>
                    <w:right w:w="51" w:type="dxa"/>
                  </w:tcMar>
                  <w:vAlign w:val="center"/>
                </w:tcPr>
                <w:p w14:paraId="37F0E296">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Merge w:val="continue"/>
                  <w:noWrap/>
                  <w:tcMar>
                    <w:top w:w="0" w:type="dxa"/>
                    <w:left w:w="51" w:type="dxa"/>
                    <w:bottom w:w="0" w:type="dxa"/>
                    <w:right w:w="51" w:type="dxa"/>
                  </w:tcMar>
                  <w:vAlign w:val="center"/>
                </w:tcPr>
                <w:p w14:paraId="41B4A1C2">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1134" w:type="dxa"/>
                  <w:vMerge w:val="continue"/>
                  <w:noWrap/>
                  <w:tcMar>
                    <w:top w:w="0" w:type="dxa"/>
                    <w:left w:w="51" w:type="dxa"/>
                    <w:bottom w:w="0" w:type="dxa"/>
                    <w:right w:w="51" w:type="dxa"/>
                  </w:tcMar>
                  <w:vAlign w:val="center"/>
                </w:tcPr>
                <w:p w14:paraId="1BC1E4EE">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vMerge w:val="continue"/>
                  <w:noWrap/>
                  <w:tcMar>
                    <w:top w:w="0" w:type="dxa"/>
                    <w:left w:w="51" w:type="dxa"/>
                    <w:bottom w:w="0" w:type="dxa"/>
                    <w:right w:w="51" w:type="dxa"/>
                  </w:tcMar>
                  <w:vAlign w:val="center"/>
                </w:tcPr>
                <w:p w14:paraId="6DB82E36">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0" w:type="dxa"/>
                  <w:vMerge w:val="continue"/>
                  <w:noWrap/>
                  <w:tcMar>
                    <w:top w:w="0" w:type="dxa"/>
                    <w:left w:w="51" w:type="dxa"/>
                    <w:bottom w:w="0" w:type="dxa"/>
                    <w:right w:w="51" w:type="dxa"/>
                  </w:tcMar>
                  <w:vAlign w:val="center"/>
                </w:tcPr>
                <w:p w14:paraId="36353D0C">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722" w:type="dxa"/>
                  <w:vMerge w:val="continue"/>
                  <w:noWrap/>
                  <w:tcMar>
                    <w:top w:w="0" w:type="dxa"/>
                    <w:left w:w="51" w:type="dxa"/>
                    <w:bottom w:w="0" w:type="dxa"/>
                    <w:right w:w="51" w:type="dxa"/>
                  </w:tcMar>
                  <w:vAlign w:val="center"/>
                </w:tcPr>
                <w:p w14:paraId="4CA20247">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r>
            <w:tr w14:paraId="5FC55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noWrap/>
                  <w:tcMar>
                    <w:top w:w="0" w:type="dxa"/>
                    <w:left w:w="51" w:type="dxa"/>
                    <w:bottom w:w="0" w:type="dxa"/>
                    <w:right w:w="51" w:type="dxa"/>
                  </w:tcMar>
                  <w:vAlign w:val="center"/>
                </w:tcPr>
                <w:p w14:paraId="043AF6B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w:t>
                  </w:r>
                </w:p>
              </w:tc>
              <w:tc>
                <w:tcPr>
                  <w:tcW w:w="1118" w:type="dxa"/>
                  <w:noWrap/>
                  <w:tcMar>
                    <w:top w:w="0" w:type="dxa"/>
                    <w:left w:w="51" w:type="dxa"/>
                    <w:bottom w:w="0" w:type="dxa"/>
                    <w:right w:w="51" w:type="dxa"/>
                  </w:tcMar>
                  <w:vAlign w:val="center"/>
                </w:tcPr>
                <w:p w14:paraId="0D891E5A">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东新庄子村</w:t>
                  </w:r>
                </w:p>
              </w:tc>
              <w:tc>
                <w:tcPr>
                  <w:tcW w:w="1134" w:type="dxa"/>
                  <w:noWrap/>
                  <w:tcMar>
                    <w:top w:w="0" w:type="dxa"/>
                    <w:left w:w="51" w:type="dxa"/>
                    <w:bottom w:w="0" w:type="dxa"/>
                    <w:right w:w="51" w:type="dxa"/>
                  </w:tcMar>
                  <w:vAlign w:val="center"/>
                </w:tcPr>
                <w:p w14:paraId="47AC724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118°43'40.69"</w:t>
                  </w:r>
                </w:p>
              </w:tc>
              <w:tc>
                <w:tcPr>
                  <w:tcW w:w="1134" w:type="dxa"/>
                  <w:noWrap/>
                  <w:tcMar>
                    <w:top w:w="0" w:type="dxa"/>
                    <w:left w:w="51" w:type="dxa"/>
                    <w:bottom w:w="0" w:type="dxa"/>
                    <w:right w:w="51" w:type="dxa"/>
                  </w:tcMar>
                  <w:vAlign w:val="center"/>
                </w:tcPr>
                <w:p w14:paraId="30C679A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39°41'17.03"</w:t>
                  </w:r>
                </w:p>
              </w:tc>
              <w:tc>
                <w:tcPr>
                  <w:tcW w:w="708" w:type="dxa"/>
                  <w:noWrap/>
                  <w:tcMar>
                    <w:top w:w="0" w:type="dxa"/>
                    <w:left w:w="51" w:type="dxa"/>
                    <w:bottom w:w="0" w:type="dxa"/>
                    <w:right w:w="51" w:type="dxa"/>
                  </w:tcMar>
                  <w:vAlign w:val="center"/>
                </w:tcPr>
                <w:p w14:paraId="2ECF846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3C45FE9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restart"/>
                  <w:noWrap/>
                  <w:tcMar>
                    <w:top w:w="0" w:type="dxa"/>
                    <w:left w:w="51" w:type="dxa"/>
                    <w:bottom w:w="0" w:type="dxa"/>
                    <w:right w:w="51" w:type="dxa"/>
                  </w:tcMar>
                  <w:vAlign w:val="center"/>
                </w:tcPr>
                <w:p w14:paraId="32F093B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《环境空气质量标准》(GB3095-2012)</w:t>
                  </w:r>
                  <w:r>
                    <w:rPr>
                      <w:rFonts w:hint="eastAsia"/>
                      <w:color w:val="000000" w:themeColor="text1"/>
                      <w:sz w:val="18"/>
                      <w:szCs w:val="18"/>
                      <w:highlight w:val="none"/>
                      <w14:textFill>
                        <w14:solidFill>
                          <w14:schemeClr w14:val="tx1"/>
                        </w14:solidFill>
                      </w14:textFill>
                    </w:rPr>
                    <w:t>及修改单</w:t>
                  </w:r>
                  <w:r>
                    <w:rPr>
                      <w:color w:val="000000" w:themeColor="text1"/>
                      <w:sz w:val="18"/>
                      <w:szCs w:val="18"/>
                      <w:highlight w:val="none"/>
                      <w14:textFill>
                        <w14:solidFill>
                          <w14:schemeClr w14:val="tx1"/>
                        </w14:solidFill>
                      </w14:textFill>
                    </w:rPr>
                    <w:t>二级标准</w:t>
                  </w:r>
                </w:p>
              </w:tc>
              <w:tc>
                <w:tcPr>
                  <w:tcW w:w="851" w:type="dxa"/>
                  <w:noWrap/>
                  <w:tcMar>
                    <w:top w:w="0" w:type="dxa"/>
                    <w:left w:w="51" w:type="dxa"/>
                    <w:bottom w:w="0" w:type="dxa"/>
                    <w:right w:w="51" w:type="dxa"/>
                  </w:tcMar>
                  <w:vAlign w:val="center"/>
                </w:tcPr>
                <w:p w14:paraId="39912C0E">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NW</w:t>
                  </w:r>
                </w:p>
              </w:tc>
              <w:tc>
                <w:tcPr>
                  <w:tcW w:w="850" w:type="dxa"/>
                  <w:noWrap/>
                  <w:tcMar>
                    <w:top w:w="0" w:type="dxa"/>
                    <w:left w:w="51" w:type="dxa"/>
                    <w:bottom w:w="0" w:type="dxa"/>
                    <w:right w:w="51" w:type="dxa"/>
                  </w:tcMar>
                  <w:vAlign w:val="center"/>
                </w:tcPr>
                <w:p w14:paraId="2B10A426">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2760</w:t>
                  </w:r>
                </w:p>
              </w:tc>
              <w:tc>
                <w:tcPr>
                  <w:tcW w:w="722" w:type="dxa"/>
                  <w:noWrap/>
                  <w:tcMar>
                    <w:top w:w="0" w:type="dxa"/>
                    <w:left w:w="51" w:type="dxa"/>
                    <w:bottom w:w="0" w:type="dxa"/>
                    <w:right w:w="51" w:type="dxa"/>
                  </w:tcMar>
                  <w:vAlign w:val="center"/>
                </w:tcPr>
                <w:p w14:paraId="0DA0201B">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679</w:t>
                  </w:r>
                </w:p>
              </w:tc>
            </w:tr>
            <w:tr w14:paraId="6B052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AE15CA2">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w:t>
                  </w:r>
                </w:p>
              </w:tc>
              <w:tc>
                <w:tcPr>
                  <w:tcW w:w="1118" w:type="dxa"/>
                  <w:noWrap/>
                  <w:tcMar>
                    <w:top w:w="0" w:type="dxa"/>
                    <w:left w:w="51" w:type="dxa"/>
                    <w:bottom w:w="0" w:type="dxa"/>
                    <w:right w:w="51" w:type="dxa"/>
                  </w:tcMar>
                  <w:vAlign w:val="center"/>
                </w:tcPr>
                <w:p w14:paraId="023916E7">
                  <w:pPr>
                    <w:widowControl/>
                    <w:spacing w:line="320" w:lineRule="exact"/>
                    <w:ind w:left="-105" w:leftChars="-50" w:right="-105" w:rightChars="-5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山西刘庄村</w:t>
                  </w:r>
                </w:p>
              </w:tc>
              <w:tc>
                <w:tcPr>
                  <w:tcW w:w="1134" w:type="dxa"/>
                  <w:noWrap/>
                  <w:tcMar>
                    <w:top w:w="0" w:type="dxa"/>
                    <w:left w:w="51" w:type="dxa"/>
                    <w:bottom w:w="0" w:type="dxa"/>
                    <w:right w:w="51" w:type="dxa"/>
                  </w:tcMar>
                  <w:vAlign w:val="center"/>
                </w:tcPr>
                <w:p w14:paraId="506AC52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w:t>
                  </w:r>
                  <w:r>
                    <w:rPr>
                      <w:rFonts w:hint="eastAsia"/>
                      <w:color w:val="000000" w:themeColor="text1"/>
                      <w:sz w:val="18"/>
                      <w:szCs w:val="18"/>
                      <w:highlight w:val="none"/>
                      <w:lang w:val="en-US" w:eastAsia="zh-CN"/>
                      <w14:textFill>
                        <w14:solidFill>
                          <w14:schemeClr w14:val="tx1"/>
                        </w14:solidFill>
                      </w14:textFill>
                    </w:rPr>
                    <w:t>25.98</w:t>
                  </w:r>
                  <w:r>
                    <w:rPr>
                      <w:color w:val="000000" w:themeColor="text1"/>
                      <w:sz w:val="18"/>
                      <w:szCs w:val="18"/>
                      <w:highlight w:val="none"/>
                      <w14:textFill>
                        <w14:solidFill>
                          <w14:schemeClr w14:val="tx1"/>
                        </w14:solidFill>
                      </w14:textFill>
                    </w:rPr>
                    <w:t>"</w:t>
                  </w:r>
                </w:p>
              </w:tc>
              <w:tc>
                <w:tcPr>
                  <w:tcW w:w="1134" w:type="dxa"/>
                  <w:noWrap/>
                  <w:tcMar>
                    <w:top w:w="0" w:type="dxa"/>
                    <w:left w:w="51" w:type="dxa"/>
                    <w:bottom w:w="0" w:type="dxa"/>
                    <w:right w:w="51" w:type="dxa"/>
                  </w:tcMar>
                  <w:vAlign w:val="center"/>
                </w:tcPr>
                <w:p w14:paraId="44146C0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39°41'1</w:t>
                  </w:r>
                  <w:r>
                    <w:rPr>
                      <w:rFonts w:hint="eastAsia"/>
                      <w:color w:val="000000" w:themeColor="text1"/>
                      <w:sz w:val="18"/>
                      <w:szCs w:val="18"/>
                      <w:highlight w:val="none"/>
                      <w:lang w:val="en-US" w:eastAsia="zh-CN"/>
                      <w14:textFill>
                        <w14:solidFill>
                          <w14:schemeClr w14:val="tx1"/>
                        </w14:solidFill>
                      </w14:textFill>
                    </w:rPr>
                    <w:t>3.12</w:t>
                  </w:r>
                  <w:r>
                    <w:rPr>
                      <w:color w:val="000000" w:themeColor="text1"/>
                      <w:sz w:val="18"/>
                      <w:szCs w:val="18"/>
                      <w:highlight w:val="none"/>
                      <w14:textFill>
                        <w14:solidFill>
                          <w14:schemeClr w14:val="tx1"/>
                        </w14:solidFill>
                      </w14:textFill>
                    </w:rPr>
                    <w:t>"</w:t>
                  </w:r>
                </w:p>
              </w:tc>
              <w:tc>
                <w:tcPr>
                  <w:tcW w:w="708" w:type="dxa"/>
                  <w:noWrap/>
                  <w:tcMar>
                    <w:top w:w="0" w:type="dxa"/>
                    <w:left w:w="51" w:type="dxa"/>
                    <w:bottom w:w="0" w:type="dxa"/>
                    <w:right w:w="51" w:type="dxa"/>
                  </w:tcMar>
                  <w:vAlign w:val="center"/>
                </w:tcPr>
                <w:p w14:paraId="4144A2D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010D88E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6BFDE4C3">
                  <w:pPr>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69E381A0">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NW</w:t>
                  </w:r>
                </w:p>
              </w:tc>
              <w:tc>
                <w:tcPr>
                  <w:tcW w:w="850" w:type="dxa"/>
                  <w:noWrap/>
                  <w:tcMar>
                    <w:top w:w="0" w:type="dxa"/>
                    <w:left w:w="51" w:type="dxa"/>
                    <w:bottom w:w="0" w:type="dxa"/>
                    <w:right w:w="51" w:type="dxa"/>
                  </w:tcMar>
                  <w:vAlign w:val="center"/>
                </w:tcPr>
                <w:p w14:paraId="61DEBB72">
                  <w:pPr>
                    <w:widowControl/>
                    <w:spacing w:line="320" w:lineRule="exact"/>
                    <w:ind w:left="-105" w:leftChars="-50" w:right="-105" w:rightChars="-5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2850</w:t>
                  </w:r>
                </w:p>
              </w:tc>
              <w:tc>
                <w:tcPr>
                  <w:tcW w:w="722" w:type="dxa"/>
                  <w:noWrap/>
                  <w:tcMar>
                    <w:top w:w="0" w:type="dxa"/>
                    <w:left w:w="51" w:type="dxa"/>
                    <w:bottom w:w="0" w:type="dxa"/>
                    <w:right w:w="51" w:type="dxa"/>
                  </w:tcMar>
                  <w:vAlign w:val="center"/>
                </w:tcPr>
                <w:p w14:paraId="67879140">
                  <w:pPr>
                    <w:widowControl/>
                    <w:spacing w:line="320" w:lineRule="exact"/>
                    <w:ind w:left="-105" w:leftChars="-50" w:right="-105" w:rightChars="-5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778</w:t>
                  </w:r>
                </w:p>
              </w:tc>
            </w:tr>
            <w:tr w14:paraId="6FFE88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438D5541">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3</w:t>
                  </w:r>
                </w:p>
              </w:tc>
              <w:tc>
                <w:tcPr>
                  <w:tcW w:w="1118" w:type="dxa"/>
                  <w:noWrap/>
                  <w:tcMar>
                    <w:top w:w="0" w:type="dxa"/>
                    <w:left w:w="51" w:type="dxa"/>
                    <w:bottom w:w="0" w:type="dxa"/>
                    <w:right w:w="51" w:type="dxa"/>
                  </w:tcMar>
                  <w:vAlign w:val="center"/>
                </w:tcPr>
                <w:p w14:paraId="7BF94EF5">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任店子村</w:t>
                  </w:r>
                </w:p>
              </w:tc>
              <w:tc>
                <w:tcPr>
                  <w:tcW w:w="1134" w:type="dxa"/>
                  <w:noWrap/>
                  <w:tcMar>
                    <w:top w:w="0" w:type="dxa"/>
                    <w:left w:w="51" w:type="dxa"/>
                    <w:bottom w:w="0" w:type="dxa"/>
                    <w:right w:w="51" w:type="dxa"/>
                  </w:tcMar>
                  <w:vAlign w:val="center"/>
                </w:tcPr>
                <w:p w14:paraId="15AC0A1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118°43'19.09"</w:t>
                  </w:r>
                </w:p>
              </w:tc>
              <w:tc>
                <w:tcPr>
                  <w:tcW w:w="1134" w:type="dxa"/>
                  <w:noWrap/>
                  <w:tcMar>
                    <w:top w:w="0" w:type="dxa"/>
                    <w:left w:w="51" w:type="dxa"/>
                    <w:bottom w:w="0" w:type="dxa"/>
                    <w:right w:w="51" w:type="dxa"/>
                  </w:tcMar>
                  <w:vAlign w:val="center"/>
                </w:tcPr>
                <w:p w14:paraId="1C92D7E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39°41'8.10"</w:t>
                  </w:r>
                </w:p>
              </w:tc>
              <w:tc>
                <w:tcPr>
                  <w:tcW w:w="708" w:type="dxa"/>
                  <w:noWrap/>
                  <w:tcMar>
                    <w:top w:w="0" w:type="dxa"/>
                    <w:left w:w="51" w:type="dxa"/>
                    <w:bottom w:w="0" w:type="dxa"/>
                    <w:right w:w="51" w:type="dxa"/>
                  </w:tcMar>
                  <w:vAlign w:val="center"/>
                </w:tcPr>
                <w:p w14:paraId="25D0EB0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AFCB49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10BB6982">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36206A9B">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NW</w:t>
                  </w:r>
                </w:p>
              </w:tc>
              <w:tc>
                <w:tcPr>
                  <w:tcW w:w="850" w:type="dxa"/>
                  <w:noWrap/>
                  <w:tcMar>
                    <w:top w:w="0" w:type="dxa"/>
                    <w:left w:w="51" w:type="dxa"/>
                    <w:bottom w:w="0" w:type="dxa"/>
                    <w:right w:w="51" w:type="dxa"/>
                  </w:tcMar>
                  <w:vAlign w:val="center"/>
                </w:tcPr>
                <w:p w14:paraId="1CE91BA4">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2870</w:t>
                  </w:r>
                </w:p>
              </w:tc>
              <w:tc>
                <w:tcPr>
                  <w:tcW w:w="722" w:type="dxa"/>
                  <w:noWrap/>
                  <w:tcMar>
                    <w:top w:w="0" w:type="dxa"/>
                    <w:left w:w="51" w:type="dxa"/>
                    <w:bottom w:w="0" w:type="dxa"/>
                    <w:right w:w="51" w:type="dxa"/>
                  </w:tcMar>
                  <w:vAlign w:val="center"/>
                </w:tcPr>
                <w:p w14:paraId="1513C9BE">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759</w:t>
                  </w:r>
                </w:p>
              </w:tc>
            </w:tr>
            <w:tr w14:paraId="4624A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2AA920E">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4</w:t>
                  </w:r>
                </w:p>
              </w:tc>
              <w:tc>
                <w:tcPr>
                  <w:tcW w:w="1118" w:type="dxa"/>
                  <w:noWrap/>
                  <w:tcMar>
                    <w:top w:w="0" w:type="dxa"/>
                    <w:left w:w="51" w:type="dxa"/>
                    <w:bottom w:w="0" w:type="dxa"/>
                    <w:right w:w="51" w:type="dxa"/>
                  </w:tcMar>
                  <w:vAlign w:val="center"/>
                </w:tcPr>
                <w:p w14:paraId="2DE3F03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邢里庄村</w:t>
                  </w:r>
                </w:p>
              </w:tc>
              <w:tc>
                <w:tcPr>
                  <w:tcW w:w="1134" w:type="dxa"/>
                  <w:noWrap/>
                  <w:tcMar>
                    <w:top w:w="0" w:type="dxa"/>
                    <w:left w:w="51" w:type="dxa"/>
                    <w:bottom w:w="0" w:type="dxa"/>
                    <w:right w:w="51" w:type="dxa"/>
                  </w:tcMar>
                  <w:vAlign w:val="center"/>
                </w:tcPr>
                <w:p w14:paraId="27389B7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118°43'44.80"</w:t>
                  </w:r>
                </w:p>
              </w:tc>
              <w:tc>
                <w:tcPr>
                  <w:tcW w:w="1134" w:type="dxa"/>
                  <w:noWrap/>
                  <w:tcMar>
                    <w:top w:w="0" w:type="dxa"/>
                    <w:left w:w="51" w:type="dxa"/>
                    <w:bottom w:w="0" w:type="dxa"/>
                    <w:right w:w="51" w:type="dxa"/>
                  </w:tcMar>
                  <w:vAlign w:val="center"/>
                </w:tcPr>
                <w:p w14:paraId="0EBC7D6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39°40'59.12"</w:t>
                  </w:r>
                </w:p>
              </w:tc>
              <w:tc>
                <w:tcPr>
                  <w:tcW w:w="708" w:type="dxa"/>
                  <w:noWrap/>
                  <w:tcMar>
                    <w:top w:w="0" w:type="dxa"/>
                    <w:left w:w="51" w:type="dxa"/>
                    <w:bottom w:w="0" w:type="dxa"/>
                    <w:right w:w="51" w:type="dxa"/>
                  </w:tcMar>
                  <w:vAlign w:val="center"/>
                </w:tcPr>
                <w:p w14:paraId="1CD24D1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4B89D53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7C1365FE">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2609B38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NW</w:t>
                  </w:r>
                </w:p>
              </w:tc>
              <w:tc>
                <w:tcPr>
                  <w:tcW w:w="850" w:type="dxa"/>
                  <w:noWrap/>
                  <w:tcMar>
                    <w:top w:w="0" w:type="dxa"/>
                    <w:left w:w="51" w:type="dxa"/>
                    <w:bottom w:w="0" w:type="dxa"/>
                    <w:right w:w="51" w:type="dxa"/>
                  </w:tcMar>
                  <w:vAlign w:val="center"/>
                </w:tcPr>
                <w:p w14:paraId="79AB779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2260</w:t>
                  </w:r>
                </w:p>
              </w:tc>
              <w:tc>
                <w:tcPr>
                  <w:tcW w:w="722" w:type="dxa"/>
                  <w:noWrap/>
                  <w:tcMar>
                    <w:top w:w="0" w:type="dxa"/>
                    <w:left w:w="51" w:type="dxa"/>
                    <w:bottom w:w="0" w:type="dxa"/>
                    <w:right w:w="51" w:type="dxa"/>
                  </w:tcMar>
                  <w:vAlign w:val="center"/>
                </w:tcPr>
                <w:p w14:paraId="3C9467C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746</w:t>
                  </w:r>
                </w:p>
              </w:tc>
            </w:tr>
            <w:tr w14:paraId="027EB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431F17B">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5</w:t>
                  </w:r>
                </w:p>
              </w:tc>
              <w:tc>
                <w:tcPr>
                  <w:tcW w:w="1118" w:type="dxa"/>
                  <w:noWrap/>
                  <w:tcMar>
                    <w:top w:w="0" w:type="dxa"/>
                    <w:left w:w="51" w:type="dxa"/>
                    <w:bottom w:w="0" w:type="dxa"/>
                    <w:right w:w="51" w:type="dxa"/>
                  </w:tcMar>
                  <w:vAlign w:val="center"/>
                </w:tcPr>
                <w:p w14:paraId="1365C16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响嘡</w:t>
                  </w:r>
                  <w:r>
                    <w:rPr>
                      <w:color w:val="000000" w:themeColor="text1"/>
                      <w:sz w:val="18"/>
                      <w:szCs w:val="18"/>
                      <w:highlight w:val="none"/>
                      <w14:textFill>
                        <w14:solidFill>
                          <w14:schemeClr w14:val="tx1"/>
                        </w14:solidFill>
                      </w14:textFill>
                    </w:rPr>
                    <w:t>村</w:t>
                  </w:r>
                </w:p>
              </w:tc>
              <w:tc>
                <w:tcPr>
                  <w:tcW w:w="1134" w:type="dxa"/>
                  <w:noWrap/>
                  <w:tcMar>
                    <w:top w:w="0" w:type="dxa"/>
                    <w:left w:w="51" w:type="dxa"/>
                    <w:bottom w:w="0" w:type="dxa"/>
                    <w:right w:w="51" w:type="dxa"/>
                  </w:tcMar>
                  <w:vAlign w:val="center"/>
                </w:tcPr>
                <w:p w14:paraId="665DD1B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118°44'25.12"</w:t>
                  </w:r>
                </w:p>
              </w:tc>
              <w:tc>
                <w:tcPr>
                  <w:tcW w:w="1134" w:type="dxa"/>
                  <w:noWrap/>
                  <w:tcMar>
                    <w:top w:w="0" w:type="dxa"/>
                    <w:left w:w="51" w:type="dxa"/>
                    <w:bottom w:w="0" w:type="dxa"/>
                    <w:right w:w="51" w:type="dxa"/>
                  </w:tcMar>
                  <w:vAlign w:val="center"/>
                </w:tcPr>
                <w:p w14:paraId="5520CFF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39°41'2.10"</w:t>
                  </w:r>
                </w:p>
              </w:tc>
              <w:tc>
                <w:tcPr>
                  <w:tcW w:w="708" w:type="dxa"/>
                  <w:noWrap/>
                  <w:tcMar>
                    <w:top w:w="0" w:type="dxa"/>
                    <w:left w:w="51" w:type="dxa"/>
                    <w:bottom w:w="0" w:type="dxa"/>
                    <w:right w:w="51" w:type="dxa"/>
                  </w:tcMar>
                  <w:vAlign w:val="center"/>
                </w:tcPr>
                <w:p w14:paraId="6A58271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1B36566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6B89483E">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11ED3D1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w:t>
                  </w:r>
                </w:p>
              </w:tc>
              <w:tc>
                <w:tcPr>
                  <w:tcW w:w="850" w:type="dxa"/>
                  <w:noWrap/>
                  <w:tcMar>
                    <w:top w:w="0" w:type="dxa"/>
                    <w:left w:w="51" w:type="dxa"/>
                    <w:bottom w:w="0" w:type="dxa"/>
                    <w:right w:w="51" w:type="dxa"/>
                  </w:tcMar>
                  <w:vAlign w:val="center"/>
                </w:tcPr>
                <w:p w14:paraId="16B1516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1970</w:t>
                  </w:r>
                </w:p>
              </w:tc>
              <w:tc>
                <w:tcPr>
                  <w:tcW w:w="722" w:type="dxa"/>
                  <w:noWrap/>
                  <w:tcMar>
                    <w:top w:w="0" w:type="dxa"/>
                    <w:left w:w="51" w:type="dxa"/>
                    <w:bottom w:w="0" w:type="dxa"/>
                    <w:right w:w="51" w:type="dxa"/>
                  </w:tcMar>
                  <w:vAlign w:val="center"/>
                </w:tcPr>
                <w:p w14:paraId="1D8BD3E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635</w:t>
                  </w:r>
                </w:p>
              </w:tc>
            </w:tr>
            <w:tr w14:paraId="3923A8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64592B34">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6</w:t>
                  </w:r>
                </w:p>
              </w:tc>
              <w:tc>
                <w:tcPr>
                  <w:tcW w:w="1118" w:type="dxa"/>
                  <w:noWrap/>
                  <w:tcMar>
                    <w:top w:w="0" w:type="dxa"/>
                    <w:left w:w="51" w:type="dxa"/>
                    <w:bottom w:w="0" w:type="dxa"/>
                    <w:right w:w="51" w:type="dxa"/>
                  </w:tcMar>
                  <w:vAlign w:val="center"/>
                </w:tcPr>
                <w:p w14:paraId="3DB70E8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东法宝村</w:t>
                  </w:r>
                </w:p>
              </w:tc>
              <w:tc>
                <w:tcPr>
                  <w:tcW w:w="1134" w:type="dxa"/>
                  <w:noWrap/>
                  <w:tcMar>
                    <w:top w:w="0" w:type="dxa"/>
                    <w:left w:w="51" w:type="dxa"/>
                    <w:bottom w:w="0" w:type="dxa"/>
                    <w:right w:w="51" w:type="dxa"/>
                  </w:tcMar>
                  <w:vAlign w:val="center"/>
                </w:tcPr>
                <w:p w14:paraId="79A273B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118°45'41.25"</w:t>
                  </w:r>
                </w:p>
              </w:tc>
              <w:tc>
                <w:tcPr>
                  <w:tcW w:w="1134" w:type="dxa"/>
                  <w:noWrap/>
                  <w:tcMar>
                    <w:top w:w="0" w:type="dxa"/>
                    <w:left w:w="51" w:type="dxa"/>
                    <w:bottom w:w="0" w:type="dxa"/>
                    <w:right w:w="51" w:type="dxa"/>
                  </w:tcMar>
                  <w:vAlign w:val="center"/>
                </w:tcPr>
                <w:p w14:paraId="6886D3E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39°41'14.65"</w:t>
                  </w:r>
                </w:p>
              </w:tc>
              <w:tc>
                <w:tcPr>
                  <w:tcW w:w="708" w:type="dxa"/>
                  <w:noWrap/>
                  <w:tcMar>
                    <w:top w:w="0" w:type="dxa"/>
                    <w:left w:w="51" w:type="dxa"/>
                    <w:bottom w:w="0" w:type="dxa"/>
                    <w:right w:w="51" w:type="dxa"/>
                  </w:tcMar>
                  <w:vAlign w:val="center"/>
                </w:tcPr>
                <w:p w14:paraId="067AC05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0623290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0D3E5C38">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642E036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NE</w:t>
                  </w:r>
                </w:p>
              </w:tc>
              <w:tc>
                <w:tcPr>
                  <w:tcW w:w="850" w:type="dxa"/>
                  <w:noWrap/>
                  <w:tcMar>
                    <w:top w:w="0" w:type="dxa"/>
                    <w:left w:w="51" w:type="dxa"/>
                    <w:bottom w:w="0" w:type="dxa"/>
                    <w:right w:w="51" w:type="dxa"/>
                  </w:tcMar>
                  <w:vAlign w:val="center"/>
                </w:tcPr>
                <w:p w14:paraId="006543B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2710</w:t>
                  </w:r>
                </w:p>
              </w:tc>
              <w:tc>
                <w:tcPr>
                  <w:tcW w:w="722" w:type="dxa"/>
                  <w:noWrap/>
                  <w:tcMar>
                    <w:top w:w="0" w:type="dxa"/>
                    <w:left w:w="51" w:type="dxa"/>
                    <w:bottom w:w="0" w:type="dxa"/>
                    <w:right w:w="51" w:type="dxa"/>
                  </w:tcMar>
                  <w:vAlign w:val="center"/>
                </w:tcPr>
                <w:p w14:paraId="04372B1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864</w:t>
                  </w:r>
                </w:p>
              </w:tc>
            </w:tr>
            <w:tr w14:paraId="6AFD73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33E40FE0">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7</w:t>
                  </w:r>
                </w:p>
              </w:tc>
              <w:tc>
                <w:tcPr>
                  <w:tcW w:w="1118" w:type="dxa"/>
                  <w:noWrap/>
                  <w:tcMar>
                    <w:top w:w="0" w:type="dxa"/>
                    <w:left w:w="51" w:type="dxa"/>
                    <w:bottom w:w="0" w:type="dxa"/>
                    <w:right w:w="51" w:type="dxa"/>
                  </w:tcMar>
                  <w:vAlign w:val="center"/>
                </w:tcPr>
                <w:p w14:paraId="1DEB7DB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后迁义村</w:t>
                  </w:r>
                </w:p>
              </w:tc>
              <w:tc>
                <w:tcPr>
                  <w:tcW w:w="1134" w:type="dxa"/>
                  <w:noWrap/>
                  <w:tcMar>
                    <w:top w:w="0" w:type="dxa"/>
                    <w:left w:w="51" w:type="dxa"/>
                    <w:bottom w:w="0" w:type="dxa"/>
                    <w:right w:w="51" w:type="dxa"/>
                  </w:tcMar>
                  <w:vAlign w:val="center"/>
                </w:tcPr>
                <w:p w14:paraId="76F28D3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118°45'55.04"</w:t>
                  </w:r>
                </w:p>
              </w:tc>
              <w:tc>
                <w:tcPr>
                  <w:tcW w:w="1134" w:type="dxa"/>
                  <w:noWrap/>
                  <w:tcMar>
                    <w:top w:w="0" w:type="dxa"/>
                    <w:left w:w="51" w:type="dxa"/>
                    <w:bottom w:w="0" w:type="dxa"/>
                    <w:right w:w="51" w:type="dxa"/>
                  </w:tcMar>
                  <w:vAlign w:val="center"/>
                </w:tcPr>
                <w:p w14:paraId="2FBB136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39°40'34.32"</w:t>
                  </w:r>
                </w:p>
              </w:tc>
              <w:tc>
                <w:tcPr>
                  <w:tcW w:w="708" w:type="dxa"/>
                  <w:noWrap/>
                  <w:tcMar>
                    <w:top w:w="0" w:type="dxa"/>
                    <w:left w:w="51" w:type="dxa"/>
                    <w:bottom w:w="0" w:type="dxa"/>
                    <w:right w:w="51" w:type="dxa"/>
                  </w:tcMar>
                  <w:vAlign w:val="center"/>
                </w:tcPr>
                <w:p w14:paraId="3C4451F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15CA42D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507892CF">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1982487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NE</w:t>
                  </w:r>
                </w:p>
              </w:tc>
              <w:tc>
                <w:tcPr>
                  <w:tcW w:w="850" w:type="dxa"/>
                  <w:noWrap/>
                  <w:tcMar>
                    <w:top w:w="0" w:type="dxa"/>
                    <w:left w:w="51" w:type="dxa"/>
                    <w:bottom w:w="0" w:type="dxa"/>
                    <w:right w:w="51" w:type="dxa"/>
                  </w:tcMar>
                  <w:vAlign w:val="center"/>
                </w:tcPr>
                <w:p w14:paraId="01E293E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2010</w:t>
                  </w:r>
                </w:p>
              </w:tc>
              <w:tc>
                <w:tcPr>
                  <w:tcW w:w="722" w:type="dxa"/>
                  <w:noWrap/>
                  <w:tcMar>
                    <w:top w:w="0" w:type="dxa"/>
                    <w:left w:w="51" w:type="dxa"/>
                    <w:bottom w:w="0" w:type="dxa"/>
                    <w:right w:w="51" w:type="dxa"/>
                  </w:tcMar>
                  <w:vAlign w:val="center"/>
                </w:tcPr>
                <w:p w14:paraId="5CC5841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524</w:t>
                  </w:r>
                </w:p>
              </w:tc>
            </w:tr>
            <w:tr w14:paraId="0D4C6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1254D234">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8</w:t>
                  </w:r>
                </w:p>
              </w:tc>
              <w:tc>
                <w:tcPr>
                  <w:tcW w:w="1118" w:type="dxa"/>
                  <w:noWrap/>
                  <w:tcMar>
                    <w:top w:w="0" w:type="dxa"/>
                    <w:left w:w="51" w:type="dxa"/>
                    <w:bottom w:w="0" w:type="dxa"/>
                    <w:right w:w="51" w:type="dxa"/>
                  </w:tcMar>
                  <w:vAlign w:val="center"/>
                </w:tcPr>
                <w:p w14:paraId="52E5F0C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前</w:t>
                  </w:r>
                  <w:r>
                    <w:rPr>
                      <w:color w:val="000000" w:themeColor="text1"/>
                      <w:sz w:val="18"/>
                      <w:szCs w:val="18"/>
                      <w:highlight w:val="none"/>
                      <w14:textFill>
                        <w14:solidFill>
                          <w14:schemeClr w14:val="tx1"/>
                        </w14:solidFill>
                      </w14:textFill>
                    </w:rPr>
                    <w:t>迁义村</w:t>
                  </w:r>
                </w:p>
              </w:tc>
              <w:tc>
                <w:tcPr>
                  <w:tcW w:w="1134" w:type="dxa"/>
                  <w:noWrap/>
                  <w:tcMar>
                    <w:top w:w="0" w:type="dxa"/>
                    <w:left w:w="51" w:type="dxa"/>
                    <w:bottom w:w="0" w:type="dxa"/>
                    <w:right w:w="51" w:type="dxa"/>
                  </w:tcMar>
                  <w:vAlign w:val="center"/>
                </w:tcPr>
                <w:p w14:paraId="0BB05E1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118°45'5</w:t>
                  </w:r>
                  <w:r>
                    <w:rPr>
                      <w:rFonts w:hint="eastAsia"/>
                      <w:color w:val="000000" w:themeColor="text1"/>
                      <w:sz w:val="18"/>
                      <w:szCs w:val="18"/>
                      <w:highlight w:val="none"/>
                      <w:lang w:val="en-US" w:eastAsia="zh-CN"/>
                      <w14:textFill>
                        <w14:solidFill>
                          <w14:schemeClr w14:val="tx1"/>
                        </w14:solidFill>
                      </w14:textFill>
                    </w:rPr>
                    <w:t>1.78</w:t>
                  </w:r>
                  <w:r>
                    <w:rPr>
                      <w:color w:val="000000" w:themeColor="text1"/>
                      <w:sz w:val="18"/>
                      <w:szCs w:val="18"/>
                      <w:highlight w:val="none"/>
                      <w14:textFill>
                        <w14:solidFill>
                          <w14:schemeClr w14:val="tx1"/>
                        </w14:solidFill>
                      </w14:textFill>
                    </w:rPr>
                    <w:t>"</w:t>
                  </w:r>
                </w:p>
              </w:tc>
              <w:tc>
                <w:tcPr>
                  <w:tcW w:w="1134" w:type="dxa"/>
                  <w:noWrap/>
                  <w:tcMar>
                    <w:top w:w="0" w:type="dxa"/>
                    <w:left w:w="51" w:type="dxa"/>
                    <w:bottom w:w="0" w:type="dxa"/>
                    <w:right w:w="51" w:type="dxa"/>
                  </w:tcMar>
                  <w:vAlign w:val="center"/>
                </w:tcPr>
                <w:p w14:paraId="79FE1A6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39°40'</w:t>
                  </w:r>
                  <w:r>
                    <w:rPr>
                      <w:rFonts w:hint="eastAsia"/>
                      <w:color w:val="000000" w:themeColor="text1"/>
                      <w:sz w:val="18"/>
                      <w:szCs w:val="18"/>
                      <w:highlight w:val="none"/>
                      <w:lang w:val="en-US" w:eastAsia="zh-CN"/>
                      <w14:textFill>
                        <w14:solidFill>
                          <w14:schemeClr w14:val="tx1"/>
                        </w14:solidFill>
                      </w14:textFill>
                    </w:rPr>
                    <w:t>41.08</w:t>
                  </w:r>
                  <w:r>
                    <w:rPr>
                      <w:color w:val="000000" w:themeColor="text1"/>
                      <w:sz w:val="18"/>
                      <w:szCs w:val="18"/>
                      <w:highlight w:val="none"/>
                      <w14:textFill>
                        <w14:solidFill>
                          <w14:schemeClr w14:val="tx1"/>
                        </w14:solidFill>
                      </w14:textFill>
                    </w:rPr>
                    <w:t>"</w:t>
                  </w:r>
                </w:p>
              </w:tc>
              <w:tc>
                <w:tcPr>
                  <w:tcW w:w="708" w:type="dxa"/>
                  <w:noWrap/>
                  <w:tcMar>
                    <w:top w:w="0" w:type="dxa"/>
                    <w:left w:w="51" w:type="dxa"/>
                    <w:bottom w:w="0" w:type="dxa"/>
                    <w:right w:w="51" w:type="dxa"/>
                  </w:tcMar>
                  <w:vAlign w:val="center"/>
                </w:tcPr>
                <w:p w14:paraId="5AF84F4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122D7AB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753918D1">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3E4BBF1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NE</w:t>
                  </w:r>
                </w:p>
              </w:tc>
              <w:tc>
                <w:tcPr>
                  <w:tcW w:w="850" w:type="dxa"/>
                  <w:noWrap/>
                  <w:tcMar>
                    <w:top w:w="0" w:type="dxa"/>
                    <w:left w:w="51" w:type="dxa"/>
                    <w:bottom w:w="0" w:type="dxa"/>
                    <w:right w:w="51" w:type="dxa"/>
                  </w:tcMar>
                  <w:vAlign w:val="center"/>
                </w:tcPr>
                <w:p w14:paraId="7DD885AA">
                  <w:pPr>
                    <w:spacing w:line="320" w:lineRule="exact"/>
                    <w:ind w:left="-105" w:leftChars="-50" w:right="-105" w:rightChars="-5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1990</w:t>
                  </w:r>
                </w:p>
              </w:tc>
              <w:tc>
                <w:tcPr>
                  <w:tcW w:w="722" w:type="dxa"/>
                  <w:noWrap/>
                  <w:tcMar>
                    <w:top w:w="0" w:type="dxa"/>
                    <w:left w:w="51" w:type="dxa"/>
                    <w:bottom w:w="0" w:type="dxa"/>
                    <w:right w:w="51" w:type="dxa"/>
                  </w:tcMar>
                  <w:vAlign w:val="center"/>
                </w:tcPr>
                <w:p w14:paraId="3F40B4B9">
                  <w:pPr>
                    <w:spacing w:line="320" w:lineRule="exact"/>
                    <w:ind w:left="-105" w:leftChars="-50" w:right="-105" w:rightChars="-5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475</w:t>
                  </w:r>
                </w:p>
              </w:tc>
            </w:tr>
            <w:tr w14:paraId="45E09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0A68436D">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9</w:t>
                  </w:r>
                </w:p>
              </w:tc>
              <w:tc>
                <w:tcPr>
                  <w:tcW w:w="1118" w:type="dxa"/>
                  <w:noWrap/>
                  <w:tcMar>
                    <w:top w:w="0" w:type="dxa"/>
                    <w:left w:w="51" w:type="dxa"/>
                    <w:bottom w:w="0" w:type="dxa"/>
                    <w:right w:w="51" w:type="dxa"/>
                  </w:tcMar>
                  <w:vAlign w:val="center"/>
                </w:tcPr>
                <w:p w14:paraId="32F0978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王法宝村</w:t>
                  </w:r>
                </w:p>
              </w:tc>
              <w:tc>
                <w:tcPr>
                  <w:tcW w:w="1134" w:type="dxa"/>
                  <w:noWrap/>
                  <w:tcMar>
                    <w:top w:w="0" w:type="dxa"/>
                    <w:left w:w="51" w:type="dxa"/>
                    <w:bottom w:w="0" w:type="dxa"/>
                    <w:right w:w="51" w:type="dxa"/>
                  </w:tcMar>
                  <w:vAlign w:val="center"/>
                </w:tcPr>
                <w:p w14:paraId="62EAB00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118°45'45.65"</w:t>
                  </w:r>
                </w:p>
              </w:tc>
              <w:tc>
                <w:tcPr>
                  <w:tcW w:w="1134" w:type="dxa"/>
                  <w:noWrap/>
                  <w:tcMar>
                    <w:top w:w="0" w:type="dxa"/>
                    <w:left w:w="51" w:type="dxa"/>
                    <w:bottom w:w="0" w:type="dxa"/>
                    <w:right w:w="51" w:type="dxa"/>
                  </w:tcMar>
                  <w:vAlign w:val="center"/>
                </w:tcPr>
                <w:p w14:paraId="74BFEAC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39°40'19.10"</w:t>
                  </w:r>
                </w:p>
              </w:tc>
              <w:tc>
                <w:tcPr>
                  <w:tcW w:w="708" w:type="dxa"/>
                  <w:noWrap/>
                  <w:tcMar>
                    <w:top w:w="0" w:type="dxa"/>
                    <w:left w:w="51" w:type="dxa"/>
                    <w:bottom w:w="0" w:type="dxa"/>
                    <w:right w:w="51" w:type="dxa"/>
                  </w:tcMar>
                  <w:vAlign w:val="center"/>
                </w:tcPr>
                <w:p w14:paraId="097D393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1F7BA0B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5E1001F0">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451B699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NE</w:t>
                  </w:r>
                </w:p>
              </w:tc>
              <w:tc>
                <w:tcPr>
                  <w:tcW w:w="850" w:type="dxa"/>
                  <w:noWrap/>
                  <w:tcMar>
                    <w:top w:w="0" w:type="dxa"/>
                    <w:left w:w="51" w:type="dxa"/>
                    <w:bottom w:w="0" w:type="dxa"/>
                    <w:right w:w="51" w:type="dxa"/>
                  </w:tcMar>
                  <w:vAlign w:val="center"/>
                </w:tcPr>
                <w:p w14:paraId="253CFF6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1340</w:t>
                  </w:r>
                </w:p>
              </w:tc>
              <w:tc>
                <w:tcPr>
                  <w:tcW w:w="722" w:type="dxa"/>
                  <w:noWrap/>
                  <w:tcMar>
                    <w:top w:w="0" w:type="dxa"/>
                    <w:left w:w="51" w:type="dxa"/>
                    <w:bottom w:w="0" w:type="dxa"/>
                    <w:right w:w="51" w:type="dxa"/>
                  </w:tcMar>
                  <w:vAlign w:val="center"/>
                </w:tcPr>
                <w:p w14:paraId="6598C04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936</w:t>
                  </w:r>
                </w:p>
              </w:tc>
            </w:tr>
            <w:tr w14:paraId="51610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001F0664">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10</w:t>
                  </w:r>
                </w:p>
              </w:tc>
              <w:tc>
                <w:tcPr>
                  <w:tcW w:w="1118" w:type="dxa"/>
                  <w:noWrap/>
                  <w:tcMar>
                    <w:top w:w="0" w:type="dxa"/>
                    <w:left w:w="51" w:type="dxa"/>
                    <w:bottom w:w="0" w:type="dxa"/>
                    <w:right w:w="51" w:type="dxa"/>
                  </w:tcMar>
                  <w:vAlign w:val="center"/>
                </w:tcPr>
                <w:p w14:paraId="4DD1264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小司营村</w:t>
                  </w:r>
                </w:p>
              </w:tc>
              <w:tc>
                <w:tcPr>
                  <w:tcW w:w="1134" w:type="dxa"/>
                  <w:noWrap/>
                  <w:tcMar>
                    <w:top w:w="0" w:type="dxa"/>
                    <w:left w:w="51" w:type="dxa"/>
                    <w:bottom w:w="0" w:type="dxa"/>
                    <w:right w:w="51" w:type="dxa"/>
                  </w:tcMar>
                  <w:vAlign w:val="center"/>
                </w:tcPr>
                <w:p w14:paraId="5744BAE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118°45'39.01"</w:t>
                  </w:r>
                </w:p>
              </w:tc>
              <w:tc>
                <w:tcPr>
                  <w:tcW w:w="1134" w:type="dxa"/>
                  <w:noWrap/>
                  <w:tcMar>
                    <w:top w:w="0" w:type="dxa"/>
                    <w:left w:w="51" w:type="dxa"/>
                    <w:bottom w:w="0" w:type="dxa"/>
                    <w:right w:w="51" w:type="dxa"/>
                  </w:tcMar>
                  <w:vAlign w:val="center"/>
                </w:tcPr>
                <w:p w14:paraId="3E55F41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39°40'10.39"</w:t>
                  </w:r>
                </w:p>
              </w:tc>
              <w:tc>
                <w:tcPr>
                  <w:tcW w:w="708" w:type="dxa"/>
                  <w:noWrap/>
                  <w:tcMar>
                    <w:top w:w="0" w:type="dxa"/>
                    <w:left w:w="51" w:type="dxa"/>
                    <w:bottom w:w="0" w:type="dxa"/>
                    <w:right w:w="51" w:type="dxa"/>
                  </w:tcMar>
                  <w:vAlign w:val="center"/>
                </w:tcPr>
                <w:p w14:paraId="3C903FC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43C37FB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1A5C2C89">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71601E3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E</w:t>
                  </w:r>
                </w:p>
              </w:tc>
              <w:tc>
                <w:tcPr>
                  <w:tcW w:w="850" w:type="dxa"/>
                  <w:noWrap/>
                  <w:tcMar>
                    <w:top w:w="0" w:type="dxa"/>
                    <w:left w:w="51" w:type="dxa"/>
                    <w:bottom w:w="0" w:type="dxa"/>
                    <w:right w:w="51" w:type="dxa"/>
                  </w:tcMar>
                  <w:vAlign w:val="center"/>
                </w:tcPr>
                <w:p w14:paraId="08E5A25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1220</w:t>
                  </w:r>
                </w:p>
              </w:tc>
              <w:tc>
                <w:tcPr>
                  <w:tcW w:w="722" w:type="dxa"/>
                  <w:noWrap/>
                  <w:tcMar>
                    <w:top w:w="0" w:type="dxa"/>
                    <w:left w:w="51" w:type="dxa"/>
                    <w:bottom w:w="0" w:type="dxa"/>
                    <w:right w:w="51" w:type="dxa"/>
                  </w:tcMar>
                  <w:vAlign w:val="center"/>
                </w:tcPr>
                <w:p w14:paraId="0140461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600</w:t>
                  </w:r>
                </w:p>
              </w:tc>
            </w:tr>
            <w:tr w14:paraId="5928D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68479745">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11</w:t>
                  </w:r>
                </w:p>
              </w:tc>
              <w:tc>
                <w:tcPr>
                  <w:tcW w:w="1118" w:type="dxa"/>
                  <w:noWrap/>
                  <w:tcMar>
                    <w:top w:w="0" w:type="dxa"/>
                    <w:left w:w="51" w:type="dxa"/>
                    <w:bottom w:w="0" w:type="dxa"/>
                    <w:right w:w="51" w:type="dxa"/>
                  </w:tcMar>
                  <w:vAlign w:val="center"/>
                </w:tcPr>
                <w:p w14:paraId="215F372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大司营村</w:t>
                  </w:r>
                </w:p>
              </w:tc>
              <w:tc>
                <w:tcPr>
                  <w:tcW w:w="1134" w:type="dxa"/>
                  <w:noWrap/>
                  <w:tcMar>
                    <w:top w:w="0" w:type="dxa"/>
                    <w:left w:w="51" w:type="dxa"/>
                    <w:bottom w:w="0" w:type="dxa"/>
                    <w:right w:w="51" w:type="dxa"/>
                  </w:tcMar>
                  <w:vAlign w:val="center"/>
                </w:tcPr>
                <w:p w14:paraId="67BFF26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118°45'48.70"</w:t>
                  </w:r>
                </w:p>
              </w:tc>
              <w:tc>
                <w:tcPr>
                  <w:tcW w:w="1134" w:type="dxa"/>
                  <w:noWrap/>
                  <w:tcMar>
                    <w:top w:w="0" w:type="dxa"/>
                    <w:left w:w="51" w:type="dxa"/>
                    <w:bottom w:w="0" w:type="dxa"/>
                    <w:right w:w="51" w:type="dxa"/>
                  </w:tcMar>
                  <w:vAlign w:val="center"/>
                </w:tcPr>
                <w:p w14:paraId="6DFA0C6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39°39'57.06"</w:t>
                  </w:r>
                </w:p>
              </w:tc>
              <w:tc>
                <w:tcPr>
                  <w:tcW w:w="708" w:type="dxa"/>
                  <w:noWrap/>
                  <w:tcMar>
                    <w:top w:w="0" w:type="dxa"/>
                    <w:left w:w="51" w:type="dxa"/>
                    <w:bottom w:w="0" w:type="dxa"/>
                    <w:right w:w="51" w:type="dxa"/>
                  </w:tcMar>
                  <w:vAlign w:val="center"/>
                </w:tcPr>
                <w:p w14:paraId="1B5F252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3F68424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04E6F69A">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19BDEF9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E</w:t>
                  </w:r>
                </w:p>
              </w:tc>
              <w:tc>
                <w:tcPr>
                  <w:tcW w:w="850" w:type="dxa"/>
                  <w:noWrap/>
                  <w:tcMar>
                    <w:top w:w="0" w:type="dxa"/>
                    <w:left w:w="51" w:type="dxa"/>
                    <w:bottom w:w="0" w:type="dxa"/>
                    <w:right w:w="51" w:type="dxa"/>
                  </w:tcMar>
                  <w:vAlign w:val="center"/>
                </w:tcPr>
                <w:p w14:paraId="25CC217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1470</w:t>
                  </w:r>
                </w:p>
              </w:tc>
              <w:tc>
                <w:tcPr>
                  <w:tcW w:w="722" w:type="dxa"/>
                  <w:noWrap/>
                  <w:tcMar>
                    <w:top w:w="0" w:type="dxa"/>
                    <w:left w:w="51" w:type="dxa"/>
                    <w:bottom w:w="0" w:type="dxa"/>
                    <w:right w:w="51" w:type="dxa"/>
                  </w:tcMar>
                  <w:vAlign w:val="center"/>
                </w:tcPr>
                <w:p w14:paraId="18FE47A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542</w:t>
                  </w:r>
                </w:p>
              </w:tc>
            </w:tr>
            <w:tr w14:paraId="039E49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D8351E4">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12</w:t>
                  </w:r>
                </w:p>
              </w:tc>
              <w:tc>
                <w:tcPr>
                  <w:tcW w:w="1118" w:type="dxa"/>
                  <w:noWrap/>
                  <w:tcMar>
                    <w:top w:w="0" w:type="dxa"/>
                    <w:left w:w="51" w:type="dxa"/>
                    <w:bottom w:w="0" w:type="dxa"/>
                    <w:right w:w="51" w:type="dxa"/>
                  </w:tcMar>
                  <w:vAlign w:val="center"/>
                </w:tcPr>
                <w:p w14:paraId="0ADC08E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郭坨子村</w:t>
                  </w:r>
                </w:p>
              </w:tc>
              <w:tc>
                <w:tcPr>
                  <w:tcW w:w="1134" w:type="dxa"/>
                  <w:noWrap/>
                  <w:tcMar>
                    <w:top w:w="0" w:type="dxa"/>
                    <w:left w:w="51" w:type="dxa"/>
                    <w:bottom w:w="0" w:type="dxa"/>
                    <w:right w:w="51" w:type="dxa"/>
                  </w:tcMar>
                  <w:vAlign w:val="center"/>
                </w:tcPr>
                <w:p w14:paraId="657F36F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118°46'23.04"</w:t>
                  </w:r>
                </w:p>
              </w:tc>
              <w:tc>
                <w:tcPr>
                  <w:tcW w:w="1134" w:type="dxa"/>
                  <w:noWrap/>
                  <w:tcMar>
                    <w:top w:w="0" w:type="dxa"/>
                    <w:left w:w="51" w:type="dxa"/>
                    <w:bottom w:w="0" w:type="dxa"/>
                    <w:right w:w="51" w:type="dxa"/>
                  </w:tcMar>
                  <w:vAlign w:val="center"/>
                </w:tcPr>
                <w:p w14:paraId="14D2F2E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39°39'38.49"</w:t>
                  </w:r>
                </w:p>
              </w:tc>
              <w:tc>
                <w:tcPr>
                  <w:tcW w:w="708" w:type="dxa"/>
                  <w:noWrap/>
                  <w:tcMar>
                    <w:top w:w="0" w:type="dxa"/>
                    <w:left w:w="51" w:type="dxa"/>
                    <w:bottom w:w="0" w:type="dxa"/>
                    <w:right w:w="51" w:type="dxa"/>
                  </w:tcMar>
                  <w:vAlign w:val="center"/>
                </w:tcPr>
                <w:p w14:paraId="044357B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63EC172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16937CF8">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09F14AC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E</w:t>
                  </w:r>
                </w:p>
              </w:tc>
              <w:tc>
                <w:tcPr>
                  <w:tcW w:w="850" w:type="dxa"/>
                  <w:noWrap/>
                  <w:tcMar>
                    <w:top w:w="0" w:type="dxa"/>
                    <w:left w:w="51" w:type="dxa"/>
                    <w:bottom w:w="0" w:type="dxa"/>
                    <w:right w:w="51" w:type="dxa"/>
                  </w:tcMar>
                  <w:vAlign w:val="center"/>
                </w:tcPr>
                <w:p w14:paraId="61E9A85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2240</w:t>
                  </w:r>
                </w:p>
              </w:tc>
              <w:tc>
                <w:tcPr>
                  <w:tcW w:w="722" w:type="dxa"/>
                  <w:noWrap/>
                  <w:tcMar>
                    <w:top w:w="0" w:type="dxa"/>
                    <w:left w:w="51" w:type="dxa"/>
                    <w:bottom w:w="0" w:type="dxa"/>
                    <w:right w:w="51" w:type="dxa"/>
                  </w:tcMar>
                  <w:vAlign w:val="center"/>
                </w:tcPr>
                <w:p w14:paraId="473A518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293</w:t>
                  </w:r>
                </w:p>
              </w:tc>
            </w:tr>
            <w:tr w14:paraId="701570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4788CC0F">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13</w:t>
                  </w:r>
                </w:p>
              </w:tc>
              <w:tc>
                <w:tcPr>
                  <w:tcW w:w="1118" w:type="dxa"/>
                  <w:noWrap/>
                  <w:tcMar>
                    <w:top w:w="0" w:type="dxa"/>
                    <w:left w:w="51" w:type="dxa"/>
                    <w:bottom w:w="0" w:type="dxa"/>
                    <w:right w:w="51" w:type="dxa"/>
                  </w:tcMar>
                  <w:vAlign w:val="center"/>
                </w:tcPr>
                <w:p w14:paraId="7609BE4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田疃村</w:t>
                  </w:r>
                </w:p>
              </w:tc>
              <w:tc>
                <w:tcPr>
                  <w:tcW w:w="1134" w:type="dxa"/>
                  <w:noWrap/>
                  <w:tcMar>
                    <w:top w:w="0" w:type="dxa"/>
                    <w:left w:w="51" w:type="dxa"/>
                    <w:bottom w:w="0" w:type="dxa"/>
                    <w:right w:w="51" w:type="dxa"/>
                  </w:tcMar>
                  <w:vAlign w:val="center"/>
                </w:tcPr>
                <w:p w14:paraId="5177048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118°44'57.13"</w:t>
                  </w:r>
                </w:p>
              </w:tc>
              <w:tc>
                <w:tcPr>
                  <w:tcW w:w="1134" w:type="dxa"/>
                  <w:noWrap/>
                  <w:tcMar>
                    <w:top w:w="0" w:type="dxa"/>
                    <w:left w:w="51" w:type="dxa"/>
                    <w:bottom w:w="0" w:type="dxa"/>
                    <w:right w:w="51" w:type="dxa"/>
                  </w:tcMar>
                  <w:vAlign w:val="center"/>
                </w:tcPr>
                <w:p w14:paraId="5A7164F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39°39'34.21"</w:t>
                  </w:r>
                </w:p>
              </w:tc>
              <w:tc>
                <w:tcPr>
                  <w:tcW w:w="708" w:type="dxa"/>
                  <w:noWrap/>
                  <w:tcMar>
                    <w:top w:w="0" w:type="dxa"/>
                    <w:left w:w="51" w:type="dxa"/>
                    <w:bottom w:w="0" w:type="dxa"/>
                    <w:right w:w="51" w:type="dxa"/>
                  </w:tcMar>
                  <w:vAlign w:val="center"/>
                </w:tcPr>
                <w:p w14:paraId="4FF07C7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5556F9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13382CC0">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1A100F95">
                  <w:pPr>
                    <w:spacing w:line="320" w:lineRule="exact"/>
                    <w:ind w:left="-105" w:leftChars="-50" w:right="-105" w:rightChars="-50"/>
                    <w:jc w:val="center"/>
                    <w:rPr>
                      <w:rFonts w:hint="eastAsia"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S</w:t>
                  </w:r>
                  <w:r>
                    <w:rPr>
                      <w:rFonts w:hint="eastAsia"/>
                      <w:color w:val="000000" w:themeColor="text1"/>
                      <w:sz w:val="18"/>
                      <w:szCs w:val="18"/>
                      <w:highlight w:val="none"/>
                      <w:lang w:val="en-US" w:eastAsia="zh-CN"/>
                      <w14:textFill>
                        <w14:solidFill>
                          <w14:schemeClr w14:val="tx1"/>
                        </w14:solidFill>
                      </w14:textFill>
                    </w:rPr>
                    <w:t>E</w:t>
                  </w:r>
                </w:p>
              </w:tc>
              <w:tc>
                <w:tcPr>
                  <w:tcW w:w="850" w:type="dxa"/>
                  <w:noWrap/>
                  <w:tcMar>
                    <w:top w:w="0" w:type="dxa"/>
                    <w:left w:w="51" w:type="dxa"/>
                    <w:bottom w:w="0" w:type="dxa"/>
                    <w:right w:w="51" w:type="dxa"/>
                  </w:tcMar>
                  <w:vAlign w:val="center"/>
                </w:tcPr>
                <w:p w14:paraId="7AE3B3B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90</w:t>
                  </w:r>
                </w:p>
              </w:tc>
              <w:tc>
                <w:tcPr>
                  <w:tcW w:w="722" w:type="dxa"/>
                  <w:noWrap/>
                  <w:tcMar>
                    <w:top w:w="0" w:type="dxa"/>
                    <w:left w:w="51" w:type="dxa"/>
                    <w:bottom w:w="0" w:type="dxa"/>
                    <w:right w:w="51" w:type="dxa"/>
                  </w:tcMar>
                  <w:vAlign w:val="center"/>
                </w:tcPr>
                <w:p w14:paraId="7258D4D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1890</w:t>
                  </w:r>
                </w:p>
              </w:tc>
            </w:tr>
            <w:tr w14:paraId="6F60B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537F175">
                  <w:pPr>
                    <w:spacing w:line="320" w:lineRule="exact"/>
                    <w:ind w:left="-105" w:leftChars="-50" w:right="-105" w:rightChars="-5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color w:val="000000" w:themeColor="text1"/>
                      <w:kern w:val="2"/>
                      <w:sz w:val="18"/>
                      <w:szCs w:val="18"/>
                      <w:highlight w:val="none"/>
                      <w:lang w:val="en-US" w:eastAsia="zh-CN" w:bidi="ar-SA"/>
                      <w14:textFill>
                        <w14:solidFill>
                          <w14:schemeClr w14:val="tx1"/>
                        </w14:solidFill>
                      </w14:textFill>
                    </w:rPr>
                    <w:t>14</w:t>
                  </w:r>
                </w:p>
              </w:tc>
              <w:tc>
                <w:tcPr>
                  <w:tcW w:w="1118" w:type="dxa"/>
                  <w:noWrap/>
                  <w:tcMar>
                    <w:top w:w="0" w:type="dxa"/>
                    <w:left w:w="51" w:type="dxa"/>
                    <w:bottom w:w="0" w:type="dxa"/>
                    <w:right w:w="51" w:type="dxa"/>
                  </w:tcMar>
                  <w:vAlign w:val="center"/>
                </w:tcPr>
                <w:p w14:paraId="1C2AEBF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李兴庄村</w:t>
                  </w:r>
                </w:p>
              </w:tc>
              <w:tc>
                <w:tcPr>
                  <w:tcW w:w="1134" w:type="dxa"/>
                  <w:noWrap/>
                  <w:tcMar>
                    <w:top w:w="0" w:type="dxa"/>
                    <w:left w:w="51" w:type="dxa"/>
                    <w:bottom w:w="0" w:type="dxa"/>
                    <w:right w:w="51" w:type="dxa"/>
                  </w:tcMar>
                  <w:vAlign w:val="center"/>
                </w:tcPr>
                <w:p w14:paraId="7872661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118°45'19.67"</w:t>
                  </w:r>
                </w:p>
              </w:tc>
              <w:tc>
                <w:tcPr>
                  <w:tcW w:w="1134" w:type="dxa"/>
                  <w:noWrap/>
                  <w:tcMar>
                    <w:top w:w="0" w:type="dxa"/>
                    <w:left w:w="51" w:type="dxa"/>
                    <w:bottom w:w="0" w:type="dxa"/>
                    <w:right w:w="51" w:type="dxa"/>
                  </w:tcMar>
                  <w:vAlign w:val="center"/>
                </w:tcPr>
                <w:p w14:paraId="1EFC4F3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39°39'36.62"</w:t>
                  </w:r>
                </w:p>
              </w:tc>
              <w:tc>
                <w:tcPr>
                  <w:tcW w:w="708" w:type="dxa"/>
                  <w:noWrap/>
                  <w:tcMar>
                    <w:top w:w="0" w:type="dxa"/>
                    <w:left w:w="51" w:type="dxa"/>
                    <w:bottom w:w="0" w:type="dxa"/>
                    <w:right w:w="51" w:type="dxa"/>
                  </w:tcMar>
                  <w:vAlign w:val="center"/>
                </w:tcPr>
                <w:p w14:paraId="4E9DF8F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4372B19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4AA9110B">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6F8287A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SE</w:t>
                  </w:r>
                </w:p>
              </w:tc>
              <w:tc>
                <w:tcPr>
                  <w:tcW w:w="850" w:type="dxa"/>
                  <w:noWrap/>
                  <w:tcMar>
                    <w:top w:w="0" w:type="dxa"/>
                    <w:left w:w="51" w:type="dxa"/>
                    <w:bottom w:w="0" w:type="dxa"/>
                    <w:right w:w="51" w:type="dxa"/>
                  </w:tcMar>
                  <w:vAlign w:val="center"/>
                </w:tcPr>
                <w:p w14:paraId="034C6FE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980</w:t>
                  </w:r>
                </w:p>
              </w:tc>
              <w:tc>
                <w:tcPr>
                  <w:tcW w:w="722" w:type="dxa"/>
                  <w:noWrap/>
                  <w:tcMar>
                    <w:top w:w="0" w:type="dxa"/>
                    <w:left w:w="51" w:type="dxa"/>
                    <w:bottom w:w="0" w:type="dxa"/>
                    <w:right w:w="51" w:type="dxa"/>
                  </w:tcMar>
                  <w:vAlign w:val="center"/>
                </w:tcPr>
                <w:p w14:paraId="2FAD6D9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656</w:t>
                  </w:r>
                </w:p>
              </w:tc>
            </w:tr>
            <w:tr w14:paraId="1B7ECF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0FDE802B">
                  <w:pPr>
                    <w:spacing w:line="320" w:lineRule="exact"/>
                    <w:ind w:left="-105" w:leftChars="-50" w:right="-105" w:rightChars="-5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15</w:t>
                  </w:r>
                </w:p>
              </w:tc>
              <w:tc>
                <w:tcPr>
                  <w:tcW w:w="1118" w:type="dxa"/>
                  <w:noWrap/>
                  <w:tcMar>
                    <w:top w:w="0" w:type="dxa"/>
                    <w:left w:w="51" w:type="dxa"/>
                    <w:bottom w:w="0" w:type="dxa"/>
                    <w:right w:w="51" w:type="dxa"/>
                  </w:tcMar>
                  <w:vAlign w:val="center"/>
                </w:tcPr>
                <w:p w14:paraId="5CEDEB0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老陈营村</w:t>
                  </w:r>
                </w:p>
              </w:tc>
              <w:tc>
                <w:tcPr>
                  <w:tcW w:w="1134" w:type="dxa"/>
                  <w:noWrap/>
                  <w:tcMar>
                    <w:top w:w="0" w:type="dxa"/>
                    <w:left w:w="51" w:type="dxa"/>
                    <w:bottom w:w="0" w:type="dxa"/>
                    <w:right w:w="51" w:type="dxa"/>
                  </w:tcMar>
                  <w:vAlign w:val="center"/>
                </w:tcPr>
                <w:p w14:paraId="5F3EF42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118°45'53.46"</w:t>
                  </w:r>
                </w:p>
              </w:tc>
              <w:tc>
                <w:tcPr>
                  <w:tcW w:w="1134" w:type="dxa"/>
                  <w:noWrap/>
                  <w:tcMar>
                    <w:top w:w="0" w:type="dxa"/>
                    <w:left w:w="51" w:type="dxa"/>
                    <w:bottom w:w="0" w:type="dxa"/>
                    <w:right w:w="51" w:type="dxa"/>
                  </w:tcMar>
                  <w:vAlign w:val="center"/>
                </w:tcPr>
                <w:p w14:paraId="1DD9D49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39°39'29.96"</w:t>
                  </w:r>
                </w:p>
              </w:tc>
              <w:tc>
                <w:tcPr>
                  <w:tcW w:w="708" w:type="dxa"/>
                  <w:noWrap/>
                  <w:tcMar>
                    <w:top w:w="0" w:type="dxa"/>
                    <w:left w:w="51" w:type="dxa"/>
                    <w:bottom w:w="0" w:type="dxa"/>
                    <w:right w:w="51" w:type="dxa"/>
                  </w:tcMar>
                  <w:vAlign w:val="center"/>
                </w:tcPr>
                <w:p w14:paraId="57E0087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7F10827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2B8FFF65">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6AF8207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SE</w:t>
                  </w:r>
                </w:p>
              </w:tc>
              <w:tc>
                <w:tcPr>
                  <w:tcW w:w="850" w:type="dxa"/>
                  <w:noWrap/>
                  <w:tcMar>
                    <w:top w:w="0" w:type="dxa"/>
                    <w:left w:w="51" w:type="dxa"/>
                    <w:bottom w:w="0" w:type="dxa"/>
                    <w:right w:w="51" w:type="dxa"/>
                  </w:tcMar>
                  <w:vAlign w:val="center"/>
                </w:tcPr>
                <w:p w14:paraId="2E3FF3A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1600</w:t>
                  </w:r>
                </w:p>
              </w:tc>
              <w:tc>
                <w:tcPr>
                  <w:tcW w:w="722" w:type="dxa"/>
                  <w:noWrap/>
                  <w:tcMar>
                    <w:top w:w="0" w:type="dxa"/>
                    <w:left w:w="51" w:type="dxa"/>
                    <w:bottom w:w="0" w:type="dxa"/>
                    <w:right w:w="51" w:type="dxa"/>
                  </w:tcMar>
                  <w:vAlign w:val="center"/>
                </w:tcPr>
                <w:p w14:paraId="5F51D34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324</w:t>
                  </w:r>
                </w:p>
              </w:tc>
            </w:tr>
            <w:tr w14:paraId="69B31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678131F7">
                  <w:pPr>
                    <w:spacing w:line="320" w:lineRule="exact"/>
                    <w:ind w:left="-105" w:leftChars="-50" w:right="-105" w:rightChars="-5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16</w:t>
                  </w:r>
                </w:p>
              </w:tc>
              <w:tc>
                <w:tcPr>
                  <w:tcW w:w="1118" w:type="dxa"/>
                  <w:noWrap/>
                  <w:tcMar>
                    <w:top w:w="0" w:type="dxa"/>
                    <w:left w:w="51" w:type="dxa"/>
                    <w:bottom w:w="0" w:type="dxa"/>
                    <w:right w:w="51" w:type="dxa"/>
                  </w:tcMar>
                  <w:vAlign w:val="center"/>
                </w:tcPr>
                <w:p w14:paraId="536197E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新陈营村</w:t>
                  </w:r>
                </w:p>
              </w:tc>
              <w:tc>
                <w:tcPr>
                  <w:tcW w:w="1134" w:type="dxa"/>
                  <w:noWrap/>
                  <w:tcMar>
                    <w:top w:w="0" w:type="dxa"/>
                    <w:left w:w="51" w:type="dxa"/>
                    <w:bottom w:w="0" w:type="dxa"/>
                    <w:right w:w="51" w:type="dxa"/>
                  </w:tcMar>
                  <w:vAlign w:val="center"/>
                </w:tcPr>
                <w:p w14:paraId="64C6B27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118°45'15.24"</w:t>
                  </w:r>
                </w:p>
              </w:tc>
              <w:tc>
                <w:tcPr>
                  <w:tcW w:w="1134" w:type="dxa"/>
                  <w:noWrap/>
                  <w:tcMar>
                    <w:top w:w="0" w:type="dxa"/>
                    <w:left w:w="51" w:type="dxa"/>
                    <w:bottom w:w="0" w:type="dxa"/>
                    <w:right w:w="51" w:type="dxa"/>
                  </w:tcMar>
                  <w:vAlign w:val="center"/>
                </w:tcPr>
                <w:p w14:paraId="1345FAD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39°39'21.59"</w:t>
                  </w:r>
                </w:p>
              </w:tc>
              <w:tc>
                <w:tcPr>
                  <w:tcW w:w="708" w:type="dxa"/>
                  <w:noWrap/>
                  <w:tcMar>
                    <w:top w:w="0" w:type="dxa"/>
                    <w:left w:w="51" w:type="dxa"/>
                    <w:bottom w:w="0" w:type="dxa"/>
                    <w:right w:w="51" w:type="dxa"/>
                  </w:tcMar>
                  <w:vAlign w:val="center"/>
                </w:tcPr>
                <w:p w14:paraId="658E36F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F3AB17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681B64BB">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354DA61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SE</w:t>
                  </w:r>
                </w:p>
              </w:tc>
              <w:tc>
                <w:tcPr>
                  <w:tcW w:w="850" w:type="dxa"/>
                  <w:noWrap/>
                  <w:tcMar>
                    <w:top w:w="0" w:type="dxa"/>
                    <w:left w:w="51" w:type="dxa"/>
                    <w:bottom w:w="0" w:type="dxa"/>
                    <w:right w:w="51" w:type="dxa"/>
                  </w:tcMar>
                  <w:vAlign w:val="center"/>
                </w:tcPr>
                <w:p w14:paraId="69C2E9A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1210</w:t>
                  </w:r>
                </w:p>
              </w:tc>
              <w:tc>
                <w:tcPr>
                  <w:tcW w:w="722" w:type="dxa"/>
                  <w:noWrap/>
                  <w:tcMar>
                    <w:top w:w="0" w:type="dxa"/>
                    <w:left w:w="51" w:type="dxa"/>
                    <w:bottom w:w="0" w:type="dxa"/>
                    <w:right w:w="51" w:type="dxa"/>
                  </w:tcMar>
                  <w:vAlign w:val="center"/>
                </w:tcPr>
                <w:p w14:paraId="2B774B1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398</w:t>
                  </w:r>
                </w:p>
              </w:tc>
            </w:tr>
            <w:tr w14:paraId="759839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777EAF85">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17</w:t>
                  </w:r>
                </w:p>
              </w:tc>
              <w:tc>
                <w:tcPr>
                  <w:tcW w:w="1118" w:type="dxa"/>
                  <w:noWrap/>
                  <w:tcMar>
                    <w:top w:w="0" w:type="dxa"/>
                    <w:left w:w="51" w:type="dxa"/>
                    <w:bottom w:w="0" w:type="dxa"/>
                    <w:right w:w="51" w:type="dxa"/>
                  </w:tcMar>
                  <w:vAlign w:val="center"/>
                </w:tcPr>
                <w:p w14:paraId="185F4EC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上伍旗村</w:t>
                  </w:r>
                </w:p>
              </w:tc>
              <w:tc>
                <w:tcPr>
                  <w:tcW w:w="1134" w:type="dxa"/>
                  <w:noWrap/>
                  <w:tcMar>
                    <w:top w:w="0" w:type="dxa"/>
                    <w:left w:w="51" w:type="dxa"/>
                    <w:bottom w:w="0" w:type="dxa"/>
                    <w:right w:w="51" w:type="dxa"/>
                  </w:tcMar>
                  <w:vAlign w:val="center"/>
                </w:tcPr>
                <w:p w14:paraId="28F1262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118°45'14.64"</w:t>
                  </w:r>
                </w:p>
              </w:tc>
              <w:tc>
                <w:tcPr>
                  <w:tcW w:w="1134" w:type="dxa"/>
                  <w:noWrap/>
                  <w:tcMar>
                    <w:top w:w="0" w:type="dxa"/>
                    <w:left w:w="51" w:type="dxa"/>
                    <w:bottom w:w="0" w:type="dxa"/>
                    <w:right w:w="51" w:type="dxa"/>
                  </w:tcMar>
                  <w:vAlign w:val="center"/>
                </w:tcPr>
                <w:p w14:paraId="38529E8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39°39'12.14"</w:t>
                  </w:r>
                </w:p>
              </w:tc>
              <w:tc>
                <w:tcPr>
                  <w:tcW w:w="708" w:type="dxa"/>
                  <w:noWrap/>
                  <w:tcMar>
                    <w:top w:w="0" w:type="dxa"/>
                    <w:left w:w="51" w:type="dxa"/>
                    <w:bottom w:w="0" w:type="dxa"/>
                    <w:right w:w="51" w:type="dxa"/>
                  </w:tcMar>
                  <w:vAlign w:val="center"/>
                </w:tcPr>
                <w:p w14:paraId="3039DA2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325BCC5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301BEAD0">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11964AA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SE</w:t>
                  </w:r>
                </w:p>
              </w:tc>
              <w:tc>
                <w:tcPr>
                  <w:tcW w:w="850" w:type="dxa"/>
                  <w:noWrap/>
                  <w:tcMar>
                    <w:top w:w="0" w:type="dxa"/>
                    <w:left w:w="51" w:type="dxa"/>
                    <w:bottom w:w="0" w:type="dxa"/>
                    <w:right w:w="51" w:type="dxa"/>
                  </w:tcMar>
                  <w:vAlign w:val="center"/>
                </w:tcPr>
                <w:p w14:paraId="7CF08A4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1440</w:t>
                  </w:r>
                </w:p>
              </w:tc>
              <w:tc>
                <w:tcPr>
                  <w:tcW w:w="722" w:type="dxa"/>
                  <w:noWrap/>
                  <w:tcMar>
                    <w:top w:w="0" w:type="dxa"/>
                    <w:left w:w="51" w:type="dxa"/>
                    <w:bottom w:w="0" w:type="dxa"/>
                    <w:right w:w="51" w:type="dxa"/>
                  </w:tcMar>
                  <w:vAlign w:val="center"/>
                </w:tcPr>
                <w:p w14:paraId="221AF0E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605</w:t>
                  </w:r>
                </w:p>
              </w:tc>
            </w:tr>
            <w:tr w14:paraId="48B55C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0839A072">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18</w:t>
                  </w:r>
                </w:p>
              </w:tc>
              <w:tc>
                <w:tcPr>
                  <w:tcW w:w="1118" w:type="dxa"/>
                  <w:noWrap/>
                  <w:tcMar>
                    <w:top w:w="0" w:type="dxa"/>
                    <w:left w:w="51" w:type="dxa"/>
                    <w:bottom w:w="0" w:type="dxa"/>
                    <w:right w:w="51" w:type="dxa"/>
                  </w:tcMar>
                  <w:vAlign w:val="center"/>
                </w:tcPr>
                <w:p w14:paraId="750BB64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新柳树营村</w:t>
                  </w:r>
                </w:p>
              </w:tc>
              <w:tc>
                <w:tcPr>
                  <w:tcW w:w="1134" w:type="dxa"/>
                  <w:noWrap/>
                  <w:tcMar>
                    <w:top w:w="0" w:type="dxa"/>
                    <w:left w:w="51" w:type="dxa"/>
                    <w:bottom w:w="0" w:type="dxa"/>
                    <w:right w:w="51" w:type="dxa"/>
                  </w:tcMar>
                  <w:vAlign w:val="center"/>
                </w:tcPr>
                <w:p w14:paraId="6AD0197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118°45'1.06"</w:t>
                  </w:r>
                </w:p>
              </w:tc>
              <w:tc>
                <w:tcPr>
                  <w:tcW w:w="1134" w:type="dxa"/>
                  <w:noWrap/>
                  <w:tcMar>
                    <w:top w:w="0" w:type="dxa"/>
                    <w:left w:w="51" w:type="dxa"/>
                    <w:bottom w:w="0" w:type="dxa"/>
                    <w:right w:w="51" w:type="dxa"/>
                  </w:tcMar>
                  <w:vAlign w:val="center"/>
                </w:tcPr>
                <w:p w14:paraId="2E76991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39°39'11.75"</w:t>
                  </w:r>
                </w:p>
              </w:tc>
              <w:tc>
                <w:tcPr>
                  <w:tcW w:w="708" w:type="dxa"/>
                  <w:noWrap/>
                  <w:tcMar>
                    <w:top w:w="0" w:type="dxa"/>
                    <w:left w:w="51" w:type="dxa"/>
                    <w:bottom w:w="0" w:type="dxa"/>
                    <w:right w:w="51" w:type="dxa"/>
                  </w:tcMar>
                  <w:vAlign w:val="center"/>
                </w:tcPr>
                <w:p w14:paraId="20020EA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46D8D8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46151BA2">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112C394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3E2D46E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1330</w:t>
                  </w:r>
                </w:p>
              </w:tc>
              <w:tc>
                <w:tcPr>
                  <w:tcW w:w="722" w:type="dxa"/>
                  <w:noWrap/>
                  <w:tcMar>
                    <w:top w:w="0" w:type="dxa"/>
                    <w:left w:w="51" w:type="dxa"/>
                    <w:bottom w:w="0" w:type="dxa"/>
                    <w:right w:w="51" w:type="dxa"/>
                  </w:tcMar>
                  <w:vAlign w:val="center"/>
                </w:tcPr>
                <w:p w14:paraId="60575F1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668</w:t>
                  </w:r>
                </w:p>
              </w:tc>
            </w:tr>
            <w:tr w14:paraId="01E64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0F7583E">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19</w:t>
                  </w:r>
                </w:p>
              </w:tc>
              <w:tc>
                <w:tcPr>
                  <w:tcW w:w="1118" w:type="dxa"/>
                  <w:noWrap/>
                  <w:tcMar>
                    <w:top w:w="0" w:type="dxa"/>
                    <w:left w:w="51" w:type="dxa"/>
                    <w:bottom w:w="0" w:type="dxa"/>
                    <w:right w:w="51" w:type="dxa"/>
                  </w:tcMar>
                  <w:vAlign w:val="center"/>
                </w:tcPr>
                <w:p w14:paraId="43C8AF4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沙营村</w:t>
                  </w:r>
                </w:p>
              </w:tc>
              <w:tc>
                <w:tcPr>
                  <w:tcW w:w="1134" w:type="dxa"/>
                  <w:noWrap/>
                  <w:tcMar>
                    <w:top w:w="0" w:type="dxa"/>
                    <w:left w:w="51" w:type="dxa"/>
                    <w:bottom w:w="0" w:type="dxa"/>
                    <w:right w:w="51" w:type="dxa"/>
                  </w:tcMar>
                  <w:vAlign w:val="center"/>
                </w:tcPr>
                <w:p w14:paraId="481BAD3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118°44'56.76"</w:t>
                  </w:r>
                </w:p>
              </w:tc>
              <w:tc>
                <w:tcPr>
                  <w:tcW w:w="1134" w:type="dxa"/>
                  <w:noWrap/>
                  <w:tcMar>
                    <w:top w:w="0" w:type="dxa"/>
                    <w:left w:w="51" w:type="dxa"/>
                    <w:bottom w:w="0" w:type="dxa"/>
                    <w:right w:w="51" w:type="dxa"/>
                  </w:tcMar>
                  <w:vAlign w:val="center"/>
                </w:tcPr>
                <w:p w14:paraId="4193316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39°39'5.99"</w:t>
                  </w:r>
                </w:p>
              </w:tc>
              <w:tc>
                <w:tcPr>
                  <w:tcW w:w="708" w:type="dxa"/>
                  <w:noWrap/>
                  <w:tcMar>
                    <w:top w:w="0" w:type="dxa"/>
                    <w:left w:w="51" w:type="dxa"/>
                    <w:bottom w:w="0" w:type="dxa"/>
                    <w:right w:w="51" w:type="dxa"/>
                  </w:tcMar>
                  <w:vAlign w:val="center"/>
                </w:tcPr>
                <w:p w14:paraId="58AD3CB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047DCF0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5CC6F815">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7AF90CD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673A20C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1470</w:t>
                  </w:r>
                </w:p>
              </w:tc>
              <w:tc>
                <w:tcPr>
                  <w:tcW w:w="722" w:type="dxa"/>
                  <w:noWrap/>
                  <w:tcMar>
                    <w:top w:w="0" w:type="dxa"/>
                    <w:left w:w="51" w:type="dxa"/>
                    <w:bottom w:w="0" w:type="dxa"/>
                    <w:right w:w="51" w:type="dxa"/>
                  </w:tcMar>
                  <w:vAlign w:val="center"/>
                </w:tcPr>
                <w:p w14:paraId="6ACE0B1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1320</w:t>
                  </w:r>
                </w:p>
              </w:tc>
            </w:tr>
            <w:tr w14:paraId="6CBE5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0757CD0">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20</w:t>
                  </w:r>
                </w:p>
              </w:tc>
              <w:tc>
                <w:tcPr>
                  <w:tcW w:w="1118" w:type="dxa"/>
                  <w:noWrap/>
                  <w:tcMar>
                    <w:top w:w="0" w:type="dxa"/>
                    <w:left w:w="51" w:type="dxa"/>
                    <w:bottom w:w="0" w:type="dxa"/>
                    <w:right w:w="51" w:type="dxa"/>
                  </w:tcMar>
                  <w:vAlign w:val="center"/>
                </w:tcPr>
                <w:p w14:paraId="1A96A33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新孟营村</w:t>
                  </w:r>
                </w:p>
              </w:tc>
              <w:tc>
                <w:tcPr>
                  <w:tcW w:w="1134" w:type="dxa"/>
                  <w:noWrap/>
                  <w:tcMar>
                    <w:top w:w="0" w:type="dxa"/>
                    <w:left w:w="51" w:type="dxa"/>
                    <w:bottom w:w="0" w:type="dxa"/>
                    <w:right w:w="51" w:type="dxa"/>
                  </w:tcMar>
                  <w:vAlign w:val="center"/>
                </w:tcPr>
                <w:p w14:paraId="2357FAB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118°44'40.76"</w:t>
                  </w:r>
                </w:p>
              </w:tc>
              <w:tc>
                <w:tcPr>
                  <w:tcW w:w="1134" w:type="dxa"/>
                  <w:noWrap/>
                  <w:tcMar>
                    <w:top w:w="0" w:type="dxa"/>
                    <w:left w:w="51" w:type="dxa"/>
                    <w:bottom w:w="0" w:type="dxa"/>
                    <w:right w:w="51" w:type="dxa"/>
                  </w:tcMar>
                  <w:vAlign w:val="center"/>
                </w:tcPr>
                <w:p w14:paraId="3887ADA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39°39'14.03"</w:t>
                  </w:r>
                </w:p>
              </w:tc>
              <w:tc>
                <w:tcPr>
                  <w:tcW w:w="708" w:type="dxa"/>
                  <w:noWrap/>
                  <w:tcMar>
                    <w:top w:w="0" w:type="dxa"/>
                    <w:left w:w="51" w:type="dxa"/>
                    <w:bottom w:w="0" w:type="dxa"/>
                    <w:right w:w="51" w:type="dxa"/>
                  </w:tcMar>
                  <w:vAlign w:val="center"/>
                </w:tcPr>
                <w:p w14:paraId="02774FF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4A9D815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55786984">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078F156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6AA476E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1190</w:t>
                  </w:r>
                </w:p>
              </w:tc>
              <w:tc>
                <w:tcPr>
                  <w:tcW w:w="722" w:type="dxa"/>
                  <w:noWrap/>
                  <w:tcMar>
                    <w:top w:w="0" w:type="dxa"/>
                    <w:left w:w="51" w:type="dxa"/>
                    <w:bottom w:w="0" w:type="dxa"/>
                    <w:right w:w="51" w:type="dxa"/>
                  </w:tcMar>
                  <w:vAlign w:val="center"/>
                </w:tcPr>
                <w:p w14:paraId="6115BE7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277</w:t>
                  </w:r>
                </w:p>
              </w:tc>
            </w:tr>
            <w:tr w14:paraId="58EF3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E9F2FC2">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21</w:t>
                  </w:r>
                </w:p>
              </w:tc>
              <w:tc>
                <w:tcPr>
                  <w:tcW w:w="1118" w:type="dxa"/>
                  <w:noWrap/>
                  <w:tcMar>
                    <w:top w:w="0" w:type="dxa"/>
                    <w:left w:w="51" w:type="dxa"/>
                    <w:bottom w:w="0" w:type="dxa"/>
                    <w:right w:w="51" w:type="dxa"/>
                  </w:tcMar>
                  <w:vAlign w:val="center"/>
                </w:tcPr>
                <w:p w14:paraId="1862293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东柏树庄村</w:t>
                  </w:r>
                </w:p>
              </w:tc>
              <w:tc>
                <w:tcPr>
                  <w:tcW w:w="1134" w:type="dxa"/>
                  <w:noWrap/>
                  <w:tcMar>
                    <w:top w:w="0" w:type="dxa"/>
                    <w:left w:w="51" w:type="dxa"/>
                    <w:bottom w:w="0" w:type="dxa"/>
                    <w:right w:w="51" w:type="dxa"/>
                  </w:tcMar>
                  <w:vAlign w:val="center"/>
                </w:tcPr>
                <w:p w14:paraId="78D5904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118°44'37.87"</w:t>
                  </w:r>
                </w:p>
              </w:tc>
              <w:tc>
                <w:tcPr>
                  <w:tcW w:w="1134" w:type="dxa"/>
                  <w:noWrap/>
                  <w:tcMar>
                    <w:top w:w="0" w:type="dxa"/>
                    <w:left w:w="51" w:type="dxa"/>
                    <w:bottom w:w="0" w:type="dxa"/>
                    <w:right w:w="51" w:type="dxa"/>
                  </w:tcMar>
                  <w:vAlign w:val="center"/>
                </w:tcPr>
                <w:p w14:paraId="0E05A18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39°38'54.05"</w:t>
                  </w:r>
                </w:p>
              </w:tc>
              <w:tc>
                <w:tcPr>
                  <w:tcW w:w="708" w:type="dxa"/>
                  <w:noWrap/>
                  <w:tcMar>
                    <w:top w:w="0" w:type="dxa"/>
                    <w:left w:w="51" w:type="dxa"/>
                    <w:bottom w:w="0" w:type="dxa"/>
                    <w:right w:w="51" w:type="dxa"/>
                  </w:tcMar>
                  <w:vAlign w:val="center"/>
                </w:tcPr>
                <w:p w14:paraId="3F86C27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5F405FD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3A931030">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2745EBF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7590A5F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1530</w:t>
                  </w:r>
                </w:p>
              </w:tc>
              <w:tc>
                <w:tcPr>
                  <w:tcW w:w="722" w:type="dxa"/>
                  <w:noWrap/>
                  <w:tcMar>
                    <w:top w:w="0" w:type="dxa"/>
                    <w:left w:w="51" w:type="dxa"/>
                    <w:bottom w:w="0" w:type="dxa"/>
                    <w:right w:w="51" w:type="dxa"/>
                  </w:tcMar>
                  <w:vAlign w:val="center"/>
                </w:tcPr>
                <w:p w14:paraId="087C4FB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460</w:t>
                  </w:r>
                </w:p>
              </w:tc>
            </w:tr>
            <w:tr w14:paraId="45595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4C3C2AB9">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22</w:t>
                  </w:r>
                </w:p>
              </w:tc>
              <w:tc>
                <w:tcPr>
                  <w:tcW w:w="1118" w:type="dxa"/>
                  <w:noWrap/>
                  <w:tcMar>
                    <w:top w:w="0" w:type="dxa"/>
                    <w:left w:w="51" w:type="dxa"/>
                    <w:bottom w:w="0" w:type="dxa"/>
                    <w:right w:w="51" w:type="dxa"/>
                  </w:tcMar>
                  <w:vAlign w:val="center"/>
                </w:tcPr>
                <w:p w14:paraId="69D443F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肖营村</w:t>
                  </w:r>
                </w:p>
              </w:tc>
              <w:tc>
                <w:tcPr>
                  <w:tcW w:w="1134" w:type="dxa"/>
                  <w:noWrap/>
                  <w:tcMar>
                    <w:top w:w="0" w:type="dxa"/>
                    <w:left w:w="51" w:type="dxa"/>
                    <w:bottom w:w="0" w:type="dxa"/>
                    <w:right w:w="51" w:type="dxa"/>
                  </w:tcMar>
                  <w:vAlign w:val="center"/>
                </w:tcPr>
                <w:p w14:paraId="6F468ED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118°44'32.01"</w:t>
                  </w:r>
                </w:p>
              </w:tc>
              <w:tc>
                <w:tcPr>
                  <w:tcW w:w="1134" w:type="dxa"/>
                  <w:noWrap/>
                  <w:tcMar>
                    <w:top w:w="0" w:type="dxa"/>
                    <w:left w:w="51" w:type="dxa"/>
                    <w:bottom w:w="0" w:type="dxa"/>
                    <w:right w:w="51" w:type="dxa"/>
                  </w:tcMar>
                  <w:vAlign w:val="center"/>
                </w:tcPr>
                <w:p w14:paraId="2E17163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39°38'46.95"</w:t>
                  </w:r>
                </w:p>
              </w:tc>
              <w:tc>
                <w:tcPr>
                  <w:tcW w:w="708" w:type="dxa"/>
                  <w:noWrap/>
                  <w:tcMar>
                    <w:top w:w="0" w:type="dxa"/>
                    <w:left w:w="51" w:type="dxa"/>
                    <w:bottom w:w="0" w:type="dxa"/>
                    <w:right w:w="51" w:type="dxa"/>
                  </w:tcMar>
                  <w:vAlign w:val="center"/>
                </w:tcPr>
                <w:p w14:paraId="084D70B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16A0AB2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37C25B7A">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205F7DCA">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2BC5C8E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2030</w:t>
                  </w:r>
                </w:p>
              </w:tc>
              <w:tc>
                <w:tcPr>
                  <w:tcW w:w="722" w:type="dxa"/>
                  <w:noWrap/>
                  <w:tcMar>
                    <w:top w:w="0" w:type="dxa"/>
                    <w:left w:w="51" w:type="dxa"/>
                    <w:bottom w:w="0" w:type="dxa"/>
                    <w:right w:w="51" w:type="dxa"/>
                  </w:tcMar>
                  <w:vAlign w:val="center"/>
                </w:tcPr>
                <w:p w14:paraId="609C306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550</w:t>
                  </w:r>
                </w:p>
              </w:tc>
            </w:tr>
            <w:tr w14:paraId="467159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E7B5BDD">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23</w:t>
                  </w:r>
                </w:p>
              </w:tc>
              <w:tc>
                <w:tcPr>
                  <w:tcW w:w="1118" w:type="dxa"/>
                  <w:noWrap/>
                  <w:tcMar>
                    <w:top w:w="0" w:type="dxa"/>
                    <w:left w:w="51" w:type="dxa"/>
                    <w:bottom w:w="0" w:type="dxa"/>
                    <w:right w:w="51" w:type="dxa"/>
                  </w:tcMar>
                  <w:vAlign w:val="center"/>
                </w:tcPr>
                <w:p w14:paraId="163B5C0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张疃村</w:t>
                  </w:r>
                </w:p>
              </w:tc>
              <w:tc>
                <w:tcPr>
                  <w:tcW w:w="1134" w:type="dxa"/>
                  <w:noWrap/>
                  <w:tcMar>
                    <w:top w:w="0" w:type="dxa"/>
                    <w:left w:w="51" w:type="dxa"/>
                    <w:bottom w:w="0" w:type="dxa"/>
                    <w:right w:w="51" w:type="dxa"/>
                  </w:tcMar>
                  <w:vAlign w:val="center"/>
                </w:tcPr>
                <w:p w14:paraId="45BC317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118°44'48.23"</w:t>
                  </w:r>
                </w:p>
              </w:tc>
              <w:tc>
                <w:tcPr>
                  <w:tcW w:w="1134" w:type="dxa"/>
                  <w:noWrap/>
                  <w:tcMar>
                    <w:top w:w="0" w:type="dxa"/>
                    <w:left w:w="51" w:type="dxa"/>
                    <w:bottom w:w="0" w:type="dxa"/>
                    <w:right w:w="51" w:type="dxa"/>
                  </w:tcMar>
                  <w:vAlign w:val="center"/>
                </w:tcPr>
                <w:p w14:paraId="73A08E9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39°38'40.31"</w:t>
                  </w:r>
                </w:p>
              </w:tc>
              <w:tc>
                <w:tcPr>
                  <w:tcW w:w="708" w:type="dxa"/>
                  <w:noWrap/>
                  <w:tcMar>
                    <w:top w:w="0" w:type="dxa"/>
                    <w:left w:w="51" w:type="dxa"/>
                    <w:bottom w:w="0" w:type="dxa"/>
                    <w:right w:w="51" w:type="dxa"/>
                  </w:tcMar>
                  <w:vAlign w:val="center"/>
                </w:tcPr>
                <w:p w14:paraId="48F0B92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5DC48C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0562A86A">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4D06100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1774304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1950</w:t>
                  </w:r>
                </w:p>
              </w:tc>
              <w:tc>
                <w:tcPr>
                  <w:tcW w:w="722" w:type="dxa"/>
                  <w:noWrap/>
                  <w:tcMar>
                    <w:top w:w="0" w:type="dxa"/>
                    <w:left w:w="51" w:type="dxa"/>
                    <w:bottom w:w="0" w:type="dxa"/>
                    <w:right w:w="51" w:type="dxa"/>
                  </w:tcMar>
                  <w:vAlign w:val="center"/>
                </w:tcPr>
                <w:p w14:paraId="173E61C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980</w:t>
                  </w:r>
                </w:p>
              </w:tc>
            </w:tr>
            <w:tr w14:paraId="6500F0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69FE246B">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24</w:t>
                  </w:r>
                </w:p>
              </w:tc>
              <w:tc>
                <w:tcPr>
                  <w:tcW w:w="1118" w:type="dxa"/>
                  <w:noWrap/>
                  <w:tcMar>
                    <w:top w:w="0" w:type="dxa"/>
                    <w:left w:w="51" w:type="dxa"/>
                    <w:bottom w:w="0" w:type="dxa"/>
                    <w:right w:w="51" w:type="dxa"/>
                  </w:tcMar>
                  <w:vAlign w:val="center"/>
                </w:tcPr>
                <w:p w14:paraId="5AF09EC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太平庄村</w:t>
                  </w:r>
                </w:p>
              </w:tc>
              <w:tc>
                <w:tcPr>
                  <w:tcW w:w="1134" w:type="dxa"/>
                  <w:noWrap/>
                  <w:tcMar>
                    <w:top w:w="0" w:type="dxa"/>
                    <w:left w:w="51" w:type="dxa"/>
                    <w:bottom w:w="0" w:type="dxa"/>
                    <w:right w:w="51" w:type="dxa"/>
                  </w:tcMar>
                  <w:vAlign w:val="center"/>
                </w:tcPr>
                <w:p w14:paraId="10446AB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118°44'28.64"</w:t>
                  </w:r>
                </w:p>
              </w:tc>
              <w:tc>
                <w:tcPr>
                  <w:tcW w:w="1134" w:type="dxa"/>
                  <w:noWrap/>
                  <w:tcMar>
                    <w:top w:w="0" w:type="dxa"/>
                    <w:left w:w="51" w:type="dxa"/>
                    <w:bottom w:w="0" w:type="dxa"/>
                    <w:right w:w="51" w:type="dxa"/>
                  </w:tcMar>
                  <w:vAlign w:val="center"/>
                </w:tcPr>
                <w:p w14:paraId="0CF1838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39°39'23.34"</w:t>
                  </w:r>
                </w:p>
              </w:tc>
              <w:tc>
                <w:tcPr>
                  <w:tcW w:w="708" w:type="dxa"/>
                  <w:noWrap/>
                  <w:tcMar>
                    <w:top w:w="0" w:type="dxa"/>
                    <w:left w:w="51" w:type="dxa"/>
                    <w:bottom w:w="0" w:type="dxa"/>
                    <w:right w:w="51" w:type="dxa"/>
                  </w:tcMar>
                  <w:vAlign w:val="center"/>
                </w:tcPr>
                <w:p w14:paraId="0E7407B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A1E19A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633D7F94">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23544CC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w:t>
                  </w:r>
                </w:p>
              </w:tc>
              <w:tc>
                <w:tcPr>
                  <w:tcW w:w="850" w:type="dxa"/>
                  <w:noWrap/>
                  <w:tcMar>
                    <w:top w:w="0" w:type="dxa"/>
                    <w:left w:w="51" w:type="dxa"/>
                    <w:bottom w:w="0" w:type="dxa"/>
                    <w:right w:w="51" w:type="dxa"/>
                  </w:tcMar>
                  <w:vAlign w:val="center"/>
                </w:tcPr>
                <w:p w14:paraId="23F239A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660</w:t>
                  </w:r>
                </w:p>
              </w:tc>
              <w:tc>
                <w:tcPr>
                  <w:tcW w:w="722" w:type="dxa"/>
                  <w:noWrap/>
                  <w:tcMar>
                    <w:top w:w="0" w:type="dxa"/>
                    <w:left w:w="51" w:type="dxa"/>
                    <w:bottom w:w="0" w:type="dxa"/>
                    <w:right w:w="51" w:type="dxa"/>
                  </w:tcMar>
                  <w:vAlign w:val="center"/>
                </w:tcPr>
                <w:p w14:paraId="0681DCE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618</w:t>
                  </w:r>
                </w:p>
              </w:tc>
            </w:tr>
            <w:tr w14:paraId="4F0C5D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C92186D">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25</w:t>
                  </w:r>
                </w:p>
              </w:tc>
              <w:tc>
                <w:tcPr>
                  <w:tcW w:w="1118" w:type="dxa"/>
                  <w:noWrap/>
                  <w:tcMar>
                    <w:top w:w="0" w:type="dxa"/>
                    <w:left w:w="51" w:type="dxa"/>
                    <w:bottom w:w="0" w:type="dxa"/>
                    <w:right w:w="51" w:type="dxa"/>
                  </w:tcMar>
                  <w:vAlign w:val="center"/>
                </w:tcPr>
                <w:p w14:paraId="1009ECA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宝兴庄村</w:t>
                  </w:r>
                </w:p>
              </w:tc>
              <w:tc>
                <w:tcPr>
                  <w:tcW w:w="1134" w:type="dxa"/>
                  <w:noWrap/>
                  <w:tcMar>
                    <w:top w:w="0" w:type="dxa"/>
                    <w:left w:w="51" w:type="dxa"/>
                    <w:bottom w:w="0" w:type="dxa"/>
                    <w:right w:w="51" w:type="dxa"/>
                  </w:tcMar>
                  <w:vAlign w:val="center"/>
                </w:tcPr>
                <w:p w14:paraId="1D3D653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118°44'18.33"</w:t>
                  </w:r>
                </w:p>
              </w:tc>
              <w:tc>
                <w:tcPr>
                  <w:tcW w:w="1134" w:type="dxa"/>
                  <w:noWrap/>
                  <w:tcMar>
                    <w:top w:w="0" w:type="dxa"/>
                    <w:left w:w="51" w:type="dxa"/>
                    <w:bottom w:w="0" w:type="dxa"/>
                    <w:right w:w="51" w:type="dxa"/>
                  </w:tcMar>
                  <w:vAlign w:val="center"/>
                </w:tcPr>
                <w:p w14:paraId="1C8E26D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39°39'24.64"</w:t>
                  </w:r>
                </w:p>
              </w:tc>
              <w:tc>
                <w:tcPr>
                  <w:tcW w:w="708" w:type="dxa"/>
                  <w:noWrap/>
                  <w:tcMar>
                    <w:top w:w="0" w:type="dxa"/>
                    <w:left w:w="51" w:type="dxa"/>
                    <w:bottom w:w="0" w:type="dxa"/>
                    <w:right w:w="51" w:type="dxa"/>
                  </w:tcMar>
                  <w:vAlign w:val="center"/>
                </w:tcPr>
                <w:p w14:paraId="04FEBB0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223CF17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6DFA7E89">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031492A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w:t>
                  </w:r>
                </w:p>
              </w:tc>
              <w:tc>
                <w:tcPr>
                  <w:tcW w:w="850" w:type="dxa"/>
                  <w:noWrap/>
                  <w:tcMar>
                    <w:top w:w="0" w:type="dxa"/>
                    <w:left w:w="51" w:type="dxa"/>
                    <w:bottom w:w="0" w:type="dxa"/>
                    <w:right w:w="51" w:type="dxa"/>
                  </w:tcMar>
                  <w:vAlign w:val="center"/>
                </w:tcPr>
                <w:p w14:paraId="38B7A50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800</w:t>
                  </w:r>
                </w:p>
              </w:tc>
              <w:tc>
                <w:tcPr>
                  <w:tcW w:w="722" w:type="dxa"/>
                  <w:noWrap/>
                  <w:tcMar>
                    <w:top w:w="0" w:type="dxa"/>
                    <w:left w:w="51" w:type="dxa"/>
                    <w:bottom w:w="0" w:type="dxa"/>
                    <w:right w:w="51" w:type="dxa"/>
                  </w:tcMar>
                  <w:vAlign w:val="center"/>
                </w:tcPr>
                <w:p w14:paraId="146CA64E">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682</w:t>
                  </w:r>
                </w:p>
              </w:tc>
            </w:tr>
            <w:tr w14:paraId="44152A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850C5B4">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26</w:t>
                  </w:r>
                </w:p>
              </w:tc>
              <w:tc>
                <w:tcPr>
                  <w:tcW w:w="1118" w:type="dxa"/>
                  <w:noWrap/>
                  <w:tcMar>
                    <w:top w:w="0" w:type="dxa"/>
                    <w:left w:w="51" w:type="dxa"/>
                    <w:bottom w:w="0" w:type="dxa"/>
                    <w:right w:w="51" w:type="dxa"/>
                  </w:tcMar>
                  <w:vAlign w:val="center"/>
                </w:tcPr>
                <w:p w14:paraId="24A97A5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小坡村</w:t>
                  </w:r>
                </w:p>
              </w:tc>
              <w:tc>
                <w:tcPr>
                  <w:tcW w:w="1134" w:type="dxa"/>
                  <w:noWrap/>
                  <w:tcMar>
                    <w:top w:w="0" w:type="dxa"/>
                    <w:left w:w="51" w:type="dxa"/>
                    <w:bottom w:w="0" w:type="dxa"/>
                    <w:right w:w="51" w:type="dxa"/>
                  </w:tcMar>
                  <w:vAlign w:val="center"/>
                </w:tcPr>
                <w:p w14:paraId="3B865D3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118°43'38.93"</w:t>
                  </w:r>
                </w:p>
              </w:tc>
              <w:tc>
                <w:tcPr>
                  <w:tcW w:w="1134" w:type="dxa"/>
                  <w:noWrap/>
                  <w:tcMar>
                    <w:top w:w="0" w:type="dxa"/>
                    <w:left w:w="51" w:type="dxa"/>
                    <w:bottom w:w="0" w:type="dxa"/>
                    <w:right w:w="51" w:type="dxa"/>
                  </w:tcMar>
                  <w:vAlign w:val="center"/>
                </w:tcPr>
                <w:p w14:paraId="4BE08F9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39°39'9.19"</w:t>
                  </w:r>
                </w:p>
              </w:tc>
              <w:tc>
                <w:tcPr>
                  <w:tcW w:w="708" w:type="dxa"/>
                  <w:noWrap/>
                  <w:tcMar>
                    <w:top w:w="0" w:type="dxa"/>
                    <w:left w:w="51" w:type="dxa"/>
                    <w:bottom w:w="0" w:type="dxa"/>
                    <w:right w:w="51" w:type="dxa"/>
                  </w:tcMar>
                  <w:vAlign w:val="center"/>
                </w:tcPr>
                <w:p w14:paraId="51DDD4D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0F82A51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11A519F9">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01820D1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w:t>
                  </w:r>
                </w:p>
              </w:tc>
              <w:tc>
                <w:tcPr>
                  <w:tcW w:w="850" w:type="dxa"/>
                  <w:noWrap/>
                  <w:tcMar>
                    <w:top w:w="0" w:type="dxa"/>
                    <w:left w:w="51" w:type="dxa"/>
                    <w:bottom w:w="0" w:type="dxa"/>
                    <w:right w:w="51" w:type="dxa"/>
                  </w:tcMar>
                  <w:vAlign w:val="center"/>
                </w:tcPr>
                <w:p w14:paraId="285A563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1770</w:t>
                  </w:r>
                </w:p>
              </w:tc>
              <w:tc>
                <w:tcPr>
                  <w:tcW w:w="722" w:type="dxa"/>
                  <w:noWrap/>
                  <w:tcMar>
                    <w:top w:w="0" w:type="dxa"/>
                    <w:left w:w="51" w:type="dxa"/>
                    <w:bottom w:w="0" w:type="dxa"/>
                    <w:right w:w="51" w:type="dxa"/>
                  </w:tcMar>
                  <w:vAlign w:val="center"/>
                </w:tcPr>
                <w:p w14:paraId="69F1CC9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312</w:t>
                  </w:r>
                </w:p>
              </w:tc>
            </w:tr>
            <w:tr w14:paraId="69B6D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4790BCD">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27</w:t>
                  </w:r>
                </w:p>
              </w:tc>
              <w:tc>
                <w:tcPr>
                  <w:tcW w:w="1118" w:type="dxa"/>
                  <w:noWrap/>
                  <w:tcMar>
                    <w:top w:w="0" w:type="dxa"/>
                    <w:left w:w="51" w:type="dxa"/>
                    <w:bottom w:w="0" w:type="dxa"/>
                    <w:right w:w="51" w:type="dxa"/>
                  </w:tcMar>
                  <w:vAlign w:val="center"/>
                </w:tcPr>
                <w:p w14:paraId="2A94CDB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南新立庄村</w:t>
                  </w:r>
                </w:p>
              </w:tc>
              <w:tc>
                <w:tcPr>
                  <w:tcW w:w="1134" w:type="dxa"/>
                  <w:noWrap/>
                  <w:tcMar>
                    <w:top w:w="0" w:type="dxa"/>
                    <w:left w:w="51" w:type="dxa"/>
                    <w:bottom w:w="0" w:type="dxa"/>
                    <w:right w:w="51" w:type="dxa"/>
                  </w:tcMar>
                  <w:vAlign w:val="center"/>
                </w:tcPr>
                <w:p w14:paraId="64FF682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118°43'3.21"</w:t>
                  </w:r>
                </w:p>
              </w:tc>
              <w:tc>
                <w:tcPr>
                  <w:tcW w:w="1134" w:type="dxa"/>
                  <w:noWrap/>
                  <w:tcMar>
                    <w:top w:w="0" w:type="dxa"/>
                    <w:left w:w="51" w:type="dxa"/>
                    <w:bottom w:w="0" w:type="dxa"/>
                    <w:right w:w="51" w:type="dxa"/>
                  </w:tcMar>
                  <w:vAlign w:val="center"/>
                </w:tcPr>
                <w:p w14:paraId="26C4BDC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39°38'53.61"</w:t>
                  </w:r>
                </w:p>
              </w:tc>
              <w:tc>
                <w:tcPr>
                  <w:tcW w:w="708" w:type="dxa"/>
                  <w:noWrap/>
                  <w:tcMar>
                    <w:top w:w="0" w:type="dxa"/>
                    <w:left w:w="51" w:type="dxa"/>
                    <w:bottom w:w="0" w:type="dxa"/>
                    <w:right w:w="51" w:type="dxa"/>
                  </w:tcMar>
                  <w:vAlign w:val="center"/>
                </w:tcPr>
                <w:p w14:paraId="5C31CAD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0AC42B6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428BBEF9">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7DF301D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w:t>
                  </w:r>
                </w:p>
              </w:tc>
              <w:tc>
                <w:tcPr>
                  <w:tcW w:w="850" w:type="dxa"/>
                  <w:noWrap/>
                  <w:tcMar>
                    <w:top w:w="0" w:type="dxa"/>
                    <w:left w:w="51" w:type="dxa"/>
                    <w:bottom w:w="0" w:type="dxa"/>
                    <w:right w:w="51" w:type="dxa"/>
                  </w:tcMar>
                  <w:vAlign w:val="center"/>
                </w:tcPr>
                <w:p w14:paraId="5A265E9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2430</w:t>
                  </w:r>
                </w:p>
              </w:tc>
              <w:tc>
                <w:tcPr>
                  <w:tcW w:w="722" w:type="dxa"/>
                  <w:noWrap/>
                  <w:tcMar>
                    <w:top w:w="0" w:type="dxa"/>
                    <w:left w:w="51" w:type="dxa"/>
                    <w:bottom w:w="0" w:type="dxa"/>
                    <w:right w:w="51" w:type="dxa"/>
                  </w:tcMar>
                  <w:vAlign w:val="center"/>
                </w:tcPr>
                <w:p w14:paraId="01AD6143">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1016</w:t>
                  </w:r>
                </w:p>
              </w:tc>
            </w:tr>
            <w:tr w14:paraId="238D5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4E38D907">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14:textFill>
                        <w14:solidFill>
                          <w14:schemeClr w14:val="tx1"/>
                        </w14:solidFill>
                      </w14:textFill>
                    </w:rPr>
                    <w:t>28</w:t>
                  </w:r>
                </w:p>
              </w:tc>
              <w:tc>
                <w:tcPr>
                  <w:tcW w:w="1118" w:type="dxa"/>
                  <w:noWrap/>
                  <w:tcMar>
                    <w:top w:w="0" w:type="dxa"/>
                    <w:left w:w="51" w:type="dxa"/>
                    <w:bottom w:w="0" w:type="dxa"/>
                    <w:right w:w="51" w:type="dxa"/>
                  </w:tcMar>
                  <w:vAlign w:val="center"/>
                </w:tcPr>
                <w:p w14:paraId="03CA458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包麻子村</w:t>
                  </w:r>
                </w:p>
              </w:tc>
              <w:tc>
                <w:tcPr>
                  <w:tcW w:w="1134" w:type="dxa"/>
                  <w:noWrap/>
                  <w:tcMar>
                    <w:top w:w="0" w:type="dxa"/>
                    <w:left w:w="51" w:type="dxa"/>
                    <w:bottom w:w="0" w:type="dxa"/>
                    <w:right w:w="51" w:type="dxa"/>
                  </w:tcMar>
                  <w:vAlign w:val="center"/>
                </w:tcPr>
                <w:p w14:paraId="709C4DB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118°42'43.35"</w:t>
                  </w:r>
                </w:p>
              </w:tc>
              <w:tc>
                <w:tcPr>
                  <w:tcW w:w="1134" w:type="dxa"/>
                  <w:noWrap/>
                  <w:tcMar>
                    <w:top w:w="0" w:type="dxa"/>
                    <w:left w:w="51" w:type="dxa"/>
                    <w:bottom w:w="0" w:type="dxa"/>
                    <w:right w:w="51" w:type="dxa"/>
                  </w:tcMar>
                  <w:vAlign w:val="center"/>
                </w:tcPr>
                <w:p w14:paraId="3A55EEE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39°40'13.67"</w:t>
                  </w:r>
                </w:p>
              </w:tc>
              <w:tc>
                <w:tcPr>
                  <w:tcW w:w="708" w:type="dxa"/>
                  <w:noWrap/>
                  <w:tcMar>
                    <w:top w:w="0" w:type="dxa"/>
                    <w:left w:w="51" w:type="dxa"/>
                    <w:bottom w:w="0" w:type="dxa"/>
                    <w:right w:w="51" w:type="dxa"/>
                  </w:tcMar>
                  <w:vAlign w:val="center"/>
                </w:tcPr>
                <w:p w14:paraId="7B89F23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居住区</w:t>
                  </w:r>
                </w:p>
              </w:tc>
              <w:tc>
                <w:tcPr>
                  <w:tcW w:w="709" w:type="dxa"/>
                  <w:noWrap/>
                  <w:tcMar>
                    <w:top w:w="0" w:type="dxa"/>
                    <w:left w:w="51" w:type="dxa"/>
                    <w:bottom w:w="0" w:type="dxa"/>
                    <w:right w:w="51" w:type="dxa"/>
                  </w:tcMar>
                  <w:vAlign w:val="center"/>
                </w:tcPr>
                <w:p w14:paraId="1E0D068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居民</w:t>
                  </w:r>
                </w:p>
              </w:tc>
              <w:tc>
                <w:tcPr>
                  <w:tcW w:w="1134" w:type="dxa"/>
                  <w:vMerge w:val="continue"/>
                  <w:noWrap/>
                  <w:tcMar>
                    <w:top w:w="0" w:type="dxa"/>
                    <w:left w:w="51" w:type="dxa"/>
                    <w:bottom w:w="0" w:type="dxa"/>
                    <w:right w:w="51" w:type="dxa"/>
                  </w:tcMar>
                  <w:vAlign w:val="center"/>
                </w:tcPr>
                <w:p w14:paraId="46071658">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46155A1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w:t>
                  </w:r>
                </w:p>
              </w:tc>
              <w:tc>
                <w:tcPr>
                  <w:tcW w:w="850" w:type="dxa"/>
                  <w:noWrap/>
                  <w:tcMar>
                    <w:top w:w="0" w:type="dxa"/>
                    <w:left w:w="51" w:type="dxa"/>
                    <w:bottom w:w="0" w:type="dxa"/>
                    <w:right w:w="51" w:type="dxa"/>
                  </w:tcMar>
                  <w:vAlign w:val="center"/>
                </w:tcPr>
                <w:p w14:paraId="07AE735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2440</w:t>
                  </w:r>
                </w:p>
              </w:tc>
              <w:tc>
                <w:tcPr>
                  <w:tcW w:w="722" w:type="dxa"/>
                  <w:noWrap/>
                  <w:tcMar>
                    <w:top w:w="0" w:type="dxa"/>
                    <w:left w:w="51" w:type="dxa"/>
                    <w:bottom w:w="0" w:type="dxa"/>
                    <w:right w:w="51" w:type="dxa"/>
                  </w:tcMar>
                  <w:vAlign w:val="center"/>
                </w:tcPr>
                <w:p w14:paraId="4A4753E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1353</w:t>
                  </w:r>
                </w:p>
              </w:tc>
            </w:tr>
            <w:tr w14:paraId="770025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50308FEC">
                  <w:pPr>
                    <w:spacing w:line="320" w:lineRule="exact"/>
                    <w:ind w:left="-105" w:leftChars="-50" w:right="-105" w:rightChars="-5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14:textFill>
                        <w14:solidFill>
                          <w14:schemeClr w14:val="tx1"/>
                        </w14:solidFill>
                      </w14:textFill>
                    </w:rPr>
                    <w:t>29</w:t>
                  </w:r>
                </w:p>
              </w:tc>
              <w:tc>
                <w:tcPr>
                  <w:tcW w:w="1118" w:type="dxa"/>
                  <w:noWrap/>
                  <w:tcMar>
                    <w:top w:w="0" w:type="dxa"/>
                    <w:left w:w="51" w:type="dxa"/>
                    <w:bottom w:w="0" w:type="dxa"/>
                    <w:right w:w="51" w:type="dxa"/>
                  </w:tcMar>
                  <w:vAlign w:val="center"/>
                </w:tcPr>
                <w:p w14:paraId="6812A0C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李兴庄中学</w:t>
                  </w:r>
                </w:p>
              </w:tc>
              <w:tc>
                <w:tcPr>
                  <w:tcW w:w="1134" w:type="dxa"/>
                  <w:noWrap/>
                  <w:tcMar>
                    <w:top w:w="0" w:type="dxa"/>
                    <w:left w:w="51" w:type="dxa"/>
                    <w:bottom w:w="0" w:type="dxa"/>
                    <w:right w:w="51" w:type="dxa"/>
                  </w:tcMar>
                  <w:vAlign w:val="center"/>
                </w:tcPr>
                <w:p w14:paraId="6F63A3A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118°43'40.69"</w:t>
                  </w:r>
                </w:p>
              </w:tc>
              <w:tc>
                <w:tcPr>
                  <w:tcW w:w="1134" w:type="dxa"/>
                  <w:noWrap/>
                  <w:tcMar>
                    <w:top w:w="0" w:type="dxa"/>
                    <w:left w:w="51" w:type="dxa"/>
                    <w:bottom w:w="0" w:type="dxa"/>
                    <w:right w:w="51" w:type="dxa"/>
                  </w:tcMar>
                  <w:vAlign w:val="center"/>
                </w:tcPr>
                <w:p w14:paraId="0126875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39°41'17.03"</w:t>
                  </w:r>
                </w:p>
              </w:tc>
              <w:tc>
                <w:tcPr>
                  <w:tcW w:w="708" w:type="dxa"/>
                  <w:noWrap/>
                  <w:tcMar>
                    <w:top w:w="0" w:type="dxa"/>
                    <w:left w:w="51" w:type="dxa"/>
                    <w:bottom w:w="0" w:type="dxa"/>
                    <w:right w:w="51" w:type="dxa"/>
                  </w:tcMar>
                  <w:vAlign w:val="center"/>
                </w:tcPr>
                <w:p w14:paraId="4578A7DD">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学校</w:t>
                  </w:r>
                </w:p>
              </w:tc>
              <w:tc>
                <w:tcPr>
                  <w:tcW w:w="709" w:type="dxa"/>
                  <w:noWrap/>
                  <w:tcMar>
                    <w:top w:w="0" w:type="dxa"/>
                    <w:left w:w="51" w:type="dxa"/>
                    <w:bottom w:w="0" w:type="dxa"/>
                    <w:right w:w="51" w:type="dxa"/>
                  </w:tcMar>
                  <w:vAlign w:val="center"/>
                </w:tcPr>
                <w:p w14:paraId="778C04D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师生</w:t>
                  </w:r>
                </w:p>
              </w:tc>
              <w:tc>
                <w:tcPr>
                  <w:tcW w:w="1134" w:type="dxa"/>
                  <w:vMerge w:val="continue"/>
                  <w:noWrap/>
                  <w:tcMar>
                    <w:top w:w="0" w:type="dxa"/>
                    <w:left w:w="51" w:type="dxa"/>
                    <w:bottom w:w="0" w:type="dxa"/>
                    <w:right w:w="51" w:type="dxa"/>
                  </w:tcMar>
                  <w:vAlign w:val="center"/>
                </w:tcPr>
                <w:p w14:paraId="31A67E78">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3B4CC03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SE</w:t>
                  </w:r>
                </w:p>
              </w:tc>
              <w:tc>
                <w:tcPr>
                  <w:tcW w:w="850" w:type="dxa"/>
                  <w:noWrap/>
                  <w:tcMar>
                    <w:top w:w="0" w:type="dxa"/>
                    <w:left w:w="51" w:type="dxa"/>
                    <w:bottom w:w="0" w:type="dxa"/>
                    <w:right w:w="51" w:type="dxa"/>
                  </w:tcMar>
                  <w:vAlign w:val="center"/>
                </w:tcPr>
                <w:p w14:paraId="0E35646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1040</w:t>
                  </w:r>
                </w:p>
              </w:tc>
              <w:tc>
                <w:tcPr>
                  <w:tcW w:w="722" w:type="dxa"/>
                  <w:noWrap/>
                  <w:tcMar>
                    <w:top w:w="0" w:type="dxa"/>
                    <w:left w:w="51" w:type="dxa"/>
                    <w:bottom w:w="0" w:type="dxa"/>
                    <w:right w:w="51" w:type="dxa"/>
                  </w:tcMar>
                  <w:vAlign w:val="center"/>
                </w:tcPr>
                <w:p w14:paraId="0D330EF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563</w:t>
                  </w:r>
                </w:p>
              </w:tc>
            </w:tr>
            <w:tr w14:paraId="06E31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3BF5C28C">
                  <w:pPr>
                    <w:widowControl/>
                    <w:spacing w:line="320" w:lineRule="exact"/>
                    <w:ind w:left="-105" w:leftChars="-50" w:right="-105" w:rightChars="-5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14:textFill>
                        <w14:solidFill>
                          <w14:schemeClr w14:val="tx1"/>
                        </w14:solidFill>
                      </w14:textFill>
                    </w:rPr>
                    <w:t>30</w:t>
                  </w:r>
                </w:p>
              </w:tc>
              <w:tc>
                <w:tcPr>
                  <w:tcW w:w="1118" w:type="dxa"/>
                  <w:noWrap/>
                  <w:tcMar>
                    <w:top w:w="0" w:type="dxa"/>
                    <w:left w:w="51" w:type="dxa"/>
                    <w:bottom w:w="0" w:type="dxa"/>
                    <w:right w:w="51" w:type="dxa"/>
                  </w:tcMar>
                  <w:vAlign w:val="center"/>
                </w:tcPr>
                <w:p w14:paraId="618B47A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田疃小学</w:t>
                  </w:r>
                </w:p>
              </w:tc>
              <w:tc>
                <w:tcPr>
                  <w:tcW w:w="1134" w:type="dxa"/>
                  <w:noWrap/>
                  <w:tcMar>
                    <w:top w:w="0" w:type="dxa"/>
                    <w:left w:w="51" w:type="dxa"/>
                    <w:bottom w:w="0" w:type="dxa"/>
                    <w:right w:w="51" w:type="dxa"/>
                  </w:tcMar>
                  <w:vAlign w:val="center"/>
                </w:tcPr>
                <w:p w14:paraId="5B3F8EE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w:t>
                  </w:r>
                  <w:r>
                    <w:rPr>
                      <w:rFonts w:hint="eastAsia"/>
                      <w:color w:val="000000" w:themeColor="text1"/>
                      <w:sz w:val="18"/>
                      <w:szCs w:val="18"/>
                      <w:highlight w:val="none"/>
                      <w14:textFill>
                        <w14:solidFill>
                          <w14:schemeClr w14:val="tx1"/>
                        </w14:solidFill>
                      </w14:textFill>
                    </w:rPr>
                    <w:t>5</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0.92</w:t>
                  </w:r>
                  <w:r>
                    <w:rPr>
                      <w:color w:val="000000" w:themeColor="text1"/>
                      <w:sz w:val="18"/>
                      <w:szCs w:val="18"/>
                      <w:highlight w:val="none"/>
                      <w14:textFill>
                        <w14:solidFill>
                          <w14:schemeClr w14:val="tx1"/>
                        </w14:solidFill>
                      </w14:textFill>
                    </w:rPr>
                    <w:t>"</w:t>
                  </w:r>
                </w:p>
              </w:tc>
              <w:tc>
                <w:tcPr>
                  <w:tcW w:w="1134" w:type="dxa"/>
                  <w:noWrap/>
                  <w:tcMar>
                    <w:top w:w="0" w:type="dxa"/>
                    <w:left w:w="51" w:type="dxa"/>
                    <w:bottom w:w="0" w:type="dxa"/>
                    <w:right w:w="51" w:type="dxa"/>
                  </w:tcMar>
                  <w:vAlign w:val="center"/>
                </w:tcPr>
                <w:p w14:paraId="3F6092F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w:t>
                  </w:r>
                  <w:r>
                    <w:rPr>
                      <w:rFonts w:hint="eastAsia"/>
                      <w:color w:val="000000" w:themeColor="text1"/>
                      <w:sz w:val="18"/>
                      <w:szCs w:val="18"/>
                      <w:highlight w:val="none"/>
                      <w14:textFill>
                        <w14:solidFill>
                          <w14:schemeClr w14:val="tx1"/>
                        </w14:solidFill>
                      </w14:textFill>
                    </w:rPr>
                    <w:t>39</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41.55</w:t>
                  </w:r>
                  <w:r>
                    <w:rPr>
                      <w:color w:val="000000" w:themeColor="text1"/>
                      <w:sz w:val="18"/>
                      <w:szCs w:val="18"/>
                      <w:highlight w:val="none"/>
                      <w14:textFill>
                        <w14:solidFill>
                          <w14:schemeClr w14:val="tx1"/>
                        </w14:solidFill>
                      </w14:textFill>
                    </w:rPr>
                    <w:t>"</w:t>
                  </w:r>
                </w:p>
              </w:tc>
              <w:tc>
                <w:tcPr>
                  <w:tcW w:w="708" w:type="dxa"/>
                  <w:noWrap/>
                  <w:tcMar>
                    <w:top w:w="0" w:type="dxa"/>
                    <w:left w:w="51" w:type="dxa"/>
                    <w:bottom w:w="0" w:type="dxa"/>
                    <w:right w:w="51" w:type="dxa"/>
                  </w:tcMar>
                  <w:vAlign w:val="center"/>
                </w:tcPr>
                <w:p w14:paraId="1DAF54D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学校</w:t>
                  </w:r>
                </w:p>
              </w:tc>
              <w:tc>
                <w:tcPr>
                  <w:tcW w:w="709" w:type="dxa"/>
                  <w:noWrap/>
                  <w:tcMar>
                    <w:top w:w="0" w:type="dxa"/>
                    <w:left w:w="51" w:type="dxa"/>
                    <w:bottom w:w="0" w:type="dxa"/>
                    <w:right w:w="51" w:type="dxa"/>
                  </w:tcMar>
                  <w:vAlign w:val="center"/>
                </w:tcPr>
                <w:p w14:paraId="0B78F57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师生</w:t>
                  </w:r>
                </w:p>
              </w:tc>
              <w:tc>
                <w:tcPr>
                  <w:tcW w:w="1134" w:type="dxa"/>
                  <w:vMerge w:val="continue"/>
                  <w:noWrap/>
                  <w:tcMar>
                    <w:top w:w="0" w:type="dxa"/>
                    <w:left w:w="51" w:type="dxa"/>
                    <w:bottom w:w="0" w:type="dxa"/>
                    <w:right w:w="51" w:type="dxa"/>
                  </w:tcMar>
                  <w:vAlign w:val="center"/>
                </w:tcPr>
                <w:p w14:paraId="09078279">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28717C4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SE</w:t>
                  </w:r>
                </w:p>
              </w:tc>
              <w:tc>
                <w:tcPr>
                  <w:tcW w:w="850" w:type="dxa"/>
                  <w:noWrap/>
                  <w:tcMar>
                    <w:top w:w="0" w:type="dxa"/>
                    <w:left w:w="51" w:type="dxa"/>
                    <w:bottom w:w="0" w:type="dxa"/>
                    <w:right w:w="51" w:type="dxa"/>
                  </w:tcMar>
                  <w:vAlign w:val="center"/>
                </w:tcPr>
                <w:p w14:paraId="1064E99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430</w:t>
                  </w:r>
                </w:p>
              </w:tc>
              <w:tc>
                <w:tcPr>
                  <w:tcW w:w="722" w:type="dxa"/>
                  <w:noWrap/>
                  <w:tcMar>
                    <w:top w:w="0" w:type="dxa"/>
                    <w:left w:w="51" w:type="dxa"/>
                    <w:bottom w:w="0" w:type="dxa"/>
                    <w:right w:w="51" w:type="dxa"/>
                  </w:tcMar>
                  <w:vAlign w:val="center"/>
                </w:tcPr>
                <w:p w14:paraId="6702E7B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320</w:t>
                  </w:r>
                </w:p>
              </w:tc>
            </w:tr>
            <w:tr w14:paraId="4EE2DA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2347A646">
                  <w:pPr>
                    <w:widowControl/>
                    <w:spacing w:line="320" w:lineRule="exact"/>
                    <w:ind w:left="-105" w:leftChars="-50" w:right="-105" w:rightChars="-5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color w:val="000000" w:themeColor="text1"/>
                      <w:kern w:val="2"/>
                      <w:sz w:val="18"/>
                      <w:szCs w:val="18"/>
                      <w:highlight w:val="none"/>
                      <w:lang w:val="en-US" w:eastAsia="zh-CN" w:bidi="ar-SA"/>
                      <w14:textFill>
                        <w14:solidFill>
                          <w14:schemeClr w14:val="tx1"/>
                        </w14:solidFill>
                      </w14:textFill>
                    </w:rPr>
                    <w:t>31</w:t>
                  </w:r>
                </w:p>
              </w:tc>
              <w:tc>
                <w:tcPr>
                  <w:tcW w:w="1118" w:type="dxa"/>
                  <w:noWrap/>
                  <w:tcMar>
                    <w:top w:w="0" w:type="dxa"/>
                    <w:left w:w="51" w:type="dxa"/>
                    <w:bottom w:w="0" w:type="dxa"/>
                    <w:right w:w="51" w:type="dxa"/>
                  </w:tcMar>
                  <w:vAlign w:val="center"/>
                </w:tcPr>
                <w:p w14:paraId="0CA18CE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金色摇篮双语幼儿园</w:t>
                  </w:r>
                </w:p>
              </w:tc>
              <w:tc>
                <w:tcPr>
                  <w:tcW w:w="1134" w:type="dxa"/>
                  <w:noWrap/>
                  <w:tcMar>
                    <w:top w:w="0" w:type="dxa"/>
                    <w:left w:w="51" w:type="dxa"/>
                    <w:bottom w:w="0" w:type="dxa"/>
                    <w:right w:w="51" w:type="dxa"/>
                  </w:tcMar>
                  <w:vAlign w:val="center"/>
                </w:tcPr>
                <w:p w14:paraId="493B8D2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w:t>
                  </w:r>
                  <w:r>
                    <w:rPr>
                      <w:rFonts w:hint="eastAsia"/>
                      <w:color w:val="000000" w:themeColor="text1"/>
                      <w:sz w:val="18"/>
                      <w:szCs w:val="18"/>
                      <w:highlight w:val="none"/>
                      <w14:textFill>
                        <w14:solidFill>
                          <w14:schemeClr w14:val="tx1"/>
                        </w14:solidFill>
                      </w14:textFill>
                    </w:rPr>
                    <w:t>5</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49.32</w:t>
                  </w:r>
                  <w:r>
                    <w:rPr>
                      <w:color w:val="000000" w:themeColor="text1"/>
                      <w:sz w:val="18"/>
                      <w:szCs w:val="18"/>
                      <w:highlight w:val="none"/>
                      <w14:textFill>
                        <w14:solidFill>
                          <w14:schemeClr w14:val="tx1"/>
                        </w14:solidFill>
                      </w14:textFill>
                    </w:rPr>
                    <w:t>"</w:t>
                  </w:r>
                </w:p>
              </w:tc>
              <w:tc>
                <w:tcPr>
                  <w:tcW w:w="1134" w:type="dxa"/>
                  <w:noWrap/>
                  <w:tcMar>
                    <w:top w:w="0" w:type="dxa"/>
                    <w:left w:w="51" w:type="dxa"/>
                    <w:bottom w:w="0" w:type="dxa"/>
                    <w:right w:w="51" w:type="dxa"/>
                  </w:tcMar>
                  <w:vAlign w:val="center"/>
                </w:tcPr>
                <w:p w14:paraId="0C260AE8">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w:t>
                  </w:r>
                  <w:r>
                    <w:rPr>
                      <w:rFonts w:hint="eastAsia"/>
                      <w:color w:val="000000" w:themeColor="text1"/>
                      <w:sz w:val="18"/>
                      <w:szCs w:val="18"/>
                      <w:highlight w:val="none"/>
                      <w14:textFill>
                        <w14:solidFill>
                          <w14:schemeClr w14:val="tx1"/>
                        </w14:solidFill>
                      </w14:textFill>
                    </w:rPr>
                    <w:t>39</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14:textFill>
                        <w14:solidFill>
                          <w14:schemeClr w14:val="tx1"/>
                        </w14:solidFill>
                      </w14:textFill>
                    </w:rPr>
                    <w:t>44.19</w:t>
                  </w:r>
                  <w:r>
                    <w:rPr>
                      <w:color w:val="000000" w:themeColor="text1"/>
                      <w:sz w:val="18"/>
                      <w:szCs w:val="18"/>
                      <w:highlight w:val="none"/>
                      <w14:textFill>
                        <w14:solidFill>
                          <w14:schemeClr w14:val="tx1"/>
                        </w14:solidFill>
                      </w14:textFill>
                    </w:rPr>
                    <w:t>"</w:t>
                  </w:r>
                </w:p>
              </w:tc>
              <w:tc>
                <w:tcPr>
                  <w:tcW w:w="708" w:type="dxa"/>
                  <w:noWrap/>
                  <w:tcMar>
                    <w:top w:w="0" w:type="dxa"/>
                    <w:left w:w="51" w:type="dxa"/>
                    <w:bottom w:w="0" w:type="dxa"/>
                    <w:right w:w="51" w:type="dxa"/>
                  </w:tcMar>
                  <w:vAlign w:val="center"/>
                </w:tcPr>
                <w:p w14:paraId="13C56DA2">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学校</w:t>
                  </w:r>
                </w:p>
              </w:tc>
              <w:tc>
                <w:tcPr>
                  <w:tcW w:w="709" w:type="dxa"/>
                  <w:noWrap/>
                  <w:tcMar>
                    <w:top w:w="0" w:type="dxa"/>
                    <w:left w:w="51" w:type="dxa"/>
                    <w:bottom w:w="0" w:type="dxa"/>
                    <w:right w:w="51" w:type="dxa"/>
                  </w:tcMar>
                  <w:vAlign w:val="center"/>
                </w:tcPr>
                <w:p w14:paraId="4F0B77E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师生</w:t>
                  </w:r>
                </w:p>
              </w:tc>
              <w:tc>
                <w:tcPr>
                  <w:tcW w:w="1134" w:type="dxa"/>
                  <w:vMerge w:val="continue"/>
                  <w:noWrap/>
                  <w:tcMar>
                    <w:top w:w="0" w:type="dxa"/>
                    <w:left w:w="51" w:type="dxa"/>
                    <w:bottom w:w="0" w:type="dxa"/>
                    <w:right w:w="51" w:type="dxa"/>
                  </w:tcMar>
                  <w:vAlign w:val="center"/>
                </w:tcPr>
                <w:p w14:paraId="5C45A400">
                  <w:pPr>
                    <w:widowControl/>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58D52A47">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E</w:t>
                  </w:r>
                </w:p>
              </w:tc>
              <w:tc>
                <w:tcPr>
                  <w:tcW w:w="850" w:type="dxa"/>
                  <w:noWrap/>
                  <w:tcMar>
                    <w:top w:w="0" w:type="dxa"/>
                    <w:left w:w="51" w:type="dxa"/>
                    <w:bottom w:w="0" w:type="dxa"/>
                    <w:right w:w="51" w:type="dxa"/>
                  </w:tcMar>
                  <w:vAlign w:val="center"/>
                </w:tcPr>
                <w:p w14:paraId="4E99F9D4">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1575</w:t>
                  </w:r>
                </w:p>
              </w:tc>
              <w:tc>
                <w:tcPr>
                  <w:tcW w:w="722" w:type="dxa"/>
                  <w:noWrap/>
                  <w:tcMar>
                    <w:top w:w="0" w:type="dxa"/>
                    <w:left w:w="51" w:type="dxa"/>
                    <w:bottom w:w="0" w:type="dxa"/>
                    <w:right w:w="51" w:type="dxa"/>
                  </w:tcMar>
                  <w:vAlign w:val="center"/>
                </w:tcPr>
                <w:p w14:paraId="28AF492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150</w:t>
                  </w:r>
                </w:p>
              </w:tc>
            </w:tr>
            <w:tr w14:paraId="3665F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84" w:hRule="atLeast"/>
                <w:jc w:val="center"/>
              </w:trPr>
              <w:tc>
                <w:tcPr>
                  <w:tcW w:w="400" w:type="dxa"/>
                  <w:shd w:val="clear" w:color="auto" w:fill="auto"/>
                  <w:noWrap/>
                  <w:tcMar>
                    <w:top w:w="0" w:type="dxa"/>
                    <w:left w:w="51" w:type="dxa"/>
                    <w:bottom w:w="0" w:type="dxa"/>
                    <w:right w:w="51" w:type="dxa"/>
                  </w:tcMar>
                  <w:vAlign w:val="center"/>
                </w:tcPr>
                <w:p w14:paraId="38FDE4C4">
                  <w:pPr>
                    <w:widowControl/>
                    <w:spacing w:line="320" w:lineRule="exact"/>
                    <w:ind w:left="-105" w:leftChars="-50" w:right="-105" w:rightChars="-5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color w:val="000000" w:themeColor="text1"/>
                      <w:kern w:val="2"/>
                      <w:sz w:val="18"/>
                      <w:szCs w:val="18"/>
                      <w:highlight w:val="none"/>
                      <w:lang w:val="en-US" w:eastAsia="zh-CN" w:bidi="ar-SA"/>
                      <w14:textFill>
                        <w14:solidFill>
                          <w14:schemeClr w14:val="tx1"/>
                        </w14:solidFill>
                      </w14:textFill>
                    </w:rPr>
                    <w:t>32</w:t>
                  </w:r>
                </w:p>
              </w:tc>
              <w:tc>
                <w:tcPr>
                  <w:tcW w:w="1118" w:type="dxa"/>
                  <w:noWrap/>
                  <w:tcMar>
                    <w:top w:w="0" w:type="dxa"/>
                    <w:left w:w="51" w:type="dxa"/>
                    <w:bottom w:w="0" w:type="dxa"/>
                    <w:right w:w="51" w:type="dxa"/>
                  </w:tcMar>
                  <w:vAlign w:val="center"/>
                </w:tcPr>
                <w:p w14:paraId="63209B6C">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张疃小学</w:t>
                  </w:r>
                </w:p>
              </w:tc>
              <w:tc>
                <w:tcPr>
                  <w:tcW w:w="1134" w:type="dxa"/>
                  <w:noWrap/>
                  <w:tcMar>
                    <w:top w:w="0" w:type="dxa"/>
                    <w:left w:w="51" w:type="dxa"/>
                    <w:bottom w:w="0" w:type="dxa"/>
                    <w:right w:w="51" w:type="dxa"/>
                  </w:tcMar>
                  <w:vAlign w:val="center"/>
                </w:tcPr>
                <w:p w14:paraId="79F969BB">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118°44'39.93"</w:t>
                  </w:r>
                </w:p>
              </w:tc>
              <w:tc>
                <w:tcPr>
                  <w:tcW w:w="1134" w:type="dxa"/>
                  <w:noWrap/>
                  <w:tcMar>
                    <w:top w:w="0" w:type="dxa"/>
                    <w:left w:w="51" w:type="dxa"/>
                    <w:bottom w:w="0" w:type="dxa"/>
                    <w:right w:w="51" w:type="dxa"/>
                  </w:tcMar>
                  <w:vAlign w:val="center"/>
                </w:tcPr>
                <w:p w14:paraId="20F313C6">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39°38'40.13"</w:t>
                  </w:r>
                </w:p>
              </w:tc>
              <w:tc>
                <w:tcPr>
                  <w:tcW w:w="708" w:type="dxa"/>
                  <w:noWrap/>
                  <w:tcMar>
                    <w:top w:w="0" w:type="dxa"/>
                    <w:left w:w="51" w:type="dxa"/>
                    <w:bottom w:w="0" w:type="dxa"/>
                    <w:right w:w="51" w:type="dxa"/>
                  </w:tcMar>
                  <w:vAlign w:val="center"/>
                </w:tcPr>
                <w:p w14:paraId="227A3950">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学校</w:t>
                  </w:r>
                </w:p>
              </w:tc>
              <w:tc>
                <w:tcPr>
                  <w:tcW w:w="709" w:type="dxa"/>
                  <w:noWrap/>
                  <w:tcMar>
                    <w:top w:w="0" w:type="dxa"/>
                    <w:left w:w="51" w:type="dxa"/>
                    <w:bottom w:w="0" w:type="dxa"/>
                    <w:right w:w="51" w:type="dxa"/>
                  </w:tcMar>
                  <w:vAlign w:val="center"/>
                </w:tcPr>
                <w:p w14:paraId="3441D611">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师生</w:t>
                  </w:r>
                </w:p>
              </w:tc>
              <w:tc>
                <w:tcPr>
                  <w:tcW w:w="1134" w:type="dxa"/>
                  <w:vMerge w:val="continue"/>
                  <w:noWrap/>
                  <w:tcMar>
                    <w:top w:w="0" w:type="dxa"/>
                    <w:left w:w="51" w:type="dxa"/>
                    <w:bottom w:w="0" w:type="dxa"/>
                    <w:right w:w="51" w:type="dxa"/>
                  </w:tcMar>
                  <w:vAlign w:val="center"/>
                </w:tcPr>
                <w:p w14:paraId="33E59E30">
                  <w:pPr>
                    <w:spacing w:line="320" w:lineRule="exact"/>
                    <w:ind w:left="-105" w:leftChars="-50" w:right="-105" w:rightChars="-50"/>
                    <w:jc w:val="center"/>
                    <w:rPr>
                      <w:color w:val="000000" w:themeColor="text1"/>
                      <w:sz w:val="18"/>
                      <w:szCs w:val="18"/>
                      <w:highlight w:val="none"/>
                      <w14:textFill>
                        <w14:solidFill>
                          <w14:schemeClr w14:val="tx1"/>
                        </w14:solidFill>
                      </w14:textFill>
                    </w:rPr>
                  </w:pPr>
                </w:p>
              </w:tc>
              <w:tc>
                <w:tcPr>
                  <w:tcW w:w="851" w:type="dxa"/>
                  <w:noWrap/>
                  <w:tcMar>
                    <w:top w:w="0" w:type="dxa"/>
                    <w:left w:w="51" w:type="dxa"/>
                    <w:bottom w:w="0" w:type="dxa"/>
                    <w:right w:w="51" w:type="dxa"/>
                  </w:tcMar>
                  <w:vAlign w:val="center"/>
                </w:tcPr>
                <w:p w14:paraId="5DCEF5E5">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S</w:t>
                  </w:r>
                </w:p>
              </w:tc>
              <w:tc>
                <w:tcPr>
                  <w:tcW w:w="850" w:type="dxa"/>
                  <w:noWrap/>
                  <w:tcMar>
                    <w:top w:w="0" w:type="dxa"/>
                    <w:left w:w="51" w:type="dxa"/>
                    <w:bottom w:w="0" w:type="dxa"/>
                    <w:right w:w="51" w:type="dxa"/>
                  </w:tcMar>
                  <w:vAlign w:val="center"/>
                </w:tcPr>
                <w:p w14:paraId="65EC5C4F">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2100</w:t>
                  </w:r>
                </w:p>
              </w:tc>
              <w:tc>
                <w:tcPr>
                  <w:tcW w:w="722" w:type="dxa"/>
                  <w:noWrap/>
                  <w:tcMar>
                    <w:top w:w="0" w:type="dxa"/>
                    <w:left w:w="51" w:type="dxa"/>
                    <w:bottom w:w="0" w:type="dxa"/>
                    <w:right w:w="51" w:type="dxa"/>
                  </w:tcMar>
                  <w:vAlign w:val="center"/>
                </w:tcPr>
                <w:p w14:paraId="7DC66029">
                  <w:pPr>
                    <w:spacing w:line="32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550</w:t>
                  </w:r>
                </w:p>
              </w:tc>
            </w:tr>
          </w:tbl>
          <w:p w14:paraId="07479894">
            <w:pPr>
              <w:spacing w:line="520" w:lineRule="exact"/>
              <w:rPr>
                <w:b/>
                <w:color w:val="000000" w:themeColor="text1"/>
                <w:kern w:val="24"/>
                <w:sz w:val="24"/>
                <w:highlight w:val="none"/>
                <w14:textFill>
                  <w14:solidFill>
                    <w14:schemeClr w14:val="tx1"/>
                  </w14:solidFill>
                </w14:textFill>
              </w:rPr>
            </w:pPr>
            <w:r>
              <w:rPr>
                <w:rFonts w:hint="eastAsia"/>
                <w:b/>
                <w:color w:val="000000" w:themeColor="text1"/>
                <w:kern w:val="24"/>
                <w:sz w:val="24"/>
                <w:highlight w:val="none"/>
                <w14:textFill>
                  <w14:solidFill>
                    <w14:schemeClr w14:val="tx1"/>
                  </w14:solidFill>
                </w14:textFill>
              </w:rPr>
              <w:t>2、声环境</w:t>
            </w:r>
          </w:p>
          <w:p w14:paraId="12F73068">
            <w:pPr>
              <w:spacing w:line="520" w:lineRule="exact"/>
              <w:ind w:firstLine="470" w:firstLineChars="196"/>
              <w:rPr>
                <w:color w:val="000000" w:themeColor="text1"/>
                <w:sz w:val="24"/>
                <w:highlight w:val="none"/>
                <w14:textFill>
                  <w14:solidFill>
                    <w14:schemeClr w14:val="tx1"/>
                  </w14:solidFill>
                </w14:textFill>
              </w:rPr>
            </w:pPr>
            <w:r>
              <w:rPr>
                <w:rFonts w:hint="eastAsia"/>
                <w:color w:val="000000" w:themeColor="text1"/>
                <w:kern w:val="24"/>
                <w:sz w:val="24"/>
                <w:highlight w:val="none"/>
                <w14:textFill>
                  <w14:solidFill>
                    <w14:schemeClr w14:val="tx1"/>
                  </w14:solidFill>
                </w14:textFill>
              </w:rPr>
              <w:t>厂界外50m内</w:t>
            </w:r>
            <w:r>
              <w:rPr>
                <w:rFonts w:hint="eastAsia"/>
                <w:color w:val="000000" w:themeColor="text1"/>
                <w:sz w:val="24"/>
                <w:highlight w:val="none"/>
                <w14:textFill>
                  <w14:solidFill>
                    <w14:schemeClr w14:val="tx1"/>
                  </w14:solidFill>
                </w14:textFill>
              </w:rPr>
              <w:t>无声环境保护目标。</w:t>
            </w:r>
          </w:p>
          <w:p w14:paraId="2B128DD8">
            <w:pPr>
              <w:spacing w:line="52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3、地下水环境</w:t>
            </w:r>
          </w:p>
          <w:p w14:paraId="09EE3B56">
            <w:pPr>
              <w:spacing w:line="520" w:lineRule="exact"/>
              <w:ind w:firstLine="470" w:firstLineChars="196"/>
              <w:rPr>
                <w:color w:val="000000" w:themeColor="text1"/>
                <w:kern w:val="24"/>
                <w:sz w:val="24"/>
                <w:highlight w:val="none"/>
                <w14:textFill>
                  <w14:solidFill>
                    <w14:schemeClr w14:val="tx1"/>
                  </w14:solidFill>
                </w14:textFill>
              </w:rPr>
            </w:pPr>
            <w:r>
              <w:rPr>
                <w:color w:val="000000" w:themeColor="text1"/>
                <w:kern w:val="24"/>
                <w:sz w:val="24"/>
                <w:highlight w:val="none"/>
                <w14:textFill>
                  <w14:solidFill>
                    <w14:schemeClr w14:val="tx1"/>
                  </w14:solidFill>
                </w14:textFill>
              </w:rPr>
              <w:t>项目厂界周边500m范围内无地下水集中式饮用水水源和热水、矿泉水、温泉等特殊地下水资源</w:t>
            </w:r>
            <w:r>
              <w:rPr>
                <w:rFonts w:hint="eastAsia"/>
                <w:color w:val="000000" w:themeColor="text1"/>
                <w:kern w:val="24"/>
                <w:sz w:val="24"/>
                <w:highlight w:val="none"/>
                <w:lang w:eastAsia="zh-CN"/>
                <w14:textFill>
                  <w14:solidFill>
                    <w14:schemeClr w14:val="tx1"/>
                  </w14:solidFill>
                </w14:textFill>
              </w:rPr>
              <w:t>，</w:t>
            </w:r>
            <w:r>
              <w:rPr>
                <w:color w:val="000000" w:themeColor="text1"/>
                <w:kern w:val="24"/>
                <w:sz w:val="24"/>
                <w:highlight w:val="none"/>
                <w14:textFill>
                  <w14:solidFill>
                    <w14:schemeClr w14:val="tx1"/>
                  </w14:solidFill>
                </w14:textFill>
              </w:rPr>
              <w:t>最近的地下水环境保护目标为项目占地范围内的潜水层地下水。</w:t>
            </w:r>
          </w:p>
          <w:p w14:paraId="571AF068">
            <w:pPr>
              <w:spacing w:line="520" w:lineRule="exact"/>
              <w:rPr>
                <w:b/>
                <w:color w:val="000000" w:themeColor="text1"/>
                <w:kern w:val="24"/>
                <w:sz w:val="24"/>
                <w:highlight w:val="none"/>
                <w14:textFill>
                  <w14:solidFill>
                    <w14:schemeClr w14:val="tx1"/>
                  </w14:solidFill>
                </w14:textFill>
              </w:rPr>
            </w:pPr>
            <w:r>
              <w:rPr>
                <w:rFonts w:hint="eastAsia"/>
                <w:b/>
                <w:color w:val="000000" w:themeColor="text1"/>
                <w:kern w:val="24"/>
                <w:sz w:val="24"/>
                <w:highlight w:val="none"/>
                <w14:textFill>
                  <w14:solidFill>
                    <w14:schemeClr w14:val="tx1"/>
                  </w14:solidFill>
                </w14:textFill>
              </w:rPr>
              <w:t>4、生态环境</w:t>
            </w:r>
          </w:p>
          <w:p w14:paraId="688E284B">
            <w:pPr>
              <w:spacing w:line="520" w:lineRule="exact"/>
              <w:ind w:firstLine="470" w:firstLineChars="196"/>
              <w:rPr>
                <w:color w:val="000000" w:themeColor="text1"/>
                <w:kern w:val="24"/>
                <w:sz w:val="24"/>
                <w:highlight w:val="none"/>
                <w14:textFill>
                  <w14:solidFill>
                    <w14:schemeClr w14:val="tx1"/>
                  </w14:solidFill>
                </w14:textFill>
              </w:rPr>
            </w:pPr>
            <w:r>
              <w:rPr>
                <w:rFonts w:hint="eastAsia"/>
                <w:color w:val="000000" w:themeColor="text1"/>
                <w:kern w:val="24"/>
                <w:sz w:val="24"/>
                <w:highlight w:val="none"/>
                <w14:textFill>
                  <w14:solidFill>
                    <w14:schemeClr w14:val="tx1"/>
                  </w14:solidFill>
                </w14:textFill>
              </w:rPr>
              <w:t>项目位于</w:t>
            </w:r>
            <w:r>
              <w:rPr>
                <w:color w:val="000000" w:themeColor="text1"/>
                <w:kern w:val="0"/>
                <w:sz w:val="24"/>
                <w:highlight w:val="none"/>
                <w14:textFill>
                  <w14:solidFill>
                    <w14:schemeClr w14:val="tx1"/>
                  </w14:solidFill>
                </w14:textFill>
              </w:rPr>
              <w:t>滦州市响嘡街道田疃村西北滦县翼翔新型建材有限公司</w:t>
            </w:r>
            <w:r>
              <w:rPr>
                <w:rFonts w:hint="eastAsia"/>
                <w:color w:val="000000" w:themeColor="text1"/>
                <w:kern w:val="0"/>
                <w:sz w:val="24"/>
                <w:highlight w:val="none"/>
                <w14:textFill>
                  <w14:solidFill>
                    <w14:schemeClr w14:val="tx1"/>
                  </w14:solidFill>
                </w14:textFill>
              </w:rPr>
              <w:t>现有厂区内，不新增占地，</w:t>
            </w:r>
            <w:r>
              <w:rPr>
                <w:rFonts w:hint="eastAsia"/>
                <w:color w:val="000000" w:themeColor="text1"/>
                <w:kern w:val="24"/>
                <w:sz w:val="24"/>
                <w:highlight w:val="none"/>
                <w14:textFill>
                  <w14:solidFill>
                    <w14:schemeClr w14:val="tx1"/>
                  </w14:solidFill>
                </w14:textFill>
              </w:rPr>
              <w:t>无生态环境保护目标。</w:t>
            </w:r>
          </w:p>
        </w:tc>
      </w:tr>
      <w:tr w14:paraId="39F944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990" w:type="dxa"/>
            <w:tcMar>
              <w:left w:w="28" w:type="dxa"/>
              <w:right w:w="28" w:type="dxa"/>
            </w:tcMar>
            <w:vAlign w:val="center"/>
          </w:tcPr>
          <w:p w14:paraId="5CC1C436">
            <w:pPr>
              <w:adjustRightInd w:val="0"/>
              <w:snapToGrid w:val="0"/>
              <w:spacing w:line="480" w:lineRule="exact"/>
              <w:jc w:val="left"/>
              <w:rPr>
                <w:rFonts w:ascii="黑体" w:hAnsi="黑体" w:eastAsia="黑体" w:cs="宋体"/>
                <w:b/>
                <w:color w:val="000000" w:themeColor="text1"/>
                <w:kern w:val="0"/>
                <w:sz w:val="28"/>
                <w:szCs w:val="28"/>
                <w:highlight w:val="none"/>
                <w14:textFill>
                  <w14:solidFill>
                    <w14:schemeClr w14:val="tx1"/>
                  </w14:solidFill>
                </w14:textFill>
              </w:rPr>
            </w:pPr>
            <w:r>
              <w:rPr>
                <w:rFonts w:hint="eastAsia" w:ascii="黑体" w:hAnsi="黑体" w:eastAsia="黑体" w:cs="宋体"/>
                <w:b/>
                <w:color w:val="000000" w:themeColor="text1"/>
                <w:kern w:val="0"/>
                <w:sz w:val="28"/>
                <w:szCs w:val="28"/>
                <w:highlight w:val="none"/>
                <w14:textFill>
                  <w14:solidFill>
                    <w14:schemeClr w14:val="tx1"/>
                  </w14:solidFill>
                </w14:textFill>
              </w:rPr>
              <w:t>污染物排放控制标准</w:t>
            </w:r>
          </w:p>
          <w:p w14:paraId="5855F08A">
            <w:pPr>
              <w:adjustRightInd w:val="0"/>
              <w:snapToGrid w:val="0"/>
              <w:spacing w:line="480" w:lineRule="exact"/>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lang w:val="en-US" w:eastAsia="zh-CN"/>
                <w14:textFill>
                  <w14:solidFill>
                    <w14:schemeClr w14:val="tx1"/>
                  </w14:solidFill>
                </w14:textFill>
              </w:rPr>
              <w:t>施工</w:t>
            </w:r>
            <w:r>
              <w:rPr>
                <w:rFonts w:hint="eastAsia"/>
                <w:color w:val="000000" w:themeColor="text1"/>
                <w:kern w:val="0"/>
                <w:sz w:val="24"/>
                <w:highlight w:val="none"/>
                <w14:textFill>
                  <w14:solidFill>
                    <w14:schemeClr w14:val="tx1"/>
                  </w14:solidFill>
                </w14:textFill>
              </w:rPr>
              <w:t>期：</w:t>
            </w:r>
          </w:p>
          <w:p w14:paraId="31987892">
            <w:pPr>
              <w:adjustRightInd w:val="0"/>
              <w:snapToGrid w:val="0"/>
              <w:spacing w:line="480" w:lineRule="exact"/>
              <w:ind w:firstLine="480" w:firstLineChars="200"/>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施工期噪声排放执行《建筑施工场界环境噪声排放标准》(GB12523-2011)标准的要求，即昼间≤70dB(A)、夜间≤55dB(A)。</w:t>
            </w:r>
          </w:p>
          <w:p w14:paraId="21D8EE92">
            <w:pPr>
              <w:adjustRightInd w:val="0"/>
              <w:snapToGrid w:val="0"/>
              <w:spacing w:line="480" w:lineRule="exact"/>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运营期：</w:t>
            </w:r>
          </w:p>
          <w:p w14:paraId="3AED7024">
            <w:pPr>
              <w:adjustRightInd w:val="0"/>
              <w:snapToGrid w:val="0"/>
              <w:spacing w:line="480" w:lineRule="exac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1</w:t>
            </w:r>
            <w:r>
              <w:rPr>
                <w:rFonts w:hAnsi="宋体"/>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噪声：</w:t>
            </w:r>
          </w:p>
          <w:p w14:paraId="5413EDAD">
            <w:pPr>
              <w:adjustRightInd w:val="0"/>
              <w:snapToGrid w:val="0"/>
              <w:spacing w:line="480" w:lineRule="exact"/>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厂界环境噪声执行《工业企业厂界环境噪声排放标准》（GB12348-2008）表1中2类标准：昼间：60dB(A)；夜间：50dB(A)；</w:t>
            </w:r>
          </w:p>
          <w:p w14:paraId="08A89CDD">
            <w:pPr>
              <w:adjustRightInd w:val="0"/>
              <w:snapToGrid w:val="0"/>
              <w:spacing w:line="480" w:lineRule="exac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2、废气：</w:t>
            </w:r>
          </w:p>
          <w:p w14:paraId="2F2E8ECA">
            <w:pPr>
              <w:adjustRightInd w:val="0"/>
              <w:snapToGrid w:val="0"/>
              <w:spacing w:line="480" w:lineRule="exact"/>
              <w:ind w:firstLine="480" w:firstLineChars="200"/>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⑴有组织</w:t>
            </w:r>
          </w:p>
          <w:p w14:paraId="1FFCFD69">
            <w:pPr>
              <w:adjustRightInd w:val="0"/>
              <w:snapToGrid w:val="0"/>
              <w:spacing w:line="480" w:lineRule="exact"/>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原料给料、破碎、筛分、搅拌、窑车吹扫工序产生的颗粒物排放执行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2大气污染物排放限值要求以及</w:t>
            </w:r>
            <w:r>
              <w:rPr>
                <w:color w:val="000000" w:themeColor="text1"/>
                <w:kern w:val="0"/>
                <w:sz w:val="24"/>
                <w:highlight w:val="none"/>
                <w14:textFill>
                  <w14:solidFill>
                    <w14:schemeClr w14:val="tx1"/>
                  </w14:solidFill>
                </w14:textFill>
              </w:rPr>
              <w:t>《唐山市生态环境局关于印发独立石灰窑等五个行业工业炉窑烟气达标治理工作方案的通知》（唐环气〔2019〕2号）中附件5《唐山市砖瓦行业烟气达标治理工作方案》</w:t>
            </w:r>
            <w:r>
              <w:rPr>
                <w:rFonts w:hint="eastAsia"/>
                <w:color w:val="000000" w:themeColor="text1"/>
                <w:kern w:val="0"/>
                <w:sz w:val="24"/>
                <w:highlight w:val="none"/>
                <w:lang w:val="en-US" w:eastAsia="zh-CN"/>
                <w14:textFill>
                  <w14:solidFill>
                    <w14:schemeClr w14:val="tx1"/>
                  </w14:solidFill>
                </w14:textFill>
              </w:rPr>
              <w:t>要求</w:t>
            </w:r>
            <w:r>
              <w:rPr>
                <w:color w:val="000000" w:themeColor="text1"/>
                <w:kern w:val="0"/>
                <w:sz w:val="24"/>
                <w:highlight w:val="none"/>
                <w14:textFill>
                  <w14:solidFill>
                    <w14:schemeClr w14:val="tx1"/>
                  </w14:solidFill>
                </w14:textFill>
              </w:rPr>
              <w:t>，即颗粒物≤</w:t>
            </w:r>
            <w:r>
              <w:rPr>
                <w:rFonts w:hint="eastAsia"/>
                <w:color w:val="000000" w:themeColor="text1"/>
                <w:kern w:val="0"/>
                <w:sz w:val="24"/>
                <w:highlight w:val="none"/>
                <w:lang w:val="en-US" w:eastAsia="zh-CN"/>
                <w14:textFill>
                  <w14:solidFill>
                    <w14:schemeClr w14:val="tx1"/>
                  </w14:solidFill>
                </w14:textFill>
              </w:rPr>
              <w:t>1</w:t>
            </w:r>
            <w:r>
              <w:rPr>
                <w:color w:val="000000" w:themeColor="text1"/>
                <w:kern w:val="0"/>
                <w:sz w:val="24"/>
                <w:highlight w:val="none"/>
                <w14:textFill>
                  <w14:solidFill>
                    <w14:schemeClr w14:val="tx1"/>
                  </w14:solidFill>
                </w14:textFill>
              </w:rPr>
              <w:t>0mg/m</w:t>
            </w:r>
            <w:r>
              <w:rPr>
                <w:color w:val="000000" w:themeColor="text1"/>
                <w:kern w:val="0"/>
                <w:sz w:val="24"/>
                <w:highlight w:val="none"/>
                <w:vertAlign w:val="superscript"/>
                <w14:textFill>
                  <w14:solidFill>
                    <w14:schemeClr w14:val="tx1"/>
                  </w14:solidFill>
                </w14:textFill>
              </w:rPr>
              <w:t>3</w:t>
            </w:r>
            <w:r>
              <w:rPr>
                <w:bCs/>
                <w:color w:val="000000" w:themeColor="text1"/>
                <w:kern w:val="0"/>
                <w:sz w:val="24"/>
                <w:highlight w:val="none"/>
                <w14:textFill>
                  <w14:solidFill>
                    <w14:schemeClr w14:val="tx1"/>
                  </w14:solidFill>
                </w14:textFill>
              </w:rPr>
              <w:t>；</w:t>
            </w:r>
          </w:p>
          <w:p w14:paraId="7828E28A">
            <w:pPr>
              <w:adjustRightInd w:val="0"/>
              <w:snapToGrid w:val="0"/>
              <w:spacing w:line="480" w:lineRule="exact"/>
              <w:ind w:firstLine="480" w:firstLineChars="200"/>
              <w:rPr>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隧道窑</w:t>
            </w:r>
            <w:r>
              <w:rPr>
                <w:rFonts w:hint="eastAsia"/>
                <w:bCs/>
                <w:color w:val="000000" w:themeColor="text1"/>
                <w:kern w:val="0"/>
                <w:sz w:val="24"/>
                <w:highlight w:val="none"/>
                <w:lang w:val="en-US" w:eastAsia="zh-CN"/>
                <w14:textFill>
                  <w14:solidFill>
                    <w14:schemeClr w14:val="tx1"/>
                  </w14:solidFill>
                </w14:textFill>
              </w:rPr>
              <w:t>烟气中</w:t>
            </w:r>
            <w:r>
              <w:rPr>
                <w:bCs/>
                <w:color w:val="000000" w:themeColor="text1"/>
                <w:kern w:val="0"/>
                <w:sz w:val="24"/>
                <w:highlight w:val="none"/>
                <w14:textFill>
                  <w14:solidFill>
                    <w14:schemeClr w14:val="tx1"/>
                  </w14:solidFill>
                </w14:textFill>
              </w:rPr>
              <w:t>颗粒物、SO</w:t>
            </w:r>
            <w:r>
              <w:rPr>
                <w:bCs/>
                <w:color w:val="000000" w:themeColor="text1"/>
                <w:kern w:val="0"/>
                <w:sz w:val="24"/>
                <w:highlight w:val="none"/>
                <w:vertAlign w:val="subscript"/>
                <w14:textFill>
                  <w14:solidFill>
                    <w14:schemeClr w14:val="tx1"/>
                  </w14:solidFill>
                </w14:textFill>
              </w:rPr>
              <w:t>2</w:t>
            </w:r>
            <w:r>
              <w:rPr>
                <w:bCs/>
                <w:color w:val="000000" w:themeColor="text1"/>
                <w:kern w:val="0"/>
                <w:sz w:val="24"/>
                <w:highlight w:val="none"/>
                <w14:textFill>
                  <w14:solidFill>
                    <w14:schemeClr w14:val="tx1"/>
                  </w14:solidFill>
                </w14:textFill>
              </w:rPr>
              <w:t>、NOx、</w:t>
            </w:r>
            <w:r>
              <w:rPr>
                <w:rFonts w:hint="eastAsia"/>
                <w:bCs/>
                <w:color w:val="000000" w:themeColor="text1"/>
                <w:kern w:val="0"/>
                <w:sz w:val="24"/>
                <w:highlight w:val="none"/>
                <w:lang w:val="en-US" w:eastAsia="zh-CN"/>
                <w14:textFill>
                  <w14:solidFill>
                    <w14:schemeClr w14:val="tx1"/>
                  </w14:solidFill>
                </w14:textFill>
              </w:rPr>
              <w:t>氟化物、氨执行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2大气污染物排放限值要求，同时企业自愿承诺</w:t>
            </w:r>
            <w:r>
              <w:rPr>
                <w:bCs/>
                <w:color w:val="000000" w:themeColor="text1"/>
                <w:kern w:val="0"/>
                <w:sz w:val="24"/>
                <w:highlight w:val="none"/>
                <w14:textFill>
                  <w14:solidFill>
                    <w14:schemeClr w14:val="tx1"/>
                  </w14:solidFill>
                </w14:textFill>
              </w:rPr>
              <w:t>SO</w:t>
            </w:r>
            <w:r>
              <w:rPr>
                <w:bCs/>
                <w:color w:val="000000" w:themeColor="text1"/>
                <w:kern w:val="0"/>
                <w:sz w:val="24"/>
                <w:highlight w:val="none"/>
                <w:vertAlign w:val="subscript"/>
                <w14:textFill>
                  <w14:solidFill>
                    <w14:schemeClr w14:val="tx1"/>
                  </w14:solidFill>
                </w14:textFill>
              </w:rPr>
              <w:t>2</w:t>
            </w:r>
            <w:r>
              <w:rPr>
                <w:rFonts w:hint="eastAsia"/>
                <w:bCs/>
                <w:color w:val="000000" w:themeColor="text1"/>
                <w:kern w:val="0"/>
                <w:sz w:val="24"/>
                <w:highlight w:val="none"/>
                <w:vertAlign w:val="baseline"/>
                <w:lang w:val="en-US" w:eastAsia="zh-CN"/>
                <w14:textFill>
                  <w14:solidFill>
                    <w14:schemeClr w14:val="tx1"/>
                  </w14:solidFill>
                </w14:textFill>
              </w:rPr>
              <w:t>排放浓度不超过13</w:t>
            </w:r>
            <w:r>
              <w:rPr>
                <w:color w:val="000000" w:themeColor="text1"/>
                <w:kern w:val="0"/>
                <w:sz w:val="24"/>
                <w:highlight w:val="none"/>
                <w14:textFill>
                  <w14:solidFill>
                    <w14:schemeClr w14:val="tx1"/>
                  </w14:solidFill>
                </w14:textFill>
              </w:rPr>
              <w:t>mg/m</w:t>
            </w:r>
            <w:r>
              <w:rPr>
                <w:color w:val="000000" w:themeColor="text1"/>
                <w:kern w:val="0"/>
                <w:sz w:val="24"/>
                <w:highlight w:val="none"/>
                <w:vertAlign w:val="superscript"/>
                <w14:textFill>
                  <w14:solidFill>
                    <w14:schemeClr w14:val="tx1"/>
                  </w14:solidFill>
                </w14:textFill>
              </w:rPr>
              <w:t>3</w:t>
            </w:r>
            <w:r>
              <w:rPr>
                <w:rFonts w:hint="eastAsia" w:hAnsi="Arial"/>
                <w:color w:val="000000" w:themeColor="text1"/>
                <w:sz w:val="24"/>
                <w:highlight w:val="none"/>
                <w:shd w:val="clear" w:color="auto" w:fill="FFFFFF"/>
                <w:lang w:val="en-US" w:eastAsia="zh-CN"/>
                <w14:textFill>
                  <w14:solidFill>
                    <w14:schemeClr w14:val="tx1"/>
                  </w14:solidFill>
                </w14:textFill>
              </w:rPr>
              <w:t>；</w:t>
            </w:r>
            <w:r>
              <w:rPr>
                <w:bCs/>
                <w:color w:val="000000" w:themeColor="text1"/>
                <w:kern w:val="0"/>
                <w:sz w:val="24"/>
                <w:highlight w:val="none"/>
                <w14:textFill>
                  <w14:solidFill>
                    <w14:schemeClr w14:val="tx1"/>
                  </w14:solidFill>
                </w14:textFill>
              </w:rPr>
              <w:t>隧道窑</w:t>
            </w:r>
            <w:r>
              <w:rPr>
                <w:rFonts w:hint="eastAsia"/>
                <w:bCs/>
                <w:color w:val="000000" w:themeColor="text1"/>
                <w:kern w:val="0"/>
                <w:sz w:val="24"/>
                <w:highlight w:val="none"/>
                <w:lang w:val="en-US" w:eastAsia="zh-CN"/>
                <w14:textFill>
                  <w14:solidFill>
                    <w14:schemeClr w14:val="tx1"/>
                  </w14:solidFill>
                </w14:textFill>
              </w:rPr>
              <w:t>烟气</w:t>
            </w:r>
            <w:r>
              <w:rPr>
                <w:bCs/>
                <w:color w:val="000000" w:themeColor="text1"/>
                <w:kern w:val="0"/>
                <w:sz w:val="24"/>
                <w:highlight w:val="none"/>
                <w14:textFill>
                  <w14:solidFill>
                    <w14:schemeClr w14:val="tx1"/>
                  </w14:solidFill>
                </w14:textFill>
              </w:rPr>
              <w:t>中氯化氢、二噁英类、重金属排放参照执行《生活垃圾焚烧大气污染控制标准》(DB13/5325-2021)表2污染物排放限值要求</w:t>
            </w:r>
            <w:r>
              <w:rPr>
                <w:rFonts w:hint="eastAsia"/>
                <w:color w:val="000000" w:themeColor="text1"/>
                <w:kern w:val="0"/>
                <w:sz w:val="24"/>
                <w:highlight w:val="none"/>
                <w14:textFill>
                  <w14:solidFill>
                    <w14:schemeClr w14:val="tx1"/>
                  </w14:solidFill>
                </w14:textFill>
              </w:rPr>
              <w:t>；</w:t>
            </w:r>
          </w:p>
          <w:p w14:paraId="52B164AB">
            <w:pPr>
              <w:adjustRightInd w:val="0"/>
              <w:snapToGrid w:val="0"/>
              <w:spacing w:line="480" w:lineRule="exact"/>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正常生产时将恶臭气体引至隧道窑中，隧道窑废气</w:t>
            </w:r>
            <w:r>
              <w:rPr>
                <w:rFonts w:hint="eastAsia"/>
                <w:color w:val="000000" w:themeColor="text1"/>
                <w:kern w:val="0"/>
                <w:sz w:val="24"/>
                <w:highlight w:val="none"/>
                <w14:textFill>
                  <w14:solidFill>
                    <w14:schemeClr w14:val="tx1"/>
                  </w14:solidFill>
                </w14:textFill>
              </w:rPr>
              <w:t>经隧道窑烟气治理设施（</w:t>
            </w:r>
            <w:r>
              <w:rPr>
                <w:rFonts w:hint="eastAsia"/>
                <w:color w:val="000000" w:themeColor="text1"/>
                <w:kern w:val="0"/>
                <w:sz w:val="24"/>
                <w:highlight w:val="none"/>
                <w:lang w:val="en-US" w:eastAsia="zh-CN"/>
                <w14:textFill>
                  <w14:solidFill>
                    <w14:schemeClr w14:val="tx1"/>
                  </w14:solidFill>
                </w14:textFill>
              </w:rPr>
              <w:t>SNCR脱硝+</w:t>
            </w:r>
            <w:r>
              <w:rPr>
                <w:color w:val="000000" w:themeColor="text1"/>
                <w:kern w:val="0"/>
                <w:sz w:val="24"/>
                <w:highlight w:val="none"/>
                <w14:textFill>
                  <w14:solidFill>
                    <w14:schemeClr w14:val="tx1"/>
                  </w14:solidFill>
                </w14:textFill>
              </w:rPr>
              <w:t>石灰-石膏法脱硫+湿式静电除尘</w:t>
            </w:r>
            <w:r>
              <w:rPr>
                <w:rFonts w:hint="eastAsia"/>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处理后经38m高排气筒排放</w:t>
            </w:r>
            <w:r>
              <w:rPr>
                <w:rFonts w:hint="eastAsia"/>
                <w:color w:val="000000" w:themeColor="text1"/>
                <w:kern w:val="0"/>
                <w:sz w:val="24"/>
                <w:highlight w:val="none"/>
                <w14:textFill>
                  <w14:solidFill>
                    <w14:schemeClr w14:val="tx1"/>
                  </w14:solidFill>
                </w14:textFill>
              </w:rPr>
              <w:t>，正常生产时经隧道窑排气筒排放的</w:t>
            </w:r>
            <w:r>
              <w:rPr>
                <w:color w:val="000000" w:themeColor="text1"/>
                <w:kern w:val="0"/>
                <w:sz w:val="24"/>
                <w:highlight w:val="none"/>
                <w14:textFill>
                  <w14:solidFill>
                    <w14:schemeClr w14:val="tx1"/>
                  </w14:solidFill>
                </w14:textFill>
              </w:rPr>
              <w:t>恶臭气体氨、硫化氢、臭气浓度排放</w:t>
            </w:r>
            <w:r>
              <w:rPr>
                <w:rFonts w:hint="eastAsia"/>
                <w:color w:val="000000" w:themeColor="text1"/>
                <w:kern w:val="0"/>
                <w:sz w:val="24"/>
                <w:highlight w:val="none"/>
                <w14:textFill>
                  <w14:solidFill>
                    <w14:schemeClr w14:val="tx1"/>
                  </w14:solidFill>
                </w14:textFill>
              </w:rPr>
              <w:t>执行</w:t>
            </w:r>
            <w:r>
              <w:rPr>
                <w:color w:val="000000" w:themeColor="text1"/>
                <w:kern w:val="0"/>
                <w:sz w:val="24"/>
                <w:highlight w:val="none"/>
                <w14:textFill>
                  <w14:solidFill>
                    <w14:schemeClr w14:val="tx1"/>
                  </w14:solidFill>
                </w14:textFill>
              </w:rPr>
              <w:t>《恶臭污染物排放标准》（GB14554-93）表2中污染物排放限值要求（排气筒高度40m），即氨≤35kg/h、硫化氢≤2.3kg/h、臭气浓度≤20000（无量纲）</w:t>
            </w:r>
            <w:r>
              <w:rPr>
                <w:rFonts w:hint="eastAsia"/>
                <w:color w:val="000000" w:themeColor="text1"/>
                <w:kern w:val="0"/>
                <w:sz w:val="24"/>
                <w:highlight w:val="none"/>
                <w:lang w:eastAsia="zh-CN"/>
                <w14:textFill>
                  <w14:solidFill>
                    <w14:schemeClr w14:val="tx1"/>
                  </w14:solidFill>
                </w14:textFill>
              </w:rPr>
              <w:t>，</w:t>
            </w:r>
            <w:r>
              <w:rPr>
                <w:rFonts w:hint="eastAsia"/>
                <w:color w:val="000000" w:themeColor="text1"/>
                <w:kern w:val="0"/>
                <w:sz w:val="24"/>
                <w:highlight w:val="none"/>
                <w:lang w:val="en-US" w:eastAsia="zh-CN"/>
                <w14:textFill>
                  <w14:solidFill>
                    <w14:schemeClr w14:val="tx1"/>
                  </w14:solidFill>
                </w14:textFill>
              </w:rPr>
              <w:t>同时氨</w:t>
            </w:r>
            <w:r>
              <w:rPr>
                <w:rFonts w:hint="eastAsia"/>
                <w:bCs/>
                <w:color w:val="000000" w:themeColor="text1"/>
                <w:kern w:val="0"/>
                <w:sz w:val="24"/>
                <w:highlight w:val="none"/>
                <w:lang w:val="en-US" w:eastAsia="zh-CN"/>
                <w14:textFill>
                  <w14:solidFill>
                    <w14:schemeClr w14:val="tx1"/>
                  </w14:solidFill>
                </w14:textFill>
              </w:rPr>
              <w:t>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w:t>
            </w:r>
            <w:r>
              <w:rPr>
                <w:color w:val="000000" w:themeColor="text1"/>
                <w:kern w:val="0"/>
                <w:sz w:val="24"/>
                <w:highlight w:val="none"/>
                <w14:textFill>
                  <w14:solidFill>
                    <w14:schemeClr w14:val="tx1"/>
                  </w14:solidFill>
                </w14:textFill>
              </w:rPr>
              <w:t>；隧道窑停工</w:t>
            </w:r>
            <w:r>
              <w:rPr>
                <w:rFonts w:hint="eastAsia"/>
                <w:color w:val="000000" w:themeColor="text1"/>
                <w:kern w:val="0"/>
                <w:sz w:val="24"/>
                <w:highlight w:val="none"/>
                <w14:textFill>
                  <w14:solidFill>
                    <w14:schemeClr w14:val="tx1"/>
                  </w14:solidFill>
                </w14:textFill>
              </w:rPr>
              <w:t>且有污泥贮存</w:t>
            </w:r>
            <w:r>
              <w:rPr>
                <w:color w:val="000000" w:themeColor="text1"/>
                <w:kern w:val="0"/>
                <w:sz w:val="24"/>
                <w:highlight w:val="none"/>
                <w14:textFill>
                  <w14:solidFill>
                    <w14:schemeClr w14:val="tx1"/>
                  </w14:solidFill>
                </w14:textFill>
              </w:rPr>
              <w:t>时将恶臭气体引至两级活性炭吸附装置处理后经1根15m高排气筒（DA007）排放</w:t>
            </w:r>
            <w:r>
              <w:rPr>
                <w:rFonts w:hint="eastAsia"/>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恶臭气体氨、硫化氢、臭气浓度排放满足《恶臭污染物排放标准》（GB14554-93）表2中污染物排放限值要求（排气筒高度15m），即氨≤4.9kg/h、硫化氢≤0.33kg/h、臭气浓度≤2000（无量纲）</w:t>
            </w:r>
            <w:r>
              <w:rPr>
                <w:rFonts w:hint="eastAsia"/>
                <w:color w:val="000000" w:themeColor="text1"/>
                <w:kern w:val="0"/>
                <w:sz w:val="24"/>
                <w:highlight w:val="none"/>
                <w14:textFill>
                  <w14:solidFill>
                    <w14:schemeClr w14:val="tx1"/>
                  </w14:solidFill>
                </w14:textFill>
              </w:rPr>
              <w:t>；</w:t>
            </w:r>
          </w:p>
          <w:p w14:paraId="4077EFE0">
            <w:pPr>
              <w:adjustRightInd w:val="0"/>
              <w:snapToGrid w:val="0"/>
              <w:spacing w:line="480" w:lineRule="exact"/>
              <w:ind w:firstLine="480" w:firstLineChars="200"/>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⑵无组织</w:t>
            </w:r>
          </w:p>
          <w:p w14:paraId="336BE32C">
            <w:pPr>
              <w:adjustRightInd w:val="0"/>
              <w:snapToGrid w:val="0"/>
              <w:spacing w:line="480" w:lineRule="exact"/>
              <w:ind w:firstLine="480" w:firstLineChars="200"/>
              <w:rPr>
                <w:rFonts w:hint="eastAsia" w:eastAsia="宋体"/>
                <w:color w:val="000000" w:themeColor="text1"/>
                <w:kern w:val="0"/>
                <w:sz w:val="24"/>
                <w:highlight w:val="none"/>
                <w:lang w:val="en-US" w:eastAsia="zh-CN"/>
                <w14:textFill>
                  <w14:solidFill>
                    <w14:schemeClr w14:val="tx1"/>
                  </w14:solidFill>
                </w14:textFill>
              </w:rPr>
            </w:pPr>
            <w:r>
              <w:rPr>
                <w:rFonts w:hint="eastAsia"/>
                <w:color w:val="000000" w:themeColor="text1"/>
                <w:kern w:val="0"/>
                <w:sz w:val="24"/>
                <w:highlight w:val="none"/>
                <w14:textFill>
                  <w14:solidFill>
                    <w14:schemeClr w14:val="tx1"/>
                  </w14:solidFill>
                </w14:textFill>
              </w:rPr>
              <w:t>无组织</w:t>
            </w:r>
            <w:r>
              <w:rPr>
                <w:color w:val="000000" w:themeColor="text1"/>
                <w:kern w:val="0"/>
                <w:sz w:val="24"/>
                <w:highlight w:val="none"/>
                <w14:textFill>
                  <w14:solidFill>
                    <w14:schemeClr w14:val="tx1"/>
                  </w14:solidFill>
                </w14:textFill>
              </w:rPr>
              <w:t>颗粒物</w:t>
            </w:r>
            <w:r>
              <w:rPr>
                <w:rFonts w:hint="eastAsia"/>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SO</w:t>
            </w:r>
            <w:r>
              <w:rPr>
                <w:color w:val="000000" w:themeColor="text1"/>
                <w:kern w:val="0"/>
                <w:sz w:val="24"/>
                <w:highlight w:val="none"/>
                <w:vertAlign w:val="subscript"/>
                <w14:textFill>
                  <w14:solidFill>
                    <w14:schemeClr w14:val="tx1"/>
                  </w14:solidFill>
                </w14:textFill>
              </w:rPr>
              <w:t>2</w:t>
            </w:r>
            <w:r>
              <w:rPr>
                <w:color w:val="000000" w:themeColor="text1"/>
                <w:kern w:val="0"/>
                <w:sz w:val="24"/>
                <w:highlight w:val="none"/>
                <w14:textFill>
                  <w14:solidFill>
                    <w14:schemeClr w14:val="tx1"/>
                  </w14:solidFill>
                </w14:textFill>
              </w:rPr>
              <w:t>、氟化物排放</w:t>
            </w:r>
            <w:r>
              <w:rPr>
                <w:rFonts w:hint="eastAsia"/>
                <w:color w:val="000000" w:themeColor="text1"/>
                <w:kern w:val="0"/>
                <w:sz w:val="24"/>
                <w:highlight w:val="none"/>
                <w14:textFill>
                  <w14:solidFill>
                    <w14:schemeClr w14:val="tx1"/>
                  </w14:solidFill>
                </w14:textFill>
              </w:rPr>
              <w:t>执行</w:t>
            </w:r>
            <w:r>
              <w:rPr>
                <w:color w:val="000000" w:themeColor="text1"/>
                <w:kern w:val="0"/>
                <w:sz w:val="24"/>
                <w:highlight w:val="none"/>
                <w14:textFill>
                  <w14:solidFill>
                    <w14:schemeClr w14:val="tx1"/>
                  </w14:solidFill>
                </w14:textFill>
              </w:rPr>
              <w:t>《砖瓦工业大气污染物排放标准》（GB29620-2013）表3中企业边界大气污染物浓度限值要求，即颗粒物≤1.0mg/m</w:t>
            </w:r>
            <w:r>
              <w:rPr>
                <w:color w:val="000000" w:themeColor="text1"/>
                <w:kern w:val="0"/>
                <w:sz w:val="24"/>
                <w:highlight w:val="none"/>
                <w:vertAlign w:val="superscript"/>
                <w14:textFill>
                  <w14:solidFill>
                    <w14:schemeClr w14:val="tx1"/>
                  </w14:solidFill>
                </w14:textFill>
              </w:rPr>
              <w:t>3</w:t>
            </w:r>
            <w:r>
              <w:rPr>
                <w:color w:val="000000" w:themeColor="text1"/>
                <w:kern w:val="0"/>
                <w:sz w:val="24"/>
                <w:highlight w:val="none"/>
                <w14:textFill>
                  <w14:solidFill>
                    <w14:schemeClr w14:val="tx1"/>
                  </w14:solidFill>
                </w14:textFill>
              </w:rPr>
              <w:t>、SO</w:t>
            </w:r>
            <w:r>
              <w:rPr>
                <w:color w:val="000000" w:themeColor="text1"/>
                <w:kern w:val="0"/>
                <w:sz w:val="24"/>
                <w:highlight w:val="none"/>
                <w:vertAlign w:val="subscript"/>
                <w14:textFill>
                  <w14:solidFill>
                    <w14:schemeClr w14:val="tx1"/>
                  </w14:solidFill>
                </w14:textFill>
              </w:rPr>
              <w:t>2</w:t>
            </w:r>
            <w:r>
              <w:rPr>
                <w:color w:val="000000" w:themeColor="text1"/>
                <w:kern w:val="0"/>
                <w:sz w:val="24"/>
                <w:highlight w:val="none"/>
                <w14:textFill>
                  <w14:solidFill>
                    <w14:schemeClr w14:val="tx1"/>
                  </w14:solidFill>
                </w14:textFill>
              </w:rPr>
              <w:t>≤0.5mg/m</w:t>
            </w:r>
            <w:r>
              <w:rPr>
                <w:color w:val="000000" w:themeColor="text1"/>
                <w:kern w:val="0"/>
                <w:sz w:val="24"/>
                <w:highlight w:val="none"/>
                <w:vertAlign w:val="superscript"/>
                <w14:textFill>
                  <w14:solidFill>
                    <w14:schemeClr w14:val="tx1"/>
                  </w14:solidFill>
                </w14:textFill>
              </w:rPr>
              <w:t>3</w:t>
            </w:r>
            <w:r>
              <w:rPr>
                <w:color w:val="000000" w:themeColor="text1"/>
                <w:kern w:val="0"/>
                <w:sz w:val="24"/>
                <w:highlight w:val="none"/>
                <w14:textFill>
                  <w14:solidFill>
                    <w14:schemeClr w14:val="tx1"/>
                  </w14:solidFill>
                </w14:textFill>
              </w:rPr>
              <w:t>、氟化物≤0.02mg/m</w:t>
            </w:r>
            <w:r>
              <w:rPr>
                <w:color w:val="000000" w:themeColor="text1"/>
                <w:kern w:val="0"/>
                <w:sz w:val="24"/>
                <w:highlight w:val="none"/>
                <w:vertAlign w:val="superscript"/>
                <w14:textFill>
                  <w14:solidFill>
                    <w14:schemeClr w14:val="tx1"/>
                  </w14:solidFill>
                </w14:textFill>
              </w:rPr>
              <w:t>3</w:t>
            </w:r>
            <w:r>
              <w:rPr>
                <w:color w:val="000000" w:themeColor="text1"/>
                <w:kern w:val="0"/>
                <w:sz w:val="24"/>
                <w:highlight w:val="none"/>
                <w14:textFill>
                  <w14:solidFill>
                    <w14:schemeClr w14:val="tx1"/>
                  </w14:solidFill>
                </w14:textFill>
              </w:rPr>
              <w:t>，同时满</w:t>
            </w:r>
            <w:r>
              <w:rPr>
                <w:rFonts w:hint="eastAsia"/>
                <w:bCs/>
                <w:color w:val="000000" w:themeColor="text1"/>
                <w:kern w:val="0"/>
                <w:sz w:val="24"/>
                <w:highlight w:val="none"/>
                <w14:textFill>
                  <w14:solidFill>
                    <w14:schemeClr w14:val="tx1"/>
                  </w14:solidFill>
                </w14:textFill>
              </w:rPr>
              <w:t>足</w:t>
            </w:r>
            <w:r>
              <w:rPr>
                <w:rFonts w:hint="eastAsia"/>
                <w:color w:val="000000" w:themeColor="text1"/>
                <w:kern w:val="0"/>
                <w:sz w:val="24"/>
                <w:highlight w:val="none"/>
                <w14:textFill>
                  <w14:solidFill>
                    <w14:schemeClr w14:val="tx1"/>
                  </w14:solidFill>
                </w14:textFill>
              </w:rPr>
              <w:t>《唐山市生态环境局</w:t>
            </w:r>
            <w:r>
              <w:rPr>
                <w:color w:val="000000" w:themeColor="text1"/>
                <w:kern w:val="0"/>
                <w:sz w:val="24"/>
                <w:highlight w:val="none"/>
                <w14:textFill>
                  <w14:solidFill>
                    <w14:schemeClr w14:val="tx1"/>
                  </w14:solidFill>
                </w14:textFill>
              </w:rPr>
              <w:t>关于印发独立石灰窑等五个行业工业炉窑烟气达标治理工作方案的通知</w:t>
            </w:r>
            <w:r>
              <w:rPr>
                <w:rFonts w:hint="eastAsia"/>
                <w:color w:val="000000" w:themeColor="text1"/>
                <w:kern w:val="0"/>
                <w:sz w:val="24"/>
                <w:highlight w:val="none"/>
                <w14:textFill>
                  <w14:solidFill>
                    <w14:schemeClr w14:val="tx1"/>
                  </w14:solidFill>
                </w14:textFill>
              </w:rPr>
              <w:t>》（</w:t>
            </w:r>
            <w:r>
              <w:rPr>
                <w:color w:val="000000" w:themeColor="text1"/>
                <w:kern w:val="0"/>
                <w:sz w:val="24"/>
                <w:highlight w:val="none"/>
                <w14:textFill>
                  <w14:solidFill>
                    <w14:schemeClr w14:val="tx1"/>
                  </w14:solidFill>
                </w14:textFill>
              </w:rPr>
              <w:t>唐环气〔2019〕2号</w:t>
            </w:r>
            <w:r>
              <w:rPr>
                <w:rFonts w:hint="eastAsia"/>
                <w:color w:val="000000" w:themeColor="text1"/>
                <w:kern w:val="0"/>
                <w:sz w:val="24"/>
                <w:highlight w:val="none"/>
                <w14:textFill>
                  <w14:solidFill>
                    <w14:schemeClr w14:val="tx1"/>
                  </w14:solidFill>
                </w14:textFill>
              </w:rPr>
              <w:t>）中附件5《唐山市砖瓦行业烟气达标治理工作方案》中“</w:t>
            </w:r>
            <w:r>
              <w:rPr>
                <w:color w:val="000000" w:themeColor="text1"/>
                <w:kern w:val="0"/>
                <w:sz w:val="24"/>
                <w:highlight w:val="none"/>
                <w14:textFill>
                  <w14:solidFill>
                    <w14:schemeClr w14:val="tx1"/>
                  </w14:solidFill>
                </w14:textFill>
              </w:rPr>
              <w:t>厂区边界颗粒物</w:t>
            </w:r>
            <w:r>
              <w:rPr>
                <w:rFonts w:hint="eastAsia"/>
                <w:color w:val="000000" w:themeColor="text1"/>
                <w:kern w:val="0"/>
                <w:sz w:val="24"/>
                <w:highlight w:val="none"/>
                <w14:textFill>
                  <w14:solidFill>
                    <w14:schemeClr w14:val="tx1"/>
                  </w14:solidFill>
                </w14:textFill>
              </w:rPr>
              <w:t>浓度不高于</w:t>
            </w:r>
            <w:r>
              <w:rPr>
                <w:color w:val="000000" w:themeColor="text1"/>
                <w:kern w:val="0"/>
                <w:sz w:val="24"/>
                <w:highlight w:val="none"/>
                <w14:textFill>
                  <w14:solidFill>
                    <w14:schemeClr w14:val="tx1"/>
                  </w14:solidFill>
                </w14:textFill>
              </w:rPr>
              <w:t>0.5mg/m</w:t>
            </w:r>
            <w:r>
              <w:rPr>
                <w:color w:val="000000" w:themeColor="text1"/>
                <w:kern w:val="0"/>
                <w:sz w:val="24"/>
                <w:highlight w:val="none"/>
                <w:vertAlign w:val="superscript"/>
                <w14:textFill>
                  <w14:solidFill>
                    <w14:schemeClr w14:val="tx1"/>
                  </w14:solidFill>
                </w14:textFill>
              </w:rPr>
              <w:t>3</w:t>
            </w:r>
            <w:r>
              <w:rPr>
                <w:color w:val="000000" w:themeColor="text1"/>
                <w:kern w:val="0"/>
                <w:sz w:val="24"/>
                <w:highlight w:val="none"/>
                <w14:textFill>
                  <w14:solidFill>
                    <w14:schemeClr w14:val="tx1"/>
                  </w14:solidFill>
                </w14:textFill>
              </w:rPr>
              <w:t>、</w:t>
            </w:r>
            <w:r>
              <w:rPr>
                <w:rFonts w:hint="eastAsia"/>
                <w:color w:val="000000" w:themeColor="text1"/>
                <w:kern w:val="0"/>
                <w:sz w:val="24"/>
                <w:highlight w:val="none"/>
                <w14:textFill>
                  <w14:solidFill>
                    <w14:schemeClr w14:val="tx1"/>
                  </w14:solidFill>
                </w14:textFill>
              </w:rPr>
              <w:t>炉窑车间外1米处颗粒物浓度不高于1.0mg/Nm</w:t>
            </w:r>
            <w:r>
              <w:rPr>
                <w:rFonts w:hint="eastAsia"/>
                <w:color w:val="000000" w:themeColor="text1"/>
                <w:kern w:val="0"/>
                <w:sz w:val="24"/>
                <w:highlight w:val="none"/>
                <w:vertAlign w:val="superscript"/>
                <w14:textFill>
                  <w14:solidFill>
                    <w14:schemeClr w14:val="tx1"/>
                  </w14:solidFill>
                </w14:textFill>
              </w:rPr>
              <w:t>3</w:t>
            </w:r>
            <w:r>
              <w:rPr>
                <w:rFonts w:hint="eastAsia"/>
                <w:color w:val="000000" w:themeColor="text1"/>
                <w:kern w:val="0"/>
                <w:sz w:val="24"/>
                <w:highlight w:val="none"/>
                <w14:textFill>
                  <w14:solidFill>
                    <w14:schemeClr w14:val="tx1"/>
                  </w14:solidFill>
                </w14:textFill>
              </w:rPr>
              <w:t>”的要求；</w:t>
            </w:r>
            <w:r>
              <w:rPr>
                <w:rFonts w:hint="eastAsia"/>
                <w:color w:val="000000" w:themeColor="text1"/>
                <w:kern w:val="0"/>
                <w:sz w:val="24"/>
                <w:highlight w:val="none"/>
                <w:lang w:val="en-US" w:eastAsia="zh-CN"/>
                <w14:textFill>
                  <w14:solidFill>
                    <w14:schemeClr w14:val="tx1"/>
                  </w14:solidFill>
                </w14:textFill>
              </w:rPr>
              <w:t>厂区内颗粒物执行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3厂区内大气污染物排放限值要求。</w:t>
            </w:r>
          </w:p>
          <w:p w14:paraId="5BC3A97E">
            <w:pPr>
              <w:adjustRightInd w:val="0"/>
              <w:snapToGrid w:val="0"/>
              <w:spacing w:line="480" w:lineRule="exact"/>
              <w:ind w:firstLine="480" w:firstLineChars="200"/>
              <w:rPr>
                <w:rFonts w:ascii="黑体" w:hAnsi="黑体" w:eastAsia="黑体"/>
                <w:bCs/>
                <w:color w:val="000000" w:themeColor="text1"/>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氨、硫化氢、臭气浓度无组织排放</w:t>
            </w:r>
            <w:r>
              <w:rPr>
                <w:rFonts w:hint="eastAsia"/>
                <w:color w:val="000000" w:themeColor="text1"/>
                <w:kern w:val="0"/>
                <w:sz w:val="24"/>
                <w:highlight w:val="none"/>
                <w14:textFill>
                  <w14:solidFill>
                    <w14:schemeClr w14:val="tx1"/>
                  </w14:solidFill>
                </w14:textFill>
              </w:rPr>
              <w:t>执行</w:t>
            </w:r>
            <w:r>
              <w:rPr>
                <w:color w:val="000000" w:themeColor="text1"/>
                <w:kern w:val="0"/>
                <w:sz w:val="24"/>
                <w:highlight w:val="none"/>
                <w14:textFill>
                  <w14:solidFill>
                    <w14:schemeClr w14:val="tx1"/>
                  </w14:solidFill>
                </w14:textFill>
              </w:rPr>
              <w:t>《恶臭污染物排放标准》（GB14554-93）表1厂界二级标准限值要求，即氨≤1.5mg/m</w:t>
            </w:r>
            <w:r>
              <w:rPr>
                <w:color w:val="000000" w:themeColor="text1"/>
                <w:kern w:val="0"/>
                <w:sz w:val="24"/>
                <w:highlight w:val="none"/>
                <w:vertAlign w:val="superscript"/>
                <w14:textFill>
                  <w14:solidFill>
                    <w14:schemeClr w14:val="tx1"/>
                  </w14:solidFill>
                </w14:textFill>
              </w:rPr>
              <w:t>3</w:t>
            </w:r>
            <w:r>
              <w:rPr>
                <w:color w:val="000000" w:themeColor="text1"/>
                <w:kern w:val="0"/>
                <w:sz w:val="24"/>
                <w:highlight w:val="none"/>
                <w14:textFill>
                  <w14:solidFill>
                    <w14:schemeClr w14:val="tx1"/>
                  </w14:solidFill>
                </w14:textFill>
              </w:rPr>
              <w:t>、硫化氢≤0.06mg/m</w:t>
            </w:r>
            <w:r>
              <w:rPr>
                <w:color w:val="000000" w:themeColor="text1"/>
                <w:kern w:val="0"/>
                <w:sz w:val="24"/>
                <w:highlight w:val="none"/>
                <w:vertAlign w:val="superscript"/>
                <w14:textFill>
                  <w14:solidFill>
                    <w14:schemeClr w14:val="tx1"/>
                  </w14:solidFill>
                </w14:textFill>
              </w:rPr>
              <w:t>3</w:t>
            </w:r>
            <w:r>
              <w:rPr>
                <w:color w:val="000000" w:themeColor="text1"/>
                <w:kern w:val="0"/>
                <w:sz w:val="24"/>
                <w:highlight w:val="none"/>
                <w14:textFill>
                  <w14:solidFill>
                    <w14:schemeClr w14:val="tx1"/>
                  </w14:solidFill>
                </w14:textFill>
              </w:rPr>
              <w:t>、臭气浓度≤20（无量纲）</w:t>
            </w:r>
            <w:r>
              <w:rPr>
                <w:rFonts w:hint="eastAsia"/>
                <w:color w:val="000000" w:themeColor="text1"/>
                <w:kern w:val="0"/>
                <w:sz w:val="24"/>
                <w:highlight w:val="none"/>
                <w14:textFill>
                  <w14:solidFill>
                    <w14:schemeClr w14:val="tx1"/>
                  </w14:solidFill>
                </w14:textFill>
              </w:rPr>
              <w:t>。运营期废气排放执行标准见下表。</w:t>
            </w:r>
          </w:p>
          <w:p w14:paraId="299BB8BB">
            <w:pPr>
              <w:spacing w:line="480" w:lineRule="exact"/>
              <w:ind w:firstLine="1416" w:firstLineChars="590"/>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3-</w:t>
            </w:r>
            <w:r>
              <w:rPr>
                <w:rFonts w:hint="eastAsia" w:ascii="黑体" w:hAnsi="黑体" w:eastAsia="黑体"/>
                <w:bCs/>
                <w:color w:val="000000" w:themeColor="text1"/>
                <w:sz w:val="24"/>
                <w:highlight w:val="none"/>
                <w:lang w:val="en-US" w:eastAsia="zh-CN"/>
                <w14:textFill>
                  <w14:solidFill>
                    <w14:schemeClr w14:val="tx1"/>
                  </w14:solidFill>
                </w14:textFill>
              </w:rPr>
              <w:t>7</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运营期废气排放执行标准</w:t>
            </w:r>
          </w:p>
          <w:tbl>
            <w:tblPr>
              <w:tblStyle w:val="24"/>
              <w:tblW w:w="498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26"/>
              <w:gridCol w:w="1046"/>
              <w:gridCol w:w="565"/>
              <w:gridCol w:w="709"/>
              <w:gridCol w:w="656"/>
              <w:gridCol w:w="1472"/>
              <w:gridCol w:w="707"/>
              <w:gridCol w:w="1704"/>
              <w:gridCol w:w="652"/>
            </w:tblGrid>
            <w:tr w14:paraId="321A9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263" w:type="pct"/>
                  <w:vMerge w:val="restart"/>
                  <w:noWrap/>
                  <w:tcMar>
                    <w:top w:w="0" w:type="dxa"/>
                    <w:left w:w="51" w:type="dxa"/>
                    <w:bottom w:w="0" w:type="dxa"/>
                    <w:right w:w="51" w:type="dxa"/>
                  </w:tcMar>
                  <w:vAlign w:val="center"/>
                </w:tcPr>
                <w:p w14:paraId="66D53EC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类别</w:t>
                  </w:r>
                </w:p>
              </w:tc>
              <w:tc>
                <w:tcPr>
                  <w:tcW w:w="520" w:type="pct"/>
                  <w:vMerge w:val="restart"/>
                  <w:noWrap/>
                  <w:tcMar>
                    <w:top w:w="0" w:type="dxa"/>
                    <w:left w:w="51" w:type="dxa"/>
                    <w:bottom w:w="0" w:type="dxa"/>
                    <w:right w:w="51" w:type="dxa"/>
                  </w:tcMar>
                  <w:vAlign w:val="center"/>
                </w:tcPr>
                <w:p w14:paraId="260154B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污染源</w:t>
                  </w:r>
                </w:p>
              </w:tc>
              <w:tc>
                <w:tcPr>
                  <w:tcW w:w="587" w:type="pct"/>
                  <w:vMerge w:val="restart"/>
                  <w:noWrap/>
                  <w:tcMar>
                    <w:top w:w="0" w:type="dxa"/>
                    <w:left w:w="51" w:type="dxa"/>
                    <w:bottom w:w="0" w:type="dxa"/>
                    <w:right w:w="51" w:type="dxa"/>
                  </w:tcMar>
                  <w:vAlign w:val="center"/>
                </w:tcPr>
                <w:p w14:paraId="29DA5D6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污染物因子</w:t>
                  </w:r>
                </w:p>
              </w:tc>
              <w:tc>
                <w:tcPr>
                  <w:tcW w:w="317" w:type="pct"/>
                  <w:vMerge w:val="restart"/>
                  <w:noWrap/>
                  <w:tcMar>
                    <w:top w:w="0" w:type="dxa"/>
                    <w:left w:w="51" w:type="dxa"/>
                    <w:bottom w:w="0" w:type="dxa"/>
                    <w:right w:w="51" w:type="dxa"/>
                  </w:tcMar>
                  <w:vAlign w:val="center"/>
                </w:tcPr>
                <w:p w14:paraId="67CDC4D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排气筒高度m</w:t>
                  </w:r>
                </w:p>
              </w:tc>
              <w:tc>
                <w:tcPr>
                  <w:tcW w:w="398" w:type="pct"/>
                  <w:vMerge w:val="restart"/>
                  <w:noWrap/>
                  <w:tcMar>
                    <w:top w:w="0" w:type="dxa"/>
                    <w:left w:w="51" w:type="dxa"/>
                    <w:bottom w:w="0" w:type="dxa"/>
                    <w:right w:w="51" w:type="dxa"/>
                  </w:tcMar>
                  <w:vAlign w:val="center"/>
                </w:tcPr>
                <w:p w14:paraId="5B519BC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单位</w:t>
                  </w:r>
                </w:p>
              </w:tc>
              <w:tc>
                <w:tcPr>
                  <w:tcW w:w="1194" w:type="pct"/>
                  <w:gridSpan w:val="2"/>
                  <w:noWrap/>
                  <w:tcMar>
                    <w:top w:w="0" w:type="dxa"/>
                    <w:left w:w="51" w:type="dxa"/>
                    <w:bottom w:w="0" w:type="dxa"/>
                    <w:right w:w="51" w:type="dxa"/>
                  </w:tcMar>
                  <w:vAlign w:val="center"/>
                </w:tcPr>
                <w:p w14:paraId="75A777B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标准来源</w:t>
                  </w:r>
                </w:p>
              </w:tc>
              <w:tc>
                <w:tcPr>
                  <w:tcW w:w="1352" w:type="pct"/>
                  <w:gridSpan w:val="2"/>
                  <w:noWrap/>
                  <w:tcMar>
                    <w:top w:w="0" w:type="dxa"/>
                    <w:left w:w="51" w:type="dxa"/>
                    <w:bottom w:w="0" w:type="dxa"/>
                    <w:right w:w="51" w:type="dxa"/>
                  </w:tcMar>
                  <w:vAlign w:val="center"/>
                </w:tcPr>
                <w:p w14:paraId="783E3F65">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文件要求</w:t>
                  </w:r>
                  <w:r>
                    <w:rPr>
                      <w:rFonts w:hint="eastAsia"/>
                      <w:color w:val="000000" w:themeColor="text1"/>
                      <w:sz w:val="18"/>
                      <w:szCs w:val="18"/>
                      <w:highlight w:val="none"/>
                      <w:lang w:val="en-US" w:eastAsia="zh-CN"/>
                      <w14:textFill>
                        <w14:solidFill>
                          <w14:schemeClr w14:val="tx1"/>
                        </w14:solidFill>
                      </w14:textFill>
                    </w:rPr>
                    <w:t>或其他</w:t>
                  </w:r>
                </w:p>
              </w:tc>
              <w:tc>
                <w:tcPr>
                  <w:tcW w:w="366" w:type="pct"/>
                  <w:vMerge w:val="restart"/>
                  <w:noWrap/>
                  <w:tcMar>
                    <w:top w:w="0" w:type="dxa"/>
                    <w:left w:w="51" w:type="dxa"/>
                    <w:bottom w:w="0" w:type="dxa"/>
                    <w:right w:w="51" w:type="dxa"/>
                  </w:tcMar>
                  <w:vAlign w:val="center"/>
                </w:tcPr>
                <w:p w14:paraId="5DB441F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项目</w:t>
                  </w:r>
                </w:p>
                <w:p w14:paraId="1A73A8E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执行</w:t>
                  </w:r>
                </w:p>
              </w:tc>
            </w:tr>
            <w:tr w14:paraId="4F7DA8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6E476271">
                  <w:pPr>
                    <w:ind w:left="-63" w:leftChars="-30" w:right="-63" w:rightChars="-30"/>
                    <w:jc w:val="center"/>
                    <w:rPr>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3F64E31B">
                  <w:pPr>
                    <w:ind w:left="-63" w:leftChars="-30" w:right="-63" w:rightChars="-30"/>
                    <w:jc w:val="center"/>
                    <w:rPr>
                      <w:color w:val="000000" w:themeColor="text1"/>
                      <w:sz w:val="18"/>
                      <w:szCs w:val="18"/>
                      <w:highlight w:val="none"/>
                      <w14:textFill>
                        <w14:solidFill>
                          <w14:schemeClr w14:val="tx1"/>
                        </w14:solidFill>
                      </w14:textFill>
                    </w:rPr>
                  </w:pPr>
                </w:p>
              </w:tc>
              <w:tc>
                <w:tcPr>
                  <w:tcW w:w="587" w:type="pct"/>
                  <w:vMerge w:val="continue"/>
                  <w:noWrap/>
                  <w:tcMar>
                    <w:top w:w="0" w:type="dxa"/>
                    <w:left w:w="51" w:type="dxa"/>
                    <w:bottom w:w="0" w:type="dxa"/>
                    <w:right w:w="51" w:type="dxa"/>
                  </w:tcMar>
                  <w:vAlign w:val="center"/>
                </w:tcPr>
                <w:p w14:paraId="46D6223D">
                  <w:pPr>
                    <w:ind w:left="-63" w:leftChars="-30" w:right="-63" w:rightChars="-30"/>
                    <w:jc w:val="center"/>
                    <w:rPr>
                      <w:color w:val="000000" w:themeColor="text1"/>
                      <w:sz w:val="18"/>
                      <w:szCs w:val="18"/>
                      <w:highlight w:val="none"/>
                      <w14:textFill>
                        <w14:solidFill>
                          <w14:schemeClr w14:val="tx1"/>
                        </w14:solidFill>
                      </w14:textFill>
                    </w:rPr>
                  </w:pPr>
                </w:p>
              </w:tc>
              <w:tc>
                <w:tcPr>
                  <w:tcW w:w="317" w:type="pct"/>
                  <w:vMerge w:val="continue"/>
                  <w:noWrap/>
                  <w:tcMar>
                    <w:top w:w="0" w:type="dxa"/>
                    <w:left w:w="51" w:type="dxa"/>
                    <w:bottom w:w="0" w:type="dxa"/>
                    <w:right w:w="51" w:type="dxa"/>
                  </w:tcMar>
                  <w:vAlign w:val="center"/>
                </w:tcPr>
                <w:p w14:paraId="74D692AA">
                  <w:pPr>
                    <w:ind w:left="-63" w:leftChars="-30" w:right="-63" w:rightChars="-30"/>
                    <w:jc w:val="center"/>
                    <w:rPr>
                      <w:color w:val="000000" w:themeColor="text1"/>
                      <w:sz w:val="18"/>
                      <w:szCs w:val="18"/>
                      <w:highlight w:val="none"/>
                      <w14:textFill>
                        <w14:solidFill>
                          <w14:schemeClr w14:val="tx1"/>
                        </w14:solidFill>
                      </w14:textFill>
                    </w:rPr>
                  </w:pPr>
                </w:p>
              </w:tc>
              <w:tc>
                <w:tcPr>
                  <w:tcW w:w="398" w:type="pct"/>
                  <w:vMerge w:val="continue"/>
                  <w:noWrap/>
                  <w:tcMar>
                    <w:top w:w="0" w:type="dxa"/>
                    <w:left w:w="51" w:type="dxa"/>
                    <w:bottom w:w="0" w:type="dxa"/>
                    <w:right w:w="51" w:type="dxa"/>
                  </w:tcMar>
                  <w:vAlign w:val="center"/>
                </w:tcPr>
                <w:p w14:paraId="2F4BE1A0">
                  <w:pPr>
                    <w:ind w:left="-63" w:leftChars="-30" w:right="-63" w:rightChars="-30"/>
                    <w:jc w:val="center"/>
                    <w:rPr>
                      <w:color w:val="000000" w:themeColor="text1"/>
                      <w:sz w:val="18"/>
                      <w:szCs w:val="18"/>
                      <w:highlight w:val="none"/>
                      <w14:textFill>
                        <w14:solidFill>
                          <w14:schemeClr w14:val="tx1"/>
                        </w14:solidFill>
                      </w14:textFill>
                    </w:rPr>
                  </w:pPr>
                </w:p>
              </w:tc>
              <w:tc>
                <w:tcPr>
                  <w:tcW w:w="368" w:type="pct"/>
                  <w:noWrap/>
                  <w:tcMar>
                    <w:top w:w="0" w:type="dxa"/>
                    <w:left w:w="51" w:type="dxa"/>
                    <w:bottom w:w="0" w:type="dxa"/>
                    <w:right w:w="51" w:type="dxa"/>
                  </w:tcMar>
                  <w:vAlign w:val="center"/>
                </w:tcPr>
                <w:p w14:paraId="23CE30B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数值</w:t>
                  </w:r>
                </w:p>
              </w:tc>
              <w:tc>
                <w:tcPr>
                  <w:tcW w:w="825" w:type="pct"/>
                  <w:noWrap/>
                  <w:tcMar>
                    <w:top w:w="0" w:type="dxa"/>
                    <w:left w:w="51" w:type="dxa"/>
                    <w:bottom w:w="0" w:type="dxa"/>
                    <w:right w:w="51" w:type="dxa"/>
                  </w:tcMar>
                  <w:vAlign w:val="center"/>
                </w:tcPr>
                <w:p w14:paraId="6C2ABEE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来源</w:t>
                  </w:r>
                </w:p>
              </w:tc>
              <w:tc>
                <w:tcPr>
                  <w:tcW w:w="396" w:type="pct"/>
                  <w:noWrap/>
                  <w:tcMar>
                    <w:top w:w="0" w:type="dxa"/>
                    <w:left w:w="51" w:type="dxa"/>
                    <w:bottom w:w="0" w:type="dxa"/>
                    <w:right w:w="51" w:type="dxa"/>
                  </w:tcMar>
                  <w:vAlign w:val="center"/>
                </w:tcPr>
                <w:p w14:paraId="7D740731">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数值</w:t>
                  </w:r>
                </w:p>
              </w:tc>
              <w:tc>
                <w:tcPr>
                  <w:tcW w:w="955" w:type="pct"/>
                  <w:noWrap/>
                  <w:tcMar>
                    <w:top w:w="0" w:type="dxa"/>
                    <w:left w:w="51" w:type="dxa"/>
                    <w:bottom w:w="0" w:type="dxa"/>
                    <w:right w:w="51" w:type="dxa"/>
                  </w:tcMar>
                  <w:vAlign w:val="center"/>
                </w:tcPr>
                <w:p w14:paraId="4288212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来源</w:t>
                  </w:r>
                </w:p>
              </w:tc>
              <w:tc>
                <w:tcPr>
                  <w:tcW w:w="366" w:type="pct"/>
                  <w:vMerge w:val="continue"/>
                  <w:noWrap/>
                  <w:tcMar>
                    <w:top w:w="0" w:type="dxa"/>
                    <w:left w:w="51" w:type="dxa"/>
                    <w:bottom w:w="0" w:type="dxa"/>
                    <w:right w:w="51" w:type="dxa"/>
                  </w:tcMar>
                  <w:vAlign w:val="center"/>
                </w:tcPr>
                <w:p w14:paraId="3E1D7D50">
                  <w:pPr>
                    <w:ind w:left="-63" w:leftChars="-30" w:right="-63" w:rightChars="-30"/>
                    <w:jc w:val="center"/>
                    <w:rPr>
                      <w:color w:val="000000" w:themeColor="text1"/>
                      <w:sz w:val="18"/>
                      <w:szCs w:val="18"/>
                      <w:highlight w:val="none"/>
                      <w14:textFill>
                        <w14:solidFill>
                          <w14:schemeClr w14:val="tx1"/>
                        </w14:solidFill>
                      </w14:textFill>
                    </w:rPr>
                  </w:pPr>
                </w:p>
              </w:tc>
            </w:tr>
            <w:tr w14:paraId="0EBD1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restart"/>
                  <w:noWrap/>
                  <w:tcMar>
                    <w:top w:w="0" w:type="dxa"/>
                    <w:left w:w="51" w:type="dxa"/>
                    <w:bottom w:w="0" w:type="dxa"/>
                    <w:right w:w="51" w:type="dxa"/>
                  </w:tcMar>
                  <w:vAlign w:val="center"/>
                </w:tcPr>
                <w:p w14:paraId="18650632">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有组织</w:t>
                  </w:r>
                </w:p>
              </w:tc>
              <w:tc>
                <w:tcPr>
                  <w:tcW w:w="520" w:type="pct"/>
                  <w:noWrap/>
                  <w:tcMar>
                    <w:top w:w="0" w:type="dxa"/>
                    <w:left w:w="51" w:type="dxa"/>
                    <w:bottom w:w="0" w:type="dxa"/>
                    <w:right w:w="51" w:type="dxa"/>
                  </w:tcMar>
                  <w:vAlign w:val="center"/>
                </w:tcPr>
                <w:p w14:paraId="193807A4">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原料给料、破碎、筛分、搅拌、窑车吹扫废气</w:t>
                  </w:r>
                </w:p>
              </w:tc>
              <w:tc>
                <w:tcPr>
                  <w:tcW w:w="587" w:type="pct"/>
                  <w:noWrap/>
                  <w:tcMar>
                    <w:top w:w="0" w:type="dxa"/>
                    <w:left w:w="51" w:type="dxa"/>
                    <w:bottom w:w="0" w:type="dxa"/>
                    <w:right w:w="51" w:type="dxa"/>
                  </w:tcMar>
                  <w:vAlign w:val="center"/>
                </w:tcPr>
                <w:p w14:paraId="5B6892D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317" w:type="pct"/>
                  <w:noWrap/>
                  <w:tcMar>
                    <w:top w:w="0" w:type="dxa"/>
                    <w:left w:w="51" w:type="dxa"/>
                    <w:bottom w:w="0" w:type="dxa"/>
                    <w:right w:w="51" w:type="dxa"/>
                  </w:tcMar>
                  <w:vAlign w:val="center"/>
                </w:tcPr>
                <w:p w14:paraId="483F7E4E">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w:t>
                  </w:r>
                </w:p>
              </w:tc>
              <w:tc>
                <w:tcPr>
                  <w:tcW w:w="398" w:type="pct"/>
                  <w:noWrap/>
                  <w:tcMar>
                    <w:top w:w="0" w:type="dxa"/>
                    <w:left w:w="51" w:type="dxa"/>
                    <w:bottom w:w="0" w:type="dxa"/>
                    <w:right w:w="51" w:type="dxa"/>
                  </w:tcMar>
                  <w:vAlign w:val="center"/>
                </w:tcPr>
                <w:p w14:paraId="3FD1D8D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24AB3D36">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w:t>
                  </w:r>
                </w:p>
              </w:tc>
              <w:tc>
                <w:tcPr>
                  <w:tcW w:w="825" w:type="pct"/>
                  <w:vMerge w:val="restart"/>
                  <w:noWrap/>
                  <w:tcMar>
                    <w:top w:w="0" w:type="dxa"/>
                    <w:left w:w="51" w:type="dxa"/>
                    <w:bottom w:w="0" w:type="dxa"/>
                    <w:right w:w="51" w:type="dxa"/>
                  </w:tcMar>
                  <w:vAlign w:val="center"/>
                </w:tcPr>
                <w:p w14:paraId="6D7DBE2D">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《砖瓦工业大气污染物排放标准》（DB13/6185-2025）</w:t>
                  </w:r>
                  <w:r>
                    <w:rPr>
                      <w:rFonts w:hint="eastAsia"/>
                      <w:color w:val="000000" w:themeColor="text1"/>
                      <w:sz w:val="18"/>
                      <w:szCs w:val="18"/>
                      <w:highlight w:val="none"/>
                      <w:lang w:val="en-US" w:eastAsia="zh-CN"/>
                      <w14:textFill>
                        <w14:solidFill>
                          <w14:schemeClr w14:val="tx1"/>
                        </w14:solidFill>
                      </w14:textFill>
                    </w:rPr>
                    <w:t>表2</w:t>
                  </w:r>
                  <w:r>
                    <w:rPr>
                      <w:rFonts w:hint="eastAsia"/>
                      <w:color w:val="000000" w:themeColor="text1"/>
                      <w:sz w:val="18"/>
                      <w:szCs w:val="18"/>
                      <w:highlight w:val="none"/>
                      <w14:textFill>
                        <w14:solidFill>
                          <w14:schemeClr w14:val="tx1"/>
                        </w14:solidFill>
                      </w14:textFill>
                    </w:rPr>
                    <w:t>标准要求</w:t>
                  </w:r>
                </w:p>
              </w:tc>
              <w:tc>
                <w:tcPr>
                  <w:tcW w:w="396" w:type="pct"/>
                  <w:noWrap/>
                  <w:tcMar>
                    <w:top w:w="0" w:type="dxa"/>
                    <w:left w:w="51" w:type="dxa"/>
                    <w:bottom w:w="0" w:type="dxa"/>
                    <w:right w:w="51" w:type="dxa"/>
                  </w:tcMar>
                  <w:vAlign w:val="center"/>
                </w:tcPr>
                <w:p w14:paraId="639D785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c>
                <w:tcPr>
                  <w:tcW w:w="955" w:type="pct"/>
                  <w:noWrap/>
                  <w:tcMar>
                    <w:top w:w="0" w:type="dxa"/>
                    <w:left w:w="51" w:type="dxa"/>
                    <w:bottom w:w="0" w:type="dxa"/>
                    <w:right w:w="51" w:type="dxa"/>
                  </w:tcMar>
                  <w:vAlign w:val="center"/>
                </w:tcPr>
                <w:p w14:paraId="291EE089">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《唐山市生态环境局</w:t>
                  </w:r>
                  <w:r>
                    <w:rPr>
                      <w:color w:val="000000" w:themeColor="text1"/>
                      <w:sz w:val="18"/>
                      <w:szCs w:val="18"/>
                      <w:highlight w:val="none"/>
                      <w14:textFill>
                        <w14:solidFill>
                          <w14:schemeClr w14:val="tx1"/>
                        </w14:solidFill>
                      </w14:textFill>
                    </w:rPr>
                    <w:t>关于印发独立石灰窑等五个行业工业炉窑烟气达标治理工作方案的通知</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唐环气〔2019〕2号</w:t>
                  </w:r>
                  <w:r>
                    <w:rPr>
                      <w:rFonts w:hint="eastAsia"/>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7052DAE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r>
            <w:tr w14:paraId="4AEA0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1117487E">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restart"/>
                  <w:noWrap/>
                  <w:tcMar>
                    <w:top w:w="0" w:type="dxa"/>
                    <w:left w:w="51" w:type="dxa"/>
                    <w:bottom w:w="0" w:type="dxa"/>
                    <w:right w:w="51" w:type="dxa"/>
                  </w:tcMar>
                  <w:vAlign w:val="center"/>
                </w:tcPr>
                <w:p w14:paraId="79BE1862">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隧道窑</w:t>
                  </w:r>
                  <w:r>
                    <w:rPr>
                      <w:rFonts w:hint="eastAsia" w:ascii="Times New Roman"/>
                      <w:color w:val="000000" w:themeColor="text1"/>
                      <w:sz w:val="18"/>
                      <w:szCs w:val="18"/>
                      <w:highlight w:val="none"/>
                      <w:lang w:val="en-US" w:eastAsia="zh-CN"/>
                      <w14:textFill>
                        <w14:solidFill>
                          <w14:schemeClr w14:val="tx1"/>
                        </w14:solidFill>
                      </w14:textFill>
                    </w:rPr>
                    <w:t>烟</w:t>
                  </w:r>
                  <w:r>
                    <w:rPr>
                      <w:rFonts w:ascii="Times New Roman"/>
                      <w:color w:val="000000" w:themeColor="text1"/>
                      <w:sz w:val="18"/>
                      <w:szCs w:val="18"/>
                      <w:highlight w:val="none"/>
                      <w14:textFill>
                        <w14:solidFill>
                          <w14:schemeClr w14:val="tx1"/>
                        </w14:solidFill>
                      </w14:textFill>
                    </w:rPr>
                    <w:t>气</w:t>
                  </w:r>
                </w:p>
              </w:tc>
              <w:tc>
                <w:tcPr>
                  <w:tcW w:w="587" w:type="pct"/>
                  <w:noWrap/>
                  <w:tcMar>
                    <w:top w:w="0" w:type="dxa"/>
                    <w:left w:w="51" w:type="dxa"/>
                    <w:bottom w:w="0" w:type="dxa"/>
                    <w:right w:w="51" w:type="dxa"/>
                  </w:tcMar>
                  <w:vAlign w:val="center"/>
                </w:tcPr>
                <w:p w14:paraId="6C2D56F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317" w:type="pct"/>
                  <w:vMerge w:val="restart"/>
                  <w:noWrap/>
                  <w:tcMar>
                    <w:top w:w="0" w:type="dxa"/>
                    <w:left w:w="51" w:type="dxa"/>
                    <w:bottom w:w="0" w:type="dxa"/>
                    <w:right w:w="51" w:type="dxa"/>
                  </w:tcMar>
                  <w:vAlign w:val="center"/>
                </w:tcPr>
                <w:p w14:paraId="6583217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38</w:t>
                  </w:r>
                </w:p>
              </w:tc>
              <w:tc>
                <w:tcPr>
                  <w:tcW w:w="398" w:type="pct"/>
                  <w:noWrap/>
                  <w:tcMar>
                    <w:top w:w="0" w:type="dxa"/>
                    <w:left w:w="51" w:type="dxa"/>
                    <w:bottom w:w="0" w:type="dxa"/>
                    <w:right w:w="51" w:type="dxa"/>
                  </w:tcMar>
                  <w:vAlign w:val="center"/>
                </w:tcPr>
                <w:p w14:paraId="13BE018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35602A5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c>
                <w:tcPr>
                  <w:tcW w:w="825" w:type="pct"/>
                  <w:vMerge w:val="continue"/>
                  <w:noWrap/>
                  <w:tcMar>
                    <w:top w:w="0" w:type="dxa"/>
                    <w:left w:w="51" w:type="dxa"/>
                    <w:bottom w:w="0" w:type="dxa"/>
                    <w:right w:w="51" w:type="dxa"/>
                  </w:tcMar>
                  <w:vAlign w:val="center"/>
                </w:tcPr>
                <w:p w14:paraId="05299821">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79D6570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vMerge w:val="restart"/>
                  <w:noWrap/>
                  <w:tcMar>
                    <w:top w:w="0" w:type="dxa"/>
                    <w:left w:w="51" w:type="dxa"/>
                    <w:bottom w:w="0" w:type="dxa"/>
                    <w:right w:w="51" w:type="dxa"/>
                  </w:tcMar>
                  <w:vAlign w:val="center"/>
                </w:tcPr>
                <w:p w14:paraId="6F64D9AF">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企业自愿承诺</w:t>
                  </w:r>
                </w:p>
              </w:tc>
              <w:tc>
                <w:tcPr>
                  <w:tcW w:w="366" w:type="pct"/>
                  <w:noWrap/>
                  <w:tcMar>
                    <w:top w:w="0" w:type="dxa"/>
                    <w:left w:w="51" w:type="dxa"/>
                    <w:bottom w:w="0" w:type="dxa"/>
                    <w:right w:w="51" w:type="dxa"/>
                  </w:tcMar>
                  <w:vAlign w:val="center"/>
                </w:tcPr>
                <w:p w14:paraId="302BDE2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r>
            <w:tr w14:paraId="5B1AA1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5595E9C5">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774E208E">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7D6D8EAE">
                  <w:pPr>
                    <w:ind w:left="-63" w:leftChars="-30" w:right="-63" w:rightChars="-30"/>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SO</w:t>
                  </w:r>
                  <w:r>
                    <w:rPr>
                      <w:color w:val="000000" w:themeColor="text1"/>
                      <w:sz w:val="18"/>
                      <w:szCs w:val="18"/>
                      <w:highlight w:val="none"/>
                      <w:vertAlign w:val="subscript"/>
                      <w14:textFill>
                        <w14:solidFill>
                          <w14:schemeClr w14:val="tx1"/>
                        </w14:solidFill>
                      </w14:textFill>
                    </w:rPr>
                    <w:t>2</w:t>
                  </w:r>
                </w:p>
              </w:tc>
              <w:tc>
                <w:tcPr>
                  <w:tcW w:w="317" w:type="pct"/>
                  <w:vMerge w:val="continue"/>
                  <w:noWrap/>
                  <w:tcMar>
                    <w:top w:w="0" w:type="dxa"/>
                    <w:left w:w="51" w:type="dxa"/>
                    <w:bottom w:w="0" w:type="dxa"/>
                    <w:right w:w="51" w:type="dxa"/>
                  </w:tcMar>
                  <w:vAlign w:val="center"/>
                </w:tcPr>
                <w:p w14:paraId="56BBB71D">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0DCA159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48D5B8EF">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5</w:t>
                  </w:r>
                  <w:r>
                    <w:rPr>
                      <w:color w:val="000000" w:themeColor="text1"/>
                      <w:sz w:val="18"/>
                      <w:szCs w:val="18"/>
                      <w:highlight w:val="none"/>
                      <w14:textFill>
                        <w14:solidFill>
                          <w14:schemeClr w14:val="tx1"/>
                        </w14:solidFill>
                      </w14:textFill>
                    </w:rPr>
                    <w:t>0</w:t>
                  </w:r>
                </w:p>
              </w:tc>
              <w:tc>
                <w:tcPr>
                  <w:tcW w:w="825" w:type="pct"/>
                  <w:vMerge w:val="continue"/>
                  <w:noWrap/>
                  <w:tcMar>
                    <w:top w:w="0" w:type="dxa"/>
                    <w:left w:w="51" w:type="dxa"/>
                    <w:bottom w:w="0" w:type="dxa"/>
                    <w:right w:w="51" w:type="dxa"/>
                  </w:tcMar>
                  <w:vAlign w:val="center"/>
                </w:tcPr>
                <w:p w14:paraId="073E99F8">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5A762CD5">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13</w:t>
                  </w:r>
                </w:p>
              </w:tc>
              <w:tc>
                <w:tcPr>
                  <w:tcW w:w="955" w:type="pct"/>
                  <w:vMerge w:val="continue"/>
                  <w:noWrap/>
                  <w:tcMar>
                    <w:top w:w="0" w:type="dxa"/>
                    <w:left w:w="51" w:type="dxa"/>
                    <w:bottom w:w="0" w:type="dxa"/>
                    <w:right w:w="51" w:type="dxa"/>
                  </w:tcMar>
                  <w:vAlign w:val="center"/>
                </w:tcPr>
                <w:p w14:paraId="406378D7">
                  <w:pPr>
                    <w:ind w:left="-63" w:leftChars="-30" w:right="-63" w:rightChars="-30"/>
                    <w:jc w:val="center"/>
                    <w:rPr>
                      <w:color w:val="000000" w:themeColor="text1"/>
                      <w:sz w:val="18"/>
                      <w:szCs w:val="18"/>
                      <w:highlight w:val="none"/>
                      <w14:textFill>
                        <w14:solidFill>
                          <w14:schemeClr w14:val="tx1"/>
                        </w14:solidFill>
                      </w14:textFill>
                    </w:rPr>
                  </w:pPr>
                </w:p>
              </w:tc>
              <w:tc>
                <w:tcPr>
                  <w:tcW w:w="366" w:type="pct"/>
                  <w:noWrap/>
                  <w:tcMar>
                    <w:top w:w="0" w:type="dxa"/>
                    <w:left w:w="51" w:type="dxa"/>
                    <w:bottom w:w="0" w:type="dxa"/>
                    <w:right w:w="51" w:type="dxa"/>
                  </w:tcMar>
                  <w:vAlign w:val="center"/>
                </w:tcPr>
                <w:p w14:paraId="64825A4B">
                  <w:pPr>
                    <w:ind w:left="-63" w:leftChars="-30" w:right="-63" w:rightChars="-30"/>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13</w:t>
                  </w:r>
                </w:p>
              </w:tc>
            </w:tr>
            <w:tr w14:paraId="55B5BC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16BB8977">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1AC72613">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56EA5C1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NOx</w:t>
                  </w:r>
                </w:p>
                <w:p w14:paraId="5ACDAED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（以NO</w:t>
                  </w:r>
                  <w:r>
                    <w:rPr>
                      <w:color w:val="000000" w:themeColor="text1"/>
                      <w:sz w:val="18"/>
                      <w:szCs w:val="18"/>
                      <w:highlight w:val="none"/>
                      <w:vertAlign w:val="subscript"/>
                      <w14:textFill>
                        <w14:solidFill>
                          <w14:schemeClr w14:val="tx1"/>
                        </w14:solidFill>
                      </w14:textFill>
                    </w:rPr>
                    <w:t>2</w:t>
                  </w:r>
                  <w:r>
                    <w:rPr>
                      <w:color w:val="000000" w:themeColor="text1"/>
                      <w:sz w:val="18"/>
                      <w:szCs w:val="18"/>
                      <w:highlight w:val="none"/>
                      <w14:textFill>
                        <w14:solidFill>
                          <w14:schemeClr w14:val="tx1"/>
                        </w14:solidFill>
                      </w14:textFill>
                    </w:rPr>
                    <w:t>计）</w:t>
                  </w:r>
                </w:p>
              </w:tc>
              <w:tc>
                <w:tcPr>
                  <w:tcW w:w="317" w:type="pct"/>
                  <w:vMerge w:val="continue"/>
                  <w:noWrap/>
                  <w:tcMar>
                    <w:top w:w="0" w:type="dxa"/>
                    <w:left w:w="51" w:type="dxa"/>
                    <w:bottom w:w="0" w:type="dxa"/>
                    <w:right w:w="51" w:type="dxa"/>
                  </w:tcMar>
                  <w:vAlign w:val="center"/>
                </w:tcPr>
                <w:p w14:paraId="12451C08">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63441041">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2AFF00C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50</w:t>
                  </w:r>
                </w:p>
              </w:tc>
              <w:tc>
                <w:tcPr>
                  <w:tcW w:w="825" w:type="pct"/>
                  <w:vMerge w:val="continue"/>
                  <w:noWrap/>
                  <w:tcMar>
                    <w:top w:w="0" w:type="dxa"/>
                    <w:left w:w="51" w:type="dxa"/>
                    <w:bottom w:w="0" w:type="dxa"/>
                    <w:right w:w="51" w:type="dxa"/>
                  </w:tcMar>
                  <w:vAlign w:val="center"/>
                </w:tcPr>
                <w:p w14:paraId="05AE1BA0">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1F4A84B6">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vMerge w:val="continue"/>
                  <w:noWrap/>
                  <w:tcMar>
                    <w:top w:w="0" w:type="dxa"/>
                    <w:left w:w="51" w:type="dxa"/>
                    <w:bottom w:w="0" w:type="dxa"/>
                    <w:right w:w="51" w:type="dxa"/>
                  </w:tcMar>
                  <w:vAlign w:val="center"/>
                </w:tcPr>
                <w:p w14:paraId="122B13D4">
                  <w:pPr>
                    <w:ind w:left="-63" w:leftChars="-30" w:right="-63" w:rightChars="-30"/>
                    <w:jc w:val="center"/>
                    <w:rPr>
                      <w:color w:val="000000" w:themeColor="text1"/>
                      <w:sz w:val="18"/>
                      <w:szCs w:val="18"/>
                      <w:highlight w:val="none"/>
                      <w14:textFill>
                        <w14:solidFill>
                          <w14:schemeClr w14:val="tx1"/>
                        </w14:solidFill>
                      </w14:textFill>
                    </w:rPr>
                  </w:pPr>
                </w:p>
              </w:tc>
              <w:tc>
                <w:tcPr>
                  <w:tcW w:w="366" w:type="pct"/>
                  <w:noWrap/>
                  <w:tcMar>
                    <w:top w:w="0" w:type="dxa"/>
                    <w:left w:w="51" w:type="dxa"/>
                    <w:bottom w:w="0" w:type="dxa"/>
                    <w:right w:w="51" w:type="dxa"/>
                  </w:tcMar>
                  <w:vAlign w:val="center"/>
                </w:tcPr>
                <w:p w14:paraId="1A6DDF53">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5</w:t>
                  </w:r>
                  <w:r>
                    <w:rPr>
                      <w:color w:val="000000" w:themeColor="text1"/>
                      <w:sz w:val="18"/>
                      <w:szCs w:val="18"/>
                      <w:highlight w:val="none"/>
                      <w14:textFill>
                        <w14:solidFill>
                          <w14:schemeClr w14:val="tx1"/>
                        </w14:solidFill>
                      </w14:textFill>
                    </w:rPr>
                    <w:t>0</w:t>
                  </w:r>
                </w:p>
              </w:tc>
            </w:tr>
            <w:tr w14:paraId="34B2E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5F664053">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6736A1F4">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4641858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氟化物</w:t>
                  </w:r>
                </w:p>
                <w:p w14:paraId="7C0F118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（以F计）</w:t>
                  </w:r>
                </w:p>
              </w:tc>
              <w:tc>
                <w:tcPr>
                  <w:tcW w:w="317" w:type="pct"/>
                  <w:vMerge w:val="continue"/>
                  <w:noWrap/>
                  <w:tcMar>
                    <w:top w:w="0" w:type="dxa"/>
                    <w:left w:w="51" w:type="dxa"/>
                    <w:bottom w:w="0" w:type="dxa"/>
                    <w:right w:w="51" w:type="dxa"/>
                  </w:tcMar>
                  <w:vAlign w:val="center"/>
                </w:tcPr>
                <w:p w14:paraId="3B3615F9">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46238C2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34ECAA2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w:t>
                  </w:r>
                </w:p>
              </w:tc>
              <w:tc>
                <w:tcPr>
                  <w:tcW w:w="825" w:type="pct"/>
                  <w:vMerge w:val="continue"/>
                  <w:noWrap/>
                  <w:tcMar>
                    <w:top w:w="0" w:type="dxa"/>
                    <w:left w:w="51" w:type="dxa"/>
                    <w:bottom w:w="0" w:type="dxa"/>
                    <w:right w:w="51" w:type="dxa"/>
                  </w:tcMar>
                  <w:vAlign w:val="center"/>
                </w:tcPr>
                <w:p w14:paraId="3B489DCB">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1827B5E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06A6ACC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41137DF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w:t>
                  </w:r>
                </w:p>
              </w:tc>
            </w:tr>
            <w:tr w14:paraId="463B9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09BC3027">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2169F94C">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2168212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氯化氢</w:t>
                  </w:r>
                </w:p>
              </w:tc>
              <w:tc>
                <w:tcPr>
                  <w:tcW w:w="317" w:type="pct"/>
                  <w:vMerge w:val="continue"/>
                  <w:noWrap/>
                  <w:tcMar>
                    <w:top w:w="0" w:type="dxa"/>
                    <w:left w:w="51" w:type="dxa"/>
                    <w:bottom w:w="0" w:type="dxa"/>
                    <w:right w:w="51" w:type="dxa"/>
                  </w:tcMar>
                  <w:vAlign w:val="center"/>
                </w:tcPr>
                <w:p w14:paraId="58C1B6BD">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45BFAA9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7E656A80">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w:t>
                  </w:r>
                </w:p>
              </w:tc>
              <w:tc>
                <w:tcPr>
                  <w:tcW w:w="825" w:type="pct"/>
                  <w:vMerge w:val="restart"/>
                  <w:noWrap/>
                  <w:tcMar>
                    <w:top w:w="0" w:type="dxa"/>
                    <w:left w:w="51" w:type="dxa"/>
                    <w:bottom w:w="0" w:type="dxa"/>
                    <w:right w:w="51" w:type="dxa"/>
                  </w:tcMar>
                  <w:vAlign w:val="center"/>
                </w:tcPr>
                <w:p w14:paraId="527E0DD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参照执行《生活垃圾焚烧大气污染物控制标准》（DB13/5325-2021）表2标准要求</w:t>
                  </w:r>
                </w:p>
              </w:tc>
              <w:tc>
                <w:tcPr>
                  <w:tcW w:w="396" w:type="pct"/>
                  <w:noWrap/>
                  <w:tcMar>
                    <w:top w:w="0" w:type="dxa"/>
                    <w:left w:w="51" w:type="dxa"/>
                    <w:bottom w:w="0" w:type="dxa"/>
                    <w:right w:w="51" w:type="dxa"/>
                  </w:tcMar>
                  <w:vAlign w:val="center"/>
                </w:tcPr>
                <w:p w14:paraId="257C71C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64A1128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18CCD04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w:t>
                  </w:r>
                </w:p>
              </w:tc>
            </w:tr>
            <w:tr w14:paraId="69DFDB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6F70F322">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55E4FE56">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0177C01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二噁英类</w:t>
                  </w:r>
                </w:p>
              </w:tc>
              <w:tc>
                <w:tcPr>
                  <w:tcW w:w="317" w:type="pct"/>
                  <w:vMerge w:val="continue"/>
                  <w:noWrap/>
                  <w:tcMar>
                    <w:top w:w="0" w:type="dxa"/>
                    <w:left w:w="51" w:type="dxa"/>
                    <w:bottom w:w="0" w:type="dxa"/>
                    <w:right w:w="51" w:type="dxa"/>
                  </w:tcMar>
                  <w:vAlign w:val="center"/>
                </w:tcPr>
                <w:p w14:paraId="6138876E">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4EA3AAEB">
                  <w:pPr>
                    <w:ind w:left="-63" w:leftChars="-30" w:right="-63" w:rightChars="-30"/>
                    <w:jc w:val="center"/>
                    <w:rPr>
                      <w:color w:val="000000" w:themeColor="text1"/>
                      <w:sz w:val="18"/>
                      <w:szCs w:val="18"/>
                      <w:highlight w:val="none"/>
                      <w:vertAlign w:val="superscript"/>
                      <w14:textFill>
                        <w14:solidFill>
                          <w14:schemeClr w14:val="tx1"/>
                        </w14:solidFill>
                      </w14:textFill>
                    </w:rPr>
                  </w:pPr>
                  <w:r>
                    <w:rPr>
                      <w:color w:val="000000" w:themeColor="text1"/>
                      <w:sz w:val="18"/>
                      <w:szCs w:val="18"/>
                      <w:highlight w:val="none"/>
                      <w14:textFill>
                        <w14:solidFill>
                          <w14:schemeClr w14:val="tx1"/>
                        </w14:solidFill>
                      </w14:textFill>
                    </w:rPr>
                    <w:t>ngTEQ/m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352429D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0.1</w:t>
                  </w:r>
                </w:p>
              </w:tc>
              <w:tc>
                <w:tcPr>
                  <w:tcW w:w="825" w:type="pct"/>
                  <w:vMerge w:val="continue"/>
                  <w:noWrap/>
                  <w:tcMar>
                    <w:top w:w="0" w:type="dxa"/>
                    <w:left w:w="51" w:type="dxa"/>
                    <w:bottom w:w="0" w:type="dxa"/>
                    <w:right w:w="51" w:type="dxa"/>
                  </w:tcMar>
                  <w:vAlign w:val="center"/>
                </w:tcPr>
                <w:p w14:paraId="5E271E19">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3035FC5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3019231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3D5401F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0.1</w:t>
                  </w:r>
                </w:p>
              </w:tc>
            </w:tr>
            <w:tr w14:paraId="5FA90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29D4B397">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596E8764">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7DA7AFA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汞及其化合物（以Hg计）</w:t>
                  </w:r>
                </w:p>
              </w:tc>
              <w:tc>
                <w:tcPr>
                  <w:tcW w:w="317" w:type="pct"/>
                  <w:vMerge w:val="continue"/>
                  <w:noWrap/>
                  <w:tcMar>
                    <w:top w:w="0" w:type="dxa"/>
                    <w:left w:w="51" w:type="dxa"/>
                    <w:bottom w:w="0" w:type="dxa"/>
                    <w:right w:w="51" w:type="dxa"/>
                  </w:tcMar>
                  <w:vAlign w:val="center"/>
                </w:tcPr>
                <w:p w14:paraId="257BF05D">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0C3F924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2900D41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0.02</w:t>
                  </w:r>
                </w:p>
              </w:tc>
              <w:tc>
                <w:tcPr>
                  <w:tcW w:w="825" w:type="pct"/>
                  <w:vMerge w:val="continue"/>
                  <w:noWrap/>
                  <w:tcMar>
                    <w:top w:w="0" w:type="dxa"/>
                    <w:left w:w="51" w:type="dxa"/>
                    <w:bottom w:w="0" w:type="dxa"/>
                    <w:right w:w="51" w:type="dxa"/>
                  </w:tcMar>
                  <w:vAlign w:val="center"/>
                </w:tcPr>
                <w:p w14:paraId="27424E59">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02E9C81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4C89FDC9">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782A550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0.02</w:t>
                  </w:r>
                </w:p>
              </w:tc>
            </w:tr>
            <w:tr w14:paraId="0A9536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720AB973">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6E881BEC">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386F5511">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镉、铊及其化合物</w:t>
                  </w:r>
                  <w:r>
                    <w:rPr>
                      <w:color w:val="000000" w:themeColor="text1"/>
                      <w:sz w:val="18"/>
                      <w:szCs w:val="18"/>
                      <w:highlight w:val="none"/>
                      <w14:textFill>
                        <w14:solidFill>
                          <w14:schemeClr w14:val="tx1"/>
                        </w14:solidFill>
                      </w14:textFill>
                    </w:rPr>
                    <w:t>（以Cd+Tl计）</w:t>
                  </w:r>
                </w:p>
              </w:tc>
              <w:tc>
                <w:tcPr>
                  <w:tcW w:w="317" w:type="pct"/>
                  <w:vMerge w:val="continue"/>
                  <w:noWrap/>
                  <w:tcMar>
                    <w:top w:w="0" w:type="dxa"/>
                    <w:left w:w="51" w:type="dxa"/>
                    <w:bottom w:w="0" w:type="dxa"/>
                    <w:right w:w="51" w:type="dxa"/>
                  </w:tcMar>
                  <w:vAlign w:val="center"/>
                </w:tcPr>
                <w:p w14:paraId="291A9621">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1C49666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22D7BFD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0.03</w:t>
                  </w:r>
                </w:p>
              </w:tc>
              <w:tc>
                <w:tcPr>
                  <w:tcW w:w="825" w:type="pct"/>
                  <w:vMerge w:val="continue"/>
                  <w:noWrap/>
                  <w:tcMar>
                    <w:top w:w="0" w:type="dxa"/>
                    <w:left w:w="51" w:type="dxa"/>
                    <w:bottom w:w="0" w:type="dxa"/>
                    <w:right w:w="51" w:type="dxa"/>
                  </w:tcMar>
                  <w:vAlign w:val="center"/>
                </w:tcPr>
                <w:p w14:paraId="44DA1613">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7F7C7FC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753D054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1F9F6A8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0.03</w:t>
                  </w:r>
                </w:p>
              </w:tc>
            </w:tr>
            <w:tr w14:paraId="41729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223E6D71">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555018E1">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shd w:val="clear" w:color="auto" w:fill="auto"/>
                  <w:noWrap/>
                  <w:tcMar>
                    <w:top w:w="0" w:type="dxa"/>
                    <w:left w:w="51" w:type="dxa"/>
                    <w:bottom w:w="0" w:type="dxa"/>
                    <w:right w:w="51" w:type="dxa"/>
                  </w:tcMar>
                  <w:vAlign w:val="center"/>
                </w:tcPr>
                <w:p w14:paraId="36DF3DE1">
                  <w:pPr>
                    <w:ind w:left="-63" w:leftChars="-30" w:right="-63" w:rightChars="-30"/>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14:textFill>
                        <w14:solidFill>
                          <w14:schemeClr w14:val="tx1"/>
                        </w14:solidFill>
                      </w14:textFill>
                    </w:rPr>
                    <w:t>锑、砷、铅、铬、钴、铜、锰、镍及其化合物</w:t>
                  </w:r>
                  <w:r>
                    <w:rPr>
                      <w:color w:val="000000" w:themeColor="text1"/>
                      <w:sz w:val="18"/>
                      <w:szCs w:val="18"/>
                      <w:highlight w:val="none"/>
                      <w14:textFill>
                        <w14:solidFill>
                          <w14:schemeClr w14:val="tx1"/>
                        </w14:solidFill>
                      </w14:textFill>
                    </w:rPr>
                    <w:t>（以Sb+As+Pb+Cr+Co+Cu+Mn+Ni计）</w:t>
                  </w:r>
                </w:p>
              </w:tc>
              <w:tc>
                <w:tcPr>
                  <w:tcW w:w="317" w:type="pct"/>
                  <w:vMerge w:val="continue"/>
                  <w:shd w:val="clear" w:color="auto" w:fill="auto"/>
                  <w:noWrap/>
                  <w:tcMar>
                    <w:top w:w="0" w:type="dxa"/>
                    <w:left w:w="51" w:type="dxa"/>
                    <w:bottom w:w="0" w:type="dxa"/>
                    <w:right w:w="51" w:type="dxa"/>
                  </w:tcMar>
                  <w:vAlign w:val="center"/>
                </w:tcPr>
                <w:p w14:paraId="5A975B72">
                  <w:pPr>
                    <w:ind w:left="-63" w:leftChars="-30" w:right="-63" w:rightChars="-3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p>
              </w:tc>
              <w:tc>
                <w:tcPr>
                  <w:tcW w:w="398" w:type="pct"/>
                  <w:shd w:val="clear" w:color="auto" w:fill="auto"/>
                  <w:noWrap/>
                  <w:tcMar>
                    <w:top w:w="0" w:type="dxa"/>
                    <w:left w:w="51" w:type="dxa"/>
                    <w:bottom w:w="0" w:type="dxa"/>
                    <w:right w:w="51" w:type="dxa"/>
                  </w:tcMar>
                  <w:vAlign w:val="center"/>
                </w:tcPr>
                <w:p w14:paraId="49410D44">
                  <w:pPr>
                    <w:ind w:left="-63" w:leftChars="-30" w:right="-63" w:rightChars="-3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shd w:val="clear" w:color="auto" w:fill="auto"/>
                  <w:noWrap/>
                  <w:tcMar>
                    <w:top w:w="0" w:type="dxa"/>
                    <w:left w:w="51" w:type="dxa"/>
                    <w:bottom w:w="0" w:type="dxa"/>
                    <w:right w:w="51" w:type="dxa"/>
                  </w:tcMar>
                  <w:vAlign w:val="center"/>
                </w:tcPr>
                <w:p w14:paraId="7F72A8A5">
                  <w:pPr>
                    <w:ind w:left="-63" w:leftChars="-30" w:right="-63" w:rightChars="-3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0.3</w:t>
                  </w:r>
                </w:p>
              </w:tc>
              <w:tc>
                <w:tcPr>
                  <w:tcW w:w="825" w:type="pct"/>
                  <w:vMerge w:val="continue"/>
                  <w:noWrap/>
                  <w:tcMar>
                    <w:top w:w="0" w:type="dxa"/>
                    <w:left w:w="51" w:type="dxa"/>
                    <w:bottom w:w="0" w:type="dxa"/>
                    <w:right w:w="51" w:type="dxa"/>
                  </w:tcMar>
                  <w:vAlign w:val="center"/>
                </w:tcPr>
                <w:p w14:paraId="0E4DD1D1">
                  <w:pPr>
                    <w:ind w:left="-63" w:leftChars="-30" w:right="-63" w:rightChars="-30"/>
                    <w:jc w:val="center"/>
                    <w:rPr>
                      <w:color w:val="000000" w:themeColor="text1"/>
                      <w:sz w:val="18"/>
                      <w:szCs w:val="18"/>
                      <w:highlight w:val="none"/>
                      <w14:textFill>
                        <w14:solidFill>
                          <w14:schemeClr w14:val="tx1"/>
                        </w14:solidFill>
                      </w14:textFill>
                    </w:rPr>
                  </w:pPr>
                </w:p>
              </w:tc>
              <w:tc>
                <w:tcPr>
                  <w:tcW w:w="707" w:type="dxa"/>
                  <w:noWrap/>
                  <w:tcMar>
                    <w:top w:w="0" w:type="dxa"/>
                    <w:left w:w="51" w:type="dxa"/>
                    <w:bottom w:w="0" w:type="dxa"/>
                    <w:right w:w="51" w:type="dxa"/>
                  </w:tcMar>
                  <w:vAlign w:val="center"/>
                </w:tcPr>
                <w:p w14:paraId="076C7F79">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1703" w:type="dxa"/>
                  <w:noWrap/>
                  <w:tcMar>
                    <w:top w:w="0" w:type="dxa"/>
                    <w:left w:w="51" w:type="dxa"/>
                    <w:bottom w:w="0" w:type="dxa"/>
                    <w:right w:w="51" w:type="dxa"/>
                  </w:tcMar>
                  <w:vAlign w:val="center"/>
                </w:tcPr>
                <w:p w14:paraId="7E94683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652" w:type="dxa"/>
                  <w:noWrap/>
                  <w:tcMar>
                    <w:top w:w="0" w:type="dxa"/>
                    <w:left w:w="51" w:type="dxa"/>
                    <w:bottom w:w="0" w:type="dxa"/>
                    <w:right w:w="51" w:type="dxa"/>
                  </w:tcMar>
                  <w:vAlign w:val="center"/>
                </w:tcPr>
                <w:p w14:paraId="05AD6CA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0.3</w:t>
                  </w:r>
                </w:p>
              </w:tc>
            </w:tr>
            <w:tr w14:paraId="37F2F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63" w:type="pct"/>
                  <w:vMerge w:val="continue"/>
                  <w:noWrap/>
                  <w:tcMar>
                    <w:top w:w="0" w:type="dxa"/>
                    <w:left w:w="51" w:type="dxa"/>
                    <w:bottom w:w="0" w:type="dxa"/>
                    <w:right w:w="51" w:type="dxa"/>
                  </w:tcMar>
                  <w:vAlign w:val="center"/>
                </w:tcPr>
                <w:p w14:paraId="2E848B9B">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4D2B961E">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245F3BDE">
                  <w:pPr>
                    <w:ind w:left="-63" w:leftChars="-30" w:right="-63" w:rightChars="-30"/>
                    <w:jc w:val="center"/>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氨</w:t>
                  </w:r>
                </w:p>
              </w:tc>
              <w:tc>
                <w:tcPr>
                  <w:tcW w:w="317" w:type="pct"/>
                  <w:vMerge w:val="continue"/>
                  <w:noWrap/>
                  <w:tcMar>
                    <w:top w:w="0" w:type="dxa"/>
                    <w:left w:w="51" w:type="dxa"/>
                    <w:bottom w:w="0" w:type="dxa"/>
                    <w:right w:w="51" w:type="dxa"/>
                  </w:tcMar>
                  <w:vAlign w:val="center"/>
                </w:tcPr>
                <w:p w14:paraId="66323952">
                  <w:pPr>
                    <w:ind w:left="-63" w:leftChars="-30" w:right="-63" w:rightChars="-30"/>
                    <w:jc w:val="center"/>
                    <w:rPr>
                      <w:color w:val="000000" w:themeColor="text1"/>
                      <w:sz w:val="18"/>
                      <w:szCs w:val="18"/>
                      <w:highlight w:val="none"/>
                      <w14:textFill>
                        <w14:solidFill>
                          <w14:schemeClr w14:val="tx1"/>
                        </w14:solidFill>
                      </w14:textFill>
                    </w:rPr>
                  </w:pPr>
                </w:p>
              </w:tc>
              <w:tc>
                <w:tcPr>
                  <w:tcW w:w="709" w:type="dxa"/>
                  <w:noWrap/>
                  <w:tcMar>
                    <w:top w:w="0" w:type="dxa"/>
                    <w:left w:w="51" w:type="dxa"/>
                    <w:bottom w:w="0" w:type="dxa"/>
                    <w:right w:w="51" w:type="dxa"/>
                  </w:tcMar>
                  <w:vAlign w:val="center"/>
                </w:tcPr>
                <w:p w14:paraId="33117C7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656" w:type="dxa"/>
                  <w:noWrap/>
                  <w:tcMar>
                    <w:top w:w="0" w:type="dxa"/>
                    <w:left w:w="51" w:type="dxa"/>
                    <w:bottom w:w="0" w:type="dxa"/>
                    <w:right w:w="51" w:type="dxa"/>
                  </w:tcMar>
                  <w:vAlign w:val="center"/>
                </w:tcPr>
                <w:p w14:paraId="528EF74B">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8.0</w:t>
                  </w:r>
                </w:p>
              </w:tc>
              <w:tc>
                <w:tcPr>
                  <w:tcW w:w="825" w:type="pct"/>
                  <w:noWrap/>
                  <w:tcMar>
                    <w:top w:w="0" w:type="dxa"/>
                    <w:left w:w="51" w:type="dxa"/>
                    <w:bottom w:w="0" w:type="dxa"/>
                    <w:right w:w="51" w:type="dxa"/>
                  </w:tcMar>
                  <w:vAlign w:val="center"/>
                </w:tcPr>
                <w:p w14:paraId="1BDE7C47">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《砖瓦工业大气污染物排放标准》（DB13/6185-2025）</w:t>
                  </w:r>
                  <w:r>
                    <w:rPr>
                      <w:rFonts w:hint="eastAsia"/>
                      <w:color w:val="000000" w:themeColor="text1"/>
                      <w:sz w:val="18"/>
                      <w:szCs w:val="18"/>
                      <w:highlight w:val="none"/>
                      <w:lang w:val="en-US" w:eastAsia="zh-CN"/>
                      <w14:textFill>
                        <w14:solidFill>
                          <w14:schemeClr w14:val="tx1"/>
                        </w14:solidFill>
                      </w14:textFill>
                    </w:rPr>
                    <w:t>表2</w:t>
                  </w:r>
                  <w:r>
                    <w:rPr>
                      <w:rFonts w:hint="eastAsia"/>
                      <w:color w:val="000000" w:themeColor="text1"/>
                      <w:sz w:val="18"/>
                      <w:szCs w:val="18"/>
                      <w:highlight w:val="none"/>
                      <w14:textFill>
                        <w14:solidFill>
                          <w14:schemeClr w14:val="tx1"/>
                        </w14:solidFill>
                      </w14:textFill>
                    </w:rPr>
                    <w:t>标准要求</w:t>
                  </w:r>
                </w:p>
              </w:tc>
              <w:tc>
                <w:tcPr>
                  <w:tcW w:w="707" w:type="dxa"/>
                  <w:noWrap/>
                  <w:tcMar>
                    <w:top w:w="0" w:type="dxa"/>
                    <w:left w:w="51" w:type="dxa"/>
                    <w:bottom w:w="0" w:type="dxa"/>
                    <w:right w:w="51" w:type="dxa"/>
                  </w:tcMar>
                  <w:vAlign w:val="center"/>
                </w:tcPr>
                <w:p w14:paraId="3016DB7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1703" w:type="dxa"/>
                  <w:noWrap/>
                  <w:tcMar>
                    <w:top w:w="0" w:type="dxa"/>
                    <w:left w:w="51" w:type="dxa"/>
                    <w:bottom w:w="0" w:type="dxa"/>
                    <w:right w:w="51" w:type="dxa"/>
                  </w:tcMar>
                  <w:vAlign w:val="center"/>
                </w:tcPr>
                <w:p w14:paraId="53053949">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784BD12E">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8.0</w:t>
                  </w:r>
                </w:p>
              </w:tc>
            </w:tr>
            <w:tr w14:paraId="7976F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6434D0B7">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restart"/>
                  <w:noWrap/>
                  <w:tcMar>
                    <w:top w:w="0" w:type="dxa"/>
                    <w:left w:w="51" w:type="dxa"/>
                    <w:bottom w:w="0" w:type="dxa"/>
                    <w:right w:w="51" w:type="dxa"/>
                  </w:tcMar>
                  <w:vAlign w:val="center"/>
                </w:tcPr>
                <w:p w14:paraId="03A891C0">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污泥储存（正常生产时）</w:t>
                  </w:r>
                </w:p>
              </w:tc>
              <w:tc>
                <w:tcPr>
                  <w:tcW w:w="587" w:type="pct"/>
                  <w:noWrap/>
                  <w:tcMar>
                    <w:top w:w="0" w:type="dxa"/>
                    <w:left w:w="51" w:type="dxa"/>
                    <w:bottom w:w="0" w:type="dxa"/>
                    <w:right w:w="51" w:type="dxa"/>
                  </w:tcMar>
                  <w:vAlign w:val="center"/>
                </w:tcPr>
                <w:p w14:paraId="6A986EE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w:t>
                  </w:r>
                </w:p>
              </w:tc>
              <w:tc>
                <w:tcPr>
                  <w:tcW w:w="317" w:type="pct"/>
                  <w:vMerge w:val="restart"/>
                  <w:noWrap/>
                  <w:tcMar>
                    <w:top w:w="0" w:type="dxa"/>
                    <w:left w:w="51" w:type="dxa"/>
                    <w:bottom w:w="0" w:type="dxa"/>
                    <w:right w:w="51" w:type="dxa"/>
                  </w:tcMar>
                  <w:vAlign w:val="center"/>
                </w:tcPr>
                <w:p w14:paraId="6DBE2A5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38</w:t>
                  </w:r>
                </w:p>
              </w:tc>
              <w:tc>
                <w:tcPr>
                  <w:tcW w:w="398" w:type="pct"/>
                  <w:noWrap/>
                  <w:tcMar>
                    <w:top w:w="0" w:type="dxa"/>
                    <w:left w:w="51" w:type="dxa"/>
                    <w:bottom w:w="0" w:type="dxa"/>
                    <w:right w:w="51" w:type="dxa"/>
                  </w:tcMar>
                  <w:vAlign w:val="center"/>
                </w:tcPr>
                <w:p w14:paraId="6A581DE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kg/h</w:t>
                  </w:r>
                </w:p>
              </w:tc>
              <w:tc>
                <w:tcPr>
                  <w:tcW w:w="368" w:type="pct"/>
                  <w:noWrap/>
                  <w:tcMar>
                    <w:top w:w="0" w:type="dxa"/>
                    <w:left w:w="51" w:type="dxa"/>
                    <w:bottom w:w="0" w:type="dxa"/>
                    <w:right w:w="51" w:type="dxa"/>
                  </w:tcMar>
                  <w:vAlign w:val="center"/>
                </w:tcPr>
                <w:p w14:paraId="7827D98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35</w:t>
                  </w:r>
                </w:p>
              </w:tc>
              <w:tc>
                <w:tcPr>
                  <w:tcW w:w="825" w:type="pct"/>
                  <w:vMerge w:val="restart"/>
                  <w:noWrap/>
                  <w:tcMar>
                    <w:top w:w="0" w:type="dxa"/>
                    <w:left w:w="51" w:type="dxa"/>
                    <w:bottom w:w="0" w:type="dxa"/>
                    <w:right w:w="51" w:type="dxa"/>
                  </w:tcMar>
                  <w:vAlign w:val="center"/>
                </w:tcPr>
                <w:p w14:paraId="3F89781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《恶臭污染物排放标准》（GB14544-93）表2标准要求</w:t>
                  </w:r>
                </w:p>
              </w:tc>
              <w:tc>
                <w:tcPr>
                  <w:tcW w:w="396" w:type="pct"/>
                  <w:noWrap/>
                  <w:tcMar>
                    <w:top w:w="0" w:type="dxa"/>
                    <w:left w:w="51" w:type="dxa"/>
                    <w:bottom w:w="0" w:type="dxa"/>
                    <w:right w:w="51" w:type="dxa"/>
                  </w:tcMar>
                  <w:vAlign w:val="center"/>
                </w:tcPr>
                <w:p w14:paraId="037B49F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5B95DFC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51B10E3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35</w:t>
                  </w:r>
                </w:p>
              </w:tc>
            </w:tr>
            <w:tr w14:paraId="3370F8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73ABC174">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23E5D2F5">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308190B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硫化氢</w:t>
                  </w:r>
                </w:p>
              </w:tc>
              <w:tc>
                <w:tcPr>
                  <w:tcW w:w="317" w:type="pct"/>
                  <w:vMerge w:val="continue"/>
                  <w:noWrap/>
                  <w:tcMar>
                    <w:top w:w="0" w:type="dxa"/>
                    <w:left w:w="51" w:type="dxa"/>
                    <w:bottom w:w="0" w:type="dxa"/>
                    <w:right w:w="51" w:type="dxa"/>
                  </w:tcMar>
                  <w:vAlign w:val="center"/>
                </w:tcPr>
                <w:p w14:paraId="5924ADD1">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1DCC1A6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kg/h</w:t>
                  </w:r>
                </w:p>
              </w:tc>
              <w:tc>
                <w:tcPr>
                  <w:tcW w:w="368" w:type="pct"/>
                  <w:noWrap/>
                  <w:tcMar>
                    <w:top w:w="0" w:type="dxa"/>
                    <w:left w:w="51" w:type="dxa"/>
                    <w:bottom w:w="0" w:type="dxa"/>
                    <w:right w:w="51" w:type="dxa"/>
                  </w:tcMar>
                  <w:vAlign w:val="center"/>
                </w:tcPr>
                <w:p w14:paraId="1E265CC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2.3</w:t>
                  </w:r>
                </w:p>
              </w:tc>
              <w:tc>
                <w:tcPr>
                  <w:tcW w:w="825" w:type="pct"/>
                  <w:vMerge w:val="continue"/>
                  <w:noWrap/>
                  <w:tcMar>
                    <w:top w:w="0" w:type="dxa"/>
                    <w:left w:w="51" w:type="dxa"/>
                    <w:bottom w:w="0" w:type="dxa"/>
                    <w:right w:w="51" w:type="dxa"/>
                  </w:tcMar>
                  <w:vAlign w:val="center"/>
                </w:tcPr>
                <w:p w14:paraId="1E101656">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0368D9B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6608FA3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5772C43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2.3</w:t>
                  </w:r>
                </w:p>
              </w:tc>
            </w:tr>
            <w:tr w14:paraId="61C01A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5387E8F9">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1AFC0196">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0E3C2C5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臭气浓度</w:t>
                  </w:r>
                </w:p>
              </w:tc>
              <w:tc>
                <w:tcPr>
                  <w:tcW w:w="317" w:type="pct"/>
                  <w:vMerge w:val="continue"/>
                  <w:noWrap/>
                  <w:tcMar>
                    <w:top w:w="0" w:type="dxa"/>
                    <w:left w:w="51" w:type="dxa"/>
                    <w:bottom w:w="0" w:type="dxa"/>
                    <w:right w:w="51" w:type="dxa"/>
                  </w:tcMar>
                  <w:vAlign w:val="center"/>
                </w:tcPr>
                <w:p w14:paraId="2106A117">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3774BBD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无量纲</w:t>
                  </w:r>
                </w:p>
              </w:tc>
              <w:tc>
                <w:tcPr>
                  <w:tcW w:w="368" w:type="pct"/>
                  <w:noWrap/>
                  <w:tcMar>
                    <w:top w:w="0" w:type="dxa"/>
                    <w:left w:w="51" w:type="dxa"/>
                    <w:bottom w:w="0" w:type="dxa"/>
                    <w:right w:w="51" w:type="dxa"/>
                  </w:tcMar>
                  <w:vAlign w:val="center"/>
                </w:tcPr>
                <w:p w14:paraId="3C41C24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20000</w:t>
                  </w:r>
                </w:p>
              </w:tc>
              <w:tc>
                <w:tcPr>
                  <w:tcW w:w="825" w:type="pct"/>
                  <w:vMerge w:val="continue"/>
                  <w:noWrap/>
                  <w:tcMar>
                    <w:top w:w="0" w:type="dxa"/>
                    <w:left w:w="51" w:type="dxa"/>
                    <w:bottom w:w="0" w:type="dxa"/>
                    <w:right w:w="51" w:type="dxa"/>
                  </w:tcMar>
                  <w:vAlign w:val="center"/>
                </w:tcPr>
                <w:p w14:paraId="14558EF9">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731EF4D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75FC4A0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30C9591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20000</w:t>
                  </w:r>
                </w:p>
              </w:tc>
            </w:tr>
            <w:tr w14:paraId="6DBA3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0FE3282E">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restart"/>
                  <w:noWrap/>
                  <w:tcMar>
                    <w:top w:w="0" w:type="dxa"/>
                    <w:left w:w="51" w:type="dxa"/>
                    <w:bottom w:w="0" w:type="dxa"/>
                    <w:right w:w="51" w:type="dxa"/>
                  </w:tcMar>
                  <w:vAlign w:val="center"/>
                </w:tcPr>
                <w:p w14:paraId="5E4C3736">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污泥储存（隧道窑停产时）</w:t>
                  </w:r>
                </w:p>
              </w:tc>
              <w:tc>
                <w:tcPr>
                  <w:tcW w:w="587" w:type="pct"/>
                  <w:noWrap/>
                  <w:tcMar>
                    <w:top w:w="0" w:type="dxa"/>
                    <w:left w:w="51" w:type="dxa"/>
                    <w:bottom w:w="0" w:type="dxa"/>
                    <w:right w:w="51" w:type="dxa"/>
                  </w:tcMar>
                  <w:vAlign w:val="center"/>
                </w:tcPr>
                <w:p w14:paraId="36843DA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w:t>
                  </w:r>
                </w:p>
              </w:tc>
              <w:tc>
                <w:tcPr>
                  <w:tcW w:w="317" w:type="pct"/>
                  <w:vMerge w:val="restart"/>
                  <w:noWrap/>
                  <w:tcMar>
                    <w:top w:w="0" w:type="dxa"/>
                    <w:left w:w="51" w:type="dxa"/>
                    <w:bottom w:w="0" w:type="dxa"/>
                    <w:right w:w="51" w:type="dxa"/>
                  </w:tcMar>
                  <w:vAlign w:val="center"/>
                </w:tcPr>
                <w:p w14:paraId="167C088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15</w:t>
                  </w:r>
                </w:p>
              </w:tc>
              <w:tc>
                <w:tcPr>
                  <w:tcW w:w="398" w:type="pct"/>
                  <w:noWrap/>
                  <w:tcMar>
                    <w:top w:w="0" w:type="dxa"/>
                    <w:left w:w="51" w:type="dxa"/>
                    <w:bottom w:w="0" w:type="dxa"/>
                    <w:right w:w="51" w:type="dxa"/>
                  </w:tcMar>
                  <w:vAlign w:val="center"/>
                </w:tcPr>
                <w:p w14:paraId="30C6549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kg/h</w:t>
                  </w:r>
                </w:p>
              </w:tc>
              <w:tc>
                <w:tcPr>
                  <w:tcW w:w="368" w:type="pct"/>
                  <w:noWrap/>
                  <w:tcMar>
                    <w:top w:w="0" w:type="dxa"/>
                    <w:left w:w="51" w:type="dxa"/>
                    <w:bottom w:w="0" w:type="dxa"/>
                    <w:right w:w="51" w:type="dxa"/>
                  </w:tcMar>
                  <w:vAlign w:val="center"/>
                </w:tcPr>
                <w:p w14:paraId="0CC531E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4.9</w:t>
                  </w:r>
                </w:p>
              </w:tc>
              <w:tc>
                <w:tcPr>
                  <w:tcW w:w="825" w:type="pct"/>
                  <w:vMerge w:val="restart"/>
                  <w:noWrap/>
                  <w:tcMar>
                    <w:top w:w="0" w:type="dxa"/>
                    <w:left w:w="51" w:type="dxa"/>
                    <w:bottom w:w="0" w:type="dxa"/>
                    <w:right w:w="51" w:type="dxa"/>
                  </w:tcMar>
                  <w:vAlign w:val="center"/>
                </w:tcPr>
                <w:p w14:paraId="6A9315D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《恶臭污染物排放标准》（GB14544-93）表2标准要求</w:t>
                  </w:r>
                </w:p>
              </w:tc>
              <w:tc>
                <w:tcPr>
                  <w:tcW w:w="396" w:type="pct"/>
                  <w:noWrap/>
                  <w:tcMar>
                    <w:top w:w="0" w:type="dxa"/>
                    <w:left w:w="51" w:type="dxa"/>
                    <w:bottom w:w="0" w:type="dxa"/>
                    <w:right w:w="51" w:type="dxa"/>
                  </w:tcMar>
                  <w:vAlign w:val="center"/>
                </w:tcPr>
                <w:p w14:paraId="1D76C18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3F34BD1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0324109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4.9</w:t>
                  </w:r>
                </w:p>
              </w:tc>
            </w:tr>
            <w:tr w14:paraId="7557D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26C0C5A3">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262D1298">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1471CA4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硫化氢</w:t>
                  </w:r>
                </w:p>
              </w:tc>
              <w:tc>
                <w:tcPr>
                  <w:tcW w:w="317" w:type="pct"/>
                  <w:vMerge w:val="continue"/>
                  <w:noWrap/>
                  <w:tcMar>
                    <w:top w:w="0" w:type="dxa"/>
                    <w:left w:w="51" w:type="dxa"/>
                    <w:bottom w:w="0" w:type="dxa"/>
                    <w:right w:w="51" w:type="dxa"/>
                  </w:tcMar>
                  <w:vAlign w:val="center"/>
                </w:tcPr>
                <w:p w14:paraId="40C98CC8">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5FB3B92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kg/h</w:t>
                  </w:r>
                </w:p>
              </w:tc>
              <w:tc>
                <w:tcPr>
                  <w:tcW w:w="368" w:type="pct"/>
                  <w:noWrap/>
                  <w:tcMar>
                    <w:top w:w="0" w:type="dxa"/>
                    <w:left w:w="51" w:type="dxa"/>
                    <w:bottom w:w="0" w:type="dxa"/>
                    <w:right w:w="51" w:type="dxa"/>
                  </w:tcMar>
                  <w:vAlign w:val="center"/>
                </w:tcPr>
                <w:p w14:paraId="03A3E21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0.33</w:t>
                  </w:r>
                </w:p>
              </w:tc>
              <w:tc>
                <w:tcPr>
                  <w:tcW w:w="825" w:type="pct"/>
                  <w:vMerge w:val="continue"/>
                  <w:noWrap/>
                  <w:tcMar>
                    <w:top w:w="0" w:type="dxa"/>
                    <w:left w:w="51" w:type="dxa"/>
                    <w:bottom w:w="0" w:type="dxa"/>
                    <w:right w:w="51" w:type="dxa"/>
                  </w:tcMar>
                  <w:vAlign w:val="center"/>
                </w:tcPr>
                <w:p w14:paraId="20B92E42">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4161A28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368677C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4336EF6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0.33</w:t>
                  </w:r>
                </w:p>
              </w:tc>
            </w:tr>
            <w:tr w14:paraId="64F517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2181CBF5">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4B5EB0CC">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463D319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臭气浓度</w:t>
                  </w:r>
                </w:p>
              </w:tc>
              <w:tc>
                <w:tcPr>
                  <w:tcW w:w="317" w:type="pct"/>
                  <w:vMerge w:val="continue"/>
                  <w:noWrap/>
                  <w:tcMar>
                    <w:top w:w="0" w:type="dxa"/>
                    <w:left w:w="51" w:type="dxa"/>
                    <w:bottom w:w="0" w:type="dxa"/>
                    <w:right w:w="51" w:type="dxa"/>
                  </w:tcMar>
                  <w:vAlign w:val="center"/>
                </w:tcPr>
                <w:p w14:paraId="54D4CAB5">
                  <w:pPr>
                    <w:ind w:left="-63" w:leftChars="-30" w:right="-63" w:rightChars="-30"/>
                    <w:jc w:val="center"/>
                    <w:rPr>
                      <w:color w:val="000000" w:themeColor="text1"/>
                      <w:sz w:val="18"/>
                      <w:szCs w:val="18"/>
                      <w:highlight w:val="none"/>
                      <w14:textFill>
                        <w14:solidFill>
                          <w14:schemeClr w14:val="tx1"/>
                        </w14:solidFill>
                      </w14:textFill>
                    </w:rPr>
                  </w:pPr>
                </w:p>
              </w:tc>
              <w:tc>
                <w:tcPr>
                  <w:tcW w:w="398" w:type="pct"/>
                  <w:noWrap/>
                  <w:tcMar>
                    <w:top w:w="0" w:type="dxa"/>
                    <w:left w:w="51" w:type="dxa"/>
                    <w:bottom w:w="0" w:type="dxa"/>
                    <w:right w:w="51" w:type="dxa"/>
                  </w:tcMar>
                  <w:vAlign w:val="center"/>
                </w:tcPr>
                <w:p w14:paraId="01A275F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无量纲</w:t>
                  </w:r>
                </w:p>
              </w:tc>
              <w:tc>
                <w:tcPr>
                  <w:tcW w:w="368" w:type="pct"/>
                  <w:noWrap/>
                  <w:tcMar>
                    <w:top w:w="0" w:type="dxa"/>
                    <w:left w:w="51" w:type="dxa"/>
                    <w:bottom w:w="0" w:type="dxa"/>
                    <w:right w:w="51" w:type="dxa"/>
                  </w:tcMar>
                  <w:vAlign w:val="center"/>
                </w:tcPr>
                <w:p w14:paraId="54724D8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2000</w:t>
                  </w:r>
                </w:p>
              </w:tc>
              <w:tc>
                <w:tcPr>
                  <w:tcW w:w="825" w:type="pct"/>
                  <w:vMerge w:val="continue"/>
                  <w:noWrap/>
                  <w:tcMar>
                    <w:top w:w="0" w:type="dxa"/>
                    <w:left w:w="51" w:type="dxa"/>
                    <w:bottom w:w="0" w:type="dxa"/>
                    <w:right w:w="51" w:type="dxa"/>
                  </w:tcMar>
                  <w:vAlign w:val="center"/>
                </w:tcPr>
                <w:p w14:paraId="7EEC85B7">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12AAC4C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6F43FB3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799DA36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2000</w:t>
                  </w:r>
                </w:p>
              </w:tc>
            </w:tr>
            <w:tr w14:paraId="7FCB83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restart"/>
                  <w:noWrap/>
                  <w:tcMar>
                    <w:top w:w="0" w:type="dxa"/>
                    <w:left w:w="51" w:type="dxa"/>
                    <w:bottom w:w="0" w:type="dxa"/>
                    <w:right w:w="51" w:type="dxa"/>
                  </w:tcMar>
                  <w:vAlign w:val="center"/>
                </w:tcPr>
                <w:p w14:paraId="56059C66">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无组织</w:t>
                  </w:r>
                </w:p>
              </w:tc>
              <w:tc>
                <w:tcPr>
                  <w:tcW w:w="520" w:type="pct"/>
                  <w:noWrap/>
                  <w:tcMar>
                    <w:top w:w="0" w:type="dxa"/>
                    <w:left w:w="51" w:type="dxa"/>
                    <w:bottom w:w="0" w:type="dxa"/>
                    <w:right w:w="51" w:type="dxa"/>
                  </w:tcMar>
                  <w:vAlign w:val="center"/>
                </w:tcPr>
                <w:p w14:paraId="301119B0">
                  <w:pPr>
                    <w:tabs>
                      <w:tab w:val="left" w:pos="286"/>
                    </w:tabs>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炉窑车间外1m处</w:t>
                  </w:r>
                </w:p>
              </w:tc>
              <w:tc>
                <w:tcPr>
                  <w:tcW w:w="587" w:type="pct"/>
                  <w:noWrap/>
                  <w:tcMar>
                    <w:top w:w="0" w:type="dxa"/>
                    <w:left w:w="51" w:type="dxa"/>
                    <w:bottom w:w="0" w:type="dxa"/>
                    <w:right w:w="51" w:type="dxa"/>
                  </w:tcMar>
                  <w:vAlign w:val="center"/>
                </w:tcPr>
                <w:p w14:paraId="1FA259E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317" w:type="pct"/>
                  <w:noWrap/>
                  <w:tcMar>
                    <w:top w:w="0" w:type="dxa"/>
                    <w:left w:w="51" w:type="dxa"/>
                    <w:bottom w:w="0" w:type="dxa"/>
                    <w:right w:w="51" w:type="dxa"/>
                  </w:tcMar>
                  <w:vAlign w:val="center"/>
                </w:tcPr>
                <w:p w14:paraId="4D335AD1">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4D64978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1848AAB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825" w:type="pct"/>
                  <w:noWrap/>
                  <w:tcMar>
                    <w:top w:w="0" w:type="dxa"/>
                    <w:left w:w="51" w:type="dxa"/>
                    <w:bottom w:w="0" w:type="dxa"/>
                    <w:right w:w="51" w:type="dxa"/>
                  </w:tcMar>
                  <w:vAlign w:val="center"/>
                </w:tcPr>
                <w:p w14:paraId="2A1C47C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6" w:type="pct"/>
                  <w:noWrap/>
                  <w:tcMar>
                    <w:top w:w="0" w:type="dxa"/>
                    <w:left w:w="51" w:type="dxa"/>
                    <w:bottom w:w="0" w:type="dxa"/>
                    <w:right w:w="51" w:type="dxa"/>
                  </w:tcMar>
                  <w:vAlign w:val="center"/>
                </w:tcPr>
                <w:p w14:paraId="7AAC310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c>
                <w:tcPr>
                  <w:tcW w:w="955" w:type="pct"/>
                  <w:vMerge w:val="restart"/>
                  <w:noWrap/>
                  <w:tcMar>
                    <w:top w:w="0" w:type="dxa"/>
                    <w:left w:w="51" w:type="dxa"/>
                    <w:bottom w:w="0" w:type="dxa"/>
                    <w:right w:w="51" w:type="dxa"/>
                  </w:tcMar>
                  <w:vAlign w:val="center"/>
                </w:tcPr>
                <w:p w14:paraId="4A4B670E">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《唐山市生态环境局</w:t>
                  </w:r>
                  <w:r>
                    <w:rPr>
                      <w:color w:val="000000" w:themeColor="text1"/>
                      <w:sz w:val="18"/>
                      <w:szCs w:val="18"/>
                      <w:highlight w:val="none"/>
                      <w14:textFill>
                        <w14:solidFill>
                          <w14:schemeClr w14:val="tx1"/>
                        </w14:solidFill>
                      </w14:textFill>
                    </w:rPr>
                    <w:t>关于印发独立石灰窑等五个行业工业炉窑烟气达标治理工作方案的通知</w:t>
                  </w:r>
                  <w:r>
                    <w:rPr>
                      <w:rFonts w:hint="eastAsia"/>
                      <w:color w:val="000000" w:themeColor="text1"/>
                      <w:sz w:val="18"/>
                      <w:szCs w:val="18"/>
                      <w:highlight w:val="none"/>
                      <w14:textFill>
                        <w14:solidFill>
                          <w14:schemeClr w14:val="tx1"/>
                        </w14:solidFill>
                      </w14:textFill>
                    </w:rPr>
                    <w:t>》（</w:t>
                  </w:r>
                  <w:r>
                    <w:rPr>
                      <w:color w:val="000000" w:themeColor="text1"/>
                      <w:sz w:val="18"/>
                      <w:szCs w:val="18"/>
                      <w:highlight w:val="none"/>
                      <w14:textFill>
                        <w14:solidFill>
                          <w14:schemeClr w14:val="tx1"/>
                        </w14:solidFill>
                      </w14:textFill>
                    </w:rPr>
                    <w:t>唐环气〔2019〕2号</w:t>
                  </w:r>
                  <w:r>
                    <w:rPr>
                      <w:rFonts w:hint="eastAsia"/>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704E8821">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r>
            <w:tr w14:paraId="7AF71C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47DE7B0C">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restart"/>
                  <w:noWrap/>
                  <w:tcMar>
                    <w:top w:w="0" w:type="dxa"/>
                    <w:left w:w="51" w:type="dxa"/>
                    <w:bottom w:w="0" w:type="dxa"/>
                    <w:right w:w="51" w:type="dxa"/>
                  </w:tcMar>
                  <w:vAlign w:val="center"/>
                </w:tcPr>
                <w:p w14:paraId="0121CEE7">
                  <w:pPr>
                    <w:tabs>
                      <w:tab w:val="left" w:pos="286"/>
                    </w:tabs>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厂界</w:t>
                  </w:r>
                </w:p>
              </w:tc>
              <w:tc>
                <w:tcPr>
                  <w:tcW w:w="587" w:type="pct"/>
                  <w:noWrap/>
                  <w:tcMar>
                    <w:top w:w="0" w:type="dxa"/>
                    <w:left w:w="51" w:type="dxa"/>
                    <w:bottom w:w="0" w:type="dxa"/>
                    <w:right w:w="51" w:type="dxa"/>
                  </w:tcMar>
                  <w:vAlign w:val="center"/>
                </w:tcPr>
                <w:p w14:paraId="72C18B9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317" w:type="pct"/>
                  <w:noWrap/>
                  <w:tcMar>
                    <w:top w:w="0" w:type="dxa"/>
                    <w:left w:w="51" w:type="dxa"/>
                    <w:bottom w:w="0" w:type="dxa"/>
                    <w:right w:w="51" w:type="dxa"/>
                  </w:tcMar>
                  <w:vAlign w:val="center"/>
                </w:tcPr>
                <w:p w14:paraId="4167E0F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7429119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2DD6D2D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1.0</w:t>
                  </w:r>
                </w:p>
              </w:tc>
              <w:tc>
                <w:tcPr>
                  <w:tcW w:w="825" w:type="pct"/>
                  <w:vMerge w:val="restart"/>
                  <w:noWrap/>
                  <w:tcMar>
                    <w:top w:w="0" w:type="dxa"/>
                    <w:left w:w="51" w:type="dxa"/>
                    <w:bottom w:w="0" w:type="dxa"/>
                    <w:right w:w="51" w:type="dxa"/>
                  </w:tcMar>
                  <w:vAlign w:val="center"/>
                </w:tcPr>
                <w:p w14:paraId="58AED07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《砖瓦工业大气污染物排放标准》（GB29620-2013）表3限值要求</w:t>
                  </w:r>
                </w:p>
              </w:tc>
              <w:tc>
                <w:tcPr>
                  <w:tcW w:w="396" w:type="pct"/>
                  <w:noWrap/>
                  <w:tcMar>
                    <w:top w:w="0" w:type="dxa"/>
                    <w:left w:w="51" w:type="dxa"/>
                    <w:bottom w:w="0" w:type="dxa"/>
                    <w:right w:w="51" w:type="dxa"/>
                  </w:tcMar>
                  <w:vAlign w:val="center"/>
                </w:tcPr>
                <w:p w14:paraId="5F1598A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0.5</w:t>
                  </w:r>
                </w:p>
              </w:tc>
              <w:tc>
                <w:tcPr>
                  <w:tcW w:w="955" w:type="pct"/>
                  <w:vMerge w:val="continue"/>
                  <w:noWrap/>
                  <w:tcMar>
                    <w:top w:w="0" w:type="dxa"/>
                    <w:left w:w="51" w:type="dxa"/>
                    <w:bottom w:w="0" w:type="dxa"/>
                    <w:right w:w="51" w:type="dxa"/>
                  </w:tcMar>
                  <w:vAlign w:val="center"/>
                </w:tcPr>
                <w:p w14:paraId="01574486">
                  <w:pPr>
                    <w:ind w:left="-63" w:leftChars="-30" w:right="-63" w:rightChars="-30"/>
                    <w:jc w:val="center"/>
                    <w:rPr>
                      <w:color w:val="000000" w:themeColor="text1"/>
                      <w:sz w:val="18"/>
                      <w:szCs w:val="18"/>
                      <w:highlight w:val="none"/>
                      <w14:textFill>
                        <w14:solidFill>
                          <w14:schemeClr w14:val="tx1"/>
                        </w14:solidFill>
                      </w14:textFill>
                    </w:rPr>
                  </w:pPr>
                </w:p>
              </w:tc>
              <w:tc>
                <w:tcPr>
                  <w:tcW w:w="366" w:type="pct"/>
                  <w:noWrap/>
                  <w:tcMar>
                    <w:top w:w="0" w:type="dxa"/>
                    <w:left w:w="51" w:type="dxa"/>
                    <w:bottom w:w="0" w:type="dxa"/>
                    <w:right w:w="51" w:type="dxa"/>
                  </w:tcMar>
                  <w:vAlign w:val="center"/>
                </w:tcPr>
                <w:p w14:paraId="00CD9DC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0.5</w:t>
                  </w:r>
                </w:p>
              </w:tc>
            </w:tr>
            <w:tr w14:paraId="03240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49EA9C8B">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6F86BE74">
                  <w:pPr>
                    <w:tabs>
                      <w:tab w:val="left" w:pos="286"/>
                    </w:tabs>
                    <w:ind w:left="-63" w:leftChars="-30" w:right="-63" w:rightChars="-30"/>
                    <w:jc w:val="left"/>
                    <w:rPr>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12841EEE">
                  <w:pPr>
                    <w:ind w:left="-63" w:leftChars="-30" w:right="-63" w:rightChars="-30"/>
                    <w:jc w:val="center"/>
                    <w:rPr>
                      <w:color w:val="000000" w:themeColor="text1"/>
                      <w:sz w:val="18"/>
                      <w:szCs w:val="18"/>
                      <w:highlight w:val="none"/>
                      <w:vertAlign w:val="subscript"/>
                      <w14:textFill>
                        <w14:solidFill>
                          <w14:schemeClr w14:val="tx1"/>
                        </w14:solidFill>
                      </w14:textFill>
                    </w:rPr>
                  </w:pPr>
                  <w:r>
                    <w:rPr>
                      <w:color w:val="000000" w:themeColor="text1"/>
                      <w:sz w:val="18"/>
                      <w:szCs w:val="18"/>
                      <w:highlight w:val="none"/>
                      <w14:textFill>
                        <w14:solidFill>
                          <w14:schemeClr w14:val="tx1"/>
                        </w14:solidFill>
                      </w14:textFill>
                    </w:rPr>
                    <w:t>SO</w:t>
                  </w:r>
                  <w:r>
                    <w:rPr>
                      <w:color w:val="000000" w:themeColor="text1"/>
                      <w:sz w:val="18"/>
                      <w:szCs w:val="18"/>
                      <w:highlight w:val="none"/>
                      <w:vertAlign w:val="subscript"/>
                      <w14:textFill>
                        <w14:solidFill>
                          <w14:schemeClr w14:val="tx1"/>
                        </w14:solidFill>
                      </w14:textFill>
                    </w:rPr>
                    <w:t>2</w:t>
                  </w:r>
                </w:p>
              </w:tc>
              <w:tc>
                <w:tcPr>
                  <w:tcW w:w="317" w:type="pct"/>
                  <w:noWrap/>
                  <w:tcMar>
                    <w:top w:w="0" w:type="dxa"/>
                    <w:left w:w="51" w:type="dxa"/>
                    <w:bottom w:w="0" w:type="dxa"/>
                    <w:right w:w="51" w:type="dxa"/>
                  </w:tcMar>
                  <w:vAlign w:val="center"/>
                </w:tcPr>
                <w:p w14:paraId="56ECD05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1EB9083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0F4ABFE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0.5</w:t>
                  </w:r>
                </w:p>
              </w:tc>
              <w:tc>
                <w:tcPr>
                  <w:tcW w:w="825" w:type="pct"/>
                  <w:vMerge w:val="continue"/>
                  <w:noWrap/>
                  <w:tcMar>
                    <w:top w:w="0" w:type="dxa"/>
                    <w:left w:w="51" w:type="dxa"/>
                    <w:bottom w:w="0" w:type="dxa"/>
                    <w:right w:w="51" w:type="dxa"/>
                  </w:tcMar>
                  <w:vAlign w:val="center"/>
                </w:tcPr>
                <w:p w14:paraId="6738C35C">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090E143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065DB32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41D28C8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0.5</w:t>
                  </w:r>
                </w:p>
              </w:tc>
            </w:tr>
            <w:tr w14:paraId="36961D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0A60E55E">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70E5A92B">
                  <w:pPr>
                    <w:tabs>
                      <w:tab w:val="left" w:pos="286"/>
                    </w:tabs>
                    <w:ind w:left="-63" w:leftChars="-30" w:right="-63" w:rightChars="-30"/>
                    <w:jc w:val="left"/>
                    <w:rPr>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49614242">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氟化物</w:t>
                  </w:r>
                </w:p>
              </w:tc>
              <w:tc>
                <w:tcPr>
                  <w:tcW w:w="317" w:type="pct"/>
                  <w:noWrap/>
                  <w:tcMar>
                    <w:top w:w="0" w:type="dxa"/>
                    <w:left w:w="51" w:type="dxa"/>
                    <w:bottom w:w="0" w:type="dxa"/>
                    <w:right w:w="51" w:type="dxa"/>
                  </w:tcMar>
                  <w:vAlign w:val="center"/>
                </w:tcPr>
                <w:p w14:paraId="54F7A71B">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62BDADC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00FB53D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0.02</w:t>
                  </w:r>
                </w:p>
              </w:tc>
              <w:tc>
                <w:tcPr>
                  <w:tcW w:w="825" w:type="pct"/>
                  <w:vMerge w:val="continue"/>
                  <w:noWrap/>
                  <w:tcMar>
                    <w:top w:w="0" w:type="dxa"/>
                    <w:left w:w="51" w:type="dxa"/>
                    <w:bottom w:w="0" w:type="dxa"/>
                    <w:right w:w="51" w:type="dxa"/>
                  </w:tcMar>
                  <w:vAlign w:val="center"/>
                </w:tcPr>
                <w:p w14:paraId="6C2213C4">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0502D7D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1377FD7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4CB00D8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0.02</w:t>
                  </w:r>
                </w:p>
              </w:tc>
            </w:tr>
            <w:tr w14:paraId="09F1D4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1BFFDD24">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635BA369">
                  <w:pPr>
                    <w:tabs>
                      <w:tab w:val="left" w:pos="286"/>
                    </w:tabs>
                    <w:ind w:left="-63" w:leftChars="-30" w:right="-63" w:rightChars="-30"/>
                    <w:jc w:val="left"/>
                    <w:rPr>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5C8D812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氨</w:t>
                  </w:r>
                </w:p>
              </w:tc>
              <w:tc>
                <w:tcPr>
                  <w:tcW w:w="317" w:type="pct"/>
                  <w:noWrap/>
                  <w:tcMar>
                    <w:top w:w="0" w:type="dxa"/>
                    <w:left w:w="51" w:type="dxa"/>
                    <w:bottom w:w="0" w:type="dxa"/>
                    <w:right w:w="51" w:type="dxa"/>
                  </w:tcMar>
                  <w:vAlign w:val="center"/>
                </w:tcPr>
                <w:p w14:paraId="3E3E7A3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7C796C7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501E35A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1.5</w:t>
                  </w:r>
                </w:p>
              </w:tc>
              <w:tc>
                <w:tcPr>
                  <w:tcW w:w="825" w:type="pct"/>
                  <w:vMerge w:val="restart"/>
                  <w:noWrap/>
                  <w:tcMar>
                    <w:top w:w="0" w:type="dxa"/>
                    <w:left w:w="51" w:type="dxa"/>
                    <w:bottom w:w="0" w:type="dxa"/>
                    <w:right w:w="51" w:type="dxa"/>
                  </w:tcMar>
                  <w:vAlign w:val="center"/>
                </w:tcPr>
                <w:p w14:paraId="25D4EB6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《恶臭污染物排放标准》（GB14554-93）表1限值要求</w:t>
                  </w:r>
                </w:p>
              </w:tc>
              <w:tc>
                <w:tcPr>
                  <w:tcW w:w="396" w:type="pct"/>
                  <w:noWrap/>
                  <w:tcMar>
                    <w:top w:w="0" w:type="dxa"/>
                    <w:left w:w="51" w:type="dxa"/>
                    <w:bottom w:w="0" w:type="dxa"/>
                    <w:right w:w="51" w:type="dxa"/>
                  </w:tcMar>
                  <w:vAlign w:val="center"/>
                </w:tcPr>
                <w:p w14:paraId="19B3BAB7">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792A222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3991CA0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1.5</w:t>
                  </w:r>
                </w:p>
              </w:tc>
            </w:tr>
            <w:tr w14:paraId="777E2D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34EDDCF2">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6C7EAA1B">
                  <w:pPr>
                    <w:tabs>
                      <w:tab w:val="left" w:pos="286"/>
                    </w:tabs>
                    <w:ind w:left="-63" w:leftChars="-30" w:right="-63" w:rightChars="-30"/>
                    <w:jc w:val="left"/>
                    <w:rPr>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0A435B4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硫化氢</w:t>
                  </w:r>
                </w:p>
              </w:tc>
              <w:tc>
                <w:tcPr>
                  <w:tcW w:w="317" w:type="pct"/>
                  <w:noWrap/>
                  <w:tcMar>
                    <w:top w:w="0" w:type="dxa"/>
                    <w:left w:w="51" w:type="dxa"/>
                    <w:bottom w:w="0" w:type="dxa"/>
                    <w:right w:w="51" w:type="dxa"/>
                  </w:tcMar>
                  <w:vAlign w:val="center"/>
                </w:tcPr>
                <w:p w14:paraId="224C6EFD">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2D0F3D1F">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1DB76EF5">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0.06</w:t>
                  </w:r>
                </w:p>
              </w:tc>
              <w:tc>
                <w:tcPr>
                  <w:tcW w:w="825" w:type="pct"/>
                  <w:vMerge w:val="continue"/>
                  <w:noWrap/>
                  <w:tcMar>
                    <w:top w:w="0" w:type="dxa"/>
                    <w:left w:w="51" w:type="dxa"/>
                    <w:bottom w:w="0" w:type="dxa"/>
                    <w:right w:w="51" w:type="dxa"/>
                  </w:tcMar>
                  <w:vAlign w:val="center"/>
                </w:tcPr>
                <w:p w14:paraId="5BFD0825">
                  <w:pPr>
                    <w:ind w:left="-63" w:leftChars="-30" w:right="-63" w:rightChars="-30"/>
                    <w:jc w:val="center"/>
                    <w:rPr>
                      <w:color w:val="000000" w:themeColor="text1"/>
                      <w:sz w:val="18"/>
                      <w:szCs w:val="18"/>
                      <w:highlight w:val="none"/>
                      <w14:textFill>
                        <w14:solidFill>
                          <w14:schemeClr w14:val="tx1"/>
                        </w14:solidFill>
                      </w14:textFill>
                    </w:rPr>
                  </w:pPr>
                </w:p>
              </w:tc>
              <w:tc>
                <w:tcPr>
                  <w:tcW w:w="396" w:type="pct"/>
                  <w:noWrap/>
                  <w:tcMar>
                    <w:top w:w="0" w:type="dxa"/>
                    <w:left w:w="51" w:type="dxa"/>
                    <w:bottom w:w="0" w:type="dxa"/>
                    <w:right w:w="51" w:type="dxa"/>
                  </w:tcMar>
                  <w:vAlign w:val="center"/>
                </w:tcPr>
                <w:p w14:paraId="13D18E91">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6A0EDF04">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576FB48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0.06</w:t>
                  </w:r>
                </w:p>
              </w:tc>
            </w:tr>
            <w:tr w14:paraId="53D10E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1A32EB70">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vMerge w:val="continue"/>
                  <w:noWrap/>
                  <w:tcMar>
                    <w:top w:w="0" w:type="dxa"/>
                    <w:left w:w="51" w:type="dxa"/>
                    <w:bottom w:w="0" w:type="dxa"/>
                    <w:right w:w="51" w:type="dxa"/>
                  </w:tcMar>
                  <w:vAlign w:val="center"/>
                </w:tcPr>
                <w:p w14:paraId="31361B18">
                  <w:pPr>
                    <w:tabs>
                      <w:tab w:val="left" w:pos="286"/>
                    </w:tabs>
                    <w:ind w:left="-63" w:leftChars="-30" w:right="-63" w:rightChars="-30"/>
                    <w:jc w:val="left"/>
                    <w:rPr>
                      <w:color w:val="000000" w:themeColor="text1"/>
                      <w:sz w:val="18"/>
                      <w:szCs w:val="18"/>
                      <w:highlight w:val="none"/>
                      <w14:textFill>
                        <w14:solidFill>
                          <w14:schemeClr w14:val="tx1"/>
                        </w14:solidFill>
                      </w14:textFill>
                    </w:rPr>
                  </w:pPr>
                </w:p>
              </w:tc>
              <w:tc>
                <w:tcPr>
                  <w:tcW w:w="587" w:type="pct"/>
                  <w:noWrap/>
                  <w:tcMar>
                    <w:top w:w="0" w:type="dxa"/>
                    <w:left w:w="51" w:type="dxa"/>
                    <w:bottom w:w="0" w:type="dxa"/>
                    <w:right w:w="51" w:type="dxa"/>
                  </w:tcMar>
                  <w:vAlign w:val="center"/>
                </w:tcPr>
                <w:p w14:paraId="32492A23">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臭气浓度</w:t>
                  </w:r>
                </w:p>
              </w:tc>
              <w:tc>
                <w:tcPr>
                  <w:tcW w:w="317" w:type="pct"/>
                  <w:noWrap/>
                  <w:tcMar>
                    <w:top w:w="0" w:type="dxa"/>
                    <w:left w:w="51" w:type="dxa"/>
                    <w:bottom w:w="0" w:type="dxa"/>
                    <w:right w:w="51" w:type="dxa"/>
                  </w:tcMar>
                  <w:vAlign w:val="center"/>
                </w:tcPr>
                <w:p w14:paraId="12A7216C">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013A8FF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无量纲</w:t>
                  </w:r>
                </w:p>
              </w:tc>
              <w:tc>
                <w:tcPr>
                  <w:tcW w:w="368" w:type="pct"/>
                  <w:noWrap/>
                  <w:tcMar>
                    <w:top w:w="0" w:type="dxa"/>
                    <w:left w:w="51" w:type="dxa"/>
                    <w:bottom w:w="0" w:type="dxa"/>
                    <w:right w:w="51" w:type="dxa"/>
                  </w:tcMar>
                  <w:vAlign w:val="center"/>
                </w:tcPr>
                <w:p w14:paraId="7D0619A6">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20</w:t>
                  </w:r>
                </w:p>
              </w:tc>
              <w:tc>
                <w:tcPr>
                  <w:tcW w:w="825" w:type="pct"/>
                  <w:vMerge w:val="continue"/>
                  <w:noWrap/>
                  <w:tcMar>
                    <w:top w:w="0" w:type="dxa"/>
                    <w:left w:w="51" w:type="dxa"/>
                    <w:bottom w:w="0" w:type="dxa"/>
                    <w:right w:w="51" w:type="dxa"/>
                  </w:tcMar>
                  <w:vAlign w:val="center"/>
                </w:tcPr>
                <w:p w14:paraId="518140D5">
                  <w:pPr>
                    <w:ind w:left="-63" w:leftChars="-30" w:right="-63" w:rightChars="-30"/>
                    <w:jc w:val="center"/>
                    <w:rPr>
                      <w:color w:val="000000" w:themeColor="text1"/>
                      <w:sz w:val="18"/>
                      <w:szCs w:val="18"/>
                      <w:highlight w:val="none"/>
                      <w14:textFill>
                        <w14:solidFill>
                          <w14:schemeClr w14:val="tx1"/>
                        </w14:solidFill>
                      </w14:textFill>
                    </w:rPr>
                  </w:pPr>
                </w:p>
              </w:tc>
              <w:tc>
                <w:tcPr>
                  <w:tcW w:w="396" w:type="pct"/>
                  <w:shd w:val="clear" w:color="auto" w:fill="auto"/>
                  <w:noWrap/>
                  <w:tcMar>
                    <w:top w:w="0" w:type="dxa"/>
                    <w:left w:w="51" w:type="dxa"/>
                    <w:bottom w:w="0" w:type="dxa"/>
                    <w:right w:w="51" w:type="dxa"/>
                  </w:tcMar>
                  <w:vAlign w:val="center"/>
                </w:tcPr>
                <w:p w14:paraId="34A9BD3F">
                  <w:pPr>
                    <w:ind w:left="-63" w:leftChars="-30" w:right="-63" w:rightChars="-3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shd w:val="clear" w:color="auto" w:fill="auto"/>
                  <w:noWrap/>
                  <w:tcMar>
                    <w:top w:w="0" w:type="dxa"/>
                    <w:left w:w="51" w:type="dxa"/>
                    <w:bottom w:w="0" w:type="dxa"/>
                    <w:right w:w="51" w:type="dxa"/>
                  </w:tcMar>
                  <w:vAlign w:val="center"/>
                </w:tcPr>
                <w:p w14:paraId="52E96BFF">
                  <w:pPr>
                    <w:ind w:left="-63" w:leftChars="-30" w:right="-63" w:rightChars="-3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shd w:val="clear" w:color="auto" w:fill="auto"/>
                  <w:noWrap/>
                  <w:tcMar>
                    <w:top w:w="0" w:type="dxa"/>
                    <w:left w:w="51" w:type="dxa"/>
                    <w:bottom w:w="0" w:type="dxa"/>
                    <w:right w:w="51" w:type="dxa"/>
                  </w:tcMar>
                  <w:vAlign w:val="center"/>
                </w:tcPr>
                <w:p w14:paraId="1425A8C7">
                  <w:pPr>
                    <w:ind w:left="-63" w:leftChars="-30" w:right="-63" w:rightChars="-30"/>
                    <w:jc w:val="center"/>
                    <w:rPr>
                      <w:rFonts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20</w:t>
                  </w:r>
                </w:p>
              </w:tc>
            </w:tr>
            <w:tr w14:paraId="20F563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3" w:type="pct"/>
                  <w:vMerge w:val="continue"/>
                  <w:noWrap/>
                  <w:tcMar>
                    <w:top w:w="0" w:type="dxa"/>
                    <w:left w:w="51" w:type="dxa"/>
                    <w:bottom w:w="0" w:type="dxa"/>
                    <w:right w:w="51" w:type="dxa"/>
                  </w:tcMar>
                  <w:vAlign w:val="center"/>
                </w:tcPr>
                <w:p w14:paraId="5D780E15">
                  <w:pPr>
                    <w:pStyle w:val="81"/>
                    <w:spacing w:line="240" w:lineRule="exact"/>
                    <w:ind w:left="-63" w:leftChars="-30" w:right="-63" w:rightChars="-30" w:firstLine="0" w:firstLineChars="0"/>
                    <w:jc w:val="center"/>
                    <w:rPr>
                      <w:rFonts w:ascii="Times New Roman"/>
                      <w:color w:val="000000" w:themeColor="text1"/>
                      <w:sz w:val="18"/>
                      <w:szCs w:val="18"/>
                      <w:highlight w:val="none"/>
                      <w14:textFill>
                        <w14:solidFill>
                          <w14:schemeClr w14:val="tx1"/>
                        </w14:solidFill>
                      </w14:textFill>
                    </w:rPr>
                  </w:pPr>
                </w:p>
              </w:tc>
              <w:tc>
                <w:tcPr>
                  <w:tcW w:w="520" w:type="pct"/>
                  <w:noWrap/>
                  <w:tcMar>
                    <w:top w:w="0" w:type="dxa"/>
                    <w:left w:w="51" w:type="dxa"/>
                    <w:bottom w:w="0" w:type="dxa"/>
                    <w:right w:w="51" w:type="dxa"/>
                  </w:tcMar>
                  <w:vAlign w:val="center"/>
                </w:tcPr>
                <w:p w14:paraId="1E886CFA">
                  <w:pPr>
                    <w:tabs>
                      <w:tab w:val="left" w:pos="286"/>
                    </w:tabs>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厂区内</w:t>
                  </w:r>
                </w:p>
              </w:tc>
              <w:tc>
                <w:tcPr>
                  <w:tcW w:w="587" w:type="pct"/>
                  <w:noWrap/>
                  <w:tcMar>
                    <w:top w:w="0" w:type="dxa"/>
                    <w:left w:w="51" w:type="dxa"/>
                    <w:bottom w:w="0" w:type="dxa"/>
                    <w:right w:w="51" w:type="dxa"/>
                  </w:tcMar>
                  <w:vAlign w:val="center"/>
                </w:tcPr>
                <w:p w14:paraId="1DA85138">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颗粒物</w:t>
                  </w:r>
                </w:p>
              </w:tc>
              <w:tc>
                <w:tcPr>
                  <w:tcW w:w="317" w:type="pct"/>
                  <w:noWrap/>
                  <w:tcMar>
                    <w:top w:w="0" w:type="dxa"/>
                    <w:left w:w="51" w:type="dxa"/>
                    <w:bottom w:w="0" w:type="dxa"/>
                    <w:right w:w="51" w:type="dxa"/>
                  </w:tcMar>
                  <w:vAlign w:val="center"/>
                </w:tcPr>
                <w:p w14:paraId="3F668200">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98" w:type="pct"/>
                  <w:noWrap/>
                  <w:tcMar>
                    <w:top w:w="0" w:type="dxa"/>
                    <w:left w:w="51" w:type="dxa"/>
                    <w:bottom w:w="0" w:type="dxa"/>
                    <w:right w:w="51" w:type="dxa"/>
                  </w:tcMar>
                  <w:vAlign w:val="center"/>
                </w:tcPr>
                <w:p w14:paraId="48E8D2AE">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mg/m</w:t>
                  </w:r>
                  <w:r>
                    <w:rPr>
                      <w:color w:val="000000" w:themeColor="text1"/>
                      <w:sz w:val="18"/>
                      <w:szCs w:val="18"/>
                      <w:highlight w:val="none"/>
                      <w:vertAlign w:val="superscript"/>
                      <w14:textFill>
                        <w14:solidFill>
                          <w14:schemeClr w14:val="tx1"/>
                        </w14:solidFill>
                      </w14:textFill>
                    </w:rPr>
                    <w:t>3</w:t>
                  </w:r>
                </w:p>
              </w:tc>
              <w:tc>
                <w:tcPr>
                  <w:tcW w:w="368" w:type="pct"/>
                  <w:noWrap/>
                  <w:tcMar>
                    <w:top w:w="0" w:type="dxa"/>
                    <w:left w:w="51" w:type="dxa"/>
                    <w:bottom w:w="0" w:type="dxa"/>
                    <w:right w:w="51" w:type="dxa"/>
                  </w:tcMar>
                  <w:vAlign w:val="center"/>
                </w:tcPr>
                <w:p w14:paraId="73CAE63D">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5.0</w:t>
                  </w:r>
                </w:p>
              </w:tc>
              <w:tc>
                <w:tcPr>
                  <w:tcW w:w="825" w:type="pct"/>
                  <w:noWrap/>
                  <w:tcMar>
                    <w:top w:w="0" w:type="dxa"/>
                    <w:left w:w="51" w:type="dxa"/>
                    <w:bottom w:w="0" w:type="dxa"/>
                    <w:right w:w="51" w:type="dxa"/>
                  </w:tcMar>
                  <w:vAlign w:val="center"/>
                </w:tcPr>
                <w:p w14:paraId="17FE7437">
                  <w:pPr>
                    <w:ind w:left="-63" w:leftChars="-30" w:right="-63" w:rightChars="-3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《砖瓦工业大气污染物排放标准》（DB13/6185-2025）</w:t>
                  </w:r>
                  <w:r>
                    <w:rPr>
                      <w:rFonts w:hint="eastAsia"/>
                      <w:color w:val="000000" w:themeColor="text1"/>
                      <w:sz w:val="18"/>
                      <w:szCs w:val="18"/>
                      <w:highlight w:val="none"/>
                      <w:lang w:val="en-US" w:eastAsia="zh-CN"/>
                      <w14:textFill>
                        <w14:solidFill>
                          <w14:schemeClr w14:val="tx1"/>
                        </w14:solidFill>
                      </w14:textFill>
                    </w:rPr>
                    <w:t>表3</w:t>
                  </w:r>
                  <w:r>
                    <w:rPr>
                      <w:rFonts w:hint="eastAsia"/>
                      <w:color w:val="000000" w:themeColor="text1"/>
                      <w:sz w:val="18"/>
                      <w:szCs w:val="18"/>
                      <w:highlight w:val="none"/>
                      <w14:textFill>
                        <w14:solidFill>
                          <w14:schemeClr w14:val="tx1"/>
                        </w14:solidFill>
                      </w14:textFill>
                    </w:rPr>
                    <w:t>要求</w:t>
                  </w:r>
                </w:p>
              </w:tc>
              <w:tc>
                <w:tcPr>
                  <w:tcW w:w="396" w:type="pct"/>
                  <w:noWrap/>
                  <w:tcMar>
                    <w:top w:w="0" w:type="dxa"/>
                    <w:left w:w="51" w:type="dxa"/>
                    <w:bottom w:w="0" w:type="dxa"/>
                    <w:right w:w="51" w:type="dxa"/>
                  </w:tcMar>
                  <w:vAlign w:val="center"/>
                </w:tcPr>
                <w:p w14:paraId="53BDB6AA">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955" w:type="pct"/>
                  <w:noWrap/>
                  <w:tcMar>
                    <w:top w:w="0" w:type="dxa"/>
                    <w:left w:w="51" w:type="dxa"/>
                    <w:bottom w:w="0" w:type="dxa"/>
                    <w:right w:w="51" w:type="dxa"/>
                  </w:tcMar>
                  <w:vAlign w:val="center"/>
                </w:tcPr>
                <w:p w14:paraId="76D1F1C1">
                  <w:pPr>
                    <w:ind w:left="-63" w:leftChars="-30" w:right="-63" w:rightChars="-3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w:t>
                  </w:r>
                </w:p>
              </w:tc>
              <w:tc>
                <w:tcPr>
                  <w:tcW w:w="366" w:type="pct"/>
                  <w:noWrap/>
                  <w:tcMar>
                    <w:top w:w="0" w:type="dxa"/>
                    <w:left w:w="51" w:type="dxa"/>
                    <w:bottom w:w="0" w:type="dxa"/>
                    <w:right w:w="51" w:type="dxa"/>
                  </w:tcMar>
                  <w:vAlign w:val="center"/>
                </w:tcPr>
                <w:p w14:paraId="3791AA4C">
                  <w:pPr>
                    <w:ind w:left="-63" w:leftChars="-30" w:right="-63" w:rightChars="-3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5.0</w:t>
                  </w:r>
                </w:p>
              </w:tc>
            </w:tr>
          </w:tbl>
          <w:p w14:paraId="2F955B92">
            <w:pPr>
              <w:adjustRightInd w:val="0"/>
              <w:snapToGrid w:val="0"/>
              <w:spacing w:line="520" w:lineRule="exact"/>
              <w:ind w:firstLine="480" w:firstLineChars="200"/>
              <w:rPr>
                <w:rFonts w:hAnsi="宋体"/>
                <w:bCs/>
                <w:color w:val="000000" w:themeColor="text1"/>
                <w:kern w:val="0"/>
                <w:sz w:val="24"/>
                <w:highlight w:val="none"/>
                <w14:textFill>
                  <w14:solidFill>
                    <w14:schemeClr w14:val="tx1"/>
                  </w14:solidFill>
                </w14:textFill>
              </w:rPr>
            </w:pPr>
            <w:r>
              <w:rPr>
                <w:rFonts w:hint="eastAsia" w:hAnsi="宋体"/>
                <w:color w:val="000000" w:themeColor="text1"/>
                <w:kern w:val="0"/>
                <w:sz w:val="24"/>
                <w:highlight w:val="none"/>
                <w14:textFill>
                  <w14:solidFill>
                    <w14:schemeClr w14:val="tx1"/>
                  </w14:solidFill>
                </w14:textFill>
              </w:rPr>
              <w:t>3、固废：一般固体废物执行《一般工业固体废物贮存和填埋污染控制标准》（GB18599-2020）相应防渗漏、防雨淋、防扬尘等环保要求，还应满足《中华人民共和国固体废物污染环境防治法》、《河北省固体废物污染环境防治条例（2022）》、《排污许可证申请与核发技术规范 工业固体废物（试行）》（</w:t>
            </w:r>
            <w:r>
              <w:rPr>
                <w:rFonts w:hAnsi="宋体"/>
                <w:color w:val="000000" w:themeColor="text1"/>
                <w:kern w:val="0"/>
                <w:sz w:val="24"/>
                <w:highlight w:val="none"/>
                <w14:textFill>
                  <w14:solidFill>
                    <w14:schemeClr w14:val="tx1"/>
                  </w14:solidFill>
                </w14:textFill>
              </w:rPr>
              <w:t>HJ</w:t>
            </w:r>
            <w:r>
              <w:rPr>
                <w:rFonts w:hint="eastAsia" w:hAnsi="宋体"/>
                <w:color w:val="000000" w:themeColor="text1"/>
                <w:kern w:val="0"/>
                <w:sz w:val="24"/>
                <w:highlight w:val="none"/>
                <w14:textFill>
                  <w14:solidFill>
                    <w14:schemeClr w14:val="tx1"/>
                  </w14:solidFill>
                </w14:textFill>
              </w:rPr>
              <w:t>1200</w:t>
            </w:r>
            <w:r>
              <w:rPr>
                <w:rFonts w:hAnsi="宋体"/>
                <w:color w:val="000000" w:themeColor="text1"/>
                <w:kern w:val="0"/>
                <w:sz w:val="24"/>
                <w:highlight w:val="none"/>
                <w14:textFill>
                  <w14:solidFill>
                    <w14:schemeClr w14:val="tx1"/>
                  </w14:solidFill>
                </w14:textFill>
              </w:rPr>
              <w:t>-</w:t>
            </w:r>
            <w:r>
              <w:rPr>
                <w:rFonts w:hint="eastAsia" w:hAnsi="宋体"/>
                <w:color w:val="000000" w:themeColor="text1"/>
                <w:kern w:val="0"/>
                <w:sz w:val="24"/>
                <w:highlight w:val="none"/>
                <w14:textFill>
                  <w14:solidFill>
                    <w14:schemeClr w14:val="tx1"/>
                  </w14:solidFill>
                </w14:textFill>
              </w:rPr>
              <w:t>2021）等相关要求；</w:t>
            </w:r>
            <w:r>
              <w:rPr>
                <w:rFonts w:hAnsi="宋体"/>
                <w:bCs/>
                <w:color w:val="000000" w:themeColor="text1"/>
                <w:kern w:val="0"/>
                <w:sz w:val="24"/>
                <w:highlight w:val="none"/>
                <w14:textFill>
                  <w14:solidFill>
                    <w14:schemeClr w14:val="tx1"/>
                  </w14:solidFill>
                </w14:textFill>
              </w:rPr>
              <w:t>危险废物执行</w:t>
            </w:r>
            <w:r>
              <w:rPr>
                <w:rFonts w:hint="eastAsia" w:hAnsi="宋体"/>
                <w:color w:val="000000" w:themeColor="text1"/>
                <w:kern w:val="0"/>
                <w:sz w:val="24"/>
                <w:highlight w:val="none"/>
                <w14:textFill>
                  <w14:solidFill>
                    <w14:schemeClr w14:val="tx1"/>
                  </w14:solidFill>
                </w14:textFill>
              </w:rPr>
              <w:t>《危险废物贮存污染控制标准》（GB18597-2023）</w:t>
            </w:r>
            <w:r>
              <w:rPr>
                <w:rFonts w:hAnsi="宋体"/>
                <w:bCs/>
                <w:color w:val="000000" w:themeColor="text1"/>
                <w:kern w:val="0"/>
                <w:sz w:val="24"/>
                <w:highlight w:val="none"/>
                <w14:textFill>
                  <w14:solidFill>
                    <w14:schemeClr w14:val="tx1"/>
                  </w14:solidFill>
                </w14:textFill>
              </w:rPr>
              <w:t>中的</w:t>
            </w:r>
            <w:r>
              <w:rPr>
                <w:rFonts w:hint="eastAsia" w:hAnsi="宋体"/>
                <w:bCs/>
                <w:color w:val="000000" w:themeColor="text1"/>
                <w:kern w:val="0"/>
                <w:sz w:val="24"/>
                <w:highlight w:val="none"/>
                <w14:textFill>
                  <w14:solidFill>
                    <w14:schemeClr w14:val="tx1"/>
                  </w14:solidFill>
                </w14:textFill>
              </w:rPr>
              <w:t>要求。</w:t>
            </w:r>
          </w:p>
        </w:tc>
      </w:tr>
      <w:tr w14:paraId="7FFC49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990" w:type="dxa"/>
            <w:vAlign w:val="center"/>
          </w:tcPr>
          <w:p w14:paraId="3CD4AF3F">
            <w:pPr>
              <w:adjustRightInd w:val="0"/>
              <w:snapToGrid w:val="0"/>
              <w:spacing w:line="480" w:lineRule="exact"/>
              <w:jc w:val="left"/>
              <w:rPr>
                <w:rFonts w:ascii="黑体" w:hAnsi="黑体" w:eastAsia="黑体" w:cs="宋体"/>
                <w:b/>
                <w:color w:val="000000" w:themeColor="text1"/>
                <w:kern w:val="0"/>
                <w:sz w:val="28"/>
                <w:szCs w:val="28"/>
                <w:highlight w:val="none"/>
                <w14:textFill>
                  <w14:solidFill>
                    <w14:schemeClr w14:val="tx1"/>
                  </w14:solidFill>
                </w14:textFill>
              </w:rPr>
            </w:pPr>
            <w:r>
              <w:rPr>
                <w:rFonts w:hint="eastAsia" w:ascii="黑体" w:hAnsi="黑体" w:eastAsia="黑体" w:cs="宋体"/>
                <w:b/>
                <w:color w:val="000000" w:themeColor="text1"/>
                <w:kern w:val="0"/>
                <w:sz w:val="28"/>
                <w:szCs w:val="28"/>
                <w:highlight w:val="none"/>
                <w14:textFill>
                  <w14:solidFill>
                    <w14:schemeClr w14:val="tx1"/>
                  </w14:solidFill>
                </w14:textFill>
              </w:rPr>
              <w:t>总量控制指标</w:t>
            </w:r>
          </w:p>
          <w:p w14:paraId="1554B495">
            <w:pPr>
              <w:adjustRightInd w:val="0"/>
              <w:snapToGrid w:val="0"/>
              <w:spacing w:line="480" w:lineRule="exact"/>
              <w:ind w:firstLine="480" w:firstLineChars="200"/>
              <w:jc w:val="left"/>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根据《“十四五”污染减排综合工作方案编制技术指南》（环办综合函</w:t>
            </w:r>
            <w:r>
              <w:rPr>
                <w:rFonts w:hint="eastAsia"/>
                <w:color w:val="000000" w:themeColor="text1"/>
                <w:kern w:val="0"/>
                <w:sz w:val="24"/>
                <w:highlight w:val="none"/>
                <w:lang w:val="en-US" w:eastAsia="zh-CN"/>
                <w14:textFill>
                  <w14:solidFill>
                    <w14:schemeClr w14:val="tx1"/>
                  </w14:solidFill>
                </w14:textFill>
              </w:rPr>
              <w:t>[</w:t>
            </w:r>
            <w:r>
              <w:rPr>
                <w:color w:val="000000" w:themeColor="text1"/>
                <w:kern w:val="0"/>
                <w:sz w:val="24"/>
                <w:highlight w:val="none"/>
                <w14:textFill>
                  <w14:solidFill>
                    <w14:schemeClr w14:val="tx1"/>
                  </w14:solidFill>
                </w14:textFill>
              </w:rPr>
              <w:t>2020</w:t>
            </w:r>
            <w:r>
              <w:rPr>
                <w:rFonts w:hint="eastAsia"/>
                <w:color w:val="000000" w:themeColor="text1"/>
                <w:kern w:val="0"/>
                <w:sz w:val="24"/>
                <w:highlight w:val="none"/>
                <w:lang w:val="en-US" w:eastAsia="zh-CN"/>
                <w14:textFill>
                  <w14:solidFill>
                    <w14:schemeClr w14:val="tx1"/>
                  </w14:solidFill>
                </w14:textFill>
              </w:rPr>
              <w:t>]</w:t>
            </w:r>
            <w:r>
              <w:rPr>
                <w:color w:val="000000" w:themeColor="text1"/>
                <w:kern w:val="0"/>
                <w:sz w:val="24"/>
                <w:highlight w:val="none"/>
                <w14:textFill>
                  <w14:solidFill>
                    <w14:schemeClr w14:val="tx1"/>
                  </w14:solidFill>
                </w14:textFill>
              </w:rPr>
              <w:t>603号）及《关于进一步做好建设项目大气主要污染物排放总量指标审核管理工作的通知（冀环办字函[2020]247号）)要求，结合建设项目污染物产生和排放特点项目污染物总量控制项目为：SO</w:t>
            </w:r>
            <w:r>
              <w:rPr>
                <w:color w:val="000000" w:themeColor="text1"/>
                <w:kern w:val="0"/>
                <w:sz w:val="24"/>
                <w:highlight w:val="none"/>
                <w:vertAlign w:val="subscript"/>
                <w14:textFill>
                  <w14:solidFill>
                    <w14:schemeClr w14:val="tx1"/>
                  </w14:solidFill>
                </w14:textFill>
              </w:rPr>
              <w:t>2</w:t>
            </w:r>
            <w:r>
              <w:rPr>
                <w:color w:val="000000" w:themeColor="text1"/>
                <w:kern w:val="0"/>
                <w:sz w:val="24"/>
                <w:highlight w:val="none"/>
                <w14:textFill>
                  <w14:solidFill>
                    <w14:schemeClr w14:val="tx1"/>
                  </w14:solidFill>
                </w14:textFill>
              </w:rPr>
              <w:t>、NOx、COD、NH</w:t>
            </w:r>
            <w:r>
              <w:rPr>
                <w:color w:val="000000" w:themeColor="text1"/>
                <w:kern w:val="0"/>
                <w:sz w:val="24"/>
                <w:highlight w:val="none"/>
                <w:vertAlign w:val="subscript"/>
                <w14:textFill>
                  <w14:solidFill>
                    <w14:schemeClr w14:val="tx1"/>
                  </w14:solidFill>
                </w14:textFill>
              </w:rPr>
              <w:t>3</w:t>
            </w:r>
            <w:r>
              <w:rPr>
                <w:color w:val="000000" w:themeColor="text1"/>
                <w:kern w:val="0"/>
                <w:sz w:val="24"/>
                <w:highlight w:val="none"/>
                <w14:textFill>
                  <w14:solidFill>
                    <w14:schemeClr w14:val="tx1"/>
                  </w14:solidFill>
                </w14:textFill>
              </w:rPr>
              <w:t>-N。特征因子为颗粒物。</w:t>
            </w:r>
          </w:p>
          <w:p w14:paraId="34BF53EF">
            <w:pPr>
              <w:adjustRightInd w:val="0"/>
              <w:snapToGrid w:val="0"/>
              <w:spacing w:line="480" w:lineRule="exact"/>
              <w:ind w:firstLine="480" w:firstLineChars="200"/>
              <w:jc w:val="left"/>
              <w:rPr>
                <w:bCs/>
                <w:color w:val="000000" w:themeColor="text1"/>
                <w:kern w:val="0"/>
                <w:sz w:val="24"/>
                <w:highlight w:val="none"/>
                <w14:textFill>
                  <w14:solidFill>
                    <w14:schemeClr w14:val="tx1"/>
                  </w14:solidFill>
                </w14:textFill>
              </w:rPr>
            </w:pPr>
            <w:r>
              <w:rPr>
                <w:bCs/>
                <w:color w:val="000000" w:themeColor="text1"/>
                <w:kern w:val="0"/>
                <w:sz w:val="24"/>
                <w:highlight w:val="none"/>
                <w14:textFill>
                  <w14:solidFill>
                    <w14:schemeClr w14:val="tx1"/>
                  </w14:solidFill>
                </w14:textFill>
              </w:rPr>
              <w:t>现有工程总量控制指标为COD：0t/a、NH</w:t>
            </w:r>
            <w:r>
              <w:rPr>
                <w:bCs/>
                <w:color w:val="000000" w:themeColor="text1"/>
                <w:kern w:val="0"/>
                <w:sz w:val="24"/>
                <w:highlight w:val="none"/>
                <w:vertAlign w:val="subscript"/>
                <w14:textFill>
                  <w14:solidFill>
                    <w14:schemeClr w14:val="tx1"/>
                  </w14:solidFill>
                </w14:textFill>
              </w:rPr>
              <w:t>3</w:t>
            </w:r>
            <w:r>
              <w:rPr>
                <w:bCs/>
                <w:color w:val="000000" w:themeColor="text1"/>
                <w:kern w:val="0"/>
                <w:sz w:val="24"/>
                <w:highlight w:val="none"/>
                <w14:textFill>
                  <w14:solidFill>
                    <w14:schemeClr w14:val="tx1"/>
                  </w14:solidFill>
                </w14:textFill>
              </w:rPr>
              <w:t>-N：0t/a、颗粒物25t/a、SO</w:t>
            </w:r>
            <w:r>
              <w:rPr>
                <w:bCs/>
                <w:color w:val="000000" w:themeColor="text1"/>
                <w:kern w:val="0"/>
                <w:sz w:val="24"/>
                <w:highlight w:val="none"/>
                <w:vertAlign w:val="subscript"/>
                <w14:textFill>
                  <w14:solidFill>
                    <w14:schemeClr w14:val="tx1"/>
                  </w14:solidFill>
                </w14:textFill>
              </w:rPr>
              <w:t>2</w:t>
            </w:r>
            <w:r>
              <w:rPr>
                <w:bCs/>
                <w:color w:val="000000" w:themeColor="text1"/>
                <w:kern w:val="0"/>
                <w:sz w:val="24"/>
                <w:highlight w:val="none"/>
                <w14:textFill>
                  <w14:solidFill>
                    <w14:schemeClr w14:val="tx1"/>
                  </w14:solidFill>
                </w14:textFill>
              </w:rPr>
              <w:t>：22.93t/a、NOx：86.87t/a。</w:t>
            </w:r>
          </w:p>
          <w:p w14:paraId="79FEB9F9">
            <w:pPr>
              <w:adjustRightInd w:val="0"/>
              <w:snapToGrid w:val="0"/>
              <w:spacing w:line="480" w:lineRule="exact"/>
              <w:jc w:val="left"/>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1、</w:t>
            </w:r>
            <w:r>
              <w:rPr>
                <w:bCs/>
                <w:color w:val="000000" w:themeColor="text1"/>
                <w:kern w:val="0"/>
                <w:sz w:val="24"/>
                <w:highlight w:val="none"/>
                <w14:textFill>
                  <w14:solidFill>
                    <w14:schemeClr w14:val="tx1"/>
                  </w14:solidFill>
                </w14:textFill>
              </w:rPr>
              <w:t>环评预测排放量：</w:t>
            </w:r>
          </w:p>
          <w:p w14:paraId="13D644A2">
            <w:pPr>
              <w:spacing w:line="480" w:lineRule="exact"/>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项目</w:t>
            </w:r>
            <w:r>
              <w:rPr>
                <w:rFonts w:hint="eastAsia"/>
                <w:color w:val="000000" w:themeColor="text1"/>
                <w:sz w:val="24"/>
                <w:highlight w:val="none"/>
                <w14:textFill>
                  <w14:solidFill>
                    <w14:schemeClr w14:val="tx1"/>
                  </w14:solidFill>
                </w14:textFill>
              </w:rPr>
              <w:t>排放</w:t>
            </w:r>
            <w:r>
              <w:rPr>
                <w:color w:val="000000" w:themeColor="text1"/>
                <w:sz w:val="24"/>
                <w:highlight w:val="none"/>
                <w14:textFill>
                  <w14:solidFill>
                    <w14:schemeClr w14:val="tx1"/>
                  </w14:solidFill>
                </w14:textFill>
              </w:rPr>
              <w:t>SO</w:t>
            </w:r>
            <w:r>
              <w:rPr>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NO</w:t>
            </w:r>
            <w:r>
              <w:rPr>
                <w:rFonts w:hint="eastAsia"/>
                <w:bCs/>
                <w:color w:val="000000" w:themeColor="text1"/>
                <w:sz w:val="24"/>
                <w:highlight w:val="none"/>
                <w14:textFill>
                  <w14:solidFill>
                    <w14:schemeClr w14:val="tx1"/>
                  </w14:solidFill>
                </w14:textFill>
              </w:rPr>
              <w:t>x</w:t>
            </w:r>
            <w:r>
              <w:rPr>
                <w:rFonts w:hint="eastAsia"/>
                <w:color w:val="000000" w:themeColor="text1"/>
                <w:sz w:val="24"/>
                <w:highlight w:val="none"/>
                <w14:textFill>
                  <w14:solidFill>
                    <w14:schemeClr w14:val="tx1"/>
                  </w14:solidFill>
                </w14:textFill>
              </w:rPr>
              <w:t>。特征污染物为颗粒物，预测排放量为：颗粒物</w:t>
            </w:r>
            <w:r>
              <w:rPr>
                <w:rFonts w:hint="eastAsia"/>
                <w:color w:val="000000" w:themeColor="text1"/>
                <w:sz w:val="24"/>
                <w:highlight w:val="none"/>
                <w:lang w:val="en-US" w:eastAsia="zh-CN"/>
                <w14:textFill>
                  <w14:solidFill>
                    <w14:schemeClr w14:val="tx1"/>
                  </w14:solidFill>
                </w14:textFill>
              </w:rPr>
              <w:t>10.4255</w:t>
            </w:r>
            <w:r>
              <w:rPr>
                <w:bCs/>
                <w:snapToGrid w:val="0"/>
                <w:color w:val="000000" w:themeColor="text1"/>
                <w:sz w:val="24"/>
                <w:highlight w:val="none"/>
                <w14:textFill>
                  <w14:solidFill>
                    <w14:schemeClr w14:val="tx1"/>
                  </w14:solidFill>
                </w14:textFill>
              </w:rPr>
              <w:t>t/a</w:t>
            </w:r>
            <w:r>
              <w:rPr>
                <w:rFonts w:hint="eastAsia"/>
                <w:bCs/>
                <w:snapToGrid w:val="0"/>
                <w:color w:val="000000" w:themeColor="text1"/>
                <w:sz w:val="24"/>
                <w:highlight w:val="none"/>
                <w14:textFill>
                  <w14:solidFill>
                    <w14:schemeClr w14:val="tx1"/>
                  </w14:solidFill>
                </w14:textFill>
              </w:rPr>
              <w:t>（有组织）、</w:t>
            </w:r>
            <w:r>
              <w:rPr>
                <w:bCs/>
                <w:color w:val="000000" w:themeColor="text1"/>
                <w:kern w:val="0"/>
                <w:sz w:val="24"/>
                <w:highlight w:val="none"/>
                <w14:textFill>
                  <w14:solidFill>
                    <w14:schemeClr w14:val="tx1"/>
                  </w14:solidFill>
                </w14:textFill>
              </w:rPr>
              <w:t>SO</w:t>
            </w:r>
            <w:r>
              <w:rPr>
                <w:bCs/>
                <w:color w:val="000000" w:themeColor="text1"/>
                <w:kern w:val="0"/>
                <w:sz w:val="24"/>
                <w:highlight w:val="none"/>
                <w:vertAlign w:val="subscript"/>
                <w14:textFill>
                  <w14:solidFill>
                    <w14:schemeClr w14:val="tx1"/>
                  </w14:solidFill>
                </w14:textFill>
              </w:rPr>
              <w:t>2</w:t>
            </w:r>
            <w:r>
              <w:rPr>
                <w:bCs/>
                <w:color w:val="000000" w:themeColor="text1"/>
                <w:kern w:val="0"/>
                <w:sz w:val="24"/>
                <w:highlight w:val="none"/>
                <w14:textFill>
                  <w14:solidFill>
                    <w14:schemeClr w14:val="tx1"/>
                  </w14:solidFill>
                </w14:textFill>
              </w:rPr>
              <w:t>：</w:t>
            </w:r>
            <w:r>
              <w:rPr>
                <w:rFonts w:hint="eastAsia"/>
                <w:bCs/>
                <w:color w:val="000000" w:themeColor="text1"/>
                <w:kern w:val="0"/>
                <w:sz w:val="24"/>
                <w:highlight w:val="none"/>
                <w:lang w:val="en-US" w:eastAsia="zh-CN"/>
                <w14:textFill>
                  <w14:solidFill>
                    <w14:schemeClr w14:val="tx1"/>
                  </w14:solidFill>
                </w14:textFill>
              </w:rPr>
              <w:t>17.81</w:t>
            </w:r>
            <w:r>
              <w:rPr>
                <w:bCs/>
                <w:color w:val="000000" w:themeColor="text1"/>
                <w:kern w:val="0"/>
                <w:sz w:val="24"/>
                <w:highlight w:val="none"/>
                <w14:textFill>
                  <w14:solidFill>
                    <w14:schemeClr w14:val="tx1"/>
                  </w14:solidFill>
                </w14:textFill>
              </w:rPr>
              <w:t>t/a、NOx：</w:t>
            </w:r>
            <w:r>
              <w:rPr>
                <w:rFonts w:hint="eastAsia"/>
                <w:bCs/>
                <w:color w:val="000000" w:themeColor="text1"/>
                <w:kern w:val="0"/>
                <w:sz w:val="24"/>
                <w:highlight w:val="none"/>
                <w:lang w:val="en-US" w:eastAsia="zh-CN"/>
                <w14:textFill>
                  <w14:solidFill>
                    <w14:schemeClr w14:val="tx1"/>
                  </w14:solidFill>
                </w14:textFill>
              </w:rPr>
              <w:t>33.3</w:t>
            </w:r>
            <w:r>
              <w:rPr>
                <w:bCs/>
                <w:color w:val="000000" w:themeColor="text1"/>
                <w:kern w:val="0"/>
                <w:sz w:val="24"/>
                <w:highlight w:val="none"/>
                <w14:textFill>
                  <w14:solidFill>
                    <w14:schemeClr w14:val="tx1"/>
                  </w14:solidFill>
                </w14:textFill>
              </w:rPr>
              <w:t>t/a</w:t>
            </w:r>
            <w:r>
              <w:rPr>
                <w:rFonts w:hint="eastAsia"/>
                <w:color w:val="000000" w:themeColor="text1"/>
                <w:sz w:val="24"/>
                <w:highlight w:val="none"/>
                <w14:textFill>
                  <w14:solidFill>
                    <w14:schemeClr w14:val="tx1"/>
                  </w14:solidFill>
                </w14:textFill>
              </w:rPr>
              <w:t>。无生产、生活废水外排</w:t>
            </w:r>
            <w:r>
              <w:rPr>
                <w:color w:val="000000" w:themeColor="text1"/>
                <w:sz w:val="24"/>
                <w:highlight w:val="none"/>
                <w14:textFill>
                  <w14:solidFill>
                    <w14:schemeClr w14:val="tx1"/>
                  </w14:solidFill>
                </w14:textFill>
              </w:rPr>
              <w:t>。</w:t>
            </w:r>
          </w:p>
          <w:p w14:paraId="3D7027AE">
            <w:pPr>
              <w:autoSpaceDE w:val="0"/>
              <w:autoSpaceDN w:val="0"/>
              <w:adjustRightInd w:val="0"/>
              <w:spacing w:line="480" w:lineRule="exact"/>
              <w:rPr>
                <w:snapToGrid w:val="0"/>
                <w:color w:val="000000" w:themeColor="text1"/>
                <w:sz w:val="24"/>
                <w:highlight w:val="none"/>
                <w14:textFill>
                  <w14:solidFill>
                    <w14:schemeClr w14:val="tx1"/>
                  </w14:solidFill>
                </w14:textFill>
              </w:rPr>
            </w:pPr>
            <w:r>
              <w:rPr>
                <w:rFonts w:hint="eastAsia"/>
                <w:snapToGrid w:val="0"/>
                <w:color w:val="000000" w:themeColor="text1"/>
                <w:sz w:val="24"/>
                <w:highlight w:val="none"/>
                <w14:textFill>
                  <w14:solidFill>
                    <w14:schemeClr w14:val="tx1"/>
                  </w14:solidFill>
                </w14:textFill>
              </w:rPr>
              <w:t>2、</w:t>
            </w:r>
            <w:r>
              <w:rPr>
                <w:snapToGrid w:val="0"/>
                <w:color w:val="000000" w:themeColor="text1"/>
                <w:sz w:val="24"/>
                <w:highlight w:val="none"/>
                <w14:textFill>
                  <w14:solidFill>
                    <w14:schemeClr w14:val="tx1"/>
                  </w14:solidFill>
                </w14:textFill>
              </w:rPr>
              <w:t>总量控制量：</w:t>
            </w:r>
          </w:p>
          <w:p w14:paraId="78E15201">
            <w:pPr>
              <w:autoSpaceDE w:val="0"/>
              <w:autoSpaceDN w:val="0"/>
              <w:adjustRightInd w:val="0"/>
              <w:spacing w:line="480" w:lineRule="exact"/>
              <w:ind w:firstLine="480" w:firstLineChars="200"/>
              <w:rPr>
                <w:snapToGrid w:val="0"/>
                <w:color w:val="000000" w:themeColor="text1"/>
                <w:sz w:val="24"/>
                <w:highlight w:val="none"/>
                <w14:textFill>
                  <w14:solidFill>
                    <w14:schemeClr w14:val="tx1"/>
                  </w14:solidFill>
                </w14:textFill>
              </w:rPr>
            </w:pPr>
            <w:r>
              <w:rPr>
                <w:snapToGrid w:val="0"/>
                <w:color w:val="000000" w:themeColor="text1"/>
                <w:sz w:val="24"/>
                <w:highlight w:val="none"/>
                <w14:textFill>
                  <w14:solidFill>
                    <w14:schemeClr w14:val="tx1"/>
                  </w14:solidFill>
                </w14:textFill>
              </w:rPr>
              <w:t>废水：本项目</w:t>
            </w:r>
            <w:r>
              <w:rPr>
                <w:rFonts w:hint="eastAsia"/>
                <w:snapToGrid w:val="0"/>
                <w:color w:val="000000" w:themeColor="text1"/>
                <w:sz w:val="24"/>
                <w:highlight w:val="none"/>
                <w14:textFill>
                  <w14:solidFill>
                    <w14:schemeClr w14:val="tx1"/>
                  </w14:solidFill>
                </w14:textFill>
              </w:rPr>
              <w:t>无生产、生活</w:t>
            </w:r>
            <w:r>
              <w:rPr>
                <w:snapToGrid w:val="0"/>
                <w:color w:val="000000" w:themeColor="text1"/>
                <w:sz w:val="24"/>
                <w:highlight w:val="none"/>
                <w14:textFill>
                  <w14:solidFill>
                    <w14:schemeClr w14:val="tx1"/>
                  </w14:solidFill>
                </w14:textFill>
              </w:rPr>
              <w:t>废水</w:t>
            </w:r>
            <w:r>
              <w:rPr>
                <w:rFonts w:hint="eastAsia"/>
                <w:snapToGrid w:val="0"/>
                <w:color w:val="000000" w:themeColor="text1"/>
                <w:sz w:val="24"/>
                <w:highlight w:val="none"/>
                <w14:textFill>
                  <w14:solidFill>
                    <w14:schemeClr w14:val="tx1"/>
                  </w14:solidFill>
                </w14:textFill>
              </w:rPr>
              <w:t>外排</w:t>
            </w:r>
            <w:r>
              <w:rPr>
                <w:snapToGrid w:val="0"/>
                <w:color w:val="000000" w:themeColor="text1"/>
                <w:sz w:val="24"/>
                <w:highlight w:val="none"/>
                <w14:textFill>
                  <w14:solidFill>
                    <w14:schemeClr w14:val="tx1"/>
                  </w14:solidFill>
                </w14:textFill>
              </w:rPr>
              <w:t>。</w:t>
            </w:r>
          </w:p>
          <w:p w14:paraId="46B21952">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snapToGrid w:val="0"/>
                <w:color w:val="000000" w:themeColor="text1"/>
                <w:sz w:val="24"/>
                <w:highlight w:val="none"/>
                <w14:textFill>
                  <w14:solidFill>
                    <w14:schemeClr w14:val="tx1"/>
                  </w14:solidFill>
                </w14:textFill>
              </w:rPr>
              <w:t>废气：本项目</w:t>
            </w:r>
            <w:r>
              <w:rPr>
                <w:rFonts w:hint="eastAsia"/>
                <w:snapToGrid w:val="0"/>
                <w:color w:val="000000" w:themeColor="text1"/>
                <w:sz w:val="24"/>
                <w:highlight w:val="none"/>
                <w14:textFill>
                  <w14:solidFill>
                    <w14:schemeClr w14:val="tx1"/>
                  </w14:solidFill>
                </w14:textFill>
              </w:rPr>
              <w:t>涉及</w:t>
            </w:r>
            <w:r>
              <w:rPr>
                <w:snapToGrid w:val="0"/>
                <w:color w:val="000000" w:themeColor="text1"/>
                <w:sz w:val="24"/>
                <w:highlight w:val="none"/>
                <w14:textFill>
                  <w14:solidFill>
                    <w14:schemeClr w14:val="tx1"/>
                  </w14:solidFill>
                </w14:textFill>
              </w:rPr>
              <w:t>SO</w:t>
            </w:r>
            <w:r>
              <w:rPr>
                <w:snapToGrid w:val="0"/>
                <w:color w:val="000000" w:themeColor="text1"/>
                <w:sz w:val="24"/>
                <w:highlight w:val="none"/>
                <w:vertAlign w:val="subscript"/>
                <w14:textFill>
                  <w14:solidFill>
                    <w14:schemeClr w14:val="tx1"/>
                  </w14:solidFill>
                </w14:textFill>
              </w:rPr>
              <w:t>2</w:t>
            </w:r>
            <w:r>
              <w:rPr>
                <w:rFonts w:hint="eastAsia"/>
                <w:snapToGrid w:val="0"/>
                <w:color w:val="000000" w:themeColor="text1"/>
                <w:sz w:val="24"/>
                <w:highlight w:val="none"/>
                <w14:textFill>
                  <w14:solidFill>
                    <w14:schemeClr w14:val="tx1"/>
                  </w14:solidFill>
                </w14:textFill>
              </w:rPr>
              <w:t>、</w:t>
            </w:r>
            <w:r>
              <w:rPr>
                <w:bCs/>
                <w:snapToGrid w:val="0"/>
                <w:color w:val="000000" w:themeColor="text1"/>
                <w:sz w:val="24"/>
                <w:highlight w:val="none"/>
                <w14:textFill>
                  <w14:solidFill>
                    <w14:schemeClr w14:val="tx1"/>
                  </w14:solidFill>
                </w14:textFill>
              </w:rPr>
              <w:t>NO</w:t>
            </w:r>
            <w:r>
              <w:rPr>
                <w:rFonts w:hint="eastAsia"/>
                <w:bCs/>
                <w:snapToGrid w:val="0"/>
                <w:color w:val="000000" w:themeColor="text1"/>
                <w:sz w:val="24"/>
                <w:highlight w:val="none"/>
                <w14:textFill>
                  <w14:solidFill>
                    <w14:schemeClr w14:val="tx1"/>
                  </w14:solidFill>
                </w14:textFill>
              </w:rPr>
              <w:t>x排放</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特征污染物为颗粒物。</w:t>
            </w:r>
          </w:p>
          <w:p w14:paraId="3804E543">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bCs/>
                <w:snapToGrid w:val="0"/>
                <w:color w:val="000000" w:themeColor="text1"/>
                <w:sz w:val="24"/>
                <w:highlight w:val="none"/>
                <w14:textFill>
                  <w14:solidFill>
                    <w14:schemeClr w14:val="tx1"/>
                  </w14:solidFill>
                </w14:textFill>
              </w:rPr>
              <w:t>计算依据和计算过程如下：</w:t>
            </w:r>
          </w:p>
          <w:p w14:paraId="69706C41">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ascii="宋体" w:hAnsi="宋体" w:cs="宋体"/>
                <w:bCs/>
                <w:snapToGrid w:val="0"/>
                <w:color w:val="000000" w:themeColor="text1"/>
                <w:sz w:val="24"/>
                <w:highlight w:val="none"/>
                <w14:textFill>
                  <w14:solidFill>
                    <w14:schemeClr w14:val="tx1"/>
                  </w14:solidFill>
                </w14:textFill>
              </w:rPr>
              <w:t>⑴</w:t>
            </w:r>
            <w:r>
              <w:rPr>
                <w:bCs/>
                <w:snapToGrid w:val="0"/>
                <w:color w:val="000000" w:themeColor="text1"/>
                <w:sz w:val="24"/>
                <w:highlight w:val="none"/>
                <w14:textFill>
                  <w14:solidFill>
                    <w14:schemeClr w14:val="tx1"/>
                  </w14:solidFill>
                </w14:textFill>
              </w:rPr>
              <w:t>计算依据</w:t>
            </w:r>
          </w:p>
          <w:p w14:paraId="6927B257">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bCs/>
                <w:snapToGrid w:val="0"/>
                <w:color w:val="000000" w:themeColor="text1"/>
                <w:sz w:val="24"/>
                <w:highlight w:val="none"/>
                <w14:textFill>
                  <w14:solidFill>
                    <w14:schemeClr w14:val="tx1"/>
                  </w14:solidFill>
                </w14:textFill>
              </w:rPr>
              <w:t>废气</w:t>
            </w:r>
            <w:r>
              <w:rPr>
                <w:bCs/>
                <w:snapToGrid w:val="0"/>
                <w:color w:val="000000" w:themeColor="text1"/>
                <w:sz w:val="24"/>
                <w:highlight w:val="none"/>
                <w14:textFill>
                  <w14:solidFill>
                    <w14:schemeClr w14:val="tx1"/>
                  </w14:solidFill>
                </w14:textFill>
              </w:rPr>
              <w:t>排放标准：</w:t>
            </w:r>
          </w:p>
          <w:p w14:paraId="73E64964">
            <w:pPr>
              <w:autoSpaceDE w:val="0"/>
              <w:autoSpaceDN w:val="0"/>
              <w:adjustRightInd w:val="0"/>
              <w:spacing w:line="480" w:lineRule="exact"/>
              <w:ind w:firstLine="480" w:firstLineChars="200"/>
              <w:rPr>
                <w:rFonts w:hint="eastAsia" w:eastAsia="宋体"/>
                <w:bCs/>
                <w:snapToGrid w:val="0"/>
                <w:color w:val="000000" w:themeColor="text1"/>
                <w:sz w:val="24"/>
                <w:highlight w:val="none"/>
                <w:vertAlign w:val="baseline"/>
                <w:lang w:val="en-US" w:eastAsia="zh-CN"/>
                <w14:textFill>
                  <w14:solidFill>
                    <w14:schemeClr w14:val="tx1"/>
                  </w14:solidFill>
                </w14:textFill>
              </w:rPr>
            </w:pPr>
            <w:r>
              <w:rPr>
                <w:bCs/>
                <w:snapToGrid w:val="0"/>
                <w:color w:val="000000" w:themeColor="text1"/>
                <w:sz w:val="24"/>
                <w:highlight w:val="none"/>
                <w14:textFill>
                  <w14:solidFill>
                    <w14:schemeClr w14:val="tx1"/>
                  </w14:solidFill>
                </w14:textFill>
              </w:rPr>
              <w:t>原料给料、破碎、筛分、搅拌、窑车吹扫工序产生的颗粒物排放执行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w:t>
            </w:r>
            <w:r>
              <w:rPr>
                <w:bCs/>
                <w:snapToGrid w:val="0"/>
                <w:color w:val="000000" w:themeColor="text1"/>
                <w:sz w:val="24"/>
                <w:highlight w:val="none"/>
                <w14:textFill>
                  <w14:solidFill>
                    <w14:schemeClr w14:val="tx1"/>
                  </w14:solidFill>
                </w14:textFill>
              </w:rPr>
              <w:t>，即颗粒物≤</w:t>
            </w:r>
            <w:r>
              <w:rPr>
                <w:rFonts w:hint="eastAsia"/>
                <w:bCs/>
                <w:snapToGrid w:val="0"/>
                <w:color w:val="000000" w:themeColor="text1"/>
                <w:sz w:val="24"/>
                <w:highlight w:val="none"/>
                <w:lang w:val="en-US" w:eastAsia="zh-CN"/>
                <w14:textFill>
                  <w14:solidFill>
                    <w14:schemeClr w14:val="tx1"/>
                  </w14:solidFill>
                </w14:textFill>
              </w:rPr>
              <w:t>1</w:t>
            </w:r>
            <w:r>
              <w:rPr>
                <w:bCs/>
                <w:snapToGrid w:val="0"/>
                <w:color w:val="000000" w:themeColor="text1"/>
                <w:sz w:val="24"/>
                <w:highlight w:val="none"/>
                <w14:textFill>
                  <w14:solidFill>
                    <w14:schemeClr w14:val="tx1"/>
                  </w14:solidFill>
                </w14:textFill>
              </w:rPr>
              <w:t>0mg/m</w:t>
            </w:r>
            <w:r>
              <w:rPr>
                <w:bCs/>
                <w:snapToGrid w:val="0"/>
                <w:color w:val="000000" w:themeColor="text1"/>
                <w:sz w:val="24"/>
                <w:highlight w:val="none"/>
                <w:vertAlign w:val="superscript"/>
                <w14:textFill>
                  <w14:solidFill>
                    <w14:schemeClr w14:val="tx1"/>
                  </w14:solidFill>
                </w14:textFill>
              </w:rPr>
              <w:t>3</w:t>
            </w:r>
            <w:r>
              <w:rPr>
                <w:rFonts w:hint="eastAsia"/>
                <w:bCs/>
                <w:snapToGrid w:val="0"/>
                <w:color w:val="000000" w:themeColor="text1"/>
                <w:sz w:val="24"/>
                <w:highlight w:val="none"/>
                <w14:textFill>
                  <w14:solidFill>
                    <w14:schemeClr w14:val="tx1"/>
                  </w14:solidFill>
                </w14:textFill>
              </w:rPr>
              <w:t>；</w:t>
            </w:r>
            <w:r>
              <w:rPr>
                <w:bCs/>
                <w:snapToGrid w:val="0"/>
                <w:color w:val="000000" w:themeColor="text1"/>
                <w:sz w:val="24"/>
                <w:highlight w:val="none"/>
                <w14:textFill>
                  <w14:solidFill>
                    <w14:schemeClr w14:val="tx1"/>
                  </w14:solidFill>
                </w14:textFill>
              </w:rPr>
              <w:t>隧道窑</w:t>
            </w:r>
            <w:r>
              <w:rPr>
                <w:rFonts w:hint="eastAsia"/>
                <w:bCs/>
                <w:snapToGrid w:val="0"/>
                <w:color w:val="000000" w:themeColor="text1"/>
                <w:sz w:val="24"/>
                <w:highlight w:val="none"/>
                <w:lang w:val="en-US" w:eastAsia="zh-CN"/>
                <w14:textFill>
                  <w14:solidFill>
                    <w14:schemeClr w14:val="tx1"/>
                  </w14:solidFill>
                </w14:textFill>
              </w:rPr>
              <w:t>烟气</w:t>
            </w:r>
            <w:r>
              <w:rPr>
                <w:bCs/>
                <w:snapToGrid w:val="0"/>
                <w:color w:val="000000" w:themeColor="text1"/>
                <w:sz w:val="24"/>
                <w:highlight w:val="none"/>
                <w14:textFill>
                  <w14:solidFill>
                    <w14:schemeClr w14:val="tx1"/>
                  </w14:solidFill>
                </w14:textFill>
              </w:rPr>
              <w:t>中颗粒物、SO</w:t>
            </w:r>
            <w:r>
              <w:rPr>
                <w:bCs/>
                <w:snapToGrid w:val="0"/>
                <w:color w:val="000000" w:themeColor="text1"/>
                <w:sz w:val="24"/>
                <w:highlight w:val="none"/>
                <w:vertAlign w:val="subscript"/>
                <w14:textFill>
                  <w14:solidFill>
                    <w14:schemeClr w14:val="tx1"/>
                  </w14:solidFill>
                </w14:textFill>
              </w:rPr>
              <w:t>2</w:t>
            </w:r>
            <w:r>
              <w:rPr>
                <w:bCs/>
                <w:snapToGrid w:val="0"/>
                <w:color w:val="000000" w:themeColor="text1"/>
                <w:sz w:val="24"/>
                <w:highlight w:val="none"/>
                <w14:textFill>
                  <w14:solidFill>
                    <w14:schemeClr w14:val="tx1"/>
                  </w14:solidFill>
                </w14:textFill>
              </w:rPr>
              <w:t>、NOx执行</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2大气污染物排放限值要求</w:t>
            </w:r>
            <w:r>
              <w:rPr>
                <w:rFonts w:hint="eastAsia"/>
                <w:bCs/>
                <w:snapToGrid w:val="0"/>
                <w:color w:val="000000" w:themeColor="text1"/>
                <w:sz w:val="24"/>
                <w:highlight w:val="none"/>
                <w:lang w:eastAsia="zh-CN"/>
                <w14:textFill>
                  <w14:solidFill>
                    <w14:schemeClr w14:val="tx1"/>
                  </w14:solidFill>
                </w14:textFill>
              </w:rPr>
              <w:t>，</w:t>
            </w:r>
            <w:r>
              <w:rPr>
                <w:bCs/>
                <w:snapToGrid w:val="0"/>
                <w:color w:val="000000" w:themeColor="text1"/>
                <w:sz w:val="24"/>
                <w:highlight w:val="none"/>
                <w14:textFill>
                  <w14:solidFill>
                    <w14:schemeClr w14:val="tx1"/>
                  </w14:solidFill>
                </w14:textFill>
              </w:rPr>
              <w:t>同时</w:t>
            </w:r>
            <w:r>
              <w:rPr>
                <w:rFonts w:hint="eastAsia"/>
                <w:bCs/>
                <w:snapToGrid w:val="0"/>
                <w:color w:val="000000" w:themeColor="text1"/>
                <w:sz w:val="24"/>
                <w:highlight w:val="none"/>
                <w:lang w:val="en-US" w:eastAsia="zh-CN"/>
                <w14:textFill>
                  <w14:solidFill>
                    <w14:schemeClr w14:val="tx1"/>
                  </w14:solidFill>
                </w14:textFill>
              </w:rPr>
              <w:t>企业自愿承诺</w:t>
            </w:r>
            <w:r>
              <w:rPr>
                <w:bCs/>
                <w:snapToGrid w:val="0"/>
                <w:color w:val="000000" w:themeColor="text1"/>
                <w:sz w:val="24"/>
                <w:highlight w:val="none"/>
                <w14:textFill>
                  <w14:solidFill>
                    <w14:schemeClr w14:val="tx1"/>
                  </w14:solidFill>
                </w14:textFill>
              </w:rPr>
              <w:t>SO</w:t>
            </w:r>
            <w:r>
              <w:rPr>
                <w:bCs/>
                <w:snapToGrid w:val="0"/>
                <w:color w:val="000000" w:themeColor="text1"/>
                <w:sz w:val="24"/>
                <w:highlight w:val="none"/>
                <w:vertAlign w:val="subscript"/>
                <w14:textFill>
                  <w14:solidFill>
                    <w14:schemeClr w14:val="tx1"/>
                  </w14:solidFill>
                </w14:textFill>
              </w:rPr>
              <w:t>2</w:t>
            </w:r>
            <w:r>
              <w:rPr>
                <w:rFonts w:hint="eastAsia"/>
                <w:bCs/>
                <w:snapToGrid w:val="0"/>
                <w:color w:val="000000" w:themeColor="text1"/>
                <w:sz w:val="24"/>
                <w:highlight w:val="none"/>
                <w:vertAlign w:val="baseline"/>
                <w:lang w:val="en-US" w:eastAsia="zh-CN"/>
                <w14:textFill>
                  <w14:solidFill>
                    <w14:schemeClr w14:val="tx1"/>
                  </w14:solidFill>
                </w14:textFill>
              </w:rPr>
              <w:t>排放浓度不超过13</w:t>
            </w:r>
            <w:r>
              <w:rPr>
                <w:bCs/>
                <w:snapToGrid w:val="0"/>
                <w:color w:val="000000" w:themeColor="text1"/>
                <w:sz w:val="24"/>
                <w:highlight w:val="none"/>
                <w14:textFill>
                  <w14:solidFill>
                    <w14:schemeClr w14:val="tx1"/>
                  </w14:solidFill>
                </w14:textFill>
              </w:rPr>
              <w:t>mg/m</w:t>
            </w:r>
            <w:r>
              <w:rPr>
                <w:bCs/>
                <w:snapToGrid w:val="0"/>
                <w:color w:val="000000" w:themeColor="text1"/>
                <w:sz w:val="24"/>
                <w:highlight w:val="none"/>
                <w:vertAlign w:val="superscript"/>
                <w14:textFill>
                  <w14:solidFill>
                    <w14:schemeClr w14:val="tx1"/>
                  </w14:solidFill>
                </w14:textFill>
              </w:rPr>
              <w:t>3</w:t>
            </w:r>
            <w:r>
              <w:rPr>
                <w:rFonts w:hint="eastAsia"/>
                <w:bCs/>
                <w:snapToGrid w:val="0"/>
                <w:color w:val="000000" w:themeColor="text1"/>
                <w:sz w:val="24"/>
                <w:highlight w:val="none"/>
                <w:vertAlign w:val="baseline"/>
                <w:lang w:eastAsia="zh-CN"/>
                <w14:textFill>
                  <w14:solidFill>
                    <w14:schemeClr w14:val="tx1"/>
                  </w14:solidFill>
                </w14:textFill>
              </w:rPr>
              <w:t>。</w:t>
            </w:r>
          </w:p>
          <w:p w14:paraId="3004559F">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bCs/>
                <w:snapToGrid w:val="0"/>
                <w:color w:val="000000" w:themeColor="text1"/>
                <w:sz w:val="24"/>
                <w:highlight w:val="none"/>
                <w14:textFill>
                  <w14:solidFill>
                    <w14:schemeClr w14:val="tx1"/>
                  </w14:solidFill>
                </w14:textFill>
              </w:rPr>
              <w:t>废气排放量：</w:t>
            </w:r>
          </w:p>
          <w:p w14:paraId="45594EA6">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bCs/>
                <w:snapToGrid w:val="0"/>
                <w:color w:val="000000" w:themeColor="text1"/>
                <w:sz w:val="24"/>
                <w:highlight w:val="none"/>
                <w14:textFill>
                  <w14:solidFill>
                    <w14:schemeClr w14:val="tx1"/>
                  </w14:solidFill>
                </w14:textFill>
              </w:rPr>
              <w:t>隧道窑烟气量=42980N</w:t>
            </w:r>
            <w:r>
              <w:rPr>
                <w:bCs/>
                <w:snapToGrid w:val="0"/>
                <w:color w:val="000000" w:themeColor="text1"/>
                <w:sz w:val="24"/>
                <w:highlight w:val="none"/>
                <w14:textFill>
                  <w14:solidFill>
                    <w14:schemeClr w14:val="tx1"/>
                  </w14:solidFill>
                </w14:textFill>
              </w:rPr>
              <w:t>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万块标砖</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lang w:val="en-US" w:eastAsia="zh-CN"/>
                <w14:textFill>
                  <w14:solidFill>
                    <w14:schemeClr w14:val="tx1"/>
                  </w14:solidFill>
                </w14:textFill>
              </w:rPr>
              <w:t>40115</w:t>
            </w:r>
            <w:r>
              <w:rPr>
                <w:rFonts w:hint="eastAsia"/>
                <w:bCs/>
                <w:snapToGrid w:val="0"/>
                <w:color w:val="000000" w:themeColor="text1"/>
                <w:sz w:val="24"/>
                <w:highlight w:val="none"/>
                <w14:textFill>
                  <w14:solidFill>
                    <w14:schemeClr w14:val="tx1"/>
                  </w14:solidFill>
                </w14:textFill>
              </w:rPr>
              <w:t>万块标砖/a=</w:t>
            </w:r>
            <w:r>
              <w:rPr>
                <w:rFonts w:hint="eastAsia"/>
                <w:bCs/>
                <w:snapToGrid w:val="0"/>
                <w:color w:val="000000" w:themeColor="text1"/>
                <w:sz w:val="24"/>
                <w:highlight w:val="none"/>
                <w:lang w:val="en-US" w:eastAsia="zh-CN"/>
                <w14:textFill>
                  <w14:solidFill>
                    <w14:schemeClr w14:val="tx1"/>
                  </w14:solidFill>
                </w14:textFill>
              </w:rPr>
              <w:t>172414.27</w:t>
            </w:r>
            <w:r>
              <w:rPr>
                <w:bCs/>
                <w:snapToGrid w:val="0"/>
                <w:color w:val="000000" w:themeColor="text1"/>
                <w:sz w:val="24"/>
                <w:highlight w:val="none"/>
                <w14:textFill>
                  <w14:solidFill>
                    <w14:schemeClr w14:val="tx1"/>
                  </w14:solidFill>
                </w14:textFill>
              </w:rPr>
              <w:t>万m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/a</w:t>
            </w:r>
          </w:p>
          <w:p w14:paraId="2EEF4807">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bCs/>
                <w:snapToGrid w:val="0"/>
                <w:color w:val="000000" w:themeColor="text1"/>
                <w:sz w:val="24"/>
                <w:highlight w:val="none"/>
                <w14:textFill>
                  <w14:solidFill>
                    <w14:schemeClr w14:val="tx1"/>
                  </w14:solidFill>
                </w14:textFill>
              </w:rPr>
              <w:t>原料给料、破碎、筛分、搅拌、窑车吹扫工序废气排放量</w:t>
            </w:r>
            <w:r>
              <w:rPr>
                <w:rFonts w:hint="eastAsia"/>
                <w:bCs/>
                <w:snapToGrid w:val="0"/>
                <w:color w:val="000000" w:themeColor="text1"/>
                <w:sz w:val="24"/>
                <w:highlight w:val="none"/>
                <w14:textFill>
                  <w14:solidFill>
                    <w14:schemeClr w14:val="tx1"/>
                  </w14:solidFill>
                </w14:textFill>
              </w:rPr>
              <w:t>=100000</w:t>
            </w:r>
            <w:r>
              <w:rPr>
                <w:bCs/>
                <w:snapToGrid w:val="0"/>
                <w:color w:val="000000" w:themeColor="text1"/>
                <w:sz w:val="24"/>
                <w:highlight w:val="none"/>
                <w14:textFill>
                  <w14:solidFill>
                    <w14:schemeClr w14:val="tx1"/>
                  </w14:solidFill>
                </w14:textFill>
              </w:rPr>
              <w:t>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h</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 xml:space="preserve"> </w:t>
            </w:r>
            <w:r>
              <w:rPr>
                <w:rFonts w:hint="eastAsia"/>
                <w:bCs/>
                <w:snapToGrid w:val="0"/>
                <w:color w:val="000000" w:themeColor="text1"/>
                <w:sz w:val="24"/>
                <w:highlight w:val="none"/>
                <w:lang w:val="en-US" w:eastAsia="zh-CN"/>
                <w14:textFill>
                  <w14:solidFill>
                    <w14:schemeClr w14:val="tx1"/>
                  </w14:solidFill>
                </w14:textFill>
              </w:rPr>
              <w:t>528</w:t>
            </w:r>
            <w:r>
              <w:rPr>
                <w:rFonts w:hint="eastAsia"/>
                <w:bCs/>
                <w:snapToGrid w:val="0"/>
                <w:color w:val="000000" w:themeColor="text1"/>
                <w:sz w:val="24"/>
                <w:highlight w:val="none"/>
                <w14:textFill>
                  <w14:solidFill>
                    <w14:schemeClr w14:val="tx1"/>
                  </w14:solidFill>
                </w14:textFill>
              </w:rPr>
              <w:t>0h/a+24000</w:t>
            </w:r>
            <w:r>
              <w:rPr>
                <w:bCs/>
                <w:snapToGrid w:val="0"/>
                <w:color w:val="000000" w:themeColor="text1"/>
                <w:sz w:val="24"/>
                <w:highlight w:val="none"/>
                <w14:textFill>
                  <w14:solidFill>
                    <w14:schemeClr w14:val="tx1"/>
                  </w14:solidFill>
                </w14:textFill>
              </w:rPr>
              <w:t>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h</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lang w:val="en-US" w:eastAsia="zh-CN"/>
                <w14:textFill>
                  <w14:solidFill>
                    <w14:schemeClr w14:val="tx1"/>
                  </w14:solidFill>
                </w14:textFill>
              </w:rPr>
              <w:t>528</w:t>
            </w:r>
            <w:r>
              <w:rPr>
                <w:rFonts w:hint="eastAsia"/>
                <w:bCs/>
                <w:snapToGrid w:val="0"/>
                <w:color w:val="000000" w:themeColor="text1"/>
                <w:sz w:val="24"/>
                <w:highlight w:val="none"/>
                <w14:textFill>
                  <w14:solidFill>
                    <w14:schemeClr w14:val="tx1"/>
                  </w14:solidFill>
                </w14:textFill>
              </w:rPr>
              <w:t>0h/a=</w:t>
            </w:r>
            <w:r>
              <w:rPr>
                <w:rFonts w:hint="eastAsia"/>
                <w:bCs/>
                <w:snapToGrid w:val="0"/>
                <w:color w:val="000000" w:themeColor="text1"/>
                <w:sz w:val="24"/>
                <w:highlight w:val="none"/>
                <w:lang w:val="en-US" w:eastAsia="zh-CN"/>
                <w14:textFill>
                  <w14:solidFill>
                    <w14:schemeClr w14:val="tx1"/>
                  </w14:solidFill>
                </w14:textFill>
              </w:rPr>
              <w:t>65472</w:t>
            </w:r>
            <w:r>
              <w:rPr>
                <w:bCs/>
                <w:snapToGrid w:val="0"/>
                <w:color w:val="000000" w:themeColor="text1"/>
                <w:sz w:val="24"/>
                <w:highlight w:val="none"/>
                <w14:textFill>
                  <w14:solidFill>
                    <w14:schemeClr w14:val="tx1"/>
                  </w14:solidFill>
                </w14:textFill>
              </w:rPr>
              <w:t>万m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/a</w:t>
            </w:r>
          </w:p>
          <w:p w14:paraId="1F9EFCE9">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ascii="宋体" w:hAnsi="宋体" w:cs="宋体"/>
                <w:bCs/>
                <w:snapToGrid w:val="0"/>
                <w:color w:val="000000" w:themeColor="text1"/>
                <w:sz w:val="24"/>
                <w:highlight w:val="none"/>
                <w14:textFill>
                  <w14:solidFill>
                    <w14:schemeClr w14:val="tx1"/>
                  </w14:solidFill>
                </w14:textFill>
              </w:rPr>
              <w:t>⑵</w:t>
            </w:r>
            <w:r>
              <w:rPr>
                <w:bCs/>
                <w:snapToGrid w:val="0"/>
                <w:color w:val="000000" w:themeColor="text1"/>
                <w:sz w:val="24"/>
                <w:highlight w:val="none"/>
                <w14:textFill>
                  <w14:solidFill>
                    <w14:schemeClr w14:val="tx1"/>
                  </w14:solidFill>
                </w14:textFill>
              </w:rPr>
              <w:t>计算过程</w:t>
            </w:r>
          </w:p>
          <w:p w14:paraId="3206C62D">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bCs/>
                <w:snapToGrid w:val="0"/>
                <w:color w:val="000000" w:themeColor="text1"/>
                <w:sz w:val="24"/>
                <w:highlight w:val="none"/>
                <w14:textFill>
                  <w14:solidFill>
                    <w14:schemeClr w14:val="tx1"/>
                  </w14:solidFill>
                </w14:textFill>
              </w:rPr>
              <w:t>SO</w:t>
            </w:r>
            <w:r>
              <w:rPr>
                <w:bCs/>
                <w:snapToGrid w:val="0"/>
                <w:color w:val="000000" w:themeColor="text1"/>
                <w:sz w:val="24"/>
                <w:highlight w:val="none"/>
                <w:vertAlign w:val="subscript"/>
                <w14:textFill>
                  <w14:solidFill>
                    <w14:schemeClr w14:val="tx1"/>
                  </w14:solidFill>
                </w14:textFill>
              </w:rPr>
              <w:t>2</w:t>
            </w:r>
            <w:r>
              <w:rPr>
                <w:bCs/>
                <w:snapToGrid w:val="0"/>
                <w:color w:val="000000" w:themeColor="text1"/>
                <w:sz w:val="24"/>
                <w:highlight w:val="none"/>
                <w14:textFill>
                  <w14:solidFill>
                    <w14:schemeClr w14:val="tx1"/>
                  </w14:solidFill>
                </w14:textFill>
              </w:rPr>
              <w:t>总量</w:t>
            </w:r>
            <w:r>
              <w:rPr>
                <w:rFonts w:hint="eastAsia"/>
                <w:bCs/>
                <w:snapToGrid w:val="0"/>
                <w:color w:val="000000" w:themeColor="text1"/>
                <w:sz w:val="24"/>
                <w:highlight w:val="none"/>
                <w14:textFill>
                  <w14:solidFill>
                    <w14:schemeClr w14:val="tx1"/>
                  </w14:solidFill>
                </w14:textFill>
              </w:rPr>
              <w:t>控制指标=</w:t>
            </w:r>
            <w:r>
              <w:rPr>
                <w:rFonts w:hint="eastAsia"/>
                <w:bCs/>
                <w:snapToGrid w:val="0"/>
                <w:color w:val="000000" w:themeColor="text1"/>
                <w:sz w:val="24"/>
                <w:highlight w:val="none"/>
                <w:lang w:val="en-US" w:eastAsia="zh-CN"/>
                <w14:textFill>
                  <w14:solidFill>
                    <w14:schemeClr w14:val="tx1"/>
                  </w14:solidFill>
                </w14:textFill>
              </w:rPr>
              <w:t>13</w:t>
            </w:r>
            <w:r>
              <w:rPr>
                <w:bCs/>
                <w:snapToGrid w:val="0"/>
                <w:color w:val="000000" w:themeColor="text1"/>
                <w:sz w:val="24"/>
                <w:highlight w:val="none"/>
                <w14:textFill>
                  <w14:solidFill>
                    <w14:schemeClr w14:val="tx1"/>
                  </w14:solidFill>
                </w14:textFill>
              </w:rPr>
              <w:t>mg/m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lang w:val="en-US" w:eastAsia="zh-CN"/>
                <w14:textFill>
                  <w14:solidFill>
                    <w14:schemeClr w14:val="tx1"/>
                  </w14:solidFill>
                </w14:textFill>
              </w:rPr>
              <w:t>172414.27</w:t>
            </w:r>
            <w:r>
              <w:rPr>
                <w:bCs/>
                <w:snapToGrid w:val="0"/>
                <w:color w:val="000000" w:themeColor="text1"/>
                <w:sz w:val="24"/>
                <w:highlight w:val="none"/>
                <w14:textFill>
                  <w14:solidFill>
                    <w14:schemeClr w14:val="tx1"/>
                  </w14:solidFill>
                </w14:textFill>
              </w:rPr>
              <w:t>万m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/a×10</w:t>
            </w:r>
            <w:r>
              <w:rPr>
                <w:bCs/>
                <w:snapToGrid w:val="0"/>
                <w:color w:val="000000" w:themeColor="text1"/>
                <w:sz w:val="24"/>
                <w:highlight w:val="none"/>
                <w:vertAlign w:val="superscript"/>
                <w14:textFill>
                  <w14:solidFill>
                    <w14:schemeClr w14:val="tx1"/>
                  </w14:solidFill>
                </w14:textFill>
              </w:rPr>
              <w:t>-9</w:t>
            </w:r>
            <w:r>
              <w:rPr>
                <w:bCs/>
                <w:snapToGrid w:val="0"/>
                <w:color w:val="000000" w:themeColor="text1"/>
                <w:sz w:val="24"/>
                <w:highlight w:val="none"/>
                <w14:textFill>
                  <w14:solidFill>
                    <w14:schemeClr w14:val="tx1"/>
                  </w14:solidFill>
                </w14:textFill>
              </w:rPr>
              <w:t>t/mg=</w:t>
            </w:r>
            <w:r>
              <w:rPr>
                <w:rFonts w:hint="eastAsia"/>
                <w:bCs/>
                <w:snapToGrid w:val="0"/>
                <w:color w:val="000000" w:themeColor="text1"/>
                <w:sz w:val="24"/>
                <w:highlight w:val="none"/>
                <w14:textFill>
                  <w14:solidFill>
                    <w14:schemeClr w14:val="tx1"/>
                  </w14:solidFill>
                </w14:textFill>
              </w:rPr>
              <w:t>22.</w:t>
            </w:r>
            <w:r>
              <w:rPr>
                <w:rFonts w:hint="eastAsia"/>
                <w:bCs/>
                <w:snapToGrid w:val="0"/>
                <w:color w:val="000000" w:themeColor="text1"/>
                <w:sz w:val="24"/>
                <w:highlight w:val="none"/>
                <w:lang w:val="en-US" w:eastAsia="zh-CN"/>
                <w14:textFill>
                  <w14:solidFill>
                    <w14:schemeClr w14:val="tx1"/>
                  </w14:solidFill>
                </w14:textFill>
              </w:rPr>
              <w:t>414</w:t>
            </w:r>
            <w:r>
              <w:rPr>
                <w:bCs/>
                <w:snapToGrid w:val="0"/>
                <w:color w:val="000000" w:themeColor="text1"/>
                <w:sz w:val="24"/>
                <w:highlight w:val="none"/>
                <w14:textFill>
                  <w14:solidFill>
                    <w14:schemeClr w14:val="tx1"/>
                  </w14:solidFill>
                </w14:textFill>
              </w:rPr>
              <w:t>t/a</w:t>
            </w:r>
          </w:p>
          <w:p w14:paraId="7E098C37">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bCs/>
                <w:snapToGrid w:val="0"/>
                <w:color w:val="000000" w:themeColor="text1"/>
                <w:sz w:val="24"/>
                <w:highlight w:val="none"/>
                <w14:textFill>
                  <w14:solidFill>
                    <w14:schemeClr w14:val="tx1"/>
                  </w14:solidFill>
                </w14:textFill>
              </w:rPr>
              <w:t>NOx总量</w:t>
            </w:r>
            <w:r>
              <w:rPr>
                <w:rFonts w:hint="eastAsia"/>
                <w:bCs/>
                <w:snapToGrid w:val="0"/>
                <w:color w:val="000000" w:themeColor="text1"/>
                <w:sz w:val="24"/>
                <w:highlight w:val="none"/>
                <w14:textFill>
                  <w14:solidFill>
                    <w14:schemeClr w14:val="tx1"/>
                  </w14:solidFill>
                </w14:textFill>
              </w:rPr>
              <w:t>控制指标=</w:t>
            </w:r>
            <w:r>
              <w:rPr>
                <w:rFonts w:hint="eastAsia"/>
                <w:bCs/>
                <w:snapToGrid w:val="0"/>
                <w:color w:val="000000" w:themeColor="text1"/>
                <w:sz w:val="24"/>
                <w:highlight w:val="none"/>
                <w:lang w:val="en-US" w:eastAsia="zh-CN"/>
                <w14:textFill>
                  <w14:solidFill>
                    <w14:schemeClr w14:val="tx1"/>
                  </w14:solidFill>
                </w14:textFill>
              </w:rPr>
              <w:t>5</w:t>
            </w:r>
            <w:r>
              <w:rPr>
                <w:bCs/>
                <w:snapToGrid w:val="0"/>
                <w:color w:val="000000" w:themeColor="text1"/>
                <w:sz w:val="24"/>
                <w:highlight w:val="none"/>
                <w14:textFill>
                  <w14:solidFill>
                    <w14:schemeClr w14:val="tx1"/>
                  </w14:solidFill>
                </w14:textFill>
              </w:rPr>
              <w:t>0mg/m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lang w:val="en-US" w:eastAsia="zh-CN"/>
                <w14:textFill>
                  <w14:solidFill>
                    <w14:schemeClr w14:val="tx1"/>
                  </w14:solidFill>
                </w14:textFill>
              </w:rPr>
              <w:t>172414.27</w:t>
            </w:r>
            <w:r>
              <w:rPr>
                <w:bCs/>
                <w:snapToGrid w:val="0"/>
                <w:color w:val="000000" w:themeColor="text1"/>
                <w:sz w:val="24"/>
                <w:highlight w:val="none"/>
                <w14:textFill>
                  <w14:solidFill>
                    <w14:schemeClr w14:val="tx1"/>
                  </w14:solidFill>
                </w14:textFill>
              </w:rPr>
              <w:t>万m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/a×10</w:t>
            </w:r>
            <w:r>
              <w:rPr>
                <w:bCs/>
                <w:snapToGrid w:val="0"/>
                <w:color w:val="000000" w:themeColor="text1"/>
                <w:sz w:val="24"/>
                <w:highlight w:val="none"/>
                <w:vertAlign w:val="superscript"/>
                <w14:textFill>
                  <w14:solidFill>
                    <w14:schemeClr w14:val="tx1"/>
                  </w14:solidFill>
                </w14:textFill>
              </w:rPr>
              <w:t>-9</w:t>
            </w:r>
            <w:r>
              <w:rPr>
                <w:bCs/>
                <w:snapToGrid w:val="0"/>
                <w:color w:val="000000" w:themeColor="text1"/>
                <w:sz w:val="24"/>
                <w:highlight w:val="none"/>
                <w14:textFill>
                  <w14:solidFill>
                    <w14:schemeClr w14:val="tx1"/>
                  </w14:solidFill>
                </w14:textFill>
              </w:rPr>
              <w:t>t/mg=</w:t>
            </w:r>
            <w:r>
              <w:rPr>
                <w:rFonts w:hint="eastAsia"/>
                <w:bCs/>
                <w:snapToGrid w:val="0"/>
                <w:color w:val="000000" w:themeColor="text1"/>
                <w:sz w:val="24"/>
                <w:highlight w:val="none"/>
                <w:lang w:val="en-US" w:eastAsia="zh-CN"/>
                <w14:textFill>
                  <w14:solidFill>
                    <w14:schemeClr w14:val="tx1"/>
                  </w14:solidFill>
                </w14:textFill>
              </w:rPr>
              <w:t>86.21</w:t>
            </w:r>
            <w:r>
              <w:rPr>
                <w:bCs/>
                <w:snapToGrid w:val="0"/>
                <w:color w:val="000000" w:themeColor="text1"/>
                <w:sz w:val="24"/>
                <w:highlight w:val="none"/>
                <w14:textFill>
                  <w14:solidFill>
                    <w14:schemeClr w14:val="tx1"/>
                  </w14:solidFill>
                </w14:textFill>
              </w:rPr>
              <w:t>t/a</w:t>
            </w:r>
          </w:p>
          <w:p w14:paraId="6CC17294">
            <w:pPr>
              <w:autoSpaceDE w:val="0"/>
              <w:autoSpaceDN w:val="0"/>
              <w:adjustRightInd w:val="0"/>
              <w:spacing w:line="480" w:lineRule="exact"/>
              <w:ind w:firstLine="480" w:firstLineChars="200"/>
              <w:rPr>
                <w:rFonts w:hint="default" w:eastAsia="宋体"/>
                <w:bCs/>
                <w:snapToGrid w:val="0"/>
                <w:color w:val="000000" w:themeColor="text1"/>
                <w:sz w:val="24"/>
                <w:highlight w:val="none"/>
                <w:lang w:val="en-US" w:eastAsia="zh-CN"/>
                <w14:textFill>
                  <w14:solidFill>
                    <w14:schemeClr w14:val="tx1"/>
                  </w14:solidFill>
                </w14:textFill>
              </w:rPr>
            </w:pPr>
            <w:r>
              <w:rPr>
                <w:rFonts w:hint="eastAsia"/>
                <w:bCs/>
                <w:snapToGrid w:val="0"/>
                <w:color w:val="000000" w:themeColor="text1"/>
                <w:sz w:val="24"/>
                <w:highlight w:val="none"/>
                <w14:textFill>
                  <w14:solidFill>
                    <w14:schemeClr w14:val="tx1"/>
                  </w14:solidFill>
                </w14:textFill>
              </w:rPr>
              <w:t>颗粒物控制指标</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10</w:t>
            </w:r>
            <w:r>
              <w:rPr>
                <w:bCs/>
                <w:snapToGrid w:val="0"/>
                <w:color w:val="000000" w:themeColor="text1"/>
                <w:sz w:val="24"/>
                <w:highlight w:val="none"/>
                <w14:textFill>
                  <w14:solidFill>
                    <w14:schemeClr w14:val="tx1"/>
                  </w14:solidFill>
                </w14:textFill>
              </w:rPr>
              <w:t>mg/m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lang w:val="en-US" w:eastAsia="zh-CN"/>
                <w14:textFill>
                  <w14:solidFill>
                    <w14:schemeClr w14:val="tx1"/>
                  </w14:solidFill>
                </w14:textFill>
              </w:rPr>
              <w:t>65472</w:t>
            </w:r>
            <w:r>
              <w:rPr>
                <w:bCs/>
                <w:snapToGrid w:val="0"/>
                <w:color w:val="000000" w:themeColor="text1"/>
                <w:sz w:val="24"/>
                <w:highlight w:val="none"/>
                <w14:textFill>
                  <w14:solidFill>
                    <w14:schemeClr w14:val="tx1"/>
                  </w14:solidFill>
                </w14:textFill>
              </w:rPr>
              <w:t>万m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/a×10</w:t>
            </w:r>
            <w:r>
              <w:rPr>
                <w:bCs/>
                <w:snapToGrid w:val="0"/>
                <w:color w:val="000000" w:themeColor="text1"/>
                <w:sz w:val="24"/>
                <w:highlight w:val="none"/>
                <w:vertAlign w:val="superscript"/>
                <w14:textFill>
                  <w14:solidFill>
                    <w14:schemeClr w14:val="tx1"/>
                  </w14:solidFill>
                </w14:textFill>
              </w:rPr>
              <w:t>-9</w:t>
            </w:r>
            <w:r>
              <w:rPr>
                <w:bCs/>
                <w:snapToGrid w:val="0"/>
                <w:color w:val="000000" w:themeColor="text1"/>
                <w:sz w:val="24"/>
                <w:highlight w:val="none"/>
                <w14:textFill>
                  <w14:solidFill>
                    <w14:schemeClr w14:val="tx1"/>
                  </w14:solidFill>
                </w14:textFill>
              </w:rPr>
              <w:t>t/mg</w:t>
            </w:r>
            <w:r>
              <w:rPr>
                <w:rFonts w:hint="eastAsia"/>
                <w:bCs/>
                <w:snapToGrid w:val="0"/>
                <w:color w:val="000000" w:themeColor="text1"/>
                <w:sz w:val="24"/>
                <w:highlight w:val="none"/>
                <w14:textFill>
                  <w14:solidFill>
                    <w14:schemeClr w14:val="tx1"/>
                  </w14:solidFill>
                </w14:textFill>
              </w:rPr>
              <w:t>+10</w:t>
            </w:r>
            <w:r>
              <w:rPr>
                <w:bCs/>
                <w:snapToGrid w:val="0"/>
                <w:color w:val="000000" w:themeColor="text1"/>
                <w:sz w:val="24"/>
                <w:highlight w:val="none"/>
                <w14:textFill>
                  <w14:solidFill>
                    <w14:schemeClr w14:val="tx1"/>
                  </w14:solidFill>
                </w14:textFill>
              </w:rPr>
              <w:t>mg/m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lang w:val="en-US" w:eastAsia="zh-CN"/>
                <w14:textFill>
                  <w14:solidFill>
                    <w14:schemeClr w14:val="tx1"/>
                  </w14:solidFill>
                </w14:textFill>
              </w:rPr>
              <w:t>172414.27</w:t>
            </w:r>
            <w:r>
              <w:rPr>
                <w:bCs/>
                <w:snapToGrid w:val="0"/>
                <w:color w:val="000000" w:themeColor="text1"/>
                <w:sz w:val="24"/>
                <w:highlight w:val="none"/>
                <w14:textFill>
                  <w14:solidFill>
                    <w14:schemeClr w14:val="tx1"/>
                  </w14:solidFill>
                </w14:textFill>
              </w:rPr>
              <w:t>万m</w:t>
            </w:r>
            <w:r>
              <w:rPr>
                <w:bCs/>
                <w:snapToGrid w:val="0"/>
                <w:color w:val="000000" w:themeColor="text1"/>
                <w:sz w:val="24"/>
                <w:highlight w:val="none"/>
                <w:vertAlign w:val="superscript"/>
                <w14:textFill>
                  <w14:solidFill>
                    <w14:schemeClr w14:val="tx1"/>
                  </w14:solidFill>
                </w14:textFill>
              </w:rPr>
              <w:t>3</w:t>
            </w:r>
            <w:r>
              <w:rPr>
                <w:bCs/>
                <w:snapToGrid w:val="0"/>
                <w:color w:val="000000" w:themeColor="text1"/>
                <w:sz w:val="24"/>
                <w:highlight w:val="none"/>
                <w14:textFill>
                  <w14:solidFill>
                    <w14:schemeClr w14:val="tx1"/>
                  </w14:solidFill>
                </w14:textFill>
              </w:rPr>
              <w:t>/a×10</w:t>
            </w:r>
            <w:r>
              <w:rPr>
                <w:bCs/>
                <w:snapToGrid w:val="0"/>
                <w:color w:val="000000" w:themeColor="text1"/>
                <w:sz w:val="24"/>
                <w:highlight w:val="none"/>
                <w:vertAlign w:val="superscript"/>
                <w14:textFill>
                  <w14:solidFill>
                    <w14:schemeClr w14:val="tx1"/>
                  </w14:solidFill>
                </w14:textFill>
              </w:rPr>
              <w:t>-9</w:t>
            </w:r>
            <w:r>
              <w:rPr>
                <w:rFonts w:hint="eastAsia"/>
                <w:bCs/>
                <w:snapToGrid w:val="0"/>
                <w:color w:val="000000" w:themeColor="text1"/>
                <w:sz w:val="24"/>
                <w:highlight w:val="none"/>
                <w:vertAlign w:val="superscript"/>
                <w14:textFill>
                  <w14:solidFill>
                    <w14:schemeClr w14:val="tx1"/>
                  </w14:solidFill>
                </w14:textFill>
              </w:rPr>
              <w:t xml:space="preserve"> </w:t>
            </w:r>
            <w:r>
              <w:rPr>
                <w:bCs/>
                <w:snapToGrid w:val="0"/>
                <w:color w:val="000000" w:themeColor="text1"/>
                <w:sz w:val="24"/>
                <w:highlight w:val="none"/>
                <w14:textFill>
                  <w14:solidFill>
                    <w14:schemeClr w14:val="tx1"/>
                  </w14:solidFill>
                </w14:textFill>
              </w:rPr>
              <w:t>t/mg=</w:t>
            </w:r>
            <w:r>
              <w:rPr>
                <w:rFonts w:hint="eastAsia"/>
                <w:bCs/>
                <w:snapToGrid w:val="0"/>
                <w:color w:val="000000" w:themeColor="text1"/>
                <w:sz w:val="24"/>
                <w:highlight w:val="none"/>
                <w:lang w:val="en-US" w:eastAsia="zh-CN"/>
                <w14:textFill>
                  <w14:solidFill>
                    <w14:schemeClr w14:val="tx1"/>
                  </w14:solidFill>
                </w14:textFill>
              </w:rPr>
              <w:t>23.79</w:t>
            </w:r>
            <w:r>
              <w:rPr>
                <w:bCs/>
                <w:snapToGrid w:val="0"/>
                <w:color w:val="000000" w:themeColor="text1"/>
                <w:sz w:val="24"/>
                <w:highlight w:val="none"/>
                <w14:textFill>
                  <w14:solidFill>
                    <w14:schemeClr w14:val="tx1"/>
                  </w14:solidFill>
                </w14:textFill>
              </w:rPr>
              <w:t>t/a</w:t>
            </w:r>
          </w:p>
          <w:p w14:paraId="4EDDCE20">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ascii="宋体" w:hAnsi="宋体" w:cs="宋体"/>
                <w:bCs/>
                <w:snapToGrid w:val="0"/>
                <w:color w:val="000000" w:themeColor="text1"/>
                <w:sz w:val="24"/>
                <w:highlight w:val="none"/>
                <w14:textFill>
                  <w14:solidFill>
                    <w14:schemeClr w14:val="tx1"/>
                  </w14:solidFill>
                </w14:textFill>
              </w:rPr>
              <w:t>⑶</w:t>
            </w:r>
            <w:r>
              <w:rPr>
                <w:bCs/>
                <w:snapToGrid w:val="0"/>
                <w:color w:val="000000" w:themeColor="text1"/>
                <w:sz w:val="24"/>
                <w:highlight w:val="none"/>
                <w14:textFill>
                  <w14:solidFill>
                    <w14:schemeClr w14:val="tx1"/>
                  </w14:solidFill>
                </w14:textFill>
              </w:rPr>
              <w:t>总量指标</w:t>
            </w:r>
          </w:p>
          <w:p w14:paraId="2F81E5F0">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bCs/>
                <w:snapToGrid w:val="0"/>
                <w:color w:val="000000" w:themeColor="text1"/>
                <w:sz w:val="24"/>
                <w:highlight w:val="none"/>
                <w14:textFill>
                  <w14:solidFill>
                    <w14:schemeClr w14:val="tx1"/>
                  </w14:solidFill>
                </w14:textFill>
              </w:rPr>
              <w:t>本项目总量控制指标为SO</w:t>
            </w:r>
            <w:r>
              <w:rPr>
                <w:bCs/>
                <w:snapToGrid w:val="0"/>
                <w:color w:val="000000" w:themeColor="text1"/>
                <w:sz w:val="24"/>
                <w:highlight w:val="none"/>
                <w:vertAlign w:val="subscript"/>
                <w14:textFill>
                  <w14:solidFill>
                    <w14:schemeClr w14:val="tx1"/>
                  </w14:solidFill>
                </w14:textFill>
              </w:rPr>
              <w:t>2</w:t>
            </w:r>
            <w:r>
              <w:rPr>
                <w:bCs/>
                <w:snapToGrid w:val="0"/>
                <w:color w:val="000000" w:themeColor="text1"/>
                <w:sz w:val="24"/>
                <w:highlight w:val="none"/>
                <w14:textFill>
                  <w14:solidFill>
                    <w14:schemeClr w14:val="tx1"/>
                  </w14:solidFill>
                </w14:textFill>
              </w:rPr>
              <w:t>：</w:t>
            </w:r>
            <w:r>
              <w:rPr>
                <w:rFonts w:hint="eastAsia"/>
                <w:bCs/>
                <w:snapToGrid w:val="0"/>
                <w:color w:val="000000" w:themeColor="text1"/>
                <w:sz w:val="24"/>
                <w:highlight w:val="none"/>
                <w14:textFill>
                  <w14:solidFill>
                    <w14:schemeClr w14:val="tx1"/>
                  </w14:solidFill>
                </w14:textFill>
              </w:rPr>
              <w:t>22.</w:t>
            </w:r>
            <w:r>
              <w:rPr>
                <w:rFonts w:hint="eastAsia"/>
                <w:bCs/>
                <w:snapToGrid w:val="0"/>
                <w:color w:val="000000" w:themeColor="text1"/>
                <w:sz w:val="24"/>
                <w:highlight w:val="none"/>
                <w:lang w:val="en-US" w:eastAsia="zh-CN"/>
                <w14:textFill>
                  <w14:solidFill>
                    <w14:schemeClr w14:val="tx1"/>
                  </w14:solidFill>
                </w14:textFill>
              </w:rPr>
              <w:t>41</w:t>
            </w:r>
            <w:r>
              <w:rPr>
                <w:bCs/>
                <w:snapToGrid w:val="0"/>
                <w:color w:val="000000" w:themeColor="text1"/>
                <w:sz w:val="24"/>
                <w:highlight w:val="none"/>
                <w14:textFill>
                  <w14:solidFill>
                    <w14:schemeClr w14:val="tx1"/>
                  </w14:solidFill>
                </w14:textFill>
              </w:rPr>
              <w:t>t/a、NOx：</w:t>
            </w:r>
            <w:r>
              <w:rPr>
                <w:rFonts w:hint="eastAsia"/>
                <w:bCs/>
                <w:snapToGrid w:val="0"/>
                <w:color w:val="000000" w:themeColor="text1"/>
                <w:sz w:val="24"/>
                <w:highlight w:val="none"/>
                <w:lang w:val="en-US" w:eastAsia="zh-CN"/>
                <w14:textFill>
                  <w14:solidFill>
                    <w14:schemeClr w14:val="tx1"/>
                  </w14:solidFill>
                </w14:textFill>
              </w:rPr>
              <w:t>86.21</w:t>
            </w:r>
            <w:r>
              <w:rPr>
                <w:bCs/>
                <w:snapToGrid w:val="0"/>
                <w:color w:val="000000" w:themeColor="text1"/>
                <w:sz w:val="24"/>
                <w:highlight w:val="none"/>
                <w14:textFill>
                  <w14:solidFill>
                    <w14:schemeClr w14:val="tx1"/>
                  </w14:solidFill>
                </w14:textFill>
              </w:rPr>
              <w:t>t/a、COD：</w:t>
            </w:r>
            <w:r>
              <w:rPr>
                <w:rFonts w:hint="eastAsia"/>
                <w:bCs/>
                <w:snapToGrid w:val="0"/>
                <w:color w:val="000000" w:themeColor="text1"/>
                <w:sz w:val="24"/>
                <w:highlight w:val="none"/>
                <w14:textFill>
                  <w14:solidFill>
                    <w14:schemeClr w14:val="tx1"/>
                  </w14:solidFill>
                </w14:textFill>
              </w:rPr>
              <w:t xml:space="preserve">0 </w:t>
            </w:r>
            <w:r>
              <w:rPr>
                <w:bCs/>
                <w:snapToGrid w:val="0"/>
                <w:color w:val="000000" w:themeColor="text1"/>
                <w:sz w:val="24"/>
                <w:highlight w:val="none"/>
                <w14:textFill>
                  <w14:solidFill>
                    <w14:schemeClr w14:val="tx1"/>
                  </w14:solidFill>
                </w14:textFill>
              </w:rPr>
              <w:t>t/a、氨氮：</w:t>
            </w:r>
            <w:r>
              <w:rPr>
                <w:rFonts w:hint="eastAsia"/>
                <w:bCs/>
                <w:snapToGrid w:val="0"/>
                <w:color w:val="000000" w:themeColor="text1"/>
                <w:sz w:val="24"/>
                <w:highlight w:val="none"/>
                <w14:textFill>
                  <w14:solidFill>
                    <w14:schemeClr w14:val="tx1"/>
                  </w14:solidFill>
                </w14:textFill>
              </w:rPr>
              <w:t xml:space="preserve">0 </w:t>
            </w:r>
            <w:r>
              <w:rPr>
                <w:bCs/>
                <w:snapToGrid w:val="0"/>
                <w:color w:val="000000" w:themeColor="text1"/>
                <w:sz w:val="24"/>
                <w:highlight w:val="none"/>
                <w14:textFill>
                  <w14:solidFill>
                    <w14:schemeClr w14:val="tx1"/>
                  </w14:solidFill>
                </w14:textFill>
              </w:rPr>
              <w:t>t/a。</w:t>
            </w:r>
            <w:r>
              <w:rPr>
                <w:rFonts w:hint="eastAsia"/>
                <w:bCs/>
                <w:snapToGrid w:val="0"/>
                <w:color w:val="000000" w:themeColor="text1"/>
                <w:sz w:val="24"/>
                <w:highlight w:val="none"/>
                <w14:textFill>
                  <w14:solidFill>
                    <w14:schemeClr w14:val="tx1"/>
                  </w14:solidFill>
                </w14:textFill>
              </w:rPr>
              <w:t>特征污染物为颗粒物，控制指标为</w:t>
            </w:r>
            <w:r>
              <w:rPr>
                <w:rFonts w:hint="eastAsia"/>
                <w:bCs/>
                <w:snapToGrid w:val="0"/>
                <w:color w:val="000000" w:themeColor="text1"/>
                <w:sz w:val="24"/>
                <w:highlight w:val="none"/>
                <w:lang w:val="en-US" w:eastAsia="zh-CN"/>
                <w14:textFill>
                  <w14:solidFill>
                    <w14:schemeClr w14:val="tx1"/>
                  </w14:solidFill>
                </w14:textFill>
              </w:rPr>
              <w:t>23.79</w:t>
            </w:r>
            <w:r>
              <w:rPr>
                <w:bCs/>
                <w:snapToGrid w:val="0"/>
                <w:color w:val="000000" w:themeColor="text1"/>
                <w:sz w:val="24"/>
                <w:highlight w:val="none"/>
                <w14:textFill>
                  <w14:solidFill>
                    <w14:schemeClr w14:val="tx1"/>
                  </w14:solidFill>
                </w14:textFill>
              </w:rPr>
              <w:t>t/a</w:t>
            </w:r>
            <w:r>
              <w:rPr>
                <w:rFonts w:hint="eastAsia"/>
                <w:bCs/>
                <w:snapToGrid w:val="0"/>
                <w:color w:val="000000" w:themeColor="text1"/>
                <w:sz w:val="24"/>
                <w:highlight w:val="none"/>
                <w14:textFill>
                  <w14:solidFill>
                    <w14:schemeClr w14:val="tx1"/>
                  </w14:solidFill>
                </w14:textFill>
              </w:rPr>
              <w:t>。本项目不属于涉重金属重点行业，不需申请重金属总量控制指标。</w:t>
            </w:r>
          </w:p>
          <w:p w14:paraId="6C4B8F60">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r>
              <w:rPr>
                <w:rFonts w:hint="eastAsia"/>
                <w:bCs/>
                <w:snapToGrid w:val="0"/>
                <w:color w:val="000000" w:themeColor="text1"/>
                <w:sz w:val="24"/>
                <w:highlight w:val="none"/>
                <w14:textFill>
                  <w14:solidFill>
                    <w14:schemeClr w14:val="tx1"/>
                  </w14:solidFill>
                </w14:textFill>
              </w:rPr>
              <w:t>本项目建成后，全厂总量控制指标不增加。</w:t>
            </w:r>
          </w:p>
          <w:p w14:paraId="792B389E">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p>
          <w:p w14:paraId="10EDFA7D">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p>
          <w:p w14:paraId="6BE60110">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p>
          <w:p w14:paraId="5FC742FB">
            <w:pPr>
              <w:autoSpaceDE w:val="0"/>
              <w:autoSpaceDN w:val="0"/>
              <w:adjustRightInd w:val="0"/>
              <w:spacing w:line="480" w:lineRule="exact"/>
              <w:ind w:firstLine="480" w:firstLineChars="200"/>
              <w:rPr>
                <w:bCs/>
                <w:snapToGrid w:val="0"/>
                <w:color w:val="000000" w:themeColor="text1"/>
                <w:sz w:val="24"/>
                <w:highlight w:val="none"/>
                <w14:textFill>
                  <w14:solidFill>
                    <w14:schemeClr w14:val="tx1"/>
                  </w14:solidFill>
                </w14:textFill>
              </w:rPr>
            </w:pPr>
          </w:p>
          <w:p w14:paraId="5B19CF37">
            <w:pPr>
              <w:pStyle w:val="48"/>
              <w:spacing w:line="400" w:lineRule="exact"/>
              <w:rPr>
                <w:rFonts w:ascii="Times New Roman"/>
                <w:snapToGrid w:val="0"/>
                <w:color w:val="000000" w:themeColor="text1"/>
                <w:highlight w:val="none"/>
                <w14:textFill>
                  <w14:solidFill>
                    <w14:schemeClr w14:val="tx1"/>
                  </w14:solidFill>
                </w14:textFill>
              </w:rPr>
            </w:pPr>
          </w:p>
        </w:tc>
      </w:tr>
    </w:tbl>
    <w:p w14:paraId="5B744905">
      <w:pPr>
        <w:pStyle w:val="20"/>
        <w:ind w:left="-105" w:right="-105"/>
        <w:jc w:val="center"/>
        <w:outlineLvl w:val="0"/>
        <w:rPr>
          <w:rFonts w:ascii="黑体" w:hAnsi="黑体" w:eastAsia="黑体"/>
          <w:snapToGrid w:val="0"/>
          <w:color w:val="000000" w:themeColor="text1"/>
          <w:sz w:val="30"/>
          <w:szCs w:val="30"/>
          <w:highlight w:val="none"/>
          <w14:textFill>
            <w14:solidFill>
              <w14:schemeClr w14:val="tx1"/>
            </w14:solidFill>
          </w14:textFill>
        </w:rPr>
      </w:pPr>
      <w:r>
        <w:rPr>
          <w:rFonts w:ascii="黑体" w:hAnsi="黑体" w:eastAsia="黑体"/>
          <w:snapToGrid w:val="0"/>
          <w:color w:val="000000" w:themeColor="text1"/>
          <w:sz w:val="36"/>
          <w:szCs w:val="36"/>
          <w:highlight w:val="green"/>
          <w14:textFill>
            <w14:solidFill>
              <w14:schemeClr w14:val="tx1"/>
            </w14:solidFill>
          </w14:textFill>
        </w:rPr>
        <w:br w:type="page"/>
      </w:r>
      <w:bookmarkStart w:id="17" w:name="_Toc112747266"/>
      <w:r>
        <w:rPr>
          <w:rFonts w:hint="eastAsia" w:ascii="黑体" w:hAnsi="黑体" w:eastAsia="黑体"/>
          <w:snapToGrid w:val="0"/>
          <w:color w:val="000000" w:themeColor="text1"/>
          <w:sz w:val="30"/>
          <w:szCs w:val="30"/>
          <w:highlight w:val="none"/>
          <w14:textFill>
            <w14:solidFill>
              <w14:schemeClr w14:val="tx1"/>
            </w14:solidFill>
          </w14:textFill>
        </w:rPr>
        <w:t>四、主要环境影响和保护措施</w:t>
      </w:r>
      <w:bookmarkEnd w:id="17"/>
    </w:p>
    <w:tbl>
      <w:tblPr>
        <w:tblStyle w:val="24"/>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08"/>
      </w:tblGrid>
      <w:tr w14:paraId="7C7B55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8908" w:type="dxa"/>
            <w:tcMar>
              <w:left w:w="28" w:type="dxa"/>
              <w:right w:w="28" w:type="dxa"/>
            </w:tcMar>
            <w:vAlign w:val="center"/>
          </w:tcPr>
          <w:p w14:paraId="5F927368">
            <w:pPr>
              <w:pStyle w:val="20"/>
              <w:adjustRightInd w:val="0"/>
              <w:snapToGrid w:val="0"/>
              <w:spacing w:before="0" w:beforeAutospacing="0" w:after="0" w:afterAutospacing="0" w:line="500" w:lineRule="exact"/>
              <w:rPr>
                <w:rFonts w:ascii="Times New Roman" w:hAnsi="Times New Roman"/>
                <w:bCs/>
                <w:color w:val="000000" w:themeColor="text1"/>
                <w:kern w:val="2"/>
                <w:szCs w:val="24"/>
                <w:highlight w:val="none"/>
                <w14:textFill>
                  <w14:solidFill>
                    <w14:schemeClr w14:val="tx1"/>
                  </w14:solidFill>
                </w14:textFill>
              </w:rPr>
            </w:pPr>
            <w:r>
              <w:rPr>
                <w:rFonts w:ascii="黑体" w:hAnsi="黑体" w:eastAsia="黑体"/>
                <w:b/>
                <w:color w:val="000000" w:themeColor="text1"/>
                <w:kern w:val="2"/>
                <w:sz w:val="28"/>
                <w:szCs w:val="28"/>
                <w:highlight w:val="none"/>
                <w14:textFill>
                  <w14:solidFill>
                    <w14:schemeClr w14:val="tx1"/>
                  </w14:solidFill>
                </w14:textFill>
              </w:rPr>
              <w:t>施工期环境保护措施</w:t>
            </w:r>
          </w:p>
          <w:p w14:paraId="1A2CA947">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本项目在现有厂区内建设，利用现有生产车间、原料库等，更换现有车间部分设备，利用现有部分设备设施。现有生产车间地面已抗渗混凝土硬化。施工期主要建设1座生活污泥库以及进行设备设施安装调试</w:t>
            </w:r>
            <w:r>
              <w:rPr>
                <w:rFonts w:hint="eastAsia"/>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施工期短，施工期影响较小</w:t>
            </w:r>
            <w:r>
              <w:rPr>
                <w:rFonts w:hint="eastAsia"/>
                <w:color w:val="000000" w:themeColor="text1"/>
                <w:sz w:val="24"/>
                <w:highlight w:val="none"/>
                <w14:textFill>
                  <w14:solidFill>
                    <w14:schemeClr w14:val="tx1"/>
                  </w14:solidFill>
                </w14:textFill>
              </w:rPr>
              <w:t>，不再对施工期进行分析</w:t>
            </w:r>
            <w:r>
              <w:rPr>
                <w:rFonts w:hint="eastAsia"/>
                <w:bCs/>
                <w:color w:val="000000" w:themeColor="text1"/>
                <w:sz w:val="24"/>
                <w:highlight w:val="none"/>
                <w14:textFill>
                  <w14:solidFill>
                    <w14:schemeClr w14:val="tx1"/>
                  </w14:solidFill>
                </w14:textFill>
              </w:rPr>
              <w:t>。</w:t>
            </w:r>
          </w:p>
        </w:tc>
      </w:tr>
      <w:tr w14:paraId="696D37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8908" w:type="dxa"/>
            <w:tcMar>
              <w:left w:w="28" w:type="dxa"/>
              <w:right w:w="28" w:type="dxa"/>
            </w:tcMar>
            <w:vAlign w:val="center"/>
          </w:tcPr>
          <w:p w14:paraId="4EED6EF6">
            <w:pPr>
              <w:adjustRightInd w:val="0"/>
              <w:snapToGrid w:val="0"/>
              <w:spacing w:line="480" w:lineRule="exact"/>
              <w:rPr>
                <w:bCs/>
                <w:color w:val="000000" w:themeColor="text1"/>
                <w:sz w:val="24"/>
                <w:highlight w:val="none"/>
                <w14:textFill>
                  <w14:solidFill>
                    <w14:schemeClr w14:val="tx1"/>
                  </w14:solidFill>
                </w14:textFill>
              </w:rPr>
            </w:pPr>
            <w:r>
              <w:rPr>
                <w:rFonts w:ascii="黑体" w:hAnsi="黑体" w:eastAsia="黑体"/>
                <w:b/>
                <w:bCs/>
                <w:color w:val="000000" w:themeColor="text1"/>
                <w:sz w:val="28"/>
                <w:szCs w:val="28"/>
                <w:highlight w:val="none"/>
                <w14:textFill>
                  <w14:solidFill>
                    <w14:schemeClr w14:val="tx1"/>
                  </w14:solidFill>
                </w14:textFill>
              </w:rPr>
              <w:t>运营期环境影响和保护措施</w:t>
            </w:r>
          </w:p>
          <w:p w14:paraId="1D273997">
            <w:pPr>
              <w:spacing w:line="48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 废气</w:t>
            </w:r>
          </w:p>
          <w:p w14:paraId="79CDE4D9">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本次改扩建</w:t>
            </w:r>
            <w:r>
              <w:rPr>
                <w:rFonts w:hint="eastAsia"/>
                <w:color w:val="000000" w:themeColor="text1"/>
                <w:sz w:val="24"/>
                <w:highlight w:val="none"/>
                <w:lang w:val="en-US" w:eastAsia="zh-CN"/>
                <w14:textFill>
                  <w14:solidFill>
                    <w14:schemeClr w14:val="tx1"/>
                  </w14:solidFill>
                </w14:textFill>
              </w:rPr>
              <w:t>前后生产工艺不变，</w:t>
            </w:r>
            <w:r>
              <w:rPr>
                <w:rFonts w:hint="eastAsia"/>
                <w:color w:val="000000" w:themeColor="text1"/>
                <w:sz w:val="24"/>
                <w:highlight w:val="none"/>
                <w14:textFill>
                  <w14:solidFill>
                    <w14:schemeClr w14:val="tx1"/>
                  </w14:solidFill>
                </w14:textFill>
              </w:rPr>
              <w:t>项目所用的主要原料为干排淤泥、煤矸石、炉渣、工业污泥、生活污泥、页岩和剥岩废料，根据各原料成分及性质，废气污染物排放因子为：颗粒物、</w:t>
            </w:r>
            <w:r>
              <w:rPr>
                <w:color w:val="000000" w:themeColor="text1"/>
                <w:sz w:val="24"/>
                <w:highlight w:val="none"/>
                <w14:textFill>
                  <w14:solidFill>
                    <w14:schemeClr w14:val="tx1"/>
                  </w14:solidFill>
                </w14:textFill>
              </w:rPr>
              <w:t>二氧化硫、氮氧化物、氟化物、氯化氢、二噁英类、重金属</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氨、硫化氢、臭气浓度</w:t>
            </w:r>
            <w:r>
              <w:rPr>
                <w:rFonts w:hint="eastAsia"/>
                <w:color w:val="000000" w:themeColor="text1"/>
                <w:sz w:val="24"/>
                <w:highlight w:val="none"/>
                <w14:textFill>
                  <w14:solidFill>
                    <w14:schemeClr w14:val="tx1"/>
                  </w14:solidFill>
                </w14:textFill>
              </w:rPr>
              <w:t>。运营</w:t>
            </w:r>
            <w:r>
              <w:rPr>
                <w:color w:val="000000" w:themeColor="text1"/>
                <w:sz w:val="24"/>
                <w:highlight w:val="none"/>
                <w14:textFill>
                  <w14:solidFill>
                    <w14:schemeClr w14:val="tx1"/>
                  </w14:solidFill>
                </w14:textFill>
              </w:rPr>
              <w:t>期废气污染源主要为</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原料给料、破碎、筛分、搅拌、落料、窑车吹扫产生的废气，主要为颗粒物；隧道窑废气，主要为颗粒物、二氧化硫、氮氧化物、氟化物、氯化氢、二噁英类、重金属等；污泥</w:t>
            </w:r>
            <w:r>
              <w:rPr>
                <w:rFonts w:hint="eastAsia"/>
                <w:color w:val="000000" w:themeColor="text1"/>
                <w:sz w:val="24"/>
                <w:highlight w:val="none"/>
                <w14:textFill>
                  <w14:solidFill>
                    <w14:schemeClr w14:val="tx1"/>
                  </w14:solidFill>
                </w14:textFill>
              </w:rPr>
              <w:t>储存</w:t>
            </w:r>
            <w:r>
              <w:rPr>
                <w:color w:val="000000" w:themeColor="text1"/>
                <w:sz w:val="24"/>
                <w:highlight w:val="none"/>
                <w14:textFill>
                  <w14:solidFill>
                    <w14:schemeClr w14:val="tx1"/>
                  </w14:solidFill>
                </w14:textFill>
              </w:rPr>
              <w:t>产生的恶臭气体，主要为氨、硫化氢、臭气浓度</w:t>
            </w:r>
            <w:r>
              <w:rPr>
                <w:rFonts w:hint="eastAsia"/>
                <w:color w:val="000000" w:themeColor="text1"/>
                <w:sz w:val="24"/>
                <w:highlight w:val="none"/>
                <w14:textFill>
                  <w14:solidFill>
                    <w14:schemeClr w14:val="tx1"/>
                  </w14:solidFill>
                </w14:textFill>
              </w:rPr>
              <w:t>；无组织废气</w:t>
            </w:r>
            <w:r>
              <w:rPr>
                <w:color w:val="000000" w:themeColor="text1"/>
                <w:sz w:val="24"/>
                <w:highlight w:val="none"/>
                <w14:textFill>
                  <w14:solidFill>
                    <w14:schemeClr w14:val="tx1"/>
                  </w14:solidFill>
                </w14:textFill>
              </w:rPr>
              <w:t>。</w:t>
            </w:r>
          </w:p>
          <w:p w14:paraId="0C226E6D">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1.1废气达标分析</w:t>
            </w:r>
          </w:p>
          <w:p w14:paraId="1D2B9838">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1.1.1有组织废气</w:t>
            </w:r>
          </w:p>
          <w:p w14:paraId="7F80CD42">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（1）原料给料、破碎、筛分、搅拌、落料、窑车吹扫时产生的废气，主要为颗粒物</w:t>
            </w:r>
          </w:p>
          <w:p w14:paraId="5594892D">
            <w:pPr>
              <w:spacing w:line="480" w:lineRule="exact"/>
              <w:ind w:firstLine="480" w:firstLineChars="200"/>
              <w:rPr>
                <w:color w:val="000000" w:themeColor="text1"/>
                <w:sz w:val="24"/>
                <w:szCs w:val="22"/>
                <w:highlight w:val="none"/>
                <w14:textFill>
                  <w14:solidFill>
                    <w14:schemeClr w14:val="tx1"/>
                  </w14:solidFill>
                </w14:textFill>
              </w:rPr>
            </w:pPr>
            <w:r>
              <w:rPr>
                <w:rFonts w:hint="eastAsia"/>
                <w:color w:val="000000" w:themeColor="text1"/>
                <w:sz w:val="24"/>
                <w:szCs w:val="22"/>
                <w:highlight w:val="none"/>
                <w14:textFill>
                  <w14:solidFill>
                    <w14:schemeClr w14:val="tx1"/>
                  </w14:solidFill>
                </w14:textFill>
              </w:rPr>
              <w:t>本次改扩建煤矸石、页岩等原料</w:t>
            </w:r>
            <w:r>
              <w:rPr>
                <w:color w:val="000000" w:themeColor="text1"/>
                <w:sz w:val="24"/>
                <w:szCs w:val="22"/>
                <w:highlight w:val="none"/>
                <w14:textFill>
                  <w14:solidFill>
                    <w14:schemeClr w14:val="tx1"/>
                  </w14:solidFill>
                </w14:textFill>
              </w:rPr>
              <w:t>给料、破碎、筛分、搅拌、落料</w:t>
            </w:r>
            <w:r>
              <w:rPr>
                <w:rFonts w:hint="eastAsia"/>
                <w:color w:val="000000" w:themeColor="text1"/>
                <w:sz w:val="24"/>
                <w:szCs w:val="22"/>
                <w:highlight w:val="none"/>
                <w14:textFill>
                  <w14:solidFill>
                    <w14:schemeClr w14:val="tx1"/>
                  </w14:solidFill>
                </w14:textFill>
              </w:rPr>
              <w:t>过程及</w:t>
            </w:r>
            <w:r>
              <w:rPr>
                <w:color w:val="000000" w:themeColor="text1"/>
                <w:sz w:val="24"/>
                <w:szCs w:val="22"/>
                <w:highlight w:val="none"/>
                <w14:textFill>
                  <w14:solidFill>
                    <w14:schemeClr w14:val="tx1"/>
                  </w14:solidFill>
                </w14:textFill>
              </w:rPr>
              <w:t>窑车吹扫工序产生颗粒物，</w:t>
            </w:r>
            <w:r>
              <w:rPr>
                <w:rFonts w:hint="eastAsia"/>
                <w:color w:val="000000" w:themeColor="text1"/>
                <w:sz w:val="24"/>
                <w:szCs w:val="22"/>
                <w:highlight w:val="none"/>
                <w14:textFill>
                  <w14:solidFill>
                    <w14:schemeClr w14:val="tx1"/>
                  </w14:solidFill>
                </w14:textFill>
              </w:rPr>
              <w:t>污泥等含水率较大的物料在上料前含水率降至40%，直接经由封闭皮带上料至搅拌机，污泥上料过程不考虑颗粒物产生。项目建成后，产品年产为</w:t>
            </w:r>
            <w:r>
              <w:rPr>
                <w:rFonts w:hint="eastAsia"/>
                <w:color w:val="000000" w:themeColor="text1"/>
                <w:sz w:val="24"/>
                <w:szCs w:val="22"/>
                <w:highlight w:val="none"/>
                <w:lang w:val="en-US" w:eastAsia="zh-CN"/>
                <w14:textFill>
                  <w14:solidFill>
                    <w14:schemeClr w14:val="tx1"/>
                  </w14:solidFill>
                </w14:textFill>
              </w:rPr>
              <w:t>3</w:t>
            </w:r>
            <w:r>
              <w:rPr>
                <w:rFonts w:hint="eastAsia"/>
                <w:color w:val="000000" w:themeColor="text1"/>
                <w:sz w:val="24"/>
                <w:szCs w:val="22"/>
                <w:highlight w:val="none"/>
                <w14:textFill>
                  <w14:solidFill>
                    <w14:schemeClr w14:val="tx1"/>
                  </w14:solidFill>
                </w14:textFill>
              </w:rPr>
              <w:t>2000万块普通页岩砖和多孔页岩砖，根据</w:t>
            </w:r>
            <w:r>
              <w:rPr>
                <w:rFonts w:hint="eastAsia"/>
                <w:bCs/>
                <w:color w:val="000000" w:themeColor="text1"/>
                <w:sz w:val="24"/>
                <w:szCs w:val="22"/>
                <w:highlight w:val="none"/>
                <w14:textFill>
                  <w14:solidFill>
                    <w14:schemeClr w14:val="tx1"/>
                  </w14:solidFill>
                </w14:textFill>
              </w:rPr>
              <w:t>《排污许可证申请与核发技术规范 陶瓷砖瓦工业》（HJ954-2018）附录E折算方法，本项目多孔砖折</w:t>
            </w:r>
            <w:r>
              <w:rPr>
                <w:rFonts w:hint="eastAsia"/>
                <w:bCs/>
                <w:color w:val="000000" w:themeColor="text1"/>
                <w:sz w:val="24"/>
                <w:szCs w:val="22"/>
                <w:highlight w:val="none"/>
                <w:lang w:val="en-US" w:eastAsia="zh-CN"/>
                <w14:textFill>
                  <w14:solidFill>
                    <w14:schemeClr w14:val="tx1"/>
                  </w14:solidFill>
                </w14:textFill>
              </w:rPr>
              <w:t>1.40574</w:t>
            </w:r>
            <w:r>
              <w:rPr>
                <w:rFonts w:hint="eastAsia"/>
                <w:bCs/>
                <w:color w:val="000000" w:themeColor="text1"/>
                <w:sz w:val="24"/>
                <w:szCs w:val="22"/>
                <w:highlight w:val="none"/>
                <w14:textFill>
                  <w14:solidFill>
                    <w14:schemeClr w14:val="tx1"/>
                  </w14:solidFill>
                </w14:textFill>
              </w:rPr>
              <w:t>标砖。改</w:t>
            </w:r>
            <w:r>
              <w:rPr>
                <w:rFonts w:hint="eastAsia"/>
                <w:color w:val="000000" w:themeColor="text1"/>
                <w:sz w:val="24"/>
                <w:szCs w:val="22"/>
                <w:highlight w:val="none"/>
                <w14:textFill>
                  <w14:solidFill>
                    <w14:schemeClr w14:val="tx1"/>
                  </w14:solidFill>
                </w14:textFill>
              </w:rPr>
              <w:t>扩建后年产标砖</w:t>
            </w:r>
            <w:r>
              <w:rPr>
                <w:rFonts w:hint="eastAsia"/>
                <w:color w:val="000000" w:themeColor="text1"/>
                <w:sz w:val="24"/>
                <w:szCs w:val="22"/>
                <w:highlight w:val="none"/>
                <w:lang w:val="en-US" w:eastAsia="zh-CN"/>
                <w14:textFill>
                  <w14:solidFill>
                    <w14:schemeClr w14:val="tx1"/>
                  </w14:solidFill>
                </w14:textFill>
              </w:rPr>
              <w:t>40115</w:t>
            </w:r>
            <w:r>
              <w:rPr>
                <w:rFonts w:hint="eastAsia"/>
                <w:color w:val="000000" w:themeColor="text1"/>
                <w:sz w:val="24"/>
                <w:szCs w:val="22"/>
                <w:highlight w:val="none"/>
                <w14:textFill>
                  <w14:solidFill>
                    <w14:schemeClr w14:val="tx1"/>
                  </w14:solidFill>
                </w14:textFill>
              </w:rPr>
              <w:t>万块。</w:t>
            </w:r>
          </w:p>
          <w:p w14:paraId="443FC012">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w:t>
            </w:r>
            <w:r>
              <w:rPr>
                <w:color w:val="000000" w:themeColor="text1"/>
                <w:sz w:val="24"/>
                <w:highlight w:val="none"/>
                <w14:textFill>
                  <w14:solidFill>
                    <w14:schemeClr w14:val="tx1"/>
                  </w14:solidFill>
                </w14:textFill>
              </w:rPr>
              <w:t>《排放源统计调查产排污核算方法</w:t>
            </w:r>
            <w:r>
              <w:rPr>
                <w:rFonts w:hint="eastAsia"/>
                <w:color w:val="000000" w:themeColor="text1"/>
                <w:sz w:val="24"/>
                <w:highlight w:val="none"/>
                <w14:textFill>
                  <w14:solidFill>
                    <w14:schemeClr w14:val="tx1"/>
                  </w14:solidFill>
                </w14:textFill>
              </w:rPr>
              <w:t>和</w:t>
            </w:r>
            <w:r>
              <w:rPr>
                <w:color w:val="000000" w:themeColor="text1"/>
                <w:sz w:val="24"/>
                <w:highlight w:val="none"/>
                <w14:textFill>
                  <w14:solidFill>
                    <w14:schemeClr w14:val="tx1"/>
                  </w14:solidFill>
                </w14:textFill>
              </w:rPr>
              <w:t>系数手册》中303砖瓦、石材等建筑材料制造行业系数手册</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原料破碎、筛分</w:t>
            </w:r>
            <w:r>
              <w:rPr>
                <w:rFonts w:hint="eastAsia"/>
                <w:color w:val="000000" w:themeColor="text1"/>
                <w:sz w:val="24"/>
                <w:highlight w:val="none"/>
                <w14:textFill>
                  <w14:solidFill>
                    <w14:schemeClr w14:val="tx1"/>
                  </w14:solidFill>
                </w14:textFill>
              </w:rPr>
              <w:t>、成型干燥</w:t>
            </w:r>
            <w:r>
              <w:rPr>
                <w:color w:val="000000" w:themeColor="text1"/>
                <w:sz w:val="24"/>
                <w:highlight w:val="none"/>
                <w14:textFill>
                  <w14:solidFill>
                    <w14:schemeClr w14:val="tx1"/>
                  </w14:solidFill>
                </w14:textFill>
              </w:rPr>
              <w:t>等工序</w:t>
            </w:r>
            <w:r>
              <w:rPr>
                <w:rFonts w:hint="eastAsia"/>
                <w:color w:val="000000" w:themeColor="text1"/>
                <w:sz w:val="24"/>
                <w:highlight w:val="none"/>
                <w14:textFill>
                  <w14:solidFill>
                    <w14:schemeClr w14:val="tx1"/>
                  </w14:solidFill>
                </w14:textFill>
              </w:rPr>
              <w:t>”颗粒物（除窑炉外工艺废气）产污系数为1.23千克/万块标砖，根据核算，本项目</w:t>
            </w:r>
            <w:r>
              <w:rPr>
                <w:color w:val="000000" w:themeColor="text1"/>
                <w:sz w:val="24"/>
                <w:highlight w:val="none"/>
                <w14:textFill>
                  <w14:solidFill>
                    <w14:schemeClr w14:val="tx1"/>
                  </w14:solidFill>
                </w14:textFill>
              </w:rPr>
              <w:t>原料给料、破碎、筛分、搅拌、落料、窑车吹扫过程</w:t>
            </w:r>
            <w:r>
              <w:rPr>
                <w:color w:val="000000" w:themeColor="text1"/>
                <w:sz w:val="24"/>
                <w:szCs w:val="22"/>
                <w:highlight w:val="none"/>
                <w14:textFill>
                  <w14:solidFill>
                    <w14:schemeClr w14:val="tx1"/>
                  </w14:solidFill>
                </w14:textFill>
              </w:rPr>
              <w:t>颗粒物产生量</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49.34</w:t>
            </w:r>
            <w:r>
              <w:rPr>
                <w:rFonts w:hint="eastAsia"/>
                <w:color w:val="000000" w:themeColor="text1"/>
                <w:sz w:val="24"/>
                <w:szCs w:val="22"/>
                <w:highlight w:val="none"/>
                <w14:textFill>
                  <w14:solidFill>
                    <w14:schemeClr w14:val="tx1"/>
                  </w14:solidFill>
                </w14:textFill>
              </w:rPr>
              <w:t>t/a</w:t>
            </w:r>
            <w:r>
              <w:rPr>
                <w:color w:val="000000" w:themeColor="text1"/>
                <w:sz w:val="24"/>
                <w:szCs w:val="22"/>
                <w:highlight w:val="none"/>
                <w14:textFill>
                  <w14:solidFill>
                    <w14:schemeClr w14:val="tx1"/>
                  </w14:solidFill>
                </w14:textFill>
              </w:rPr>
              <w:t>。</w:t>
            </w:r>
          </w:p>
          <w:p w14:paraId="4C7249A5">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治理措施：</w:t>
            </w:r>
            <w:r>
              <w:rPr>
                <w:color w:val="000000" w:themeColor="text1"/>
                <w:sz w:val="24"/>
                <w:highlight w:val="none"/>
                <w14:textFill>
                  <w14:solidFill>
                    <w14:schemeClr w14:val="tx1"/>
                  </w14:solidFill>
                </w14:textFill>
              </w:rPr>
              <w:t>页岩</w:t>
            </w:r>
            <w:r>
              <w:rPr>
                <w:rFonts w:hint="eastAsia"/>
                <w:color w:val="000000" w:themeColor="text1"/>
                <w:sz w:val="24"/>
                <w:highlight w:val="none"/>
                <w14:textFill>
                  <w14:solidFill>
                    <w14:schemeClr w14:val="tx1"/>
                  </w14:solidFill>
                </w14:textFill>
              </w:rPr>
              <w:t>及其替代原料</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煤矸石及其替代原料</w:t>
            </w:r>
            <w:r>
              <w:rPr>
                <w:color w:val="000000" w:themeColor="text1"/>
                <w:sz w:val="24"/>
                <w:highlight w:val="none"/>
                <w14:textFill>
                  <w14:solidFill>
                    <w14:schemeClr w14:val="tx1"/>
                  </w14:solidFill>
                </w14:textFill>
              </w:rPr>
              <w:t>给料、破碎、筛分、搅拌、落料、窑车吹扫时产生的颗粒物，</w:t>
            </w:r>
            <w:r>
              <w:rPr>
                <w:rFonts w:hint="eastAsia"/>
                <w:color w:val="000000" w:themeColor="text1"/>
                <w:sz w:val="24"/>
                <w:highlight w:val="none"/>
                <w14:textFill>
                  <w14:solidFill>
                    <w14:schemeClr w14:val="tx1"/>
                  </w14:solidFill>
                </w14:textFill>
              </w:rPr>
              <w:t>利用现有废气收集及治理设施，本次将原有</w:t>
            </w:r>
            <w:r>
              <w:rPr>
                <w:color w:val="000000" w:themeColor="text1"/>
                <w:sz w:val="24"/>
                <w:highlight w:val="none"/>
                <w14:textFill>
                  <w14:solidFill>
                    <w14:schemeClr w14:val="tx1"/>
                  </w14:solidFill>
                </w14:textFill>
              </w:rPr>
              <w:t>给料、破碎、筛分、搅拌</w:t>
            </w:r>
            <w:r>
              <w:rPr>
                <w:rFonts w:hint="eastAsia"/>
                <w:color w:val="000000" w:themeColor="text1"/>
                <w:sz w:val="24"/>
                <w:highlight w:val="none"/>
                <w14:textFill>
                  <w14:solidFill>
                    <w14:schemeClr w14:val="tx1"/>
                  </w14:solidFill>
                </w14:textFill>
              </w:rPr>
              <w:t>等设备均进行更换，提升生产能力，同时为破碎煤矸石中的大块，增加1台</w:t>
            </w:r>
            <w:r>
              <w:rPr>
                <w:color w:val="000000" w:themeColor="text1"/>
                <w:sz w:val="24"/>
                <w:highlight w:val="none"/>
                <w14:textFill>
                  <w14:solidFill>
                    <w14:schemeClr w14:val="tx1"/>
                  </w14:solidFill>
                </w14:textFill>
              </w:rPr>
              <w:t>颚式破碎机</w:t>
            </w:r>
            <w:r>
              <w:rPr>
                <w:rFonts w:hint="eastAsia"/>
                <w:color w:val="000000" w:themeColor="text1"/>
                <w:sz w:val="24"/>
                <w:highlight w:val="none"/>
                <w14:textFill>
                  <w14:solidFill>
                    <w14:schemeClr w14:val="tx1"/>
                  </w14:solidFill>
                </w14:textFill>
              </w:rPr>
              <w:t>，将新增</w:t>
            </w:r>
            <w:r>
              <w:rPr>
                <w:color w:val="000000" w:themeColor="text1"/>
                <w:sz w:val="24"/>
                <w:highlight w:val="none"/>
                <w14:textFill>
                  <w14:solidFill>
                    <w14:schemeClr w14:val="tx1"/>
                  </w14:solidFill>
                </w14:textFill>
              </w:rPr>
              <w:t>颚式破碎机</w:t>
            </w:r>
            <w:r>
              <w:rPr>
                <w:rFonts w:hint="eastAsia"/>
                <w:color w:val="000000" w:themeColor="text1"/>
                <w:sz w:val="24"/>
                <w:highlight w:val="none"/>
                <w14:textFill>
                  <w14:solidFill>
                    <w14:schemeClr w14:val="tx1"/>
                  </w14:solidFill>
                </w14:textFill>
              </w:rPr>
              <w:t>置于地下，进行封闭并设置集尘管道，废气引入现有袋式除尘器处理后经现有15m排气筒（</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2）排放。</w:t>
            </w:r>
          </w:p>
          <w:p w14:paraId="26AE62D4">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具体治理措施为：</w:t>
            </w:r>
            <w:r>
              <w:rPr>
                <w:color w:val="000000" w:themeColor="text1"/>
                <w:sz w:val="24"/>
                <w:highlight w:val="none"/>
                <w14:textFill>
                  <w14:solidFill>
                    <w14:schemeClr w14:val="tx1"/>
                  </w14:solidFill>
                </w14:textFill>
              </w:rPr>
              <w:t>在</w:t>
            </w:r>
            <w:r>
              <w:rPr>
                <w:color w:val="000000" w:themeColor="text1"/>
                <w:sz w:val="24"/>
                <w:szCs w:val="22"/>
                <w:highlight w:val="none"/>
                <w14:textFill>
                  <w14:solidFill>
                    <w14:schemeClr w14:val="tx1"/>
                  </w14:solidFill>
                </w14:textFill>
              </w:rPr>
              <w:t>页岩</w:t>
            </w:r>
            <w:r>
              <w:rPr>
                <w:rFonts w:hint="eastAsia"/>
                <w:color w:val="000000" w:themeColor="text1"/>
                <w:sz w:val="24"/>
                <w:szCs w:val="22"/>
                <w:highlight w:val="none"/>
                <w14:textFill>
                  <w14:solidFill>
                    <w14:schemeClr w14:val="tx1"/>
                  </w14:solidFill>
                </w14:textFill>
              </w:rPr>
              <w:t>、干排淤泥</w:t>
            </w:r>
            <w:r>
              <w:rPr>
                <w:color w:val="000000" w:themeColor="text1"/>
                <w:sz w:val="24"/>
                <w:highlight w:val="none"/>
                <w14:textFill>
                  <w14:solidFill>
                    <w14:schemeClr w14:val="tx1"/>
                  </w14:solidFill>
                </w14:textFill>
              </w:rPr>
              <w:t>给料口采取三面封闭+喷淋，下料口设置全封闭集气罩+引风管，颚式破碎机、锤式破碎机、圆滚筛、搅拌机均封闭处理</w:t>
            </w:r>
            <w:r>
              <w:rPr>
                <w:rFonts w:hint="eastAsia"/>
                <w:color w:val="000000" w:themeColor="text1"/>
                <w:sz w:val="24"/>
                <w:highlight w:val="none"/>
                <w14:textFill>
                  <w14:solidFill>
                    <w14:schemeClr w14:val="tx1"/>
                  </w14:solidFill>
                </w14:textFill>
              </w:rPr>
              <w:t>，入料口设集气罩和集尘管道</w:t>
            </w:r>
            <w:r>
              <w:rPr>
                <w:color w:val="000000" w:themeColor="text1"/>
                <w:sz w:val="24"/>
                <w:highlight w:val="none"/>
                <w14:textFill>
                  <w14:solidFill>
                    <w14:schemeClr w14:val="tx1"/>
                  </w14:solidFill>
                </w14:textFill>
              </w:rPr>
              <w:t>，全封闭皮带通廊转运点均设置集气罩，将上述废气均引至脉冲布袋除尘器处理后，经1</w:t>
            </w:r>
            <w:r>
              <w:rPr>
                <w:rFonts w:hint="eastAsia"/>
                <w:color w:val="000000" w:themeColor="text1"/>
                <w:sz w:val="24"/>
                <w:highlight w:val="none"/>
                <w14:textFill>
                  <w14:solidFill>
                    <w14:schemeClr w14:val="tx1"/>
                  </w14:solidFill>
                </w14:textFill>
              </w:rPr>
              <w:t>根</w:t>
            </w:r>
            <w:r>
              <w:rPr>
                <w:color w:val="000000" w:themeColor="text1"/>
                <w:sz w:val="24"/>
                <w:highlight w:val="none"/>
                <w14:textFill>
                  <w14:solidFill>
                    <w14:schemeClr w14:val="tx1"/>
                  </w14:solidFill>
                </w14:textFill>
              </w:rPr>
              <w:t>15m高排气筒（DA00</w:t>
            </w: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）排放；在</w:t>
            </w:r>
            <w:r>
              <w:rPr>
                <w:rFonts w:hint="eastAsia"/>
                <w:color w:val="000000" w:themeColor="text1"/>
                <w:sz w:val="24"/>
                <w:szCs w:val="22"/>
                <w:highlight w:val="none"/>
                <w14:textFill>
                  <w14:solidFill>
                    <w14:schemeClr w14:val="tx1"/>
                  </w14:solidFill>
                </w14:textFill>
              </w:rPr>
              <w:t>煤矸石、炉渣</w:t>
            </w:r>
            <w:r>
              <w:rPr>
                <w:color w:val="000000" w:themeColor="text1"/>
                <w:sz w:val="24"/>
                <w:highlight w:val="none"/>
                <w14:textFill>
                  <w14:solidFill>
                    <w14:schemeClr w14:val="tx1"/>
                  </w14:solidFill>
                </w14:textFill>
              </w:rPr>
              <w:t>给料口采取三面封闭+喷淋，下料口设置全封闭集气罩+引风管，颚式破碎机、锤式破碎机、圆滚筛均封闭处理</w:t>
            </w:r>
            <w:r>
              <w:rPr>
                <w:rFonts w:hint="eastAsia"/>
                <w:color w:val="000000" w:themeColor="text1"/>
                <w:sz w:val="24"/>
                <w:highlight w:val="none"/>
                <w14:textFill>
                  <w14:solidFill>
                    <w14:schemeClr w14:val="tx1"/>
                  </w14:solidFill>
                </w14:textFill>
              </w:rPr>
              <w:t>，入料口设集气罩和集尘管道</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煤矸石储料仓封闭设集尘管道，</w:t>
            </w:r>
            <w:r>
              <w:rPr>
                <w:color w:val="000000" w:themeColor="text1"/>
                <w:sz w:val="24"/>
                <w:highlight w:val="none"/>
                <w14:textFill>
                  <w14:solidFill>
                    <w14:schemeClr w14:val="tx1"/>
                  </w14:solidFill>
                </w14:textFill>
              </w:rPr>
              <w:t>全封闭皮带通廊转运点均设置集气罩，将上述废气均引至脉冲布袋除尘器处理后，经1</w:t>
            </w:r>
            <w:r>
              <w:rPr>
                <w:rFonts w:hint="eastAsia"/>
                <w:color w:val="000000" w:themeColor="text1"/>
                <w:sz w:val="24"/>
                <w:highlight w:val="none"/>
                <w14:textFill>
                  <w14:solidFill>
                    <w14:schemeClr w14:val="tx1"/>
                  </w14:solidFill>
                </w14:textFill>
              </w:rPr>
              <w:t>根</w:t>
            </w:r>
            <w:r>
              <w:rPr>
                <w:color w:val="000000" w:themeColor="text1"/>
                <w:sz w:val="24"/>
                <w:highlight w:val="none"/>
                <w14:textFill>
                  <w14:solidFill>
                    <w14:schemeClr w14:val="tx1"/>
                  </w14:solidFill>
                </w14:textFill>
              </w:rPr>
              <w:t>15m高排气筒（DA00</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排放；1#、2#隧道窑窑车吹扫固定工位，全封闭设置，将废气引至脉冲布袋除尘器处理后，经1根15m高排气筒（DA005）排放；3#、4#隧道窑窑车吹扫固定工位，全封闭设置，将废气引至脉冲布袋除尘器处理后，经1根15m高排气筒（DA006）排放</w:t>
            </w:r>
            <w:r>
              <w:rPr>
                <w:rFonts w:hint="eastAsia"/>
                <w:color w:val="000000" w:themeColor="text1"/>
                <w:sz w:val="24"/>
                <w:highlight w:val="none"/>
                <w14:textFill>
                  <w14:solidFill>
                    <w14:schemeClr w14:val="tx1"/>
                  </w14:solidFill>
                </w14:textFill>
              </w:rPr>
              <w:t>。</w:t>
            </w:r>
          </w:p>
          <w:p w14:paraId="63DD6875">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废气量核算：</w:t>
            </w:r>
          </w:p>
          <w:p w14:paraId="4B00E064">
            <w:pPr>
              <w:spacing w:line="46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废气采取集气罩形式收集，废气量按以下公式计算。</w:t>
            </w:r>
          </w:p>
          <w:p w14:paraId="086E8887">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集气罩收集废气量公式：Q=A×V</w:t>
            </w:r>
            <w:r>
              <w:rPr>
                <w:color w:val="000000" w:themeColor="text1"/>
                <w:sz w:val="24"/>
                <w:highlight w:val="none"/>
                <w:vertAlign w:val="subscript"/>
                <w14:textFill>
                  <w14:solidFill>
                    <w14:schemeClr w14:val="tx1"/>
                  </w14:solidFill>
                </w14:textFill>
              </w:rPr>
              <w:t>0</w:t>
            </w:r>
            <w:r>
              <w:rPr>
                <w:color w:val="000000" w:themeColor="text1"/>
                <w:sz w:val="24"/>
                <w:highlight w:val="none"/>
                <w14:textFill>
                  <w14:solidFill>
                    <w14:schemeClr w14:val="tx1"/>
                  </w14:solidFill>
                </w14:textFill>
              </w:rPr>
              <w:t>×3600</w:t>
            </w:r>
          </w:p>
          <w:p w14:paraId="10E8E064">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式中：A—罩口面积m</w:t>
            </w:r>
            <w:r>
              <w:rPr>
                <w:color w:val="000000" w:themeColor="text1"/>
                <w:sz w:val="24"/>
                <w:highlight w:val="none"/>
                <w:vertAlign w:val="superscript"/>
                <w14:textFill>
                  <w14:solidFill>
                    <w14:schemeClr w14:val="tx1"/>
                  </w14:solidFill>
                </w14:textFill>
              </w:rPr>
              <w:t>2</w:t>
            </w:r>
            <w:r>
              <w:rPr>
                <w:color w:val="000000" w:themeColor="text1"/>
                <w:sz w:val="24"/>
                <w:highlight w:val="none"/>
                <w14:textFill>
                  <w14:solidFill>
                    <w14:schemeClr w14:val="tx1"/>
                  </w14:solidFill>
                </w14:textFill>
              </w:rPr>
              <w:t>；</w:t>
            </w:r>
          </w:p>
          <w:p w14:paraId="3460BA06">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V</w:t>
            </w:r>
            <w:r>
              <w:rPr>
                <w:color w:val="000000" w:themeColor="text1"/>
                <w:sz w:val="24"/>
                <w:highlight w:val="none"/>
                <w:vertAlign w:val="subscript"/>
                <w14:textFill>
                  <w14:solidFill>
                    <w14:schemeClr w14:val="tx1"/>
                  </w14:solidFill>
                </w14:textFill>
              </w:rPr>
              <w:t>0</w:t>
            </w:r>
            <w:r>
              <w:rPr>
                <w:color w:val="000000" w:themeColor="text1"/>
                <w:sz w:val="24"/>
                <w:highlight w:val="none"/>
                <w14:textFill>
                  <w14:solidFill>
                    <w14:schemeClr w14:val="tx1"/>
                  </w14:solidFill>
                </w14:textFill>
              </w:rPr>
              <w:t>—为风速，</w:t>
            </w:r>
            <w:r>
              <w:rPr>
                <w:rFonts w:hint="eastAsia"/>
                <w:color w:val="000000" w:themeColor="text1"/>
                <w:sz w:val="24"/>
                <w:szCs w:val="22"/>
                <w:highlight w:val="none"/>
                <w14:textFill>
                  <w14:solidFill>
                    <w14:schemeClr w14:val="tx1"/>
                  </w14:solidFill>
                </w14:textFill>
              </w:rPr>
              <w:t>本项目</w:t>
            </w:r>
            <w:r>
              <w:rPr>
                <w:color w:val="000000" w:themeColor="text1"/>
                <w:sz w:val="24"/>
                <w:szCs w:val="22"/>
                <w:highlight w:val="none"/>
                <w14:textFill>
                  <w14:solidFill>
                    <w14:schemeClr w14:val="tx1"/>
                  </w14:solidFill>
                </w14:textFill>
              </w:rPr>
              <w:t>取0.</w:t>
            </w:r>
            <w:r>
              <w:rPr>
                <w:rFonts w:hint="eastAsia"/>
                <w:color w:val="000000" w:themeColor="text1"/>
                <w:sz w:val="24"/>
                <w:szCs w:val="22"/>
                <w:highlight w:val="none"/>
                <w14:textFill>
                  <w14:solidFill>
                    <w14:schemeClr w14:val="tx1"/>
                  </w14:solidFill>
                </w14:textFill>
              </w:rPr>
              <w:t>5~1</w:t>
            </w:r>
            <w:r>
              <w:rPr>
                <w:color w:val="000000" w:themeColor="text1"/>
                <w:sz w:val="24"/>
                <w:szCs w:val="22"/>
                <w:highlight w:val="none"/>
                <w14:textFill>
                  <w14:solidFill>
                    <w14:schemeClr w14:val="tx1"/>
                  </w14:solidFill>
                </w14:textFill>
              </w:rPr>
              <w:t>m/s。</w:t>
            </w:r>
          </w:p>
          <w:p w14:paraId="2EC9B33F">
            <w:pPr>
              <w:spacing w:line="460" w:lineRule="exact"/>
              <w:ind w:firstLine="480" w:firstLineChars="200"/>
              <w:rPr>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废气产生工序全封闭，采用负压收集的</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废气量按以下公式计算</w:t>
            </w:r>
            <w:r>
              <w:rPr>
                <w:rFonts w:hint="eastAsia"/>
                <w:color w:val="000000" w:themeColor="text1"/>
                <w:sz w:val="24"/>
                <w:highlight w:val="none"/>
                <w14:textFill>
                  <w14:solidFill>
                    <w14:schemeClr w14:val="tx1"/>
                  </w14:solidFill>
                </w14:textFill>
              </w:rPr>
              <w:t>。</w:t>
            </w:r>
          </w:p>
          <w:p w14:paraId="24C9CC0D">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Q=长×宽×高×换气次数，</w:t>
            </w:r>
          </w:p>
          <w:p w14:paraId="0DFCB9F4">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式中：Q—排风量，m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p>
          <w:p w14:paraId="48962E19">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长—全封闭间的长度，m；</w:t>
            </w:r>
          </w:p>
          <w:p w14:paraId="52615B95">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宽—全封闭间的宽度，m；</w:t>
            </w:r>
          </w:p>
          <w:p w14:paraId="22016164">
            <w:pPr>
              <w:spacing w:line="46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高—全封闭间的高度，m；</w:t>
            </w:r>
            <w:r>
              <w:rPr>
                <w:rFonts w:hint="eastAsia"/>
                <w:color w:val="000000" w:themeColor="text1"/>
                <w:sz w:val="24"/>
                <w:szCs w:val="22"/>
                <w:highlight w:val="none"/>
                <w14:textFill>
                  <w14:solidFill>
                    <w14:schemeClr w14:val="tx1"/>
                  </w14:solidFill>
                </w14:textFill>
              </w:rPr>
              <w:t>换气次数按50次/h。</w:t>
            </w:r>
          </w:p>
          <w:p w14:paraId="018445E0">
            <w:pPr>
              <w:numPr>
                <w:ilvl w:val="1"/>
                <w:numId w:val="0"/>
              </w:numPr>
              <w:tabs>
                <w:tab w:val="left" w:pos="851"/>
              </w:tabs>
              <w:spacing w:line="400" w:lineRule="exact"/>
              <w:ind w:firstLine="1293" w:firstLineChars="539"/>
              <w:rPr>
                <w:rFonts w:ascii="黑体" w:hAnsi="黑体" w:eastAsia="黑体"/>
                <w:bCs/>
                <w:color w:val="000000" w:themeColor="text1"/>
                <w:sz w:val="24"/>
                <w:highlight w:val="none"/>
                <w14:textFill>
                  <w14:solidFill>
                    <w14:schemeClr w14:val="tx1"/>
                  </w14:solidFill>
                </w14:textFill>
              </w:rPr>
            </w:pPr>
            <w:r>
              <w:rPr>
                <w:rFonts w:hint="eastAsia" w:ascii="黑体" w:hAnsi="黑体" w:eastAsia="黑体"/>
                <w:bCs/>
                <w:color w:val="000000" w:themeColor="text1"/>
                <w:sz w:val="24"/>
                <w:highlight w:val="none"/>
                <w14:textFill>
                  <w14:solidFill>
                    <w14:schemeClr w14:val="tx1"/>
                  </w14:solidFill>
                </w14:textFill>
              </w:rPr>
              <w:t>表4-1        项目</w:t>
            </w:r>
            <w:r>
              <w:rPr>
                <w:rFonts w:ascii="黑体" w:hAnsi="黑体" w:eastAsia="黑体"/>
                <w:bCs/>
                <w:color w:val="000000" w:themeColor="text1"/>
                <w:sz w:val="24"/>
                <w:highlight w:val="none"/>
                <w14:textFill>
                  <w14:solidFill>
                    <w14:schemeClr w14:val="tx1"/>
                  </w14:solidFill>
                </w14:textFill>
              </w:rPr>
              <w:t>废气</w:t>
            </w:r>
            <w:r>
              <w:rPr>
                <w:rFonts w:hint="eastAsia" w:ascii="黑体" w:hAnsi="黑体" w:eastAsia="黑体"/>
                <w:bCs/>
                <w:color w:val="000000" w:themeColor="text1"/>
                <w:sz w:val="24"/>
                <w:highlight w:val="none"/>
                <w14:textFill>
                  <w14:solidFill>
                    <w14:schemeClr w14:val="tx1"/>
                  </w14:solidFill>
                </w14:textFill>
              </w:rPr>
              <w:t>收集治理情况</w:t>
            </w:r>
            <w:r>
              <w:rPr>
                <w:rFonts w:ascii="黑体" w:hAnsi="黑体" w:eastAsia="黑体"/>
                <w:bCs/>
                <w:color w:val="000000" w:themeColor="text1"/>
                <w:sz w:val="24"/>
                <w:highlight w:val="none"/>
                <w14:textFill>
                  <w14:solidFill>
                    <w14:schemeClr w14:val="tx1"/>
                  </w14:solidFill>
                </w14:textFill>
              </w:rPr>
              <w:t>一览表</w:t>
            </w:r>
          </w:p>
          <w:tbl>
            <w:tblPr>
              <w:tblStyle w:val="24"/>
              <w:tblW w:w="88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6"/>
              <w:gridCol w:w="1134"/>
              <w:gridCol w:w="3543"/>
              <w:gridCol w:w="709"/>
              <w:gridCol w:w="709"/>
              <w:gridCol w:w="2312"/>
            </w:tblGrid>
            <w:tr w14:paraId="128656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7828A3AB">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序号</w:t>
                  </w:r>
                </w:p>
              </w:tc>
              <w:tc>
                <w:tcPr>
                  <w:tcW w:w="1134" w:type="dxa"/>
                  <w:vAlign w:val="center"/>
                </w:tcPr>
                <w:p w14:paraId="0422AF2F">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产污点</w:t>
                  </w:r>
                </w:p>
              </w:tc>
              <w:tc>
                <w:tcPr>
                  <w:tcW w:w="3543" w:type="dxa"/>
                  <w:vAlign w:val="center"/>
                </w:tcPr>
                <w:p w14:paraId="4F2F54D7">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废气收集治理方式</w:t>
                  </w:r>
                </w:p>
              </w:tc>
              <w:tc>
                <w:tcPr>
                  <w:tcW w:w="709" w:type="dxa"/>
                  <w:vAlign w:val="center"/>
                </w:tcPr>
                <w:p w14:paraId="3603642A">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收集率%</w:t>
                  </w:r>
                </w:p>
              </w:tc>
              <w:tc>
                <w:tcPr>
                  <w:tcW w:w="709" w:type="dxa"/>
                  <w:vAlign w:val="center"/>
                </w:tcPr>
                <w:p w14:paraId="602340A9">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理论</w:t>
                  </w:r>
                  <w:r>
                    <w:rPr>
                      <w:color w:val="000000" w:themeColor="text1"/>
                      <w:sz w:val="18"/>
                      <w:szCs w:val="18"/>
                      <w:highlight w:val="none"/>
                      <w14:textFill>
                        <w14:solidFill>
                          <w14:schemeClr w14:val="tx1"/>
                        </w14:solidFill>
                      </w14:textFill>
                    </w:rPr>
                    <w:t>风量m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/h</w:t>
                  </w:r>
                </w:p>
              </w:tc>
              <w:tc>
                <w:tcPr>
                  <w:tcW w:w="2312" w:type="dxa"/>
                  <w:vAlign w:val="center"/>
                </w:tcPr>
                <w:p w14:paraId="1A3E5B38">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排放方式</w:t>
                  </w:r>
                </w:p>
              </w:tc>
            </w:tr>
            <w:tr w14:paraId="2BB3CA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5054BB99">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w:t>
                  </w:r>
                </w:p>
              </w:tc>
              <w:tc>
                <w:tcPr>
                  <w:tcW w:w="1134" w:type="dxa"/>
                  <w:vAlign w:val="center"/>
                </w:tcPr>
                <w:p w14:paraId="5AFD99AC">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页岩</w:t>
                  </w:r>
                  <w:r>
                    <w:rPr>
                      <w:rFonts w:hint="eastAsia"/>
                      <w:color w:val="000000" w:themeColor="text1"/>
                      <w:sz w:val="18"/>
                      <w:szCs w:val="18"/>
                      <w:highlight w:val="none"/>
                      <w14:textFill>
                        <w14:solidFill>
                          <w14:schemeClr w14:val="tx1"/>
                        </w14:solidFill>
                      </w14:textFill>
                    </w:rPr>
                    <w:t>、干排淤泥</w:t>
                  </w:r>
                  <w:r>
                    <w:rPr>
                      <w:color w:val="000000" w:themeColor="text1"/>
                      <w:sz w:val="18"/>
                      <w:szCs w:val="18"/>
                      <w:highlight w:val="none"/>
                      <w14:textFill>
                        <w14:solidFill>
                          <w14:schemeClr w14:val="tx1"/>
                        </w14:solidFill>
                      </w14:textFill>
                    </w:rPr>
                    <w:t>给料</w:t>
                  </w:r>
                </w:p>
              </w:tc>
              <w:tc>
                <w:tcPr>
                  <w:tcW w:w="3543" w:type="dxa"/>
                  <w:vAlign w:val="center"/>
                </w:tcPr>
                <w:p w14:paraId="5D65D408">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入料口三面设置围挡，顶部设置雾化喷淋并设置集气罩（</w:t>
                  </w:r>
                  <w:r>
                    <w:rPr>
                      <w:rFonts w:hint="eastAsia"/>
                      <w:color w:val="000000" w:themeColor="text1"/>
                      <w:kern w:val="0"/>
                      <w:sz w:val="18"/>
                      <w:szCs w:val="18"/>
                      <w:highlight w:val="none"/>
                      <w14:textFill>
                        <w14:solidFill>
                          <w14:schemeClr w14:val="tx1"/>
                        </w14:solidFill>
                      </w14:textFill>
                    </w:rPr>
                    <w:t>2.5m</w:t>
                  </w:r>
                  <w:r>
                    <w:rPr>
                      <w:color w:val="000000" w:themeColor="text1"/>
                      <w:kern w:val="0"/>
                      <w:sz w:val="18"/>
                      <w:szCs w:val="18"/>
                      <w:highlight w:val="none"/>
                      <w14:textFill>
                        <w14:solidFill>
                          <w14:schemeClr w14:val="tx1"/>
                        </w14:solidFill>
                      </w14:textFill>
                    </w:rPr>
                    <w:t>×</w:t>
                  </w:r>
                  <w:r>
                    <w:rPr>
                      <w:rFonts w:hint="eastAsia"/>
                      <w:color w:val="000000" w:themeColor="text1"/>
                      <w:kern w:val="0"/>
                      <w:sz w:val="18"/>
                      <w:szCs w:val="18"/>
                      <w:highlight w:val="none"/>
                      <w14:textFill>
                        <w14:solidFill>
                          <w14:schemeClr w14:val="tx1"/>
                        </w14:solidFill>
                      </w14:textFill>
                    </w:rPr>
                    <w:t>2m</w:t>
                  </w:r>
                  <w:r>
                    <w:rPr>
                      <w:color w:val="000000" w:themeColor="text1"/>
                      <w:kern w:val="0"/>
                      <w:sz w:val="18"/>
                      <w:szCs w:val="18"/>
                      <w:highlight w:val="none"/>
                      <w14:textFill>
                        <w14:solidFill>
                          <w14:schemeClr w14:val="tx1"/>
                        </w14:solidFill>
                      </w14:textFill>
                    </w:rPr>
                    <w:t>）</w:t>
                  </w:r>
                  <w:r>
                    <w:rPr>
                      <w:rFonts w:hint="eastAsia"/>
                      <w:color w:val="000000" w:themeColor="text1"/>
                      <w:kern w:val="0"/>
                      <w:sz w:val="18"/>
                      <w:szCs w:val="18"/>
                      <w:highlight w:val="none"/>
                      <w14:textFill>
                        <w14:solidFill>
                          <w14:schemeClr w14:val="tx1"/>
                        </w14:solidFill>
                      </w14:textFill>
                    </w:rPr>
                    <w:t>和集尘管道，风速0.8m/s</w:t>
                  </w:r>
                </w:p>
              </w:tc>
              <w:tc>
                <w:tcPr>
                  <w:tcW w:w="709" w:type="dxa"/>
                  <w:vMerge w:val="restart"/>
                  <w:vAlign w:val="center"/>
                </w:tcPr>
                <w:p w14:paraId="7E052CEB">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95</w:t>
                  </w:r>
                </w:p>
              </w:tc>
              <w:tc>
                <w:tcPr>
                  <w:tcW w:w="709" w:type="dxa"/>
                  <w:vAlign w:val="center"/>
                </w:tcPr>
                <w:p w14:paraId="31D32D73">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14400</w:t>
                  </w:r>
                </w:p>
              </w:tc>
              <w:tc>
                <w:tcPr>
                  <w:tcW w:w="2312" w:type="dxa"/>
                  <w:vMerge w:val="restart"/>
                  <w:vAlign w:val="center"/>
                </w:tcPr>
                <w:p w14:paraId="718CB332">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共同引入1套脉冲布袋除尘器处理后通过15m高排气筒（</w:t>
                  </w:r>
                  <w:r>
                    <w:rPr>
                      <w:bCs/>
                      <w:color w:val="000000" w:themeColor="text1"/>
                      <w:sz w:val="18"/>
                      <w:szCs w:val="18"/>
                      <w:highlight w:val="none"/>
                      <w14:textFill>
                        <w14:solidFill>
                          <w14:schemeClr w14:val="tx1"/>
                        </w14:solidFill>
                      </w14:textFill>
                    </w:rPr>
                    <w:t>DA001</w:t>
                  </w:r>
                  <w:r>
                    <w:rPr>
                      <w:color w:val="000000" w:themeColor="text1"/>
                      <w:sz w:val="18"/>
                      <w:szCs w:val="18"/>
                      <w:highlight w:val="none"/>
                      <w14:textFill>
                        <w14:solidFill>
                          <w14:schemeClr w14:val="tx1"/>
                        </w14:solidFill>
                      </w14:textFill>
                    </w:rPr>
                    <w:t>）排放（处理能力</w:t>
                  </w:r>
                  <w:r>
                    <w:rPr>
                      <w:rFonts w:hint="eastAsia"/>
                      <w:color w:val="000000" w:themeColor="text1"/>
                      <w:sz w:val="18"/>
                      <w:szCs w:val="18"/>
                      <w:highlight w:val="none"/>
                      <w14:textFill>
                        <w14:solidFill>
                          <w14:schemeClr w14:val="tx1"/>
                        </w14:solidFill>
                      </w14:textFill>
                    </w:rPr>
                    <w:t>50</w:t>
                  </w:r>
                  <w:r>
                    <w:rPr>
                      <w:color w:val="000000" w:themeColor="text1"/>
                      <w:sz w:val="18"/>
                      <w:szCs w:val="18"/>
                      <w:highlight w:val="none"/>
                      <w14:textFill>
                        <w14:solidFill>
                          <w14:schemeClr w14:val="tx1"/>
                        </w14:solidFill>
                      </w14:textFill>
                    </w:rPr>
                    <w:t>000m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/h，处理效率9</w:t>
                  </w:r>
                  <w:r>
                    <w:rPr>
                      <w:rFonts w:hint="eastAsia"/>
                      <w:color w:val="000000" w:themeColor="text1"/>
                      <w:sz w:val="18"/>
                      <w:szCs w:val="18"/>
                      <w:highlight w:val="none"/>
                      <w14:textFill>
                        <w14:solidFill>
                          <w14:schemeClr w14:val="tx1"/>
                        </w14:solidFill>
                      </w14:textFill>
                    </w:rPr>
                    <w:t>8</w:t>
                  </w:r>
                  <w:r>
                    <w:rPr>
                      <w:color w:val="000000" w:themeColor="text1"/>
                      <w:sz w:val="18"/>
                      <w:szCs w:val="18"/>
                      <w:highlight w:val="none"/>
                      <w14:textFill>
                        <w14:solidFill>
                          <w14:schemeClr w14:val="tx1"/>
                        </w14:solidFill>
                      </w14:textFill>
                    </w:rPr>
                    <w:t>%）</w:t>
                  </w:r>
                </w:p>
              </w:tc>
            </w:tr>
            <w:tr w14:paraId="3ECFEA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521837EF">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w:t>
                  </w:r>
                </w:p>
              </w:tc>
              <w:tc>
                <w:tcPr>
                  <w:tcW w:w="1134" w:type="dxa"/>
                  <w:vAlign w:val="center"/>
                </w:tcPr>
                <w:p w14:paraId="07238EDE">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页岩</w:t>
                  </w:r>
                  <w:r>
                    <w:rPr>
                      <w:rFonts w:hint="eastAsia"/>
                      <w:color w:val="000000" w:themeColor="text1"/>
                      <w:sz w:val="18"/>
                      <w:szCs w:val="18"/>
                      <w:highlight w:val="none"/>
                      <w14:textFill>
                        <w14:solidFill>
                          <w14:schemeClr w14:val="tx1"/>
                        </w14:solidFill>
                      </w14:textFill>
                    </w:rPr>
                    <w:t>、干排淤泥</w:t>
                  </w:r>
                  <w:r>
                    <w:rPr>
                      <w:color w:val="000000" w:themeColor="text1"/>
                      <w:sz w:val="18"/>
                      <w:szCs w:val="18"/>
                      <w:highlight w:val="none"/>
                      <w14:textFill>
                        <w14:solidFill>
                          <w14:schemeClr w14:val="tx1"/>
                        </w14:solidFill>
                      </w14:textFill>
                    </w:rPr>
                    <w:t>破碎、筛分</w:t>
                  </w:r>
                </w:p>
              </w:tc>
              <w:tc>
                <w:tcPr>
                  <w:tcW w:w="3543" w:type="dxa"/>
                  <w:vAlign w:val="center"/>
                </w:tcPr>
                <w:p w14:paraId="685F8DC7">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颚式破碎机、锤式破碎机、圆滚筛均封闭处理</w:t>
                  </w:r>
                  <w:r>
                    <w:rPr>
                      <w:rFonts w:hint="eastAsia"/>
                      <w:color w:val="000000" w:themeColor="text1"/>
                      <w:kern w:val="0"/>
                      <w:sz w:val="18"/>
                      <w:szCs w:val="18"/>
                      <w:highlight w:val="none"/>
                      <w14:textFill>
                        <w14:solidFill>
                          <w14:schemeClr w14:val="tx1"/>
                        </w14:solidFill>
                      </w14:textFill>
                    </w:rPr>
                    <w:t>，每个入料口</w:t>
                  </w:r>
                  <w:r>
                    <w:rPr>
                      <w:color w:val="000000" w:themeColor="text1"/>
                      <w:kern w:val="0"/>
                      <w:sz w:val="18"/>
                      <w:szCs w:val="18"/>
                      <w:highlight w:val="none"/>
                      <w14:textFill>
                        <w14:solidFill>
                          <w14:schemeClr w14:val="tx1"/>
                        </w14:solidFill>
                      </w14:textFill>
                    </w:rPr>
                    <w:t>集气罩</w:t>
                  </w:r>
                  <w:r>
                    <w:rPr>
                      <w:rFonts w:hint="eastAsia"/>
                      <w:color w:val="000000" w:themeColor="text1"/>
                      <w:kern w:val="0"/>
                      <w:sz w:val="18"/>
                      <w:szCs w:val="18"/>
                      <w:highlight w:val="none"/>
                      <w14:textFill>
                        <w14:solidFill>
                          <w14:schemeClr w14:val="tx1"/>
                        </w14:solidFill>
                      </w14:textFill>
                    </w:rPr>
                    <w:t>1</w:t>
                  </w:r>
                  <w:r>
                    <w:rPr>
                      <w:color w:val="000000" w:themeColor="text1"/>
                      <w:kern w:val="0"/>
                      <w:sz w:val="18"/>
                      <w:szCs w:val="18"/>
                      <w:highlight w:val="none"/>
                      <w14:textFill>
                        <w14:solidFill>
                          <w14:schemeClr w14:val="tx1"/>
                        </w14:solidFill>
                      </w14:textFill>
                    </w:rPr>
                    <w:t>m×1m，上方设</w:t>
                  </w:r>
                  <w:r>
                    <w:rPr>
                      <w:rFonts w:hint="eastAsia"/>
                      <w:color w:val="000000" w:themeColor="text1"/>
                      <w:kern w:val="0"/>
                      <w:sz w:val="18"/>
                      <w:szCs w:val="18"/>
                      <w:highlight w:val="none"/>
                      <w14:textFill>
                        <w14:solidFill>
                          <w14:schemeClr w14:val="tx1"/>
                        </w14:solidFill>
                      </w14:textFill>
                    </w:rPr>
                    <w:t>集尘管，风速1m/s</w:t>
                  </w:r>
                </w:p>
              </w:tc>
              <w:tc>
                <w:tcPr>
                  <w:tcW w:w="709" w:type="dxa"/>
                  <w:vMerge w:val="continue"/>
                  <w:vAlign w:val="center"/>
                </w:tcPr>
                <w:p w14:paraId="2A649C0E">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09EDA6FF">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14400</w:t>
                  </w:r>
                </w:p>
              </w:tc>
              <w:tc>
                <w:tcPr>
                  <w:tcW w:w="2312" w:type="dxa"/>
                  <w:vMerge w:val="continue"/>
                  <w:vAlign w:val="center"/>
                </w:tcPr>
                <w:p w14:paraId="68B772D7">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r>
            <w:tr w14:paraId="3F8C22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2A61B505">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w:t>
                  </w:r>
                </w:p>
              </w:tc>
              <w:tc>
                <w:tcPr>
                  <w:tcW w:w="1134" w:type="dxa"/>
                  <w:vAlign w:val="center"/>
                </w:tcPr>
                <w:p w14:paraId="4AD74AE3">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破碎落料、筛分落料</w:t>
                  </w:r>
                </w:p>
              </w:tc>
              <w:tc>
                <w:tcPr>
                  <w:tcW w:w="3543" w:type="dxa"/>
                  <w:vAlign w:val="center"/>
                </w:tcPr>
                <w:p w14:paraId="0390097B">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出料口与全封闭式皮带输送机封闭连接，</w:t>
                  </w:r>
                  <w:r>
                    <w:rPr>
                      <w:rFonts w:hint="eastAsia"/>
                      <w:color w:val="000000" w:themeColor="text1"/>
                      <w:kern w:val="0"/>
                      <w:sz w:val="18"/>
                      <w:szCs w:val="18"/>
                      <w:highlight w:val="none"/>
                      <w14:textFill>
                        <w14:solidFill>
                          <w14:schemeClr w14:val="tx1"/>
                        </w14:solidFill>
                      </w14:textFill>
                    </w:rPr>
                    <w:t>每个</w:t>
                  </w:r>
                  <w:r>
                    <w:rPr>
                      <w:color w:val="000000" w:themeColor="text1"/>
                      <w:kern w:val="0"/>
                      <w:sz w:val="18"/>
                      <w:szCs w:val="18"/>
                      <w:highlight w:val="none"/>
                      <w14:textFill>
                        <w14:solidFill>
                          <w14:schemeClr w14:val="tx1"/>
                        </w14:solidFill>
                      </w14:textFill>
                    </w:rPr>
                    <w:t>出料口集气罩1m×1m，上方设</w:t>
                  </w:r>
                  <w:r>
                    <w:rPr>
                      <w:rFonts w:hint="eastAsia"/>
                      <w:color w:val="000000" w:themeColor="text1"/>
                      <w:kern w:val="0"/>
                      <w:sz w:val="18"/>
                      <w:szCs w:val="18"/>
                      <w:highlight w:val="none"/>
                      <w14:textFill>
                        <w14:solidFill>
                          <w14:schemeClr w14:val="tx1"/>
                        </w14:solidFill>
                      </w14:textFill>
                    </w:rPr>
                    <w:t>集尘管，风速1m/s</w:t>
                  </w:r>
                </w:p>
              </w:tc>
              <w:tc>
                <w:tcPr>
                  <w:tcW w:w="709" w:type="dxa"/>
                  <w:vMerge w:val="continue"/>
                  <w:vAlign w:val="center"/>
                </w:tcPr>
                <w:p w14:paraId="5F598FA7">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419607D6">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14400</w:t>
                  </w:r>
                </w:p>
              </w:tc>
              <w:tc>
                <w:tcPr>
                  <w:tcW w:w="2312" w:type="dxa"/>
                  <w:vMerge w:val="continue"/>
                  <w:vAlign w:val="center"/>
                </w:tcPr>
                <w:p w14:paraId="2FE5BC8C">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r>
            <w:tr w14:paraId="10C47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6" w:type="dxa"/>
                  <w:vAlign w:val="center"/>
                </w:tcPr>
                <w:p w14:paraId="0E6775A8">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w:t>
                  </w:r>
                </w:p>
              </w:tc>
              <w:tc>
                <w:tcPr>
                  <w:tcW w:w="1134" w:type="dxa"/>
                  <w:vAlign w:val="center"/>
                </w:tcPr>
                <w:p w14:paraId="21F89A69">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搅拌</w:t>
                  </w:r>
                </w:p>
              </w:tc>
              <w:tc>
                <w:tcPr>
                  <w:tcW w:w="3543" w:type="dxa"/>
                  <w:vAlign w:val="center"/>
                </w:tcPr>
                <w:p w14:paraId="6AAF2C53">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搅拌机封闭处理</w:t>
                  </w:r>
                  <w:r>
                    <w:rPr>
                      <w:rFonts w:hint="eastAsia"/>
                      <w:color w:val="000000" w:themeColor="text1"/>
                      <w:kern w:val="0"/>
                      <w:sz w:val="18"/>
                      <w:szCs w:val="18"/>
                      <w:highlight w:val="none"/>
                      <w14:textFill>
                        <w14:solidFill>
                          <w14:schemeClr w14:val="tx1"/>
                        </w14:solidFill>
                      </w14:textFill>
                    </w:rPr>
                    <w:t>，入料口</w:t>
                  </w:r>
                  <w:r>
                    <w:rPr>
                      <w:color w:val="000000" w:themeColor="text1"/>
                      <w:kern w:val="0"/>
                      <w:sz w:val="18"/>
                      <w:szCs w:val="18"/>
                      <w:highlight w:val="none"/>
                      <w14:textFill>
                        <w14:solidFill>
                          <w14:schemeClr w14:val="tx1"/>
                        </w14:solidFill>
                      </w14:textFill>
                    </w:rPr>
                    <w:t>集气罩1</w:t>
                  </w:r>
                  <w:r>
                    <w:rPr>
                      <w:rFonts w:hint="eastAsia"/>
                      <w:color w:val="000000" w:themeColor="text1"/>
                      <w:kern w:val="0"/>
                      <w:sz w:val="18"/>
                      <w:szCs w:val="18"/>
                      <w:highlight w:val="none"/>
                      <w14:textFill>
                        <w14:solidFill>
                          <w14:schemeClr w14:val="tx1"/>
                        </w14:solidFill>
                      </w14:textFill>
                    </w:rPr>
                    <w:t>.5</w:t>
                  </w:r>
                  <w:r>
                    <w:rPr>
                      <w:color w:val="000000" w:themeColor="text1"/>
                      <w:kern w:val="0"/>
                      <w:sz w:val="18"/>
                      <w:szCs w:val="18"/>
                      <w:highlight w:val="none"/>
                      <w14:textFill>
                        <w14:solidFill>
                          <w14:schemeClr w14:val="tx1"/>
                        </w14:solidFill>
                      </w14:textFill>
                    </w:rPr>
                    <w:t>m×1</w:t>
                  </w:r>
                  <w:r>
                    <w:rPr>
                      <w:rFonts w:hint="eastAsia"/>
                      <w:color w:val="000000" w:themeColor="text1"/>
                      <w:kern w:val="0"/>
                      <w:sz w:val="18"/>
                      <w:szCs w:val="18"/>
                      <w:highlight w:val="none"/>
                      <w14:textFill>
                        <w14:solidFill>
                          <w14:schemeClr w14:val="tx1"/>
                        </w14:solidFill>
                      </w14:textFill>
                    </w:rPr>
                    <w:t>.5</w:t>
                  </w:r>
                  <w:r>
                    <w:rPr>
                      <w:color w:val="000000" w:themeColor="text1"/>
                      <w:kern w:val="0"/>
                      <w:sz w:val="18"/>
                      <w:szCs w:val="18"/>
                      <w:highlight w:val="none"/>
                      <w14:textFill>
                        <w14:solidFill>
                          <w14:schemeClr w14:val="tx1"/>
                        </w14:solidFill>
                      </w14:textFill>
                    </w:rPr>
                    <w:t>m，上方设</w:t>
                  </w:r>
                  <w:r>
                    <w:rPr>
                      <w:rFonts w:hint="eastAsia"/>
                      <w:color w:val="000000" w:themeColor="text1"/>
                      <w:kern w:val="0"/>
                      <w:sz w:val="18"/>
                      <w:szCs w:val="18"/>
                      <w:highlight w:val="none"/>
                      <w14:textFill>
                        <w14:solidFill>
                          <w14:schemeClr w14:val="tx1"/>
                        </w14:solidFill>
                      </w14:textFill>
                    </w:rPr>
                    <w:t>集尘管，风速0.5m/s</w:t>
                  </w:r>
                </w:p>
              </w:tc>
              <w:tc>
                <w:tcPr>
                  <w:tcW w:w="709" w:type="dxa"/>
                  <w:vMerge w:val="continue"/>
                  <w:vAlign w:val="center"/>
                </w:tcPr>
                <w:p w14:paraId="417B683C">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095C875F">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4050</w:t>
                  </w:r>
                </w:p>
              </w:tc>
              <w:tc>
                <w:tcPr>
                  <w:tcW w:w="2312" w:type="dxa"/>
                  <w:vMerge w:val="continue"/>
                  <w:vAlign w:val="center"/>
                </w:tcPr>
                <w:p w14:paraId="1AB3ECF9">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r>
            <w:tr w14:paraId="4C861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6F4A5EA9">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w:t>
                  </w:r>
                </w:p>
              </w:tc>
              <w:tc>
                <w:tcPr>
                  <w:tcW w:w="1134" w:type="dxa"/>
                  <w:vAlign w:val="center"/>
                </w:tcPr>
                <w:p w14:paraId="6A5FCE76">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煤矸石</w:t>
                  </w:r>
                  <w:r>
                    <w:rPr>
                      <w:rFonts w:hint="eastAsia"/>
                      <w:color w:val="000000" w:themeColor="text1"/>
                      <w:sz w:val="18"/>
                      <w:szCs w:val="18"/>
                      <w:highlight w:val="none"/>
                      <w14:textFill>
                        <w14:solidFill>
                          <w14:schemeClr w14:val="tx1"/>
                        </w14:solidFill>
                      </w14:textFill>
                    </w:rPr>
                    <w:t>、炉渣</w:t>
                  </w:r>
                  <w:r>
                    <w:rPr>
                      <w:color w:val="000000" w:themeColor="text1"/>
                      <w:sz w:val="18"/>
                      <w:szCs w:val="18"/>
                      <w:highlight w:val="none"/>
                      <w14:textFill>
                        <w14:solidFill>
                          <w14:schemeClr w14:val="tx1"/>
                        </w14:solidFill>
                      </w14:textFill>
                    </w:rPr>
                    <w:t>给料</w:t>
                  </w:r>
                </w:p>
              </w:tc>
              <w:tc>
                <w:tcPr>
                  <w:tcW w:w="3543" w:type="dxa"/>
                  <w:vAlign w:val="center"/>
                </w:tcPr>
                <w:p w14:paraId="3EC5DF4C">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入料口三面设置围挡，顶部设置雾化喷淋并设置集气罩（</w:t>
                  </w:r>
                  <w:r>
                    <w:rPr>
                      <w:rFonts w:hint="eastAsia"/>
                      <w:color w:val="000000" w:themeColor="text1"/>
                      <w:kern w:val="0"/>
                      <w:sz w:val="18"/>
                      <w:szCs w:val="18"/>
                      <w:highlight w:val="none"/>
                      <w14:textFill>
                        <w14:solidFill>
                          <w14:schemeClr w14:val="tx1"/>
                        </w14:solidFill>
                      </w14:textFill>
                    </w:rPr>
                    <w:t>2.5m</w:t>
                  </w:r>
                  <w:r>
                    <w:rPr>
                      <w:color w:val="000000" w:themeColor="text1"/>
                      <w:kern w:val="0"/>
                      <w:sz w:val="18"/>
                      <w:szCs w:val="18"/>
                      <w:highlight w:val="none"/>
                      <w14:textFill>
                        <w14:solidFill>
                          <w14:schemeClr w14:val="tx1"/>
                        </w14:solidFill>
                      </w14:textFill>
                    </w:rPr>
                    <w:t>×</w:t>
                  </w:r>
                  <w:r>
                    <w:rPr>
                      <w:rFonts w:hint="eastAsia"/>
                      <w:color w:val="000000" w:themeColor="text1"/>
                      <w:kern w:val="0"/>
                      <w:sz w:val="18"/>
                      <w:szCs w:val="18"/>
                      <w:highlight w:val="none"/>
                      <w14:textFill>
                        <w14:solidFill>
                          <w14:schemeClr w14:val="tx1"/>
                        </w14:solidFill>
                      </w14:textFill>
                    </w:rPr>
                    <w:t>2m</w:t>
                  </w:r>
                  <w:r>
                    <w:rPr>
                      <w:color w:val="000000" w:themeColor="text1"/>
                      <w:kern w:val="0"/>
                      <w:sz w:val="18"/>
                      <w:szCs w:val="18"/>
                      <w:highlight w:val="none"/>
                      <w14:textFill>
                        <w14:solidFill>
                          <w14:schemeClr w14:val="tx1"/>
                        </w14:solidFill>
                      </w14:textFill>
                    </w:rPr>
                    <w:t>）</w:t>
                  </w:r>
                  <w:r>
                    <w:rPr>
                      <w:rFonts w:hint="eastAsia"/>
                      <w:color w:val="000000" w:themeColor="text1"/>
                      <w:kern w:val="0"/>
                      <w:sz w:val="18"/>
                      <w:szCs w:val="18"/>
                      <w:highlight w:val="none"/>
                      <w14:textFill>
                        <w14:solidFill>
                          <w14:schemeClr w14:val="tx1"/>
                        </w14:solidFill>
                      </w14:textFill>
                    </w:rPr>
                    <w:t>和集尘管道，风速0.8m/s</w:t>
                  </w:r>
                </w:p>
              </w:tc>
              <w:tc>
                <w:tcPr>
                  <w:tcW w:w="709" w:type="dxa"/>
                  <w:vMerge w:val="continue"/>
                  <w:vAlign w:val="center"/>
                </w:tcPr>
                <w:p w14:paraId="5D1555AA">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2EE26CE2">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14400</w:t>
                  </w:r>
                </w:p>
              </w:tc>
              <w:tc>
                <w:tcPr>
                  <w:tcW w:w="2312" w:type="dxa"/>
                  <w:vMerge w:val="restart"/>
                  <w:vAlign w:val="center"/>
                </w:tcPr>
                <w:p w14:paraId="24D8FFD5">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共同引入1套脉冲布袋除尘器处理后通过15m高排气筒（</w:t>
                  </w:r>
                  <w:r>
                    <w:rPr>
                      <w:bCs/>
                      <w:color w:val="000000" w:themeColor="text1"/>
                      <w:sz w:val="18"/>
                      <w:szCs w:val="18"/>
                      <w:highlight w:val="none"/>
                      <w14:textFill>
                        <w14:solidFill>
                          <w14:schemeClr w14:val="tx1"/>
                        </w14:solidFill>
                      </w14:textFill>
                    </w:rPr>
                    <w:t>DA00</w:t>
                  </w:r>
                  <w:r>
                    <w:rPr>
                      <w:rFonts w:hint="eastAsia"/>
                      <w:bCs/>
                      <w:color w:val="000000" w:themeColor="text1"/>
                      <w:sz w:val="18"/>
                      <w:szCs w:val="18"/>
                      <w:highlight w:val="none"/>
                      <w14:textFill>
                        <w14:solidFill>
                          <w14:schemeClr w14:val="tx1"/>
                        </w14:solidFill>
                      </w14:textFill>
                    </w:rPr>
                    <w:t>2</w:t>
                  </w:r>
                  <w:r>
                    <w:rPr>
                      <w:color w:val="000000" w:themeColor="text1"/>
                      <w:sz w:val="18"/>
                      <w:szCs w:val="18"/>
                      <w:highlight w:val="none"/>
                      <w14:textFill>
                        <w14:solidFill>
                          <w14:schemeClr w14:val="tx1"/>
                        </w14:solidFill>
                      </w14:textFill>
                    </w:rPr>
                    <w:t>）排放（处理能力</w:t>
                  </w:r>
                  <w:r>
                    <w:rPr>
                      <w:rFonts w:hint="eastAsia"/>
                      <w:color w:val="000000" w:themeColor="text1"/>
                      <w:sz w:val="18"/>
                      <w:szCs w:val="18"/>
                      <w:highlight w:val="none"/>
                      <w14:textFill>
                        <w14:solidFill>
                          <w14:schemeClr w14:val="tx1"/>
                        </w14:solidFill>
                      </w14:textFill>
                    </w:rPr>
                    <w:t>50</w:t>
                  </w:r>
                  <w:r>
                    <w:rPr>
                      <w:color w:val="000000" w:themeColor="text1"/>
                      <w:sz w:val="18"/>
                      <w:szCs w:val="18"/>
                      <w:highlight w:val="none"/>
                      <w14:textFill>
                        <w14:solidFill>
                          <w14:schemeClr w14:val="tx1"/>
                        </w14:solidFill>
                      </w14:textFill>
                    </w:rPr>
                    <w:t>000m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/h，处理效率9</w:t>
                  </w:r>
                  <w:r>
                    <w:rPr>
                      <w:rFonts w:hint="eastAsia"/>
                      <w:color w:val="000000" w:themeColor="text1"/>
                      <w:sz w:val="18"/>
                      <w:szCs w:val="18"/>
                      <w:highlight w:val="none"/>
                      <w14:textFill>
                        <w14:solidFill>
                          <w14:schemeClr w14:val="tx1"/>
                        </w14:solidFill>
                      </w14:textFill>
                    </w:rPr>
                    <w:t>8</w:t>
                  </w:r>
                  <w:r>
                    <w:rPr>
                      <w:color w:val="000000" w:themeColor="text1"/>
                      <w:sz w:val="18"/>
                      <w:szCs w:val="18"/>
                      <w:highlight w:val="none"/>
                      <w14:textFill>
                        <w14:solidFill>
                          <w14:schemeClr w14:val="tx1"/>
                        </w14:solidFill>
                      </w14:textFill>
                    </w:rPr>
                    <w:t>%）</w:t>
                  </w:r>
                </w:p>
              </w:tc>
            </w:tr>
            <w:tr w14:paraId="049E0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77DA8A6D">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6</w:t>
                  </w:r>
                </w:p>
              </w:tc>
              <w:tc>
                <w:tcPr>
                  <w:tcW w:w="1134" w:type="dxa"/>
                  <w:vAlign w:val="center"/>
                </w:tcPr>
                <w:p w14:paraId="4C10635B">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煤矸石</w:t>
                  </w:r>
                  <w:r>
                    <w:rPr>
                      <w:rFonts w:hint="eastAsia"/>
                      <w:color w:val="000000" w:themeColor="text1"/>
                      <w:sz w:val="18"/>
                      <w:szCs w:val="18"/>
                      <w:highlight w:val="none"/>
                      <w14:textFill>
                        <w14:solidFill>
                          <w14:schemeClr w14:val="tx1"/>
                        </w14:solidFill>
                      </w14:textFill>
                    </w:rPr>
                    <w:t>、炉渣</w:t>
                  </w:r>
                  <w:r>
                    <w:rPr>
                      <w:color w:val="000000" w:themeColor="text1"/>
                      <w:sz w:val="18"/>
                      <w:szCs w:val="18"/>
                      <w:highlight w:val="none"/>
                      <w14:textFill>
                        <w14:solidFill>
                          <w14:schemeClr w14:val="tx1"/>
                        </w14:solidFill>
                      </w14:textFill>
                    </w:rPr>
                    <w:t>破碎、筛分</w:t>
                  </w:r>
                </w:p>
              </w:tc>
              <w:tc>
                <w:tcPr>
                  <w:tcW w:w="3543" w:type="dxa"/>
                  <w:vAlign w:val="center"/>
                </w:tcPr>
                <w:p w14:paraId="75B41B20">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颚式破碎机、锤式破碎机、圆滚筛均封闭处理</w:t>
                  </w:r>
                  <w:r>
                    <w:rPr>
                      <w:rFonts w:hint="eastAsia"/>
                      <w:color w:val="000000" w:themeColor="text1"/>
                      <w:kern w:val="0"/>
                      <w:sz w:val="18"/>
                      <w:szCs w:val="18"/>
                      <w:highlight w:val="none"/>
                      <w14:textFill>
                        <w14:solidFill>
                          <w14:schemeClr w14:val="tx1"/>
                        </w14:solidFill>
                      </w14:textFill>
                    </w:rPr>
                    <w:t>，每个入料口</w:t>
                  </w:r>
                  <w:r>
                    <w:rPr>
                      <w:color w:val="000000" w:themeColor="text1"/>
                      <w:kern w:val="0"/>
                      <w:sz w:val="18"/>
                      <w:szCs w:val="18"/>
                      <w:highlight w:val="none"/>
                      <w14:textFill>
                        <w14:solidFill>
                          <w14:schemeClr w14:val="tx1"/>
                        </w14:solidFill>
                      </w14:textFill>
                    </w:rPr>
                    <w:t>集气罩</w:t>
                  </w:r>
                  <w:r>
                    <w:rPr>
                      <w:rFonts w:hint="eastAsia"/>
                      <w:color w:val="000000" w:themeColor="text1"/>
                      <w:kern w:val="0"/>
                      <w:sz w:val="18"/>
                      <w:szCs w:val="18"/>
                      <w:highlight w:val="none"/>
                      <w14:textFill>
                        <w14:solidFill>
                          <w14:schemeClr w14:val="tx1"/>
                        </w14:solidFill>
                      </w14:textFill>
                    </w:rPr>
                    <w:t>1</w:t>
                  </w:r>
                  <w:r>
                    <w:rPr>
                      <w:color w:val="000000" w:themeColor="text1"/>
                      <w:kern w:val="0"/>
                      <w:sz w:val="18"/>
                      <w:szCs w:val="18"/>
                      <w:highlight w:val="none"/>
                      <w14:textFill>
                        <w14:solidFill>
                          <w14:schemeClr w14:val="tx1"/>
                        </w14:solidFill>
                      </w14:textFill>
                    </w:rPr>
                    <w:t>m×1m，上方设</w:t>
                  </w:r>
                  <w:r>
                    <w:rPr>
                      <w:rFonts w:hint="eastAsia"/>
                      <w:color w:val="000000" w:themeColor="text1"/>
                      <w:kern w:val="0"/>
                      <w:sz w:val="18"/>
                      <w:szCs w:val="18"/>
                      <w:highlight w:val="none"/>
                      <w14:textFill>
                        <w14:solidFill>
                          <w14:schemeClr w14:val="tx1"/>
                        </w14:solidFill>
                      </w14:textFill>
                    </w:rPr>
                    <w:t>集尘管，风速1m/s</w:t>
                  </w:r>
                </w:p>
              </w:tc>
              <w:tc>
                <w:tcPr>
                  <w:tcW w:w="709" w:type="dxa"/>
                  <w:vMerge w:val="continue"/>
                  <w:vAlign w:val="center"/>
                </w:tcPr>
                <w:p w14:paraId="5EAF0C02">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1595196E">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14400</w:t>
                  </w:r>
                </w:p>
              </w:tc>
              <w:tc>
                <w:tcPr>
                  <w:tcW w:w="2312" w:type="dxa"/>
                  <w:vMerge w:val="continue"/>
                  <w:vAlign w:val="center"/>
                </w:tcPr>
                <w:p w14:paraId="1905247D">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r>
            <w:tr w14:paraId="0654B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54823A64">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7</w:t>
                  </w:r>
                </w:p>
              </w:tc>
              <w:tc>
                <w:tcPr>
                  <w:tcW w:w="1134" w:type="dxa"/>
                  <w:vAlign w:val="center"/>
                </w:tcPr>
                <w:p w14:paraId="67AE24E7">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破碎落料、筛分落料</w:t>
                  </w:r>
                </w:p>
              </w:tc>
              <w:tc>
                <w:tcPr>
                  <w:tcW w:w="3543" w:type="dxa"/>
                  <w:vAlign w:val="center"/>
                </w:tcPr>
                <w:p w14:paraId="38D62EB6">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出料口与全封闭式皮带输送机封闭连接，</w:t>
                  </w:r>
                  <w:r>
                    <w:rPr>
                      <w:rFonts w:hint="eastAsia"/>
                      <w:color w:val="000000" w:themeColor="text1"/>
                      <w:kern w:val="0"/>
                      <w:sz w:val="18"/>
                      <w:szCs w:val="18"/>
                      <w:highlight w:val="none"/>
                      <w14:textFill>
                        <w14:solidFill>
                          <w14:schemeClr w14:val="tx1"/>
                        </w14:solidFill>
                      </w14:textFill>
                    </w:rPr>
                    <w:t>每个</w:t>
                  </w:r>
                  <w:r>
                    <w:rPr>
                      <w:color w:val="000000" w:themeColor="text1"/>
                      <w:kern w:val="0"/>
                      <w:sz w:val="18"/>
                      <w:szCs w:val="18"/>
                      <w:highlight w:val="none"/>
                      <w14:textFill>
                        <w14:solidFill>
                          <w14:schemeClr w14:val="tx1"/>
                        </w14:solidFill>
                      </w14:textFill>
                    </w:rPr>
                    <w:t>出料口集气罩1m×1m，上方设</w:t>
                  </w:r>
                  <w:r>
                    <w:rPr>
                      <w:rFonts w:hint="eastAsia"/>
                      <w:color w:val="000000" w:themeColor="text1"/>
                      <w:kern w:val="0"/>
                      <w:sz w:val="18"/>
                      <w:szCs w:val="18"/>
                      <w:highlight w:val="none"/>
                      <w14:textFill>
                        <w14:solidFill>
                          <w14:schemeClr w14:val="tx1"/>
                        </w14:solidFill>
                      </w14:textFill>
                    </w:rPr>
                    <w:t>集尘管，风速1m/s</w:t>
                  </w:r>
                </w:p>
              </w:tc>
              <w:tc>
                <w:tcPr>
                  <w:tcW w:w="709" w:type="dxa"/>
                  <w:vMerge w:val="continue"/>
                  <w:vAlign w:val="center"/>
                </w:tcPr>
                <w:p w14:paraId="12C8F109">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159B4AF1">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14400</w:t>
                  </w:r>
                </w:p>
              </w:tc>
              <w:tc>
                <w:tcPr>
                  <w:tcW w:w="2312" w:type="dxa"/>
                  <w:vMerge w:val="continue"/>
                  <w:vAlign w:val="center"/>
                </w:tcPr>
                <w:p w14:paraId="65159157">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r>
            <w:tr w14:paraId="50F3BE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4EF2AFD2">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8</w:t>
                  </w:r>
                </w:p>
              </w:tc>
              <w:tc>
                <w:tcPr>
                  <w:tcW w:w="1134" w:type="dxa"/>
                  <w:vAlign w:val="center"/>
                </w:tcPr>
                <w:p w14:paraId="1E2EDC26">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煤矸石储料仓</w:t>
                  </w:r>
                </w:p>
              </w:tc>
              <w:tc>
                <w:tcPr>
                  <w:tcW w:w="3543" w:type="dxa"/>
                  <w:vAlign w:val="center"/>
                </w:tcPr>
                <w:p w14:paraId="490E696B">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储料仓</w:t>
                  </w:r>
                  <w:r>
                    <w:rPr>
                      <w:color w:val="000000" w:themeColor="text1"/>
                      <w:kern w:val="0"/>
                      <w:sz w:val="18"/>
                      <w:szCs w:val="18"/>
                      <w:highlight w:val="none"/>
                      <w14:textFill>
                        <w14:solidFill>
                          <w14:schemeClr w14:val="tx1"/>
                        </w14:solidFill>
                      </w14:textFill>
                    </w:rPr>
                    <w:t>封闭处理+集尘管</w:t>
                  </w:r>
                  <w:r>
                    <w:rPr>
                      <w:rFonts w:hint="eastAsia"/>
                      <w:color w:val="000000" w:themeColor="text1"/>
                      <w:kern w:val="0"/>
                      <w:sz w:val="18"/>
                      <w:szCs w:val="18"/>
                      <w:highlight w:val="none"/>
                      <w14:textFill>
                        <w14:solidFill>
                          <w14:schemeClr w14:val="tx1"/>
                        </w14:solidFill>
                      </w14:textFill>
                    </w:rPr>
                    <w:t>（容积60m</w:t>
                  </w:r>
                  <w:r>
                    <w:rPr>
                      <w:rFonts w:hint="eastAsia"/>
                      <w:color w:val="000000" w:themeColor="text1"/>
                      <w:kern w:val="0"/>
                      <w:sz w:val="18"/>
                      <w:szCs w:val="18"/>
                      <w:highlight w:val="none"/>
                      <w:vertAlign w:val="superscript"/>
                      <w14:textFill>
                        <w14:solidFill>
                          <w14:schemeClr w14:val="tx1"/>
                        </w14:solidFill>
                      </w14:textFill>
                    </w:rPr>
                    <w:t>3</w:t>
                  </w:r>
                  <w:r>
                    <w:rPr>
                      <w:rFonts w:hint="eastAsia"/>
                      <w:color w:val="000000" w:themeColor="text1"/>
                      <w:kern w:val="0"/>
                      <w:sz w:val="18"/>
                      <w:szCs w:val="18"/>
                      <w:highlight w:val="none"/>
                      <w14:textFill>
                        <w14:solidFill>
                          <w14:schemeClr w14:val="tx1"/>
                        </w14:solidFill>
                      </w14:textFill>
                    </w:rPr>
                    <w:t>，换气50次/h）</w:t>
                  </w:r>
                </w:p>
              </w:tc>
              <w:tc>
                <w:tcPr>
                  <w:tcW w:w="709" w:type="dxa"/>
                  <w:vMerge w:val="continue"/>
                  <w:vAlign w:val="center"/>
                </w:tcPr>
                <w:p w14:paraId="3B2C046D">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2D807755">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3000</w:t>
                  </w:r>
                </w:p>
              </w:tc>
              <w:tc>
                <w:tcPr>
                  <w:tcW w:w="2312" w:type="dxa"/>
                  <w:vMerge w:val="continue"/>
                  <w:vAlign w:val="center"/>
                </w:tcPr>
                <w:p w14:paraId="08B5F9BA">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r>
            <w:tr w14:paraId="5CDDD6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09BE5EAD">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9</w:t>
                  </w:r>
                </w:p>
              </w:tc>
              <w:tc>
                <w:tcPr>
                  <w:tcW w:w="1134" w:type="dxa"/>
                  <w:vAlign w:val="center"/>
                </w:tcPr>
                <w:p w14:paraId="604176B4">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1#、2#隧道窑窑车吹扫工序</w:t>
                  </w:r>
                </w:p>
              </w:tc>
              <w:tc>
                <w:tcPr>
                  <w:tcW w:w="3543" w:type="dxa"/>
                  <w:vAlign w:val="center"/>
                </w:tcPr>
                <w:p w14:paraId="16F6026D">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窑车吹扫工位固定，全封闭处理</w:t>
                  </w:r>
                  <w:r>
                    <w:rPr>
                      <w:rFonts w:hint="eastAsia"/>
                      <w:color w:val="000000" w:themeColor="text1"/>
                      <w:kern w:val="0"/>
                      <w:sz w:val="18"/>
                      <w:szCs w:val="18"/>
                      <w:highlight w:val="none"/>
                      <w14:textFill>
                        <w14:solidFill>
                          <w14:schemeClr w14:val="tx1"/>
                        </w14:solidFill>
                      </w14:textFill>
                    </w:rPr>
                    <w:t>（容积200m</w:t>
                  </w:r>
                  <w:r>
                    <w:rPr>
                      <w:rFonts w:hint="eastAsia"/>
                      <w:color w:val="000000" w:themeColor="text1"/>
                      <w:kern w:val="0"/>
                      <w:sz w:val="18"/>
                      <w:szCs w:val="18"/>
                      <w:highlight w:val="none"/>
                      <w:vertAlign w:val="superscript"/>
                      <w14:textFill>
                        <w14:solidFill>
                          <w14:schemeClr w14:val="tx1"/>
                        </w14:solidFill>
                      </w14:textFill>
                    </w:rPr>
                    <w:t>3</w:t>
                  </w:r>
                  <w:r>
                    <w:rPr>
                      <w:rFonts w:hint="eastAsia"/>
                      <w:color w:val="000000" w:themeColor="text1"/>
                      <w:kern w:val="0"/>
                      <w:sz w:val="18"/>
                      <w:szCs w:val="18"/>
                      <w:highlight w:val="none"/>
                      <w14:textFill>
                        <w14:solidFill>
                          <w14:schemeClr w14:val="tx1"/>
                        </w14:solidFill>
                      </w14:textFill>
                    </w:rPr>
                    <w:t>，换气50次/h）</w:t>
                  </w:r>
                </w:p>
              </w:tc>
              <w:tc>
                <w:tcPr>
                  <w:tcW w:w="709" w:type="dxa"/>
                  <w:vMerge w:val="continue"/>
                  <w:vAlign w:val="center"/>
                </w:tcPr>
                <w:p w14:paraId="154DFE73">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546E0DD7">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10000</w:t>
                  </w:r>
                </w:p>
              </w:tc>
              <w:tc>
                <w:tcPr>
                  <w:tcW w:w="2312" w:type="dxa"/>
                  <w:vAlign w:val="center"/>
                </w:tcPr>
                <w:p w14:paraId="74EBF0FD">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引入1套脉冲布袋除尘器处理后通过15m高排气筒（</w:t>
                  </w:r>
                  <w:r>
                    <w:rPr>
                      <w:bCs/>
                      <w:color w:val="000000" w:themeColor="text1"/>
                      <w:sz w:val="18"/>
                      <w:szCs w:val="18"/>
                      <w:highlight w:val="none"/>
                      <w14:textFill>
                        <w14:solidFill>
                          <w14:schemeClr w14:val="tx1"/>
                        </w14:solidFill>
                      </w14:textFill>
                    </w:rPr>
                    <w:t>DA00</w:t>
                  </w:r>
                  <w:r>
                    <w:rPr>
                      <w:rFonts w:hint="eastAsia"/>
                      <w:bCs/>
                      <w:color w:val="000000" w:themeColor="text1"/>
                      <w:sz w:val="18"/>
                      <w:szCs w:val="18"/>
                      <w:highlight w:val="none"/>
                      <w14:textFill>
                        <w14:solidFill>
                          <w14:schemeClr w14:val="tx1"/>
                        </w14:solidFill>
                      </w14:textFill>
                    </w:rPr>
                    <w:t>5</w:t>
                  </w:r>
                  <w:r>
                    <w:rPr>
                      <w:color w:val="000000" w:themeColor="text1"/>
                      <w:sz w:val="18"/>
                      <w:szCs w:val="18"/>
                      <w:highlight w:val="none"/>
                      <w14:textFill>
                        <w14:solidFill>
                          <w14:schemeClr w14:val="tx1"/>
                        </w14:solidFill>
                      </w14:textFill>
                    </w:rPr>
                    <w:t>）排放（处理能力</w:t>
                  </w:r>
                  <w:r>
                    <w:rPr>
                      <w:rFonts w:hint="eastAsia"/>
                      <w:color w:val="000000" w:themeColor="text1"/>
                      <w:sz w:val="18"/>
                      <w:szCs w:val="18"/>
                      <w:highlight w:val="none"/>
                      <w14:textFill>
                        <w14:solidFill>
                          <w14:schemeClr w14:val="tx1"/>
                        </w14:solidFill>
                      </w14:textFill>
                    </w:rPr>
                    <w:t>12</w:t>
                  </w:r>
                  <w:r>
                    <w:rPr>
                      <w:color w:val="000000" w:themeColor="text1"/>
                      <w:sz w:val="18"/>
                      <w:szCs w:val="18"/>
                      <w:highlight w:val="none"/>
                      <w14:textFill>
                        <w14:solidFill>
                          <w14:schemeClr w14:val="tx1"/>
                        </w14:solidFill>
                      </w14:textFill>
                    </w:rPr>
                    <w:t>000m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/h，处理效率9</w:t>
                  </w:r>
                  <w:r>
                    <w:rPr>
                      <w:rFonts w:hint="eastAsia"/>
                      <w:color w:val="000000" w:themeColor="text1"/>
                      <w:sz w:val="18"/>
                      <w:szCs w:val="18"/>
                      <w:highlight w:val="none"/>
                      <w14:textFill>
                        <w14:solidFill>
                          <w14:schemeClr w14:val="tx1"/>
                        </w14:solidFill>
                      </w14:textFill>
                    </w:rPr>
                    <w:t>8</w:t>
                  </w:r>
                  <w:r>
                    <w:rPr>
                      <w:color w:val="000000" w:themeColor="text1"/>
                      <w:sz w:val="18"/>
                      <w:szCs w:val="18"/>
                      <w:highlight w:val="none"/>
                      <w14:textFill>
                        <w14:solidFill>
                          <w14:schemeClr w14:val="tx1"/>
                        </w14:solidFill>
                      </w14:textFill>
                    </w:rPr>
                    <w:t>%）</w:t>
                  </w:r>
                </w:p>
              </w:tc>
            </w:tr>
            <w:tr w14:paraId="295B0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16" w:type="dxa"/>
                  <w:vAlign w:val="center"/>
                </w:tcPr>
                <w:p w14:paraId="4520EDF4">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w:t>
                  </w:r>
                </w:p>
              </w:tc>
              <w:tc>
                <w:tcPr>
                  <w:tcW w:w="1134" w:type="dxa"/>
                  <w:vAlign w:val="center"/>
                </w:tcPr>
                <w:p w14:paraId="6F43CDFE">
                  <w:pPr>
                    <w:widowControl/>
                    <w:spacing w:line="260" w:lineRule="exact"/>
                    <w:ind w:left="-105" w:leftChars="-50" w:right="-105" w:rightChars="-50"/>
                    <w:jc w:val="center"/>
                    <w:textAlignment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3#、4#隧道窑窑车吹扫工序</w:t>
                  </w:r>
                </w:p>
              </w:tc>
              <w:tc>
                <w:tcPr>
                  <w:tcW w:w="3543" w:type="dxa"/>
                  <w:vAlign w:val="center"/>
                </w:tcPr>
                <w:p w14:paraId="4E2D4587">
                  <w:pPr>
                    <w:widowControl/>
                    <w:spacing w:line="260" w:lineRule="exact"/>
                    <w:ind w:left="-105" w:leftChars="-50" w:right="-105" w:rightChars="-50"/>
                    <w:jc w:val="center"/>
                    <w:textAlignment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窑车吹扫工位固定，全封闭处理</w:t>
                  </w:r>
                  <w:r>
                    <w:rPr>
                      <w:rFonts w:hint="eastAsia"/>
                      <w:color w:val="000000" w:themeColor="text1"/>
                      <w:kern w:val="0"/>
                      <w:sz w:val="18"/>
                      <w:szCs w:val="18"/>
                      <w:highlight w:val="none"/>
                      <w14:textFill>
                        <w14:solidFill>
                          <w14:schemeClr w14:val="tx1"/>
                        </w14:solidFill>
                      </w14:textFill>
                    </w:rPr>
                    <w:t>（容积200m</w:t>
                  </w:r>
                  <w:r>
                    <w:rPr>
                      <w:rFonts w:hint="eastAsia"/>
                      <w:color w:val="000000" w:themeColor="text1"/>
                      <w:kern w:val="0"/>
                      <w:sz w:val="18"/>
                      <w:szCs w:val="18"/>
                      <w:highlight w:val="none"/>
                      <w:vertAlign w:val="superscript"/>
                      <w14:textFill>
                        <w14:solidFill>
                          <w14:schemeClr w14:val="tx1"/>
                        </w14:solidFill>
                      </w14:textFill>
                    </w:rPr>
                    <w:t>3</w:t>
                  </w:r>
                  <w:r>
                    <w:rPr>
                      <w:rFonts w:hint="eastAsia"/>
                      <w:color w:val="000000" w:themeColor="text1"/>
                      <w:kern w:val="0"/>
                      <w:sz w:val="18"/>
                      <w:szCs w:val="18"/>
                      <w:highlight w:val="none"/>
                      <w14:textFill>
                        <w14:solidFill>
                          <w14:schemeClr w14:val="tx1"/>
                        </w14:solidFill>
                      </w14:textFill>
                    </w:rPr>
                    <w:t>，换气50次/h）</w:t>
                  </w:r>
                </w:p>
              </w:tc>
              <w:tc>
                <w:tcPr>
                  <w:tcW w:w="709" w:type="dxa"/>
                  <w:vMerge w:val="continue"/>
                  <w:vAlign w:val="center"/>
                </w:tcPr>
                <w:p w14:paraId="5A9E902F">
                  <w:pPr>
                    <w:spacing w:line="260" w:lineRule="exact"/>
                    <w:ind w:left="-105" w:leftChars="-50" w:right="-105" w:rightChars="-50"/>
                    <w:jc w:val="center"/>
                    <w:rPr>
                      <w:color w:val="000000" w:themeColor="text1"/>
                      <w:sz w:val="18"/>
                      <w:szCs w:val="18"/>
                      <w:highlight w:val="none"/>
                      <w14:textFill>
                        <w14:solidFill>
                          <w14:schemeClr w14:val="tx1"/>
                        </w14:solidFill>
                      </w14:textFill>
                    </w:rPr>
                  </w:pPr>
                </w:p>
              </w:tc>
              <w:tc>
                <w:tcPr>
                  <w:tcW w:w="709" w:type="dxa"/>
                  <w:vAlign w:val="center"/>
                </w:tcPr>
                <w:p w14:paraId="1876CC95">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10000</w:t>
                  </w:r>
                </w:p>
              </w:tc>
              <w:tc>
                <w:tcPr>
                  <w:tcW w:w="2312" w:type="dxa"/>
                  <w:vAlign w:val="center"/>
                </w:tcPr>
                <w:p w14:paraId="2E1B7382">
                  <w:pPr>
                    <w:spacing w:line="260" w:lineRule="exact"/>
                    <w:ind w:left="-105" w:leftChars="-50" w:right="-105" w:rightChars="-5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引入1套脉冲布袋除尘器处理后通过15m高排气筒（</w:t>
                  </w:r>
                  <w:r>
                    <w:rPr>
                      <w:bCs/>
                      <w:color w:val="000000" w:themeColor="text1"/>
                      <w:sz w:val="18"/>
                      <w:szCs w:val="18"/>
                      <w:highlight w:val="none"/>
                      <w14:textFill>
                        <w14:solidFill>
                          <w14:schemeClr w14:val="tx1"/>
                        </w14:solidFill>
                      </w14:textFill>
                    </w:rPr>
                    <w:t>DA00</w:t>
                  </w:r>
                  <w:r>
                    <w:rPr>
                      <w:rFonts w:hint="eastAsia"/>
                      <w:bCs/>
                      <w:color w:val="000000" w:themeColor="text1"/>
                      <w:sz w:val="18"/>
                      <w:szCs w:val="18"/>
                      <w:highlight w:val="none"/>
                      <w14:textFill>
                        <w14:solidFill>
                          <w14:schemeClr w14:val="tx1"/>
                        </w14:solidFill>
                      </w14:textFill>
                    </w:rPr>
                    <w:t>6</w:t>
                  </w:r>
                  <w:r>
                    <w:rPr>
                      <w:color w:val="000000" w:themeColor="text1"/>
                      <w:sz w:val="18"/>
                      <w:szCs w:val="18"/>
                      <w:highlight w:val="none"/>
                      <w14:textFill>
                        <w14:solidFill>
                          <w14:schemeClr w14:val="tx1"/>
                        </w14:solidFill>
                      </w14:textFill>
                    </w:rPr>
                    <w:t>）排放（处理能力</w:t>
                  </w:r>
                  <w:r>
                    <w:rPr>
                      <w:rFonts w:hint="eastAsia"/>
                      <w:color w:val="000000" w:themeColor="text1"/>
                      <w:sz w:val="18"/>
                      <w:szCs w:val="18"/>
                      <w:highlight w:val="none"/>
                      <w14:textFill>
                        <w14:solidFill>
                          <w14:schemeClr w14:val="tx1"/>
                        </w14:solidFill>
                      </w14:textFill>
                    </w:rPr>
                    <w:t>12</w:t>
                  </w:r>
                  <w:r>
                    <w:rPr>
                      <w:color w:val="000000" w:themeColor="text1"/>
                      <w:sz w:val="18"/>
                      <w:szCs w:val="18"/>
                      <w:highlight w:val="none"/>
                      <w14:textFill>
                        <w14:solidFill>
                          <w14:schemeClr w14:val="tx1"/>
                        </w14:solidFill>
                      </w14:textFill>
                    </w:rPr>
                    <w:t>000m</w:t>
                  </w:r>
                  <w:r>
                    <w:rPr>
                      <w:color w:val="000000" w:themeColor="text1"/>
                      <w:sz w:val="18"/>
                      <w:szCs w:val="18"/>
                      <w:highlight w:val="none"/>
                      <w:vertAlign w:val="superscript"/>
                      <w14:textFill>
                        <w14:solidFill>
                          <w14:schemeClr w14:val="tx1"/>
                        </w14:solidFill>
                      </w14:textFill>
                    </w:rPr>
                    <w:t>3</w:t>
                  </w:r>
                  <w:r>
                    <w:rPr>
                      <w:color w:val="000000" w:themeColor="text1"/>
                      <w:sz w:val="18"/>
                      <w:szCs w:val="18"/>
                      <w:highlight w:val="none"/>
                      <w14:textFill>
                        <w14:solidFill>
                          <w14:schemeClr w14:val="tx1"/>
                        </w14:solidFill>
                      </w14:textFill>
                    </w:rPr>
                    <w:t>/h，处理效率9</w:t>
                  </w:r>
                  <w:r>
                    <w:rPr>
                      <w:rFonts w:hint="eastAsia"/>
                      <w:color w:val="000000" w:themeColor="text1"/>
                      <w:sz w:val="18"/>
                      <w:szCs w:val="18"/>
                      <w:highlight w:val="none"/>
                      <w14:textFill>
                        <w14:solidFill>
                          <w14:schemeClr w14:val="tx1"/>
                        </w14:solidFill>
                      </w14:textFill>
                    </w:rPr>
                    <w:t>8</w:t>
                  </w:r>
                  <w:r>
                    <w:rPr>
                      <w:color w:val="000000" w:themeColor="text1"/>
                      <w:sz w:val="18"/>
                      <w:szCs w:val="18"/>
                      <w:highlight w:val="none"/>
                      <w14:textFill>
                        <w14:solidFill>
                          <w14:schemeClr w14:val="tx1"/>
                        </w14:solidFill>
                      </w14:textFill>
                    </w:rPr>
                    <w:t>%）</w:t>
                  </w:r>
                </w:p>
              </w:tc>
            </w:tr>
          </w:tbl>
          <w:p w14:paraId="4FF41FE5">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根据上表风量核算，</w:t>
            </w:r>
            <w:r>
              <w:rPr>
                <w:rFonts w:hint="eastAsia"/>
                <w:color w:val="000000" w:themeColor="text1"/>
                <w:sz w:val="24"/>
                <w:szCs w:val="22"/>
                <w:highlight w:val="none"/>
                <w14:textFill>
                  <w14:solidFill>
                    <w14:schemeClr w14:val="tx1"/>
                  </w14:solidFill>
                </w14:textFill>
              </w:rPr>
              <w:t>页岩、干排淤泥给料、破碎、筛分、搅拌工序废气处理所需理论风量为47250</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/h</w:t>
            </w:r>
            <w:r>
              <w:rPr>
                <w:rFonts w:hint="eastAsia"/>
                <w:color w:val="000000" w:themeColor="text1"/>
                <w:sz w:val="24"/>
                <w:szCs w:val="22"/>
                <w:highlight w:val="none"/>
                <w14:textFill>
                  <w14:solidFill>
                    <w14:schemeClr w14:val="tx1"/>
                  </w14:solidFill>
                </w14:textFill>
              </w:rPr>
              <w:t>，煤矸石、炉渣给料、破碎、筛分工序、煤矸石储料仓废气处理所需理论风量为46200</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/h</w:t>
            </w:r>
            <w:r>
              <w:rPr>
                <w:rFonts w:hint="eastAsia"/>
                <w:color w:val="000000" w:themeColor="text1"/>
                <w:sz w:val="24"/>
                <w:szCs w:val="22"/>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窑车吹扫工序废气处理所需理论风量共20000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（每套10000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现有给料、破碎、筛分、搅拌、落料、窑车吹扫</w:t>
            </w:r>
            <w:r>
              <w:rPr>
                <w:rFonts w:hint="eastAsia"/>
                <w:color w:val="000000" w:themeColor="text1"/>
                <w:sz w:val="24"/>
                <w:highlight w:val="none"/>
                <w14:textFill>
                  <w14:solidFill>
                    <w14:schemeClr w14:val="tx1"/>
                  </w14:solidFill>
                </w14:textFill>
              </w:rPr>
              <w:t>的4套</w:t>
            </w:r>
            <w:r>
              <w:rPr>
                <w:color w:val="000000" w:themeColor="text1"/>
                <w:sz w:val="24"/>
                <w:highlight w:val="none"/>
                <w14:textFill>
                  <w14:solidFill>
                    <w14:schemeClr w14:val="tx1"/>
                  </w14:solidFill>
                </w14:textFill>
              </w:rPr>
              <w:t>脉冲布袋除尘器风机额定风量</w:t>
            </w:r>
            <w:r>
              <w:rPr>
                <w:rFonts w:hint="eastAsia"/>
                <w:color w:val="000000" w:themeColor="text1"/>
                <w:sz w:val="24"/>
                <w:highlight w:val="none"/>
                <w14:textFill>
                  <w14:solidFill>
                    <w14:schemeClr w14:val="tx1"/>
                  </w14:solidFill>
                </w14:textFill>
              </w:rPr>
              <w:t>均</w:t>
            </w:r>
            <w:r>
              <w:rPr>
                <w:color w:val="000000" w:themeColor="text1"/>
                <w:sz w:val="24"/>
                <w:highlight w:val="none"/>
                <w14:textFill>
                  <w14:solidFill>
                    <w14:schemeClr w14:val="tx1"/>
                  </w14:solidFill>
                </w14:textFill>
              </w:rPr>
              <w:t>可以满足拟建项目完成后</w:t>
            </w:r>
            <w:r>
              <w:rPr>
                <w:rFonts w:hint="eastAsia"/>
                <w:color w:val="000000" w:themeColor="text1"/>
                <w:sz w:val="24"/>
                <w:highlight w:val="none"/>
                <w14:textFill>
                  <w14:solidFill>
                    <w14:schemeClr w14:val="tx1"/>
                  </w14:solidFill>
                </w14:textFill>
              </w:rPr>
              <w:t>各工序</w:t>
            </w:r>
            <w:r>
              <w:rPr>
                <w:color w:val="000000" w:themeColor="text1"/>
                <w:sz w:val="24"/>
                <w:highlight w:val="none"/>
                <w14:textFill>
                  <w14:solidFill>
                    <w14:schemeClr w14:val="tx1"/>
                  </w14:solidFill>
                </w14:textFill>
              </w:rPr>
              <w:t>风量需求。</w:t>
            </w:r>
            <w:r>
              <w:rPr>
                <w:rFonts w:hint="eastAsia"/>
                <w:color w:val="000000" w:themeColor="text1"/>
                <w:sz w:val="24"/>
                <w:highlight w:val="none"/>
                <w14:textFill>
                  <w14:solidFill>
                    <w14:schemeClr w14:val="tx1"/>
                  </w14:solidFill>
                </w14:textFill>
              </w:rPr>
              <w:t>本次改扩建利用现有废气治理设施可行。</w:t>
            </w:r>
            <w:r>
              <w:rPr>
                <w:bCs/>
                <w:color w:val="000000" w:themeColor="text1"/>
                <w:sz w:val="24"/>
                <w:highlight w:val="none"/>
                <w14:textFill>
                  <w14:solidFill>
                    <w14:schemeClr w14:val="tx1"/>
                  </w14:solidFill>
                </w14:textFill>
              </w:rPr>
              <w:t>本项目</w:t>
            </w:r>
            <w:r>
              <w:rPr>
                <w:rFonts w:hint="eastAsia"/>
                <w:bCs/>
                <w:color w:val="000000" w:themeColor="text1"/>
                <w:sz w:val="24"/>
                <w:highlight w:val="none"/>
                <w14:textFill>
                  <w14:solidFill>
                    <w14:schemeClr w14:val="tx1"/>
                  </w14:solidFill>
                </w14:textFill>
              </w:rPr>
              <w:t>利旧现有除尘设施及排气筒，原料破碎、筛分等工序共2套</w:t>
            </w:r>
            <w:r>
              <w:rPr>
                <w:rFonts w:hint="eastAsia"/>
                <w:color w:val="000000" w:themeColor="text1"/>
                <w:sz w:val="24"/>
                <w:highlight w:val="none"/>
                <w14:textFill>
                  <w14:solidFill>
                    <w14:schemeClr w14:val="tx1"/>
                  </w14:solidFill>
                </w14:textFill>
              </w:rPr>
              <w:t>脉冲布袋除尘器，设计处理能力均为50000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滤袋材质为覆膜针刺毡，过滤风速＜0.8m/min，过滤面积1050m</w:t>
            </w:r>
            <w:r>
              <w:rPr>
                <w:rFonts w:hint="eastAsia"/>
                <w:color w:val="000000" w:themeColor="text1"/>
                <w:sz w:val="24"/>
                <w:highlight w:val="none"/>
                <w:vertAlign w:val="superscript"/>
                <w14:textFill>
                  <w14:solidFill>
                    <w14:schemeClr w14:val="tx1"/>
                  </w14:solidFill>
                </w14:textFill>
              </w:rPr>
              <w:t>2</w:t>
            </w:r>
            <w:r>
              <w:rPr>
                <w:rFonts w:hint="eastAsia"/>
                <w:color w:val="000000" w:themeColor="text1"/>
                <w:sz w:val="24"/>
                <w:highlight w:val="none"/>
                <w14:textFill>
                  <w14:solidFill>
                    <w14:schemeClr w14:val="tx1"/>
                  </w14:solidFill>
                </w14:textFill>
              </w:rPr>
              <w:t>，除尘器处理效率98%；窑车吹扫工序共</w:t>
            </w:r>
            <w:r>
              <w:rPr>
                <w:rFonts w:hint="eastAsia"/>
                <w:bCs/>
                <w:color w:val="000000" w:themeColor="text1"/>
                <w:sz w:val="24"/>
                <w:highlight w:val="none"/>
                <w14:textFill>
                  <w14:solidFill>
                    <w14:schemeClr w14:val="tx1"/>
                  </w14:solidFill>
                </w14:textFill>
              </w:rPr>
              <w:t>2套</w:t>
            </w:r>
            <w:r>
              <w:rPr>
                <w:rFonts w:hint="eastAsia"/>
                <w:color w:val="000000" w:themeColor="text1"/>
                <w:sz w:val="24"/>
                <w:highlight w:val="none"/>
                <w14:textFill>
                  <w14:solidFill>
                    <w14:schemeClr w14:val="tx1"/>
                  </w14:solidFill>
                </w14:textFill>
              </w:rPr>
              <w:t>脉冲布袋除尘器，设计处理能力均为12000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滤袋材质为覆膜针刺毡，过滤风速＜0.8m/min，过滤面积255m</w:t>
            </w:r>
            <w:r>
              <w:rPr>
                <w:rFonts w:hint="eastAsia"/>
                <w:color w:val="000000" w:themeColor="text1"/>
                <w:sz w:val="24"/>
                <w:highlight w:val="none"/>
                <w:vertAlign w:val="superscript"/>
                <w14:textFill>
                  <w14:solidFill>
                    <w14:schemeClr w14:val="tx1"/>
                  </w14:solidFill>
                </w14:textFill>
              </w:rPr>
              <w:t>2</w:t>
            </w:r>
            <w:r>
              <w:rPr>
                <w:rFonts w:hint="eastAsia"/>
                <w:color w:val="000000" w:themeColor="text1"/>
                <w:sz w:val="24"/>
                <w:highlight w:val="none"/>
                <w14:textFill>
                  <w14:solidFill>
                    <w14:schemeClr w14:val="tx1"/>
                  </w14:solidFill>
                </w14:textFill>
              </w:rPr>
              <w:t>，除尘器处理效率98%。</w:t>
            </w:r>
          </w:p>
          <w:p w14:paraId="1B0429EC">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达标分析：废气收集效率95%，窑车吹扫废气</w:t>
            </w:r>
            <w:r>
              <w:rPr>
                <w:rFonts w:hint="eastAsia"/>
                <w:color w:val="000000" w:themeColor="text1"/>
                <w:sz w:val="24"/>
                <w:highlight w:val="none"/>
                <w:lang w:val="en-US" w:eastAsia="zh-CN"/>
                <w14:textFill>
                  <w14:solidFill>
                    <w14:schemeClr w14:val="tx1"/>
                  </w14:solidFill>
                </w14:textFill>
              </w:rPr>
              <w:t>颗粒物产生量</w:t>
            </w:r>
            <w:r>
              <w:rPr>
                <w:rFonts w:hint="eastAsia"/>
                <w:color w:val="000000" w:themeColor="text1"/>
                <w:sz w:val="24"/>
                <w:highlight w:val="none"/>
                <w14:textFill>
                  <w14:solidFill>
                    <w14:schemeClr w14:val="tx1"/>
                  </w14:solidFill>
                </w14:textFill>
              </w:rPr>
              <w:t>按总废气</w:t>
            </w:r>
            <w:r>
              <w:rPr>
                <w:rFonts w:hint="eastAsia"/>
                <w:color w:val="000000" w:themeColor="text1"/>
                <w:sz w:val="24"/>
                <w:highlight w:val="none"/>
                <w:lang w:val="en-US" w:eastAsia="zh-CN"/>
                <w14:textFill>
                  <w14:solidFill>
                    <w14:schemeClr w14:val="tx1"/>
                  </w14:solidFill>
                </w14:textFill>
              </w:rPr>
              <w:t>颗粒物</w:t>
            </w:r>
            <w:r>
              <w:rPr>
                <w:rFonts w:hint="eastAsia"/>
                <w:color w:val="000000" w:themeColor="text1"/>
                <w:sz w:val="24"/>
                <w:highlight w:val="none"/>
                <w14:textFill>
                  <w14:solidFill>
                    <w14:schemeClr w14:val="tx1"/>
                  </w14:solidFill>
                </w14:textFill>
              </w:rPr>
              <w:t>产生量的20%计算，窑车吹扫工序年运行</w:t>
            </w:r>
            <w:r>
              <w:rPr>
                <w:rFonts w:hint="eastAsia"/>
                <w:color w:val="000000" w:themeColor="text1"/>
                <w:sz w:val="24"/>
                <w:highlight w:val="none"/>
                <w:lang w:val="en-US" w:eastAsia="zh-CN"/>
                <w14:textFill>
                  <w14:solidFill>
                    <w14:schemeClr w14:val="tx1"/>
                  </w14:solidFill>
                </w14:textFill>
              </w:rPr>
              <w:t>528</w:t>
            </w:r>
            <w:r>
              <w:rPr>
                <w:rFonts w:hint="eastAsia"/>
                <w:color w:val="000000" w:themeColor="text1"/>
                <w:sz w:val="24"/>
                <w:highlight w:val="none"/>
                <w14:textFill>
                  <w14:solidFill>
                    <w14:schemeClr w14:val="tx1"/>
                  </w14:solidFill>
                </w14:textFill>
              </w:rPr>
              <w:t>0h。</w:t>
            </w:r>
            <w:r>
              <w:rPr>
                <w:rFonts w:hint="eastAsia"/>
                <w:color w:val="000000" w:themeColor="text1"/>
                <w:sz w:val="24"/>
                <w:szCs w:val="22"/>
                <w:highlight w:val="none"/>
                <w14:textFill>
                  <w14:solidFill>
                    <w14:schemeClr w14:val="tx1"/>
                  </w14:solidFill>
                </w14:textFill>
              </w:rPr>
              <w:t>则窑车吹扫废气颗粒物有组织产生量为</w:t>
            </w:r>
            <w:r>
              <w:rPr>
                <w:rFonts w:hint="eastAsia"/>
                <w:color w:val="000000" w:themeColor="text1"/>
                <w:sz w:val="24"/>
                <w:szCs w:val="22"/>
                <w:highlight w:val="none"/>
                <w:lang w:val="en-US" w:eastAsia="zh-CN"/>
                <w14:textFill>
                  <w14:solidFill>
                    <w14:schemeClr w14:val="tx1"/>
                  </w14:solidFill>
                </w14:textFill>
              </w:rPr>
              <w:t>9.3746</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，产生速率为</w:t>
            </w:r>
            <w:r>
              <w:rPr>
                <w:rFonts w:hint="eastAsia"/>
                <w:color w:val="000000" w:themeColor="text1"/>
                <w:sz w:val="24"/>
                <w:szCs w:val="22"/>
                <w:highlight w:val="none"/>
                <w:lang w:val="en-US" w:eastAsia="zh-CN"/>
                <w14:textFill>
                  <w14:solidFill>
                    <w14:schemeClr w14:val="tx1"/>
                  </w14:solidFill>
                </w14:textFill>
              </w:rPr>
              <w:t>1.7755</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，产生浓度为</w:t>
            </w:r>
            <w:r>
              <w:rPr>
                <w:rFonts w:hint="eastAsia"/>
                <w:color w:val="000000" w:themeColor="text1"/>
                <w:sz w:val="24"/>
                <w:szCs w:val="22"/>
                <w:highlight w:val="none"/>
                <w:lang w:val="en-US" w:eastAsia="zh-CN"/>
                <w14:textFill>
                  <w14:solidFill>
                    <w14:schemeClr w14:val="tx1"/>
                  </w14:solidFill>
                </w14:textFill>
              </w:rPr>
              <w:t>73.98</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，废气排放量</w:t>
            </w:r>
            <w:r>
              <w:rPr>
                <w:rFonts w:hint="eastAsia"/>
                <w:color w:val="000000" w:themeColor="text1"/>
                <w:sz w:val="24"/>
                <w:szCs w:val="22"/>
                <w:highlight w:val="none"/>
                <w:lang w:val="en-US" w:eastAsia="zh-CN"/>
                <w14:textFill>
                  <w14:solidFill>
                    <w14:schemeClr w14:val="tx1"/>
                  </w14:solidFill>
                </w14:textFill>
              </w:rPr>
              <w:t>12672</w:t>
            </w:r>
            <w:r>
              <w:rPr>
                <w:rFonts w:hint="eastAsia"/>
                <w:color w:val="000000" w:themeColor="text1"/>
                <w:sz w:val="24"/>
                <w:szCs w:val="22"/>
                <w:highlight w:val="none"/>
                <w14:textFill>
                  <w14:solidFill>
                    <w14:schemeClr w14:val="tx1"/>
                  </w14:solidFill>
                </w14:textFill>
              </w:rPr>
              <w:t>万</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a。脉冲布袋除尘器除尘效率</w:t>
            </w:r>
            <w:r>
              <w:rPr>
                <w:color w:val="000000" w:themeColor="text1"/>
                <w:sz w:val="24"/>
                <w:szCs w:val="22"/>
                <w:highlight w:val="none"/>
                <w14:textFill>
                  <w14:solidFill>
                    <w14:schemeClr w14:val="tx1"/>
                  </w14:solidFill>
                </w14:textFill>
              </w:rPr>
              <w:t>9</w:t>
            </w:r>
            <w:r>
              <w:rPr>
                <w:rFonts w:hint="eastAsia"/>
                <w:color w:val="000000" w:themeColor="text1"/>
                <w:sz w:val="24"/>
                <w:szCs w:val="22"/>
                <w:highlight w:val="none"/>
                <w14:textFill>
                  <w14:solidFill>
                    <w14:schemeClr w14:val="tx1"/>
                  </w14:solidFill>
                </w14:textFill>
              </w:rPr>
              <w:t>8</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，则窑车吹扫工序有组织颗粒物排放量为0.</w:t>
            </w:r>
            <w:r>
              <w:rPr>
                <w:rFonts w:hint="eastAsia"/>
                <w:color w:val="000000" w:themeColor="text1"/>
                <w:sz w:val="24"/>
                <w:szCs w:val="22"/>
                <w:highlight w:val="none"/>
                <w:lang w:val="en-US" w:eastAsia="zh-CN"/>
                <w14:textFill>
                  <w14:solidFill>
                    <w14:schemeClr w14:val="tx1"/>
                  </w14:solidFill>
                </w14:textFill>
              </w:rPr>
              <w:t>1875</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，颗粒物排放浓度为</w:t>
            </w:r>
            <w:r>
              <w:rPr>
                <w:rFonts w:hint="eastAsia"/>
                <w:color w:val="000000" w:themeColor="text1"/>
                <w:sz w:val="24"/>
                <w:szCs w:val="22"/>
                <w:highlight w:val="none"/>
                <w:lang w:val="en-US" w:eastAsia="zh-CN"/>
                <w14:textFill>
                  <w14:solidFill>
                    <w14:schemeClr w14:val="tx1"/>
                  </w14:solidFill>
                </w14:textFill>
              </w:rPr>
              <w:t>1.48</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，排放速率为0.0</w:t>
            </w:r>
            <w:r>
              <w:rPr>
                <w:rFonts w:hint="eastAsia"/>
                <w:color w:val="000000" w:themeColor="text1"/>
                <w:sz w:val="24"/>
                <w:szCs w:val="22"/>
                <w:highlight w:val="none"/>
                <w:lang w:val="en-US" w:eastAsia="zh-CN"/>
                <w14:textFill>
                  <w14:solidFill>
                    <w14:schemeClr w14:val="tx1"/>
                  </w14:solidFill>
                </w14:textFill>
              </w:rPr>
              <w:t>355</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2大气污染物排放限值以及</w:t>
            </w:r>
            <w:r>
              <w:rPr>
                <w:bCs/>
                <w:color w:val="000000" w:themeColor="text1"/>
                <w:sz w:val="24"/>
                <w:highlight w:val="none"/>
                <w14:textFill>
                  <w14:solidFill>
                    <w14:schemeClr w14:val="tx1"/>
                  </w14:solidFill>
                </w14:textFill>
              </w:rPr>
              <w:t>《唐山市生态环境局关于印发独立石灰窑等五个行业工业炉窑烟气达标治理工作方案的通知》（唐环气〔2019〕2号）中附件5《唐山市砖瓦行业烟气达标治理工作方案》中颗粒物排放浓度不大于10mg/m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的限值要求</w:t>
            </w:r>
            <w:r>
              <w:rPr>
                <w:color w:val="000000" w:themeColor="text1"/>
                <w:sz w:val="24"/>
                <w:highlight w:val="none"/>
                <w14:textFill>
                  <w14:solidFill>
                    <w14:schemeClr w14:val="tx1"/>
                  </w14:solidFill>
                </w14:textFill>
              </w:rPr>
              <w:t>。</w:t>
            </w:r>
          </w:p>
          <w:p w14:paraId="37776A28">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szCs w:val="22"/>
                <w:highlight w:val="none"/>
                <w14:textFill>
                  <w14:solidFill>
                    <w14:schemeClr w14:val="tx1"/>
                  </w14:solidFill>
                </w14:textFill>
              </w:rPr>
              <w:t>原料给料、破碎、筛分、搅拌、落料工序颗粒物有组织产生量</w:t>
            </w:r>
            <w:r>
              <w:rPr>
                <w:rFonts w:hint="eastAsia"/>
                <w:color w:val="000000" w:themeColor="text1"/>
                <w:sz w:val="24"/>
                <w:szCs w:val="22"/>
                <w:highlight w:val="none"/>
                <w:lang w:val="en-US" w:eastAsia="zh-CN"/>
                <w14:textFill>
                  <w14:solidFill>
                    <w14:schemeClr w14:val="tx1"/>
                  </w14:solidFill>
                </w14:textFill>
              </w:rPr>
              <w:t>37.5</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，产生速率为</w:t>
            </w:r>
            <w:r>
              <w:rPr>
                <w:rFonts w:hint="eastAsia"/>
                <w:color w:val="000000" w:themeColor="text1"/>
                <w:sz w:val="24"/>
                <w:szCs w:val="22"/>
                <w:highlight w:val="none"/>
                <w:lang w:val="en-US" w:eastAsia="zh-CN"/>
                <w14:textFill>
                  <w14:solidFill>
                    <w14:schemeClr w14:val="tx1"/>
                  </w14:solidFill>
                </w14:textFill>
              </w:rPr>
              <w:t>7.1023</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，产生浓度为</w:t>
            </w:r>
            <w:r>
              <w:rPr>
                <w:rFonts w:hint="eastAsia"/>
                <w:color w:val="000000" w:themeColor="text1"/>
                <w:sz w:val="24"/>
                <w:szCs w:val="22"/>
                <w:highlight w:val="none"/>
                <w:lang w:val="en-US" w:eastAsia="zh-CN"/>
                <w14:textFill>
                  <w14:solidFill>
                    <w14:schemeClr w14:val="tx1"/>
                  </w14:solidFill>
                </w14:textFill>
              </w:rPr>
              <w:t>71.02</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，破碎车间生产线年运行</w:t>
            </w:r>
            <w:r>
              <w:rPr>
                <w:rFonts w:hint="eastAsia"/>
                <w:color w:val="000000" w:themeColor="text1"/>
                <w:sz w:val="24"/>
                <w:szCs w:val="22"/>
                <w:highlight w:val="none"/>
                <w:lang w:val="en-US" w:eastAsia="zh-CN"/>
                <w14:textFill>
                  <w14:solidFill>
                    <w14:schemeClr w14:val="tx1"/>
                  </w14:solidFill>
                </w14:textFill>
              </w:rPr>
              <w:t>528</w:t>
            </w:r>
            <w:r>
              <w:rPr>
                <w:rFonts w:hint="eastAsia"/>
                <w:color w:val="000000" w:themeColor="text1"/>
                <w:sz w:val="24"/>
                <w:szCs w:val="22"/>
                <w:highlight w:val="none"/>
                <w14:textFill>
                  <w14:solidFill>
                    <w14:schemeClr w14:val="tx1"/>
                  </w14:solidFill>
                </w14:textFill>
              </w:rPr>
              <w:t>0h，则废气排放量为</w:t>
            </w:r>
            <w:r>
              <w:rPr>
                <w:rFonts w:hint="eastAsia"/>
                <w:color w:val="000000" w:themeColor="text1"/>
                <w:sz w:val="24"/>
                <w:szCs w:val="22"/>
                <w:highlight w:val="none"/>
                <w:lang w:val="en-US" w:eastAsia="zh-CN"/>
                <w14:textFill>
                  <w14:solidFill>
                    <w14:schemeClr w14:val="tx1"/>
                  </w14:solidFill>
                </w14:textFill>
              </w:rPr>
              <w:t>52800</w:t>
            </w:r>
            <w:r>
              <w:rPr>
                <w:rFonts w:hint="eastAsia"/>
                <w:color w:val="000000" w:themeColor="text1"/>
                <w:sz w:val="24"/>
                <w:szCs w:val="22"/>
                <w:highlight w:val="none"/>
                <w14:textFill>
                  <w14:solidFill>
                    <w14:schemeClr w14:val="tx1"/>
                  </w14:solidFill>
                </w14:textFill>
              </w:rPr>
              <w:t>万</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a。脉冲布袋除尘器除尘效率</w:t>
            </w:r>
            <w:r>
              <w:rPr>
                <w:color w:val="000000" w:themeColor="text1"/>
                <w:sz w:val="24"/>
                <w:szCs w:val="22"/>
                <w:highlight w:val="none"/>
                <w14:textFill>
                  <w14:solidFill>
                    <w14:schemeClr w14:val="tx1"/>
                  </w14:solidFill>
                </w14:textFill>
              </w:rPr>
              <w:t>9</w:t>
            </w:r>
            <w:r>
              <w:rPr>
                <w:rFonts w:hint="eastAsia"/>
                <w:color w:val="000000" w:themeColor="text1"/>
                <w:sz w:val="24"/>
                <w:szCs w:val="22"/>
                <w:highlight w:val="none"/>
                <w14:textFill>
                  <w14:solidFill>
                    <w14:schemeClr w14:val="tx1"/>
                  </w14:solidFill>
                </w14:textFill>
              </w:rPr>
              <w:t>8</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，则有组织颗粒物排放量为0.</w:t>
            </w:r>
            <w:r>
              <w:rPr>
                <w:rFonts w:hint="eastAsia"/>
                <w:color w:val="000000" w:themeColor="text1"/>
                <w:sz w:val="24"/>
                <w:szCs w:val="22"/>
                <w:highlight w:val="none"/>
                <w:lang w:val="en-US" w:eastAsia="zh-CN"/>
                <w14:textFill>
                  <w14:solidFill>
                    <w14:schemeClr w14:val="tx1"/>
                  </w14:solidFill>
                </w14:textFill>
              </w:rPr>
              <w:t>75</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，颗粒物排放浓度为</w:t>
            </w:r>
            <w:r>
              <w:rPr>
                <w:rFonts w:hint="eastAsia"/>
                <w:color w:val="000000" w:themeColor="text1"/>
                <w:sz w:val="24"/>
                <w:szCs w:val="22"/>
                <w:highlight w:val="none"/>
                <w:lang w:val="en-US" w:eastAsia="zh-CN"/>
                <w14:textFill>
                  <w14:solidFill>
                    <w14:schemeClr w14:val="tx1"/>
                  </w14:solidFill>
                </w14:textFill>
              </w:rPr>
              <w:t>1.42</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，排放速率为0.</w:t>
            </w:r>
            <w:r>
              <w:rPr>
                <w:rFonts w:hint="eastAsia"/>
                <w:color w:val="000000" w:themeColor="text1"/>
                <w:sz w:val="24"/>
                <w:szCs w:val="22"/>
                <w:highlight w:val="none"/>
                <w:lang w:val="en-US" w:eastAsia="zh-CN"/>
                <w14:textFill>
                  <w14:solidFill>
                    <w14:schemeClr w14:val="tx1"/>
                  </w14:solidFill>
                </w14:textFill>
              </w:rPr>
              <w:t>142</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2大气污染物排放限值以及</w:t>
            </w:r>
            <w:r>
              <w:rPr>
                <w:bCs/>
                <w:color w:val="000000" w:themeColor="text1"/>
                <w:sz w:val="24"/>
                <w:highlight w:val="none"/>
                <w14:textFill>
                  <w14:solidFill>
                    <w14:schemeClr w14:val="tx1"/>
                  </w14:solidFill>
                </w14:textFill>
              </w:rPr>
              <w:t>《唐山市生态环境局关于印发独立石灰窑等五个行业工业炉窑烟气达标治理工作方案的通知》（唐环气〔2019〕2号）中附件5《唐山市砖瓦行业烟气达标治理工作方案》中颗粒物排放浓度不大于10mg/m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的限值要求</w:t>
            </w:r>
            <w:r>
              <w:rPr>
                <w:color w:val="000000" w:themeColor="text1"/>
                <w:sz w:val="24"/>
                <w:highlight w:val="none"/>
                <w14:textFill>
                  <w14:solidFill>
                    <w14:schemeClr w14:val="tx1"/>
                  </w14:solidFill>
                </w14:textFill>
              </w:rPr>
              <w:t>。</w:t>
            </w:r>
          </w:p>
          <w:p w14:paraId="39F4D4D3">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（2）隧道窑废气</w:t>
            </w:r>
          </w:p>
          <w:p w14:paraId="70E48677">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本次改扩建</w:t>
            </w:r>
            <w:r>
              <w:rPr>
                <w:color w:val="000000" w:themeColor="text1"/>
                <w:sz w:val="24"/>
                <w:highlight w:val="none"/>
                <w14:textFill>
                  <w14:solidFill>
                    <w14:schemeClr w14:val="tx1"/>
                  </w14:solidFill>
                </w14:textFill>
              </w:rPr>
              <w:t>项目采用污泥</w:t>
            </w:r>
            <w:r>
              <w:rPr>
                <w:rFonts w:hint="eastAsia"/>
                <w:color w:val="000000" w:themeColor="text1"/>
                <w:sz w:val="24"/>
                <w:highlight w:val="none"/>
                <w14:textFill>
                  <w14:solidFill>
                    <w14:schemeClr w14:val="tx1"/>
                  </w14:solidFill>
                </w14:textFill>
              </w:rPr>
              <w:t>、干排淤泥、炉渣等</w:t>
            </w:r>
            <w:r>
              <w:rPr>
                <w:color w:val="000000" w:themeColor="text1"/>
                <w:sz w:val="24"/>
                <w:highlight w:val="none"/>
                <w14:textFill>
                  <w14:solidFill>
                    <w14:schemeClr w14:val="tx1"/>
                  </w14:solidFill>
                </w14:textFill>
              </w:rPr>
              <w:t>一般</w:t>
            </w:r>
            <w:r>
              <w:rPr>
                <w:rFonts w:hint="eastAsia"/>
                <w:color w:val="000000" w:themeColor="text1"/>
                <w:sz w:val="24"/>
                <w:highlight w:val="none"/>
                <w14:textFill>
                  <w14:solidFill>
                    <w14:schemeClr w14:val="tx1"/>
                  </w14:solidFill>
                </w14:textFill>
              </w:rPr>
              <w:t>工业固废</w:t>
            </w:r>
            <w:r>
              <w:rPr>
                <w:color w:val="000000" w:themeColor="text1"/>
                <w:sz w:val="24"/>
                <w:highlight w:val="none"/>
                <w14:textFill>
                  <w14:solidFill>
                    <w14:schemeClr w14:val="tx1"/>
                  </w14:solidFill>
                </w14:textFill>
              </w:rPr>
              <w:t>替代部分页岩</w:t>
            </w:r>
            <w:r>
              <w:rPr>
                <w:rFonts w:hint="eastAsia"/>
                <w:color w:val="000000" w:themeColor="text1"/>
                <w:sz w:val="24"/>
                <w:highlight w:val="none"/>
                <w14:textFill>
                  <w14:solidFill>
                    <w14:schemeClr w14:val="tx1"/>
                  </w14:solidFill>
                </w14:textFill>
              </w:rPr>
              <w:t>、煤矸石</w:t>
            </w:r>
            <w:r>
              <w:rPr>
                <w:color w:val="000000" w:themeColor="text1"/>
                <w:sz w:val="24"/>
                <w:highlight w:val="none"/>
                <w14:textFill>
                  <w14:solidFill>
                    <w14:schemeClr w14:val="tx1"/>
                  </w14:solidFill>
                </w14:textFill>
              </w:rPr>
              <w:t>，与煤矸石、页岩、剥岩废料经混合均匀、压型后进入隧道窑式干燥室及焙烧隧道窑中进行</w:t>
            </w:r>
            <w:r>
              <w:rPr>
                <w:rFonts w:hint="eastAsia"/>
                <w:color w:val="000000" w:themeColor="text1"/>
                <w:sz w:val="24"/>
                <w:highlight w:val="none"/>
                <w14:textFill>
                  <w14:solidFill>
                    <w14:schemeClr w14:val="tx1"/>
                  </w14:solidFill>
                </w14:textFill>
              </w:rPr>
              <w:t>烘干和</w:t>
            </w:r>
            <w:r>
              <w:rPr>
                <w:color w:val="000000" w:themeColor="text1"/>
                <w:sz w:val="24"/>
                <w:highlight w:val="none"/>
                <w14:textFill>
                  <w14:solidFill>
                    <w14:schemeClr w14:val="tx1"/>
                  </w14:solidFill>
                </w14:textFill>
              </w:rPr>
              <w:t>烧结，废气主要为干燥、焙烧时产生的废气，污染因子主要为颗粒物、SO</w:t>
            </w:r>
            <w:r>
              <w:rPr>
                <w:color w:val="000000" w:themeColor="text1"/>
                <w:sz w:val="24"/>
                <w:highlight w:val="none"/>
                <w:vertAlign w:val="subscript"/>
                <w14:textFill>
                  <w14:solidFill>
                    <w14:schemeClr w14:val="tx1"/>
                  </w14:solidFill>
                </w14:textFill>
              </w:rPr>
              <w:t>2</w:t>
            </w:r>
            <w:r>
              <w:rPr>
                <w:color w:val="000000" w:themeColor="text1"/>
                <w:sz w:val="24"/>
                <w:highlight w:val="none"/>
                <w14:textFill>
                  <w14:solidFill>
                    <w14:schemeClr w14:val="tx1"/>
                  </w14:solidFill>
                </w14:textFill>
              </w:rPr>
              <w:t>、NOx、氟化物、氯化氢及二噁英类、</w:t>
            </w:r>
            <w:r>
              <w:rPr>
                <w:rFonts w:hint="eastAsia"/>
                <w:color w:val="000000" w:themeColor="text1"/>
                <w:sz w:val="24"/>
                <w:highlight w:val="none"/>
                <w:lang w:val="en-US" w:eastAsia="zh-CN"/>
                <w14:textFill>
                  <w14:solidFill>
                    <w14:schemeClr w14:val="tx1"/>
                  </w14:solidFill>
                </w14:textFill>
              </w:rPr>
              <w:t>氨、</w:t>
            </w:r>
            <w:r>
              <w:rPr>
                <w:color w:val="000000" w:themeColor="text1"/>
                <w:sz w:val="24"/>
                <w:highlight w:val="none"/>
                <w14:textFill>
                  <w14:solidFill>
                    <w14:schemeClr w14:val="tx1"/>
                  </w14:solidFill>
                </w14:textFill>
              </w:rPr>
              <w:t>重金属等。</w:t>
            </w:r>
            <w:r>
              <w:rPr>
                <w:rFonts w:hint="eastAsia"/>
                <w:color w:val="000000" w:themeColor="text1"/>
                <w:sz w:val="24"/>
                <w:highlight w:val="none"/>
                <w14:textFill>
                  <w14:solidFill>
                    <w14:schemeClr w14:val="tx1"/>
                  </w14:solidFill>
                </w14:textFill>
              </w:rPr>
              <w:t>本次改扩建项目利用现有烘干、焙烧设备设施，烟气处理利用现有废气治理设施：</w:t>
            </w:r>
            <w:r>
              <w:rPr>
                <w:color w:val="000000" w:themeColor="text1"/>
                <w:sz w:val="24"/>
                <w:highlight w:val="none"/>
                <w14:textFill>
                  <w14:solidFill>
                    <w14:schemeClr w14:val="tx1"/>
                  </w14:solidFill>
                </w14:textFill>
              </w:rPr>
              <w:t>1#、2#隧道窑废气经</w:t>
            </w:r>
            <w:r>
              <w:rPr>
                <w:rFonts w:hint="eastAsia"/>
                <w:color w:val="000000" w:themeColor="text1"/>
                <w:sz w:val="24"/>
                <w:highlight w:val="none"/>
                <w:lang w:val="en-US" w:eastAsia="zh-CN"/>
                <w14:textFill>
                  <w14:solidFill>
                    <w14:schemeClr w14:val="tx1"/>
                  </w14:solidFill>
                </w14:textFill>
              </w:rPr>
              <w:t>SNCR脱硝+</w:t>
            </w:r>
            <w:r>
              <w:rPr>
                <w:color w:val="000000" w:themeColor="text1"/>
                <w:sz w:val="24"/>
                <w:highlight w:val="none"/>
                <w14:textFill>
                  <w14:solidFill>
                    <w14:schemeClr w14:val="tx1"/>
                  </w14:solidFill>
                </w14:textFill>
              </w:rPr>
              <w:t>石灰-石膏法脱硫+湿式静电除尘器处理后，经1根38m高排气筒（DA00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）排放。3#、4#隧道窑废气经</w:t>
            </w:r>
            <w:r>
              <w:rPr>
                <w:rFonts w:hint="eastAsia"/>
                <w:color w:val="000000" w:themeColor="text1"/>
                <w:sz w:val="24"/>
                <w:highlight w:val="none"/>
                <w:lang w:val="en-US" w:eastAsia="zh-CN"/>
                <w14:textFill>
                  <w14:solidFill>
                    <w14:schemeClr w14:val="tx1"/>
                  </w14:solidFill>
                </w14:textFill>
              </w:rPr>
              <w:t>SNCR脱硝+</w:t>
            </w:r>
            <w:r>
              <w:rPr>
                <w:color w:val="000000" w:themeColor="text1"/>
                <w:sz w:val="24"/>
                <w:highlight w:val="none"/>
                <w14:textFill>
                  <w14:solidFill>
                    <w14:schemeClr w14:val="tx1"/>
                  </w14:solidFill>
                </w14:textFill>
              </w:rPr>
              <w:t>石灰-石膏法脱硫+湿式静电除尘器处理后，经1根38m高排气筒（DA00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p>
          <w:p w14:paraId="1246563B">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本项目所用原料煤矸石、炉渣在烧结过程中可自燃，利用原料本身产生的热值能够满足生产过程中的热能消耗，隧道窑使用天然气点火引燃，隧道窑24h运行，每年点火一次，天然气使用量约</w:t>
            </w: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0m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/a。天然气属于清洁能源，燃料用量少，点火时间短且烟气最终进入隧道窑烟气治理设施处理后排放，排放的污染物很少，本次评价不再进行天然气引燃废气核算，主要考虑烧结过程中废气污染物排放。</w:t>
            </w:r>
          </w:p>
          <w:p w14:paraId="1F189C1B">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①</w:t>
            </w:r>
            <w:r>
              <w:rPr>
                <w:b/>
                <w:color w:val="000000" w:themeColor="text1"/>
                <w:sz w:val="24"/>
                <w:highlight w:val="none"/>
                <w14:textFill>
                  <w14:solidFill>
                    <w14:schemeClr w14:val="tx1"/>
                  </w14:solidFill>
                </w14:textFill>
              </w:rPr>
              <w:t>颗粒物</w:t>
            </w:r>
          </w:p>
          <w:p w14:paraId="4F28FD66">
            <w:pPr>
              <w:spacing w:line="480" w:lineRule="exact"/>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根据</w:t>
            </w:r>
            <w:r>
              <w:rPr>
                <w:color w:val="000000" w:themeColor="text1"/>
                <w:sz w:val="24"/>
                <w:highlight w:val="none"/>
                <w14:textFill>
                  <w14:solidFill>
                    <w14:schemeClr w14:val="tx1"/>
                  </w14:solidFill>
                </w14:textFill>
              </w:rPr>
              <w:t>《排放源统计调查产排污核算方法</w:t>
            </w:r>
            <w:r>
              <w:rPr>
                <w:rFonts w:hint="eastAsia"/>
                <w:color w:val="000000" w:themeColor="text1"/>
                <w:sz w:val="24"/>
                <w:highlight w:val="none"/>
                <w14:textFill>
                  <w14:solidFill>
                    <w14:schemeClr w14:val="tx1"/>
                  </w14:solidFill>
                </w14:textFill>
              </w:rPr>
              <w:t>和</w:t>
            </w:r>
            <w:r>
              <w:rPr>
                <w:color w:val="000000" w:themeColor="text1"/>
                <w:sz w:val="24"/>
                <w:highlight w:val="none"/>
                <w14:textFill>
                  <w14:solidFill>
                    <w14:schemeClr w14:val="tx1"/>
                  </w14:solidFill>
                </w14:textFill>
              </w:rPr>
              <w:t>系数手册》中</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303砖瓦、石材等建筑材料制造行业系数手册</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砖瓦工业干燥焙烧窑炉</w:t>
            </w:r>
            <w:r>
              <w:rPr>
                <w:rFonts w:hint="eastAsia"/>
                <w:color w:val="000000" w:themeColor="text1"/>
                <w:sz w:val="24"/>
                <w:highlight w:val="none"/>
                <w14:textFill>
                  <w14:solidFill>
                    <w14:schemeClr w14:val="tx1"/>
                  </w14:solidFill>
                </w14:textFill>
              </w:rPr>
              <w:t>，工业废气产生量为42980标立方米/万块标砖，</w:t>
            </w:r>
            <w:r>
              <w:rPr>
                <w:color w:val="000000" w:themeColor="text1"/>
                <w:sz w:val="24"/>
                <w:highlight w:val="none"/>
                <w14:textFill>
                  <w14:solidFill>
                    <w14:schemeClr w14:val="tx1"/>
                  </w14:solidFill>
                </w14:textFill>
              </w:rPr>
              <w:t>废气中颗粒物产污系数</w:t>
            </w:r>
            <w:r>
              <w:rPr>
                <w:rFonts w:hint="eastAsia"/>
                <w:color w:val="000000" w:themeColor="text1"/>
                <w:sz w:val="24"/>
                <w:highlight w:val="none"/>
                <w14:textFill>
                  <w14:solidFill>
                    <w14:schemeClr w14:val="tx1"/>
                  </w14:solidFill>
                </w14:textFill>
              </w:rPr>
              <w:t>为4.73千克/万块标砖。</w:t>
            </w:r>
            <w:r>
              <w:rPr>
                <w:rFonts w:hint="eastAsia"/>
                <w:color w:val="000000" w:themeColor="text1"/>
                <w:sz w:val="24"/>
                <w:szCs w:val="22"/>
                <w:highlight w:val="none"/>
                <w14:textFill>
                  <w14:solidFill>
                    <w14:schemeClr w14:val="tx1"/>
                  </w14:solidFill>
                </w14:textFill>
              </w:rPr>
              <w:t>根据折算，改扩建后年产标砖</w:t>
            </w:r>
            <w:r>
              <w:rPr>
                <w:rFonts w:hint="eastAsia"/>
                <w:color w:val="000000" w:themeColor="text1"/>
                <w:sz w:val="24"/>
                <w:szCs w:val="22"/>
                <w:highlight w:val="none"/>
                <w:lang w:val="en-US" w:eastAsia="zh-CN"/>
                <w14:textFill>
                  <w14:solidFill>
                    <w14:schemeClr w14:val="tx1"/>
                  </w14:solidFill>
                </w14:textFill>
              </w:rPr>
              <w:t>40115</w:t>
            </w:r>
            <w:r>
              <w:rPr>
                <w:rFonts w:hint="eastAsia"/>
                <w:color w:val="000000" w:themeColor="text1"/>
                <w:sz w:val="24"/>
                <w:szCs w:val="22"/>
                <w:highlight w:val="none"/>
                <w14:textFill>
                  <w14:solidFill>
                    <w14:schemeClr w14:val="tx1"/>
                  </w14:solidFill>
                </w14:textFill>
              </w:rPr>
              <w:t>万块。则隧道窑烟气中工业废气产生量为</w:t>
            </w:r>
            <w:r>
              <w:rPr>
                <w:rFonts w:hint="eastAsia"/>
                <w:color w:val="000000" w:themeColor="text1"/>
                <w:sz w:val="24"/>
                <w:szCs w:val="22"/>
                <w:highlight w:val="none"/>
                <w:lang w:val="en-US" w:eastAsia="zh-CN"/>
                <w14:textFill>
                  <w14:solidFill>
                    <w14:schemeClr w14:val="tx1"/>
                  </w14:solidFill>
                </w14:textFill>
              </w:rPr>
              <w:t>172414.27</w:t>
            </w:r>
            <w:r>
              <w:rPr>
                <w:rFonts w:hint="eastAsia"/>
                <w:color w:val="000000" w:themeColor="text1"/>
                <w:sz w:val="24"/>
                <w:szCs w:val="22"/>
                <w:highlight w:val="none"/>
                <w14:textFill>
                  <w14:solidFill>
                    <w14:schemeClr w14:val="tx1"/>
                  </w14:solidFill>
                </w14:textFill>
              </w:rPr>
              <w:t>万</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a，颗粒物产生量为</w:t>
            </w:r>
            <w:r>
              <w:rPr>
                <w:rFonts w:hint="eastAsia"/>
                <w:color w:val="000000" w:themeColor="text1"/>
                <w:sz w:val="24"/>
                <w:szCs w:val="22"/>
                <w:highlight w:val="none"/>
                <w:lang w:val="en-US" w:eastAsia="zh-CN"/>
                <w14:textFill>
                  <w14:solidFill>
                    <w14:schemeClr w14:val="tx1"/>
                  </w14:solidFill>
                </w14:textFill>
              </w:rPr>
              <w:t>189.744</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p>
          <w:p w14:paraId="3C160465">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治理措施：隧道窑窑体全封闭，通过窑体内置烟道和风机，废气</w:t>
            </w:r>
            <w:r>
              <w:rPr>
                <w:rFonts w:hint="eastAsia"/>
                <w:color w:val="000000" w:themeColor="text1"/>
                <w:sz w:val="24"/>
                <w:highlight w:val="none"/>
                <w:lang w:val="en-US" w:eastAsia="zh-CN"/>
                <w14:textFill>
                  <w14:solidFill>
                    <w14:schemeClr w14:val="tx1"/>
                  </w14:solidFill>
                </w14:textFill>
              </w:rPr>
              <w:t>经SNCR脱硝+</w:t>
            </w:r>
            <w:r>
              <w:rPr>
                <w:color w:val="000000" w:themeColor="text1"/>
                <w:sz w:val="24"/>
                <w:highlight w:val="none"/>
                <w14:textFill>
                  <w14:solidFill>
                    <w14:schemeClr w14:val="tx1"/>
                  </w14:solidFill>
                </w14:textFill>
              </w:rPr>
              <w:t>石灰-石膏法脱硫+湿式静电除尘器处理后</w:t>
            </w:r>
            <w:r>
              <w:rPr>
                <w:rFonts w:hint="eastAsia"/>
                <w:color w:val="000000" w:themeColor="text1"/>
                <w:sz w:val="24"/>
                <w:highlight w:val="none"/>
                <w14:textFill>
                  <w14:solidFill>
                    <w14:schemeClr w14:val="tx1"/>
                  </w14:solidFill>
                </w14:textFill>
              </w:rPr>
              <w:t>分别</w:t>
            </w:r>
            <w:r>
              <w:rPr>
                <w:color w:val="000000" w:themeColor="text1"/>
                <w:sz w:val="24"/>
                <w:highlight w:val="none"/>
                <w14:textFill>
                  <w14:solidFill>
                    <w14:schemeClr w14:val="tx1"/>
                  </w14:solidFill>
                </w14:textFill>
              </w:rPr>
              <w:t>经</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r>
              <w:rPr>
                <w:rFonts w:hint="eastAsia"/>
                <w:color w:val="000000" w:themeColor="text1"/>
                <w:sz w:val="24"/>
                <w:highlight w:val="none"/>
                <w14:textFill>
                  <w14:solidFill>
                    <w14:schemeClr w14:val="tx1"/>
                  </w14:solidFill>
                </w14:textFill>
              </w:rPr>
              <w:t>。</w:t>
            </w:r>
          </w:p>
          <w:p w14:paraId="4BBB8E82">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szCs w:val="22"/>
                <w:highlight w:val="none"/>
                <w14:textFill>
                  <w14:solidFill>
                    <w14:schemeClr w14:val="tx1"/>
                  </w14:solidFill>
                </w14:textFill>
              </w:rPr>
              <w:t>达标分析：隧道窑烟气全部收集，根据建设单位提供资料，现有2套治理设施处理能力均为170000</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h，废气治理设施对颗粒物的去除效率为95%。根据工程分析，隧道窑年有效作业时间为7600h，则</w:t>
            </w:r>
            <w:r>
              <w:rPr>
                <w:rFonts w:hint="eastAsia"/>
                <w:color w:val="000000" w:themeColor="text1"/>
                <w:sz w:val="24"/>
                <w:szCs w:val="22"/>
                <w:highlight w:val="none"/>
                <w:lang w:val="en-US" w:eastAsia="zh-CN"/>
                <w14:textFill>
                  <w14:solidFill>
                    <w14:schemeClr w14:val="tx1"/>
                  </w14:solidFill>
                </w14:textFill>
              </w:rPr>
              <w:t>每套</w:t>
            </w:r>
            <w:r>
              <w:rPr>
                <w:rFonts w:hint="eastAsia"/>
                <w:color w:val="000000" w:themeColor="text1"/>
                <w:sz w:val="24"/>
                <w:szCs w:val="22"/>
                <w:highlight w:val="none"/>
                <w14:textFill>
                  <w14:solidFill>
                    <w14:schemeClr w14:val="tx1"/>
                  </w14:solidFill>
                </w14:textFill>
              </w:rPr>
              <w:t>隧道窑烟气</w:t>
            </w:r>
            <w:r>
              <w:rPr>
                <w:rFonts w:hint="eastAsia"/>
                <w:color w:val="000000" w:themeColor="text1"/>
                <w:sz w:val="24"/>
                <w:szCs w:val="22"/>
                <w:highlight w:val="none"/>
                <w:lang w:val="en-US" w:eastAsia="zh-CN"/>
                <w14:textFill>
                  <w14:solidFill>
                    <w14:schemeClr w14:val="tx1"/>
                  </w14:solidFill>
                </w14:textFill>
              </w:rPr>
              <w:t>治理设施</w:t>
            </w:r>
            <w:r>
              <w:rPr>
                <w:rFonts w:hint="eastAsia"/>
                <w:color w:val="000000" w:themeColor="text1"/>
                <w:sz w:val="24"/>
                <w:szCs w:val="22"/>
                <w:highlight w:val="none"/>
                <w14:textFill>
                  <w14:solidFill>
                    <w14:schemeClr w14:val="tx1"/>
                  </w14:solidFill>
                </w14:textFill>
              </w:rPr>
              <w:t>颗粒物产生浓度</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73.43</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，产生速率</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12.483</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，产生量</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94.872</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，经废气治理设施处理后，颗粒物排放浓度</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3.67</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0.624</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，排放量</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4.744</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w:t>
            </w:r>
            <w:r>
              <w:rPr>
                <w:rFonts w:hint="eastAsia"/>
                <w:bCs/>
                <w:color w:val="000000" w:themeColor="text1"/>
                <w:sz w:val="24"/>
                <w:highlight w:val="none"/>
                <w14:textFill>
                  <w14:solidFill>
                    <w14:schemeClr w14:val="tx1"/>
                  </w14:solidFill>
                </w14:textFill>
              </w:rPr>
              <w:t>要求</w:t>
            </w:r>
            <w:r>
              <w:rPr>
                <w:color w:val="000000" w:themeColor="text1"/>
                <w:sz w:val="24"/>
                <w:highlight w:val="none"/>
                <w14:textFill>
                  <w14:solidFill>
                    <w14:schemeClr w14:val="tx1"/>
                  </w14:solidFill>
                </w14:textFill>
              </w:rPr>
              <w:t>。</w:t>
            </w:r>
          </w:p>
          <w:p w14:paraId="16650457">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②</w:t>
            </w:r>
            <w:r>
              <w:rPr>
                <w:b/>
                <w:color w:val="000000" w:themeColor="text1"/>
                <w:sz w:val="24"/>
                <w:highlight w:val="none"/>
                <w14:textFill>
                  <w14:solidFill>
                    <w14:schemeClr w14:val="tx1"/>
                  </w14:solidFill>
                </w14:textFill>
              </w:rPr>
              <w:t>二氧化硫</w:t>
            </w:r>
          </w:p>
          <w:p w14:paraId="402DEC66">
            <w:pPr>
              <w:spacing w:line="480" w:lineRule="exact"/>
              <w:ind w:firstLine="480" w:firstLineChars="200"/>
              <w:rPr>
                <w:color w:val="000000" w:themeColor="text1"/>
                <w:sz w:val="24"/>
                <w:szCs w:val="22"/>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根据</w:t>
            </w:r>
            <w:r>
              <w:rPr>
                <w:color w:val="000000" w:themeColor="text1"/>
                <w:sz w:val="24"/>
                <w:highlight w:val="none"/>
                <w14:textFill>
                  <w14:solidFill>
                    <w14:schemeClr w14:val="tx1"/>
                  </w14:solidFill>
                </w14:textFill>
              </w:rPr>
              <w:t>《排放源统计调查产排污核算方法</w:t>
            </w:r>
            <w:r>
              <w:rPr>
                <w:rFonts w:hint="eastAsia"/>
                <w:color w:val="000000" w:themeColor="text1"/>
                <w:sz w:val="24"/>
                <w:highlight w:val="none"/>
                <w14:textFill>
                  <w14:solidFill>
                    <w14:schemeClr w14:val="tx1"/>
                  </w14:solidFill>
                </w14:textFill>
              </w:rPr>
              <w:t>和</w:t>
            </w:r>
            <w:r>
              <w:rPr>
                <w:color w:val="000000" w:themeColor="text1"/>
                <w:sz w:val="24"/>
                <w:highlight w:val="none"/>
                <w14:textFill>
                  <w14:solidFill>
                    <w14:schemeClr w14:val="tx1"/>
                  </w14:solidFill>
                </w14:textFill>
              </w:rPr>
              <w:t>系数手册》中</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303砖瓦、石材等建筑材料制造行业系数手册</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砖瓦工业干燥焙烧窑炉</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废气中</w:t>
            </w:r>
            <w:r>
              <w:rPr>
                <w:rFonts w:hint="eastAsia"/>
                <w:color w:val="000000" w:themeColor="text1"/>
                <w:sz w:val="24"/>
                <w:highlight w:val="none"/>
                <w14:textFill>
                  <w14:solidFill>
                    <w14:schemeClr w14:val="tx1"/>
                  </w14:solidFill>
                </w14:textFill>
              </w:rPr>
              <w:t>二氧化硫</w:t>
            </w:r>
            <w:r>
              <w:rPr>
                <w:color w:val="000000" w:themeColor="text1"/>
                <w:sz w:val="24"/>
                <w:highlight w:val="none"/>
                <w14:textFill>
                  <w14:solidFill>
                    <w14:schemeClr w14:val="tx1"/>
                  </w14:solidFill>
                </w14:textFill>
              </w:rPr>
              <w:t>产污系数</w:t>
            </w:r>
            <w:r>
              <w:rPr>
                <w:rFonts w:hint="eastAsia"/>
                <w:color w:val="000000" w:themeColor="text1"/>
                <w:sz w:val="24"/>
                <w:highlight w:val="none"/>
                <w14:textFill>
                  <w14:solidFill>
                    <w14:schemeClr w14:val="tx1"/>
                  </w14:solidFill>
                </w14:textFill>
              </w:rPr>
              <w:t>为14.8千克/万块标砖。</w:t>
            </w:r>
            <w:r>
              <w:rPr>
                <w:rFonts w:hint="eastAsia"/>
                <w:color w:val="000000" w:themeColor="text1"/>
                <w:sz w:val="24"/>
                <w:szCs w:val="22"/>
                <w:highlight w:val="none"/>
                <w14:textFill>
                  <w14:solidFill>
                    <w14:schemeClr w14:val="tx1"/>
                  </w14:solidFill>
                </w14:textFill>
              </w:rPr>
              <w:t>根据折算，改扩建后年产标砖</w:t>
            </w:r>
            <w:r>
              <w:rPr>
                <w:rFonts w:hint="eastAsia"/>
                <w:color w:val="000000" w:themeColor="text1"/>
                <w:sz w:val="24"/>
                <w:szCs w:val="22"/>
                <w:highlight w:val="none"/>
                <w:lang w:val="en-US" w:eastAsia="zh-CN"/>
                <w14:textFill>
                  <w14:solidFill>
                    <w14:schemeClr w14:val="tx1"/>
                  </w14:solidFill>
                </w14:textFill>
              </w:rPr>
              <w:t>40115</w:t>
            </w:r>
            <w:r>
              <w:rPr>
                <w:rFonts w:hint="eastAsia"/>
                <w:color w:val="000000" w:themeColor="text1"/>
                <w:sz w:val="24"/>
                <w:szCs w:val="22"/>
                <w:highlight w:val="none"/>
                <w14:textFill>
                  <w14:solidFill>
                    <w14:schemeClr w14:val="tx1"/>
                  </w14:solidFill>
                </w14:textFill>
              </w:rPr>
              <w:t>万块。则隧道窑烟气中二氧化硫产生量为</w:t>
            </w:r>
            <w:r>
              <w:rPr>
                <w:rFonts w:hint="eastAsia"/>
                <w:color w:val="000000" w:themeColor="text1"/>
                <w:sz w:val="24"/>
                <w:szCs w:val="22"/>
                <w:highlight w:val="none"/>
                <w:lang w:val="en-US" w:eastAsia="zh-CN"/>
                <w14:textFill>
                  <w14:solidFill>
                    <w14:schemeClr w14:val="tx1"/>
                  </w14:solidFill>
                </w14:textFill>
              </w:rPr>
              <w:t>593.702</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p>
          <w:p w14:paraId="6D8B2CE1">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治理措施：隧道窑窑体全封闭，通过窑体内置烟道和风机，废气</w:t>
            </w:r>
            <w:r>
              <w:rPr>
                <w:rFonts w:hint="eastAsia"/>
                <w:color w:val="000000" w:themeColor="text1"/>
                <w:sz w:val="24"/>
                <w:highlight w:val="none"/>
                <w:lang w:val="en-US" w:eastAsia="zh-CN"/>
                <w14:textFill>
                  <w14:solidFill>
                    <w14:schemeClr w14:val="tx1"/>
                  </w14:solidFill>
                </w14:textFill>
              </w:rPr>
              <w:t>经SNCR脱硝+</w:t>
            </w:r>
            <w:r>
              <w:rPr>
                <w:color w:val="000000" w:themeColor="text1"/>
                <w:sz w:val="24"/>
                <w:highlight w:val="none"/>
                <w14:textFill>
                  <w14:solidFill>
                    <w14:schemeClr w14:val="tx1"/>
                  </w14:solidFill>
                </w14:textFill>
              </w:rPr>
              <w:t>石灰-石膏法脱硫+湿式静电除尘器处理后</w:t>
            </w:r>
            <w:r>
              <w:rPr>
                <w:rFonts w:hint="eastAsia"/>
                <w:color w:val="000000" w:themeColor="text1"/>
                <w:sz w:val="24"/>
                <w:highlight w:val="none"/>
                <w14:textFill>
                  <w14:solidFill>
                    <w14:schemeClr w14:val="tx1"/>
                  </w14:solidFill>
                </w14:textFill>
              </w:rPr>
              <w:t>分别</w:t>
            </w:r>
            <w:r>
              <w:rPr>
                <w:color w:val="000000" w:themeColor="text1"/>
                <w:sz w:val="24"/>
                <w:highlight w:val="none"/>
                <w14:textFill>
                  <w14:solidFill>
                    <w14:schemeClr w14:val="tx1"/>
                  </w14:solidFill>
                </w14:textFill>
              </w:rPr>
              <w:t>经</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r>
              <w:rPr>
                <w:rFonts w:hint="eastAsia"/>
                <w:color w:val="000000" w:themeColor="text1"/>
                <w:sz w:val="24"/>
                <w:highlight w:val="none"/>
                <w14:textFill>
                  <w14:solidFill>
                    <w14:schemeClr w14:val="tx1"/>
                  </w14:solidFill>
                </w14:textFill>
              </w:rPr>
              <w:t>。</w:t>
            </w:r>
          </w:p>
          <w:p w14:paraId="219FA2F5">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szCs w:val="22"/>
                <w:highlight w:val="none"/>
                <w14:textFill>
                  <w14:solidFill>
                    <w14:schemeClr w14:val="tx1"/>
                  </w14:solidFill>
                </w14:textFill>
              </w:rPr>
              <w:t>达标分析：隧道窑烟气全部收集，根据建设单位提供资料，现有2套治理设施处理能力均为170000</w:t>
            </w:r>
            <w:r>
              <w:rPr>
                <w:color w:val="000000" w:themeColor="text1"/>
                <w:sz w:val="24"/>
                <w:szCs w:val="22"/>
                <w:highlight w:val="none"/>
                <w14:textFill>
                  <w14:solidFill>
                    <w14:schemeClr w14:val="tx1"/>
                  </w14:solidFill>
                </w14:textFill>
              </w:rPr>
              <w:t>m</w:t>
            </w:r>
            <w:r>
              <w:rPr>
                <w:color w:val="000000" w:themeColor="text1"/>
                <w:sz w:val="24"/>
                <w:szCs w:val="22"/>
                <w:highlight w:val="none"/>
                <w:vertAlign w:val="superscript"/>
                <w14:textFill>
                  <w14:solidFill>
                    <w14:schemeClr w14:val="tx1"/>
                  </w14:solidFill>
                </w14:textFill>
              </w:rPr>
              <w:t>3</w:t>
            </w:r>
            <w:r>
              <w:rPr>
                <w:color w:val="000000" w:themeColor="text1"/>
                <w:sz w:val="24"/>
                <w:szCs w:val="22"/>
                <w:highlight w:val="none"/>
                <w14:textFill>
                  <w14:solidFill>
                    <w14:schemeClr w14:val="tx1"/>
                  </w14:solidFill>
                </w14:textFill>
              </w:rPr>
              <w:t>/</w:t>
            </w:r>
            <w:r>
              <w:rPr>
                <w:rFonts w:hint="eastAsia"/>
                <w:color w:val="000000" w:themeColor="text1"/>
                <w:sz w:val="24"/>
                <w:szCs w:val="22"/>
                <w:highlight w:val="none"/>
                <w14:textFill>
                  <w14:solidFill>
                    <w14:schemeClr w14:val="tx1"/>
                  </w14:solidFill>
                </w14:textFill>
              </w:rPr>
              <w:t>h。根据工程分析，隧道窑年有效作业时间为7600h，经计算，隧道窑烟气中SO</w:t>
            </w:r>
            <w:r>
              <w:rPr>
                <w:rFonts w:hint="eastAsia"/>
                <w:color w:val="000000" w:themeColor="text1"/>
                <w:sz w:val="24"/>
                <w:szCs w:val="22"/>
                <w:highlight w:val="none"/>
                <w:vertAlign w:val="subscript"/>
                <w14:textFill>
                  <w14:solidFill>
                    <w14:schemeClr w14:val="tx1"/>
                  </w14:solidFill>
                </w14:textFill>
              </w:rPr>
              <w:t>2</w:t>
            </w:r>
            <w:r>
              <w:rPr>
                <w:rFonts w:hint="eastAsia"/>
                <w:color w:val="000000" w:themeColor="text1"/>
                <w:sz w:val="24"/>
                <w:szCs w:val="22"/>
                <w:highlight w:val="none"/>
                <w14:textFill>
                  <w14:solidFill>
                    <w14:schemeClr w14:val="tx1"/>
                  </w14:solidFill>
                </w14:textFill>
              </w:rPr>
              <w:t>产生量为</w:t>
            </w:r>
            <w:r>
              <w:rPr>
                <w:rFonts w:hint="eastAsia"/>
                <w:color w:val="000000" w:themeColor="text1"/>
                <w:sz w:val="24"/>
                <w:szCs w:val="22"/>
                <w:highlight w:val="none"/>
                <w:lang w:val="en-US" w:eastAsia="zh-CN"/>
                <w14:textFill>
                  <w14:solidFill>
                    <w14:schemeClr w14:val="tx1"/>
                  </w14:solidFill>
                </w14:textFill>
              </w:rPr>
              <w:t>593.702</w:t>
            </w:r>
            <w:r>
              <w:rPr>
                <w:rFonts w:hint="eastAsia"/>
                <w:color w:val="000000" w:themeColor="text1"/>
                <w:sz w:val="24"/>
                <w:szCs w:val="22"/>
                <w:highlight w:val="none"/>
                <w14:textFill>
                  <w14:solidFill>
                    <w14:schemeClr w14:val="tx1"/>
                  </w14:solidFill>
                </w14:textFill>
              </w:rPr>
              <w:t>t/a，产生浓度</w:t>
            </w:r>
            <w:r>
              <w:rPr>
                <w:rFonts w:hint="eastAsia"/>
                <w:color w:val="000000" w:themeColor="text1"/>
                <w:sz w:val="24"/>
                <w:szCs w:val="22"/>
                <w:highlight w:val="none"/>
                <w:lang w:val="en-US" w:eastAsia="zh-CN"/>
                <w14:textFill>
                  <w14:solidFill>
                    <w14:schemeClr w14:val="tx1"/>
                  </w14:solidFill>
                </w14:textFill>
              </w:rPr>
              <w:t>229.76</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，产生速率</w:t>
            </w:r>
            <w:r>
              <w:rPr>
                <w:rFonts w:hint="eastAsia"/>
                <w:color w:val="000000" w:themeColor="text1"/>
                <w:sz w:val="24"/>
                <w:szCs w:val="22"/>
                <w:highlight w:val="none"/>
                <w:lang w:val="en-US" w:eastAsia="zh-CN"/>
                <w14:textFill>
                  <w14:solidFill>
                    <w14:schemeClr w14:val="tx1"/>
                  </w14:solidFill>
                </w14:textFill>
              </w:rPr>
              <w:t>78.119</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。经废气治理设施净化处理后，SO</w:t>
            </w:r>
            <w:r>
              <w:rPr>
                <w:rFonts w:hint="eastAsia"/>
                <w:color w:val="000000" w:themeColor="text1"/>
                <w:sz w:val="24"/>
                <w:szCs w:val="22"/>
                <w:highlight w:val="none"/>
                <w:vertAlign w:val="subscript"/>
                <w14:textFill>
                  <w14:solidFill>
                    <w14:schemeClr w14:val="tx1"/>
                  </w14:solidFill>
                </w14:textFill>
              </w:rPr>
              <w:t>2</w:t>
            </w:r>
            <w:r>
              <w:rPr>
                <w:rFonts w:hint="eastAsia"/>
                <w:color w:val="000000" w:themeColor="text1"/>
                <w:sz w:val="24"/>
                <w:szCs w:val="22"/>
                <w:highlight w:val="none"/>
                <w14:textFill>
                  <w14:solidFill>
                    <w14:schemeClr w14:val="tx1"/>
                  </w14:solidFill>
                </w14:textFill>
              </w:rPr>
              <w:t>的去除率9</w:t>
            </w:r>
            <w:r>
              <w:rPr>
                <w:rFonts w:hint="eastAsia"/>
                <w:color w:val="000000" w:themeColor="text1"/>
                <w:sz w:val="24"/>
                <w:szCs w:val="22"/>
                <w:highlight w:val="none"/>
                <w:lang w:val="en-US" w:eastAsia="zh-CN"/>
                <w14:textFill>
                  <w14:solidFill>
                    <w14:schemeClr w14:val="tx1"/>
                  </w14:solidFill>
                </w14:textFill>
              </w:rPr>
              <w:t>7</w:t>
            </w:r>
            <w:r>
              <w:rPr>
                <w:rFonts w:hint="eastAsia"/>
                <w:color w:val="000000" w:themeColor="text1"/>
                <w:sz w:val="24"/>
                <w:szCs w:val="22"/>
                <w:highlight w:val="none"/>
                <w14:textFill>
                  <w14:solidFill>
                    <w14:schemeClr w14:val="tx1"/>
                  </w14:solidFill>
                </w14:textFill>
              </w:rPr>
              <w:t>%，则</w:t>
            </w:r>
            <w:r>
              <w:rPr>
                <w:rFonts w:hint="eastAsia"/>
                <w:color w:val="000000" w:themeColor="text1"/>
                <w:sz w:val="24"/>
                <w:szCs w:val="22"/>
                <w:highlight w:val="none"/>
                <w:lang w:val="en-US" w:eastAsia="zh-CN"/>
                <w14:textFill>
                  <w14:solidFill>
                    <w14:schemeClr w14:val="tx1"/>
                  </w14:solidFill>
                </w14:textFill>
              </w:rPr>
              <w:t>每套</w:t>
            </w:r>
            <w:r>
              <w:rPr>
                <w:rFonts w:hint="eastAsia"/>
                <w:color w:val="000000" w:themeColor="text1"/>
                <w:sz w:val="24"/>
                <w:szCs w:val="22"/>
                <w:highlight w:val="none"/>
                <w14:textFill>
                  <w14:solidFill>
                    <w14:schemeClr w14:val="tx1"/>
                  </w14:solidFill>
                </w14:textFill>
              </w:rPr>
              <w:t>隧道窑烟气</w:t>
            </w:r>
            <w:r>
              <w:rPr>
                <w:rFonts w:hint="eastAsia"/>
                <w:color w:val="000000" w:themeColor="text1"/>
                <w:sz w:val="24"/>
                <w:szCs w:val="22"/>
                <w:highlight w:val="none"/>
                <w:lang w:val="en-US" w:eastAsia="zh-CN"/>
                <w14:textFill>
                  <w14:solidFill>
                    <w14:schemeClr w14:val="tx1"/>
                  </w14:solidFill>
                </w14:textFill>
              </w:rPr>
              <w:t>治理设施排气筒</w:t>
            </w:r>
            <w:r>
              <w:rPr>
                <w:rFonts w:hint="eastAsia"/>
                <w:color w:val="000000" w:themeColor="text1"/>
                <w:sz w:val="24"/>
                <w:szCs w:val="22"/>
                <w:highlight w:val="none"/>
                <w14:textFill>
                  <w14:solidFill>
                    <w14:schemeClr w14:val="tx1"/>
                  </w14:solidFill>
                </w14:textFill>
              </w:rPr>
              <w:t>SO</w:t>
            </w:r>
            <w:r>
              <w:rPr>
                <w:rFonts w:hint="eastAsia"/>
                <w:color w:val="000000" w:themeColor="text1"/>
                <w:sz w:val="24"/>
                <w:szCs w:val="22"/>
                <w:highlight w:val="none"/>
                <w:vertAlign w:val="subscript"/>
                <w14:textFill>
                  <w14:solidFill>
                    <w14:schemeClr w14:val="tx1"/>
                  </w14:solidFill>
                </w14:textFill>
              </w:rPr>
              <w:t>2</w:t>
            </w:r>
            <w:r>
              <w:rPr>
                <w:rFonts w:hint="eastAsia"/>
                <w:color w:val="000000" w:themeColor="text1"/>
                <w:sz w:val="24"/>
                <w:szCs w:val="22"/>
                <w:highlight w:val="none"/>
                <w14:textFill>
                  <w14:solidFill>
                    <w14:schemeClr w14:val="tx1"/>
                  </w14:solidFill>
                </w14:textFill>
              </w:rPr>
              <w:t>排放量</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8.905</w:t>
            </w:r>
            <w:r>
              <w:rPr>
                <w:rFonts w:hint="eastAsia"/>
                <w:color w:val="000000" w:themeColor="text1"/>
                <w:sz w:val="24"/>
                <w:szCs w:val="22"/>
                <w:highlight w:val="none"/>
                <w14:textFill>
                  <w14:solidFill>
                    <w14:schemeClr w14:val="tx1"/>
                  </w14:solidFill>
                </w14:textFill>
              </w:rPr>
              <w:t>t/a，排放浓度</w:t>
            </w:r>
            <w:r>
              <w:rPr>
                <w:rFonts w:hint="eastAsia"/>
                <w:color w:val="000000" w:themeColor="text1"/>
                <w:sz w:val="24"/>
                <w:szCs w:val="22"/>
                <w:highlight w:val="none"/>
                <w:lang w:val="en-US" w:eastAsia="zh-CN"/>
                <w14:textFill>
                  <w14:solidFill>
                    <w14:schemeClr w14:val="tx1"/>
                  </w14:solidFill>
                </w14:textFill>
              </w:rPr>
              <w:t>均为6.89</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w:t>
            </w:r>
            <w:r>
              <w:rPr>
                <w:rFonts w:hint="eastAsia"/>
                <w:color w:val="000000" w:themeColor="text1"/>
                <w:sz w:val="24"/>
                <w:szCs w:val="22"/>
                <w:highlight w:val="none"/>
                <w:lang w:val="en-US" w:eastAsia="zh-CN"/>
                <w14:textFill>
                  <w14:solidFill>
                    <w14:schemeClr w14:val="tx1"/>
                  </w14:solidFill>
                </w14:textFill>
              </w:rPr>
              <w:t>均为1.171</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w:t>
            </w:r>
            <w:r>
              <w:rPr>
                <w:rFonts w:hint="eastAsia"/>
                <w:color w:val="000000" w:themeColor="text1"/>
                <w:sz w:val="24"/>
                <w:highlight w:val="none"/>
                <w:lang w:val="en-US" w:eastAsia="zh-CN"/>
                <w14:textFill>
                  <w14:solidFill>
                    <w14:schemeClr w14:val="tx1"/>
                  </w14:solidFill>
                </w14:textFill>
              </w:rPr>
              <w:t>以及企业自愿承诺的13</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bCs/>
                <w:color w:val="000000" w:themeColor="text1"/>
                <w:sz w:val="24"/>
                <w:highlight w:val="none"/>
                <w14:textFill>
                  <w14:solidFill>
                    <w14:schemeClr w14:val="tx1"/>
                  </w14:solidFill>
                </w14:textFill>
              </w:rPr>
              <w:t>限值要求</w:t>
            </w:r>
            <w:r>
              <w:rPr>
                <w:color w:val="000000" w:themeColor="text1"/>
                <w:sz w:val="24"/>
                <w:highlight w:val="none"/>
                <w14:textFill>
                  <w14:solidFill>
                    <w14:schemeClr w14:val="tx1"/>
                  </w14:solidFill>
                </w14:textFill>
              </w:rPr>
              <w:t>。</w:t>
            </w:r>
          </w:p>
          <w:p w14:paraId="384DE0B7">
            <w:pPr>
              <w:spacing w:line="480" w:lineRule="exact"/>
              <w:ind w:firstLine="480" w:firstLineChars="200"/>
              <w:rPr>
                <w:rFonts w:hint="eastAsia" w:eastAsia="宋体"/>
                <w:color w:val="000000" w:themeColor="text1"/>
                <w:sz w:val="24"/>
                <w:highlight w:val="none"/>
                <w:vertAlign w:val="baseli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建设单位自愿承诺SO</w:t>
            </w:r>
            <w:r>
              <w:rPr>
                <w:rFonts w:hint="eastAsia"/>
                <w:color w:val="000000" w:themeColor="text1"/>
                <w:sz w:val="24"/>
                <w:highlight w:val="none"/>
                <w:vertAlign w:val="subscript"/>
                <w:lang w:val="en-US" w:eastAsia="zh-CN"/>
                <w14:textFill>
                  <w14:solidFill>
                    <w14:schemeClr w14:val="tx1"/>
                  </w14:solidFill>
                </w14:textFill>
              </w:rPr>
              <w:t>2</w:t>
            </w:r>
            <w:r>
              <w:rPr>
                <w:rFonts w:hint="eastAsia"/>
                <w:color w:val="000000" w:themeColor="text1"/>
                <w:sz w:val="24"/>
                <w:highlight w:val="none"/>
                <w:vertAlign w:val="baseline"/>
                <w:lang w:val="en-US" w:eastAsia="zh-CN"/>
                <w14:textFill>
                  <w14:solidFill>
                    <w14:schemeClr w14:val="tx1"/>
                  </w14:solidFill>
                </w14:textFill>
              </w:rPr>
              <w:t>排放</w:t>
            </w:r>
            <w:r>
              <w:rPr>
                <w:rFonts w:hint="eastAsia"/>
                <w:color w:val="000000" w:themeColor="text1"/>
                <w:sz w:val="24"/>
                <w:highlight w:val="none"/>
                <w:lang w:val="en-US" w:eastAsia="zh-CN"/>
                <w14:textFill>
                  <w14:solidFill>
                    <w14:schemeClr w14:val="tx1"/>
                  </w14:solidFill>
                </w14:textFill>
              </w:rPr>
              <w:t>执行13</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bCs/>
                <w:color w:val="000000" w:themeColor="text1"/>
                <w:sz w:val="24"/>
                <w:highlight w:val="none"/>
                <w14:textFill>
                  <w14:solidFill>
                    <w14:schemeClr w14:val="tx1"/>
                  </w14:solidFill>
                </w14:textFill>
              </w:rPr>
              <w:t>限值要求</w:t>
            </w:r>
            <w:r>
              <w:rPr>
                <w:rFonts w:hint="eastAsia"/>
                <w:bCs/>
                <w:color w:val="000000" w:themeColor="text1"/>
                <w:sz w:val="24"/>
                <w:highlight w:val="none"/>
                <w:lang w:val="en-US" w:eastAsia="zh-CN"/>
                <w14:textFill>
                  <w14:solidFill>
                    <w14:schemeClr w14:val="tx1"/>
                  </w14:solidFill>
                </w14:textFill>
              </w:rPr>
              <w:t>的技术可行性：企业日常生产中发现合理控制、适当降低脱硫系统液气比，在实现</w:t>
            </w:r>
            <w:r>
              <w:rPr>
                <w:rFonts w:hint="eastAsia"/>
                <w:color w:val="000000" w:themeColor="text1"/>
                <w:sz w:val="24"/>
                <w:highlight w:val="none"/>
                <w:lang w:val="en-US" w:eastAsia="zh-CN"/>
                <w14:textFill>
                  <w14:solidFill>
                    <w14:schemeClr w14:val="tx1"/>
                  </w14:solidFill>
                </w14:textFill>
              </w:rPr>
              <w:t>SO</w:t>
            </w:r>
            <w:r>
              <w:rPr>
                <w:rFonts w:hint="eastAsia"/>
                <w:color w:val="000000" w:themeColor="text1"/>
                <w:sz w:val="24"/>
                <w:highlight w:val="none"/>
                <w:vertAlign w:val="subscript"/>
                <w:lang w:val="en-US" w:eastAsia="zh-CN"/>
                <w14:textFill>
                  <w14:solidFill>
                    <w14:schemeClr w14:val="tx1"/>
                  </w14:solidFill>
                </w14:textFill>
              </w:rPr>
              <w:t>2</w:t>
            </w:r>
            <w:r>
              <w:rPr>
                <w:rFonts w:hint="eastAsia"/>
                <w:bCs/>
                <w:color w:val="000000" w:themeColor="text1"/>
                <w:sz w:val="24"/>
                <w:highlight w:val="none"/>
                <w:lang w:val="en-US" w:eastAsia="zh-CN"/>
                <w14:textFill>
                  <w14:solidFill>
                    <w14:schemeClr w14:val="tx1"/>
                  </w14:solidFill>
                </w14:textFill>
              </w:rPr>
              <w:t>达标排放的同时可减少脱硫剂的用量，降低脱硫系统的运行成本。鉴于目前环保形势的日益严峻，企业拟进一步提升自身社会责任感，为改善区域环境空气质量作贡献，通过提高脱硫系统液气比，增大循环浆液量、增加气液接触面积，进一步提高系统的脱硫效率，从而减少</w:t>
            </w:r>
            <w:r>
              <w:rPr>
                <w:rFonts w:hint="eastAsia"/>
                <w:color w:val="000000" w:themeColor="text1"/>
                <w:sz w:val="24"/>
                <w:highlight w:val="none"/>
                <w:lang w:val="en-US" w:eastAsia="zh-CN"/>
                <w14:textFill>
                  <w14:solidFill>
                    <w14:schemeClr w14:val="tx1"/>
                  </w14:solidFill>
                </w14:textFill>
              </w:rPr>
              <w:t>SO</w:t>
            </w:r>
            <w:r>
              <w:rPr>
                <w:rFonts w:hint="eastAsia"/>
                <w:color w:val="000000" w:themeColor="text1"/>
                <w:sz w:val="24"/>
                <w:highlight w:val="none"/>
                <w:vertAlign w:val="subscript"/>
                <w:lang w:val="en-US" w:eastAsia="zh-CN"/>
                <w14:textFill>
                  <w14:solidFill>
                    <w14:schemeClr w14:val="tx1"/>
                  </w14:solidFill>
                </w14:textFill>
              </w:rPr>
              <w:t>2</w:t>
            </w:r>
            <w:r>
              <w:rPr>
                <w:rFonts w:hint="eastAsia"/>
                <w:bCs/>
                <w:color w:val="000000" w:themeColor="text1"/>
                <w:sz w:val="24"/>
                <w:highlight w:val="none"/>
                <w:lang w:val="en-US" w:eastAsia="zh-CN"/>
                <w14:textFill>
                  <w14:solidFill>
                    <w14:schemeClr w14:val="tx1"/>
                  </w14:solidFill>
                </w14:textFill>
              </w:rPr>
              <w:t>的排放，并在上述工况期间委托河北恒丰检测技术服务有限公司于2025年11月21日对隧道窑废气</w:t>
            </w:r>
            <w:r>
              <w:rPr>
                <w:rFonts w:hint="eastAsia"/>
                <w:color w:val="000000" w:themeColor="text1"/>
                <w:sz w:val="24"/>
                <w:highlight w:val="none"/>
                <w:lang w:val="en-US" w:eastAsia="zh-CN"/>
                <w14:textFill>
                  <w14:solidFill>
                    <w14:schemeClr w14:val="tx1"/>
                  </w14:solidFill>
                </w14:textFill>
              </w:rPr>
              <w:t>SO</w:t>
            </w:r>
            <w:r>
              <w:rPr>
                <w:rFonts w:hint="eastAsia"/>
                <w:color w:val="000000" w:themeColor="text1"/>
                <w:sz w:val="24"/>
                <w:highlight w:val="none"/>
                <w:vertAlign w:val="subscript"/>
                <w:lang w:val="en-US" w:eastAsia="zh-CN"/>
                <w14:textFill>
                  <w14:solidFill>
                    <w14:schemeClr w14:val="tx1"/>
                  </w14:solidFill>
                </w14:textFill>
              </w:rPr>
              <w:t>2</w:t>
            </w:r>
            <w:r>
              <w:rPr>
                <w:rFonts w:hint="eastAsia"/>
                <w:bCs/>
                <w:color w:val="000000" w:themeColor="text1"/>
                <w:sz w:val="24"/>
                <w:highlight w:val="none"/>
                <w:lang w:val="en-US" w:eastAsia="zh-CN"/>
                <w14:textFill>
                  <w14:solidFill>
                    <w14:schemeClr w14:val="tx1"/>
                  </w14:solidFill>
                </w14:textFill>
              </w:rPr>
              <w:t>排放情况进行了监测，通过河北恒丰检测技术服务有限公司出具的检测报告（HFHJ[2025]WT1363）及当日在线监测数据可知，当日</w:t>
            </w:r>
            <w:r>
              <w:rPr>
                <w:rFonts w:hint="eastAsia"/>
                <w:color w:val="000000" w:themeColor="text1"/>
                <w:sz w:val="24"/>
                <w:highlight w:val="none"/>
                <w:lang w:val="en-US" w:eastAsia="zh-CN"/>
                <w14:textFill>
                  <w14:solidFill>
                    <w14:schemeClr w14:val="tx1"/>
                  </w14:solidFill>
                </w14:textFill>
              </w:rPr>
              <w:t>SO</w:t>
            </w:r>
            <w:r>
              <w:rPr>
                <w:rFonts w:hint="eastAsia"/>
                <w:color w:val="000000" w:themeColor="text1"/>
                <w:sz w:val="24"/>
                <w:highlight w:val="none"/>
                <w:vertAlign w:val="subscript"/>
                <w:lang w:val="en-US" w:eastAsia="zh-CN"/>
                <w14:textFill>
                  <w14:solidFill>
                    <w14:schemeClr w14:val="tx1"/>
                  </w14:solidFill>
                </w14:textFill>
              </w:rPr>
              <w:t>2</w:t>
            </w:r>
            <w:r>
              <w:rPr>
                <w:rFonts w:hint="eastAsia"/>
                <w:color w:val="000000" w:themeColor="text1"/>
                <w:sz w:val="24"/>
                <w:highlight w:val="none"/>
                <w:vertAlign w:val="baseline"/>
                <w:lang w:val="en-US" w:eastAsia="zh-CN"/>
                <w14:textFill>
                  <w14:solidFill>
                    <w14:schemeClr w14:val="tx1"/>
                  </w14:solidFill>
                </w14:textFill>
              </w:rPr>
              <w:t>的排放浓度最大值＜9</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vertAlign w:val="baseline"/>
                <w:lang w:eastAsia="zh-CN"/>
                <w14:textFill>
                  <w14:solidFill>
                    <w14:schemeClr w14:val="tx1"/>
                  </w14:solidFill>
                </w14:textFill>
              </w:rPr>
              <w:t>，</w:t>
            </w:r>
            <w:r>
              <w:rPr>
                <w:rFonts w:hint="eastAsia"/>
                <w:color w:val="000000" w:themeColor="text1"/>
                <w:sz w:val="24"/>
                <w:szCs w:val="22"/>
                <w:highlight w:val="none"/>
                <w:vertAlign w:val="baseline"/>
                <w:lang w:val="en-US" w:eastAsia="zh-CN"/>
                <w14:textFill>
                  <w14:solidFill>
                    <w14:schemeClr w14:val="tx1"/>
                  </w14:solidFill>
                </w14:textFill>
              </w:rPr>
              <w:t>日平均值为</w:t>
            </w:r>
            <w:r>
              <w:rPr>
                <w:rFonts w:hint="eastAsia"/>
                <w:color w:val="000000" w:themeColor="text1"/>
                <w:sz w:val="24"/>
                <w:highlight w:val="none"/>
                <w:vertAlign w:val="baseline"/>
                <w:lang w:val="en-US" w:eastAsia="zh-CN"/>
                <w14:textFill>
                  <w14:solidFill>
                    <w14:schemeClr w14:val="tx1"/>
                  </w14:solidFill>
                </w14:textFill>
              </w:rPr>
              <w:t>5.94</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vertAlign w:val="baseline"/>
                <w:lang w:eastAsia="zh-CN"/>
                <w14:textFill>
                  <w14:solidFill>
                    <w14:schemeClr w14:val="tx1"/>
                  </w14:solidFill>
                </w14:textFill>
              </w:rPr>
              <w:t>，</w:t>
            </w:r>
            <w:r>
              <w:rPr>
                <w:rFonts w:hint="eastAsia"/>
                <w:color w:val="000000" w:themeColor="text1"/>
                <w:sz w:val="24"/>
                <w:szCs w:val="22"/>
                <w:highlight w:val="none"/>
                <w:vertAlign w:val="baseline"/>
                <w:lang w:val="en-US" w:eastAsia="zh-CN"/>
                <w14:textFill>
                  <w14:solidFill>
                    <w14:schemeClr w14:val="tx1"/>
                  </w14:solidFill>
                </w14:textFill>
              </w:rPr>
              <w:t>能够满足自愿承诺的</w:t>
            </w:r>
            <w:r>
              <w:rPr>
                <w:rFonts w:hint="eastAsia"/>
                <w:color w:val="000000" w:themeColor="text1"/>
                <w:sz w:val="24"/>
                <w:highlight w:val="none"/>
                <w:lang w:val="en-US" w:eastAsia="zh-CN"/>
                <w14:textFill>
                  <w14:solidFill>
                    <w14:schemeClr w14:val="tx1"/>
                  </w14:solidFill>
                </w14:textFill>
              </w:rPr>
              <w:t>13</w:t>
            </w:r>
            <w:r>
              <w:rPr>
                <w:rFonts w:hint="eastAsia"/>
                <w:color w:val="000000" w:themeColor="text1"/>
                <w:sz w:val="24"/>
                <w:szCs w:val="22"/>
                <w:highlight w:val="none"/>
                <w14:textFill>
                  <w14:solidFill>
                    <w14:schemeClr w14:val="tx1"/>
                  </w14:solidFill>
                </w14:textFill>
              </w:rPr>
              <w:t>mg/m</w:t>
            </w:r>
            <w:r>
              <w:rPr>
                <w:rFonts w:hint="eastAsia"/>
                <w:color w:val="000000" w:themeColor="text1"/>
                <w:sz w:val="24"/>
                <w:szCs w:val="22"/>
                <w:highlight w:val="none"/>
                <w:vertAlign w:val="superscript"/>
                <w14:textFill>
                  <w14:solidFill>
                    <w14:schemeClr w14:val="tx1"/>
                  </w14:solidFill>
                </w14:textFill>
              </w:rPr>
              <w:t>3</w:t>
            </w:r>
            <w:r>
              <w:rPr>
                <w:rFonts w:hint="eastAsia"/>
                <w:bCs/>
                <w:color w:val="000000" w:themeColor="text1"/>
                <w:sz w:val="24"/>
                <w:highlight w:val="none"/>
                <w14:textFill>
                  <w14:solidFill>
                    <w14:schemeClr w14:val="tx1"/>
                  </w14:solidFill>
                </w14:textFill>
              </w:rPr>
              <w:t>限值要求</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建议单位</w:t>
            </w:r>
            <w:r>
              <w:rPr>
                <w:rFonts w:hint="eastAsia"/>
                <w:bCs/>
                <w:color w:val="000000" w:themeColor="text1"/>
                <w:sz w:val="24"/>
                <w:highlight w:val="none"/>
                <w:lang w:eastAsia="zh-CN"/>
                <w14:textFill>
                  <w14:solidFill>
                    <w14:schemeClr w14:val="tx1"/>
                  </w14:solidFill>
                </w14:textFill>
              </w:rPr>
              <w:t>自愿</w:t>
            </w:r>
            <w:r>
              <w:rPr>
                <w:rFonts w:hint="eastAsia"/>
                <w:bCs/>
                <w:color w:val="000000" w:themeColor="text1"/>
                <w:sz w:val="24"/>
                <w:highlight w:val="none"/>
                <w:lang w:val="en-US" w:eastAsia="zh-CN"/>
                <w14:textFill>
                  <w14:solidFill>
                    <w14:schemeClr w14:val="tx1"/>
                  </w14:solidFill>
                </w14:textFill>
              </w:rPr>
              <w:t>以该限值</w:t>
            </w:r>
            <w:r>
              <w:rPr>
                <w:rFonts w:hint="eastAsia"/>
                <w:bCs/>
                <w:color w:val="000000" w:themeColor="text1"/>
                <w:sz w:val="24"/>
                <w:highlight w:val="none"/>
                <w:lang w:eastAsia="zh-CN"/>
                <w14:textFill>
                  <w14:solidFill>
                    <w14:schemeClr w14:val="tx1"/>
                  </w14:solidFill>
                </w14:textFill>
              </w:rPr>
              <w:t>接受</w:t>
            </w:r>
            <w:r>
              <w:rPr>
                <w:rFonts w:hint="eastAsia"/>
                <w:bCs/>
                <w:color w:val="000000" w:themeColor="text1"/>
                <w:sz w:val="24"/>
                <w:highlight w:val="none"/>
                <w:lang w:val="en-US" w:eastAsia="zh-CN"/>
                <w14:textFill>
                  <w14:solidFill>
                    <w14:schemeClr w14:val="tx1"/>
                  </w14:solidFill>
                </w14:textFill>
              </w:rPr>
              <w:t>生态环境主管</w:t>
            </w:r>
            <w:r>
              <w:rPr>
                <w:rFonts w:hint="eastAsia"/>
                <w:bCs/>
                <w:color w:val="000000" w:themeColor="text1"/>
                <w:sz w:val="24"/>
                <w:highlight w:val="none"/>
                <w:lang w:eastAsia="zh-CN"/>
                <w14:textFill>
                  <w14:solidFill>
                    <w14:schemeClr w14:val="tx1"/>
                  </w14:solidFill>
                </w14:textFill>
              </w:rPr>
              <w:t>部门的监督</w:t>
            </w:r>
            <w:r>
              <w:rPr>
                <w:rFonts w:hint="eastAsia"/>
                <w:bCs/>
                <w:color w:val="000000" w:themeColor="text1"/>
                <w:sz w:val="24"/>
                <w:highlight w:val="none"/>
                <w:lang w:val="en-US" w:eastAsia="zh-CN"/>
                <w14:textFill>
                  <w14:solidFill>
                    <w14:schemeClr w14:val="tx1"/>
                  </w14:solidFill>
                </w14:textFill>
              </w:rPr>
              <w:t>考核</w:t>
            </w:r>
            <w:r>
              <w:rPr>
                <w:rFonts w:hint="eastAsia"/>
                <w:bCs/>
                <w:color w:val="000000" w:themeColor="text1"/>
                <w:sz w:val="24"/>
                <w:highlight w:val="none"/>
                <w:lang w:eastAsia="zh-CN"/>
                <w14:textFill>
                  <w14:solidFill>
                    <w14:schemeClr w14:val="tx1"/>
                  </w14:solidFill>
                </w14:textFill>
              </w:rPr>
              <w:t>。</w:t>
            </w:r>
          </w:p>
          <w:p w14:paraId="5197AF51">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③</w:t>
            </w:r>
            <w:r>
              <w:rPr>
                <w:b/>
                <w:color w:val="000000" w:themeColor="text1"/>
                <w:sz w:val="24"/>
                <w:highlight w:val="none"/>
                <w14:textFill>
                  <w14:solidFill>
                    <w14:schemeClr w14:val="tx1"/>
                  </w14:solidFill>
                </w14:textFill>
              </w:rPr>
              <w:t>氮氧化物</w:t>
            </w:r>
          </w:p>
          <w:p w14:paraId="785BA466">
            <w:pPr>
              <w:spacing w:line="480" w:lineRule="exact"/>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根据</w:t>
            </w:r>
            <w:r>
              <w:rPr>
                <w:color w:val="000000" w:themeColor="text1"/>
                <w:sz w:val="24"/>
                <w:highlight w:val="none"/>
                <w14:textFill>
                  <w14:solidFill>
                    <w14:schemeClr w14:val="tx1"/>
                  </w14:solidFill>
                </w14:textFill>
              </w:rPr>
              <w:t>《排放源统计调查产排污核算方法</w:t>
            </w:r>
            <w:r>
              <w:rPr>
                <w:rFonts w:hint="eastAsia"/>
                <w:color w:val="000000" w:themeColor="text1"/>
                <w:sz w:val="24"/>
                <w:highlight w:val="none"/>
                <w14:textFill>
                  <w14:solidFill>
                    <w14:schemeClr w14:val="tx1"/>
                  </w14:solidFill>
                </w14:textFill>
              </w:rPr>
              <w:t>和</w:t>
            </w:r>
            <w:r>
              <w:rPr>
                <w:color w:val="000000" w:themeColor="text1"/>
                <w:sz w:val="24"/>
                <w:highlight w:val="none"/>
                <w14:textFill>
                  <w14:solidFill>
                    <w14:schemeClr w14:val="tx1"/>
                  </w14:solidFill>
                </w14:textFill>
              </w:rPr>
              <w:t>系数手册》中</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303砖瓦、石材等建筑材料制造行业系数手册</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砖瓦工业干燥焙烧窑炉</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废气中</w:t>
            </w:r>
            <w:r>
              <w:rPr>
                <w:rFonts w:hint="eastAsia"/>
                <w:color w:val="000000" w:themeColor="text1"/>
                <w:sz w:val="24"/>
                <w:highlight w:val="none"/>
                <w14:textFill>
                  <w14:solidFill>
                    <w14:schemeClr w14:val="tx1"/>
                  </w14:solidFill>
                </w14:textFill>
              </w:rPr>
              <w:t>氮氧化物</w:t>
            </w:r>
            <w:r>
              <w:rPr>
                <w:color w:val="000000" w:themeColor="text1"/>
                <w:sz w:val="24"/>
                <w:highlight w:val="none"/>
                <w14:textFill>
                  <w14:solidFill>
                    <w14:schemeClr w14:val="tx1"/>
                  </w14:solidFill>
                </w14:textFill>
              </w:rPr>
              <w:t>产污系数</w:t>
            </w:r>
            <w:r>
              <w:rPr>
                <w:rFonts w:hint="eastAsia"/>
                <w:color w:val="000000" w:themeColor="text1"/>
                <w:sz w:val="24"/>
                <w:highlight w:val="none"/>
                <w14:textFill>
                  <w14:solidFill>
                    <w14:schemeClr w14:val="tx1"/>
                  </w14:solidFill>
                </w14:textFill>
              </w:rPr>
              <w:t>为1.66千克/万块标砖。</w:t>
            </w:r>
            <w:r>
              <w:rPr>
                <w:rFonts w:hint="eastAsia"/>
                <w:color w:val="000000" w:themeColor="text1"/>
                <w:sz w:val="24"/>
                <w:szCs w:val="22"/>
                <w:highlight w:val="none"/>
                <w14:textFill>
                  <w14:solidFill>
                    <w14:schemeClr w14:val="tx1"/>
                  </w14:solidFill>
                </w14:textFill>
              </w:rPr>
              <w:t>根据折算，改扩建后年产标砖</w:t>
            </w:r>
            <w:r>
              <w:rPr>
                <w:rFonts w:hint="eastAsia"/>
                <w:color w:val="000000" w:themeColor="text1"/>
                <w:sz w:val="24"/>
                <w:szCs w:val="22"/>
                <w:highlight w:val="none"/>
                <w:lang w:val="en-US" w:eastAsia="zh-CN"/>
                <w14:textFill>
                  <w14:solidFill>
                    <w14:schemeClr w14:val="tx1"/>
                  </w14:solidFill>
                </w14:textFill>
              </w:rPr>
              <w:t>40115</w:t>
            </w:r>
            <w:r>
              <w:rPr>
                <w:rFonts w:hint="eastAsia"/>
                <w:color w:val="000000" w:themeColor="text1"/>
                <w:sz w:val="24"/>
                <w:szCs w:val="22"/>
                <w:highlight w:val="none"/>
                <w14:textFill>
                  <w14:solidFill>
                    <w14:schemeClr w14:val="tx1"/>
                  </w14:solidFill>
                </w14:textFill>
              </w:rPr>
              <w:t>万块。则隧道窑烟气中氮氧化物产生量为</w:t>
            </w:r>
            <w:r>
              <w:rPr>
                <w:rFonts w:hint="eastAsia"/>
                <w:color w:val="000000" w:themeColor="text1"/>
                <w:sz w:val="24"/>
                <w:szCs w:val="22"/>
                <w:highlight w:val="none"/>
                <w:lang w:val="en-US" w:eastAsia="zh-CN"/>
                <w14:textFill>
                  <w14:solidFill>
                    <w14:schemeClr w14:val="tx1"/>
                  </w14:solidFill>
                </w14:textFill>
              </w:rPr>
              <w:t>66.59</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p>
          <w:p w14:paraId="557E29B3">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治理措施：隧道窑窑体全封闭，通过窑体内置烟道和风机，废气</w:t>
            </w:r>
            <w:r>
              <w:rPr>
                <w:rFonts w:hint="eastAsia"/>
                <w:color w:val="000000" w:themeColor="text1"/>
                <w:sz w:val="24"/>
                <w:highlight w:val="none"/>
                <w:lang w:val="en-US" w:eastAsia="zh-CN"/>
                <w14:textFill>
                  <w14:solidFill>
                    <w14:schemeClr w14:val="tx1"/>
                  </w14:solidFill>
                </w14:textFill>
              </w:rPr>
              <w:t>经SNCR脱硝+</w:t>
            </w:r>
            <w:r>
              <w:rPr>
                <w:color w:val="000000" w:themeColor="text1"/>
                <w:sz w:val="24"/>
                <w:highlight w:val="none"/>
                <w14:textFill>
                  <w14:solidFill>
                    <w14:schemeClr w14:val="tx1"/>
                  </w14:solidFill>
                </w14:textFill>
              </w:rPr>
              <w:t>石灰-石膏法脱硫+湿式静电除尘器处理后</w:t>
            </w:r>
            <w:r>
              <w:rPr>
                <w:rFonts w:hint="eastAsia"/>
                <w:color w:val="000000" w:themeColor="text1"/>
                <w:sz w:val="24"/>
                <w:highlight w:val="none"/>
                <w14:textFill>
                  <w14:solidFill>
                    <w14:schemeClr w14:val="tx1"/>
                  </w14:solidFill>
                </w14:textFill>
              </w:rPr>
              <w:t>分别</w:t>
            </w:r>
            <w:r>
              <w:rPr>
                <w:color w:val="000000" w:themeColor="text1"/>
                <w:sz w:val="24"/>
                <w:highlight w:val="none"/>
                <w14:textFill>
                  <w14:solidFill>
                    <w14:schemeClr w14:val="tx1"/>
                  </w14:solidFill>
                </w14:textFill>
              </w:rPr>
              <w:t>经</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r>
              <w:rPr>
                <w:rFonts w:hint="eastAsia"/>
                <w:color w:val="000000" w:themeColor="text1"/>
                <w:sz w:val="24"/>
                <w:highlight w:val="none"/>
                <w14:textFill>
                  <w14:solidFill>
                    <w14:schemeClr w14:val="tx1"/>
                  </w14:solidFill>
                </w14:textFill>
              </w:rPr>
              <w:t>。</w:t>
            </w:r>
          </w:p>
          <w:p w14:paraId="2459D93E">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达标分析：隧道窑烟气全部收集，根据建设单位提供资料，现有2套治理设施处理能力均为170000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h，废气治理设施对氮氧化物的去除效率为50%。根据工程分析，隧道窑年有效作业时间为7600h，</w:t>
            </w:r>
            <w:r>
              <w:rPr>
                <w:rFonts w:hint="eastAsia"/>
                <w:color w:val="000000" w:themeColor="text1"/>
                <w:sz w:val="24"/>
                <w:szCs w:val="22"/>
                <w:highlight w:val="none"/>
                <w14:textFill>
                  <w14:solidFill>
                    <w14:schemeClr w14:val="tx1"/>
                  </w14:solidFill>
                </w14:textFill>
              </w:rPr>
              <w:t>则</w:t>
            </w:r>
            <w:r>
              <w:rPr>
                <w:rFonts w:hint="eastAsia"/>
                <w:color w:val="000000" w:themeColor="text1"/>
                <w:sz w:val="24"/>
                <w:szCs w:val="22"/>
                <w:highlight w:val="none"/>
                <w:lang w:val="en-US" w:eastAsia="zh-CN"/>
                <w14:textFill>
                  <w14:solidFill>
                    <w14:schemeClr w14:val="tx1"/>
                  </w14:solidFill>
                </w14:textFill>
              </w:rPr>
              <w:t>每套</w:t>
            </w:r>
            <w:r>
              <w:rPr>
                <w:rFonts w:hint="eastAsia"/>
                <w:color w:val="000000" w:themeColor="text1"/>
                <w:sz w:val="24"/>
                <w:szCs w:val="22"/>
                <w:highlight w:val="none"/>
                <w14:textFill>
                  <w14:solidFill>
                    <w14:schemeClr w14:val="tx1"/>
                  </w14:solidFill>
                </w14:textFill>
              </w:rPr>
              <w:t>隧道窑烟气</w:t>
            </w:r>
            <w:r>
              <w:rPr>
                <w:rFonts w:hint="eastAsia"/>
                <w:color w:val="000000" w:themeColor="text1"/>
                <w:sz w:val="24"/>
                <w:szCs w:val="22"/>
                <w:highlight w:val="none"/>
                <w:lang w:val="en-US" w:eastAsia="zh-CN"/>
                <w14:textFill>
                  <w14:solidFill>
                    <w14:schemeClr w14:val="tx1"/>
                  </w14:solidFill>
                </w14:textFill>
              </w:rPr>
              <w:t>治理设施</w:t>
            </w:r>
            <w:r>
              <w:rPr>
                <w:rFonts w:hint="eastAsia"/>
                <w:color w:val="000000" w:themeColor="text1"/>
                <w:sz w:val="24"/>
                <w:szCs w:val="22"/>
                <w:highlight w:val="none"/>
                <w14:textFill>
                  <w14:solidFill>
                    <w14:schemeClr w14:val="tx1"/>
                  </w14:solidFill>
                </w14:textFill>
              </w:rPr>
              <w:t>中氮氧化物产生浓度</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25.77</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，产生速率</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4.381</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，产生量</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33.295</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，经废气治理设施处理后，氮氧化物排放浓度</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12.9</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2.19</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，排放量</w:t>
            </w:r>
            <w:r>
              <w:rPr>
                <w:rFonts w:hint="eastAsia"/>
                <w:color w:val="000000" w:themeColor="text1"/>
                <w:sz w:val="24"/>
                <w:szCs w:val="22"/>
                <w:highlight w:val="none"/>
                <w:lang w:val="en-US" w:eastAsia="zh-CN"/>
                <w14:textFill>
                  <w14:solidFill>
                    <w14:schemeClr w14:val="tx1"/>
                  </w14:solidFill>
                </w14:textFill>
              </w:rPr>
              <w:t>均</w:t>
            </w:r>
            <w:r>
              <w:rPr>
                <w:rFonts w:hint="eastAsia"/>
                <w:color w:val="000000" w:themeColor="text1"/>
                <w:sz w:val="24"/>
                <w:szCs w:val="22"/>
                <w:highlight w:val="none"/>
                <w14:textFill>
                  <w14:solidFill>
                    <w14:schemeClr w14:val="tx1"/>
                  </w14:solidFill>
                </w14:textFill>
              </w:rPr>
              <w:t>为</w:t>
            </w:r>
            <w:r>
              <w:rPr>
                <w:rFonts w:hint="eastAsia"/>
                <w:color w:val="000000" w:themeColor="text1"/>
                <w:sz w:val="24"/>
                <w:szCs w:val="22"/>
                <w:highlight w:val="none"/>
                <w:lang w:val="en-US" w:eastAsia="zh-CN"/>
                <w14:textFill>
                  <w14:solidFill>
                    <w14:schemeClr w14:val="tx1"/>
                  </w14:solidFill>
                </w14:textFill>
              </w:rPr>
              <w:t>16.65</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w:t>
            </w:r>
            <w:r>
              <w:rPr>
                <w:rFonts w:hint="eastAsia"/>
                <w:bCs/>
                <w:color w:val="000000" w:themeColor="text1"/>
                <w:sz w:val="24"/>
                <w:highlight w:val="none"/>
                <w14:textFill>
                  <w14:solidFill>
                    <w14:schemeClr w14:val="tx1"/>
                  </w14:solidFill>
                </w14:textFill>
              </w:rPr>
              <w:t>要求</w:t>
            </w:r>
            <w:r>
              <w:rPr>
                <w:color w:val="000000" w:themeColor="text1"/>
                <w:sz w:val="24"/>
                <w:highlight w:val="none"/>
                <w14:textFill>
                  <w14:solidFill>
                    <w14:schemeClr w14:val="tx1"/>
                  </w14:solidFill>
                </w14:textFill>
              </w:rPr>
              <w:t>。</w:t>
            </w:r>
          </w:p>
          <w:p w14:paraId="6F85ACFC">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④</w:t>
            </w:r>
            <w:r>
              <w:rPr>
                <w:b/>
                <w:color w:val="000000" w:themeColor="text1"/>
                <w:sz w:val="24"/>
                <w:highlight w:val="none"/>
                <w14:textFill>
                  <w14:solidFill>
                    <w14:schemeClr w14:val="tx1"/>
                  </w14:solidFill>
                </w14:textFill>
              </w:rPr>
              <w:t>氟化物</w:t>
            </w:r>
          </w:p>
          <w:p w14:paraId="3FF1D619">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页岩中的氟元素在高温烧结的情况下易转化为气态氟化物，主要以HF气体为主。根据《环保工作者实用手册》，页岩中氟元素含量约为0.002%~0.008%之间，本项目页岩中氟元素含量约0.002%，页岩自身所含的CaO、Mg等成分，与燃烧析出的HF发生反应，生成CaF</w:t>
            </w:r>
            <w:r>
              <w:rPr>
                <w:rFonts w:hint="eastAsia"/>
                <w:bCs/>
                <w:color w:val="000000" w:themeColor="text1"/>
                <w:sz w:val="24"/>
                <w:highlight w:val="none"/>
                <w:vertAlign w:val="subscript"/>
                <w14:textFill>
                  <w14:solidFill>
                    <w14:schemeClr w14:val="tx1"/>
                  </w14:solidFill>
                </w14:textFill>
              </w:rPr>
              <w:t>2</w:t>
            </w:r>
            <w:r>
              <w:rPr>
                <w:rFonts w:hint="eastAsia"/>
                <w:bCs/>
                <w:color w:val="000000" w:themeColor="text1"/>
                <w:sz w:val="24"/>
                <w:highlight w:val="none"/>
                <w14:textFill>
                  <w14:solidFill>
                    <w14:schemeClr w14:val="tx1"/>
                  </w14:solidFill>
                </w14:textFill>
              </w:rPr>
              <w:t>、MgF</w:t>
            </w:r>
            <w:r>
              <w:rPr>
                <w:rFonts w:hint="eastAsia"/>
                <w:bCs/>
                <w:color w:val="000000" w:themeColor="text1"/>
                <w:sz w:val="24"/>
                <w:highlight w:val="none"/>
                <w:vertAlign w:val="subscript"/>
                <w14:textFill>
                  <w14:solidFill>
                    <w14:schemeClr w14:val="tx1"/>
                  </w14:solidFill>
                </w14:textFill>
              </w:rPr>
              <w:t>2</w:t>
            </w:r>
            <w:r>
              <w:rPr>
                <w:rFonts w:hint="eastAsia"/>
                <w:bCs/>
                <w:color w:val="000000" w:themeColor="text1"/>
                <w:sz w:val="24"/>
                <w:highlight w:val="none"/>
                <w14:textFill>
                  <w14:solidFill>
                    <w14:schemeClr w14:val="tx1"/>
                  </w14:solidFill>
                </w14:textFill>
              </w:rPr>
              <w:t>等，从而将氟固定下来，抑制氟的析出，固氟率约20%，焙烧时其氟化物转化率按80%计算。</w:t>
            </w:r>
            <w:r>
              <w:rPr>
                <w:rFonts w:hint="eastAsia"/>
                <w:bCs/>
                <w:color w:val="000000" w:themeColor="text1"/>
                <w:sz w:val="24"/>
                <w:szCs w:val="22"/>
                <w:highlight w:val="none"/>
                <w14:textFill>
                  <w14:solidFill>
                    <w14:schemeClr w14:val="tx1"/>
                  </w14:solidFill>
                </w14:textFill>
              </w:rPr>
              <w:t>本项目年用页岩量</w:t>
            </w:r>
            <w:r>
              <w:rPr>
                <w:rFonts w:hint="eastAsia"/>
                <w:bCs/>
                <w:color w:val="000000" w:themeColor="text1"/>
                <w:sz w:val="24"/>
                <w:szCs w:val="22"/>
                <w:highlight w:val="none"/>
                <w:lang w:val="en-US" w:eastAsia="zh-CN"/>
                <w14:textFill>
                  <w14:solidFill>
                    <w14:schemeClr w14:val="tx1"/>
                  </w14:solidFill>
                </w14:textFill>
              </w:rPr>
              <w:t>96</w:t>
            </w:r>
            <w:r>
              <w:rPr>
                <w:rFonts w:hint="eastAsia"/>
                <w:bCs/>
                <w:color w:val="000000" w:themeColor="text1"/>
                <w:sz w:val="24"/>
                <w:szCs w:val="22"/>
                <w:highlight w:val="none"/>
                <w14:textFill>
                  <w14:solidFill>
                    <w14:schemeClr w14:val="tx1"/>
                  </w14:solidFill>
                </w14:textFill>
              </w:rPr>
              <w:t>000t，根据计算年产生氟化物</w:t>
            </w:r>
            <w:r>
              <w:rPr>
                <w:rFonts w:hint="eastAsia"/>
                <w:bCs/>
                <w:color w:val="000000" w:themeColor="text1"/>
                <w:sz w:val="24"/>
                <w:szCs w:val="22"/>
                <w:highlight w:val="none"/>
                <w:lang w:val="en-US" w:eastAsia="zh-CN"/>
                <w14:textFill>
                  <w14:solidFill>
                    <w14:schemeClr w14:val="tx1"/>
                  </w14:solidFill>
                </w14:textFill>
              </w:rPr>
              <w:t>1.536</w:t>
            </w:r>
            <w:r>
              <w:rPr>
                <w:rFonts w:hint="eastAsia"/>
                <w:bCs/>
                <w:color w:val="000000" w:themeColor="text1"/>
                <w:sz w:val="24"/>
                <w:szCs w:val="22"/>
                <w:highlight w:val="none"/>
                <w14:textFill>
                  <w14:solidFill>
                    <w14:schemeClr w14:val="tx1"/>
                  </w14:solidFill>
                </w14:textFill>
              </w:rPr>
              <w:t>t/a。</w:t>
            </w:r>
          </w:p>
          <w:p w14:paraId="5D94F676">
            <w:pPr>
              <w:spacing w:line="48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隧道窑窑体全封闭，通过窑体内置烟道，废气</w:t>
            </w:r>
            <w:r>
              <w:rPr>
                <w:rFonts w:hint="eastAsia"/>
                <w:color w:val="000000" w:themeColor="text1"/>
                <w:sz w:val="24"/>
                <w:highlight w:val="none"/>
                <w:lang w:val="en-US" w:eastAsia="zh-CN"/>
                <w14:textFill>
                  <w14:solidFill>
                    <w14:schemeClr w14:val="tx1"/>
                  </w14:solidFill>
                </w14:textFill>
              </w:rPr>
              <w:t>经SNCR脱硝+</w:t>
            </w:r>
            <w:r>
              <w:rPr>
                <w:color w:val="000000" w:themeColor="text1"/>
                <w:sz w:val="24"/>
                <w:highlight w:val="none"/>
                <w14:textFill>
                  <w14:solidFill>
                    <w14:schemeClr w14:val="tx1"/>
                  </w14:solidFill>
                </w14:textFill>
              </w:rPr>
              <w:t>石灰-石膏法脱硫+湿式静电除尘器处理后</w:t>
            </w:r>
            <w:r>
              <w:rPr>
                <w:rFonts w:hint="eastAsia"/>
                <w:color w:val="000000" w:themeColor="text1"/>
                <w:sz w:val="24"/>
                <w:highlight w:val="none"/>
                <w14:textFill>
                  <w14:solidFill>
                    <w14:schemeClr w14:val="tx1"/>
                  </w14:solidFill>
                </w14:textFill>
              </w:rPr>
              <w:t>分别</w:t>
            </w:r>
            <w:r>
              <w:rPr>
                <w:color w:val="000000" w:themeColor="text1"/>
                <w:sz w:val="24"/>
                <w:highlight w:val="none"/>
                <w14:textFill>
                  <w14:solidFill>
                    <w14:schemeClr w14:val="tx1"/>
                  </w14:solidFill>
                </w14:textFill>
              </w:rPr>
              <w:t>经</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r>
              <w:rPr>
                <w:rFonts w:hint="eastAsia"/>
                <w:color w:val="000000" w:themeColor="text1"/>
                <w:sz w:val="24"/>
                <w:highlight w:val="none"/>
                <w14:textFill>
                  <w14:solidFill>
                    <w14:schemeClr w14:val="tx1"/>
                  </w14:solidFill>
                </w14:textFill>
              </w:rPr>
              <w:t>。隧道窑烟气全部收集，根据建设单位提供资料，现有2套治理设施处理能力均为170000</w:t>
            </w:r>
            <w:r>
              <w:rPr>
                <w:color w:val="000000" w:themeColor="text1"/>
                <w:sz w:val="24"/>
                <w:highlight w:val="none"/>
                <w14:textFill>
                  <w14:solidFill>
                    <w14:schemeClr w14:val="tx1"/>
                  </w14:solidFill>
                </w14:textFill>
              </w:rPr>
              <w:t>m</w:t>
            </w:r>
            <w:r>
              <w:rPr>
                <w:color w:val="000000" w:themeColor="text1"/>
                <w:sz w:val="24"/>
                <w:highlight w:val="none"/>
                <w:vertAlign w:val="superscript"/>
                <w14:textFill>
                  <w14:solidFill>
                    <w14:schemeClr w14:val="tx1"/>
                  </w14:solidFill>
                </w14:textFill>
              </w:rPr>
              <w:t>3</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h，废气治理设施对氟化物的去除效率为90%。根据工程分析，隧道窑年有效作业时间为7600h，</w:t>
            </w:r>
            <w:r>
              <w:rPr>
                <w:rFonts w:hint="eastAsia"/>
                <w:color w:val="000000" w:themeColor="text1"/>
                <w:sz w:val="24"/>
                <w:szCs w:val="22"/>
                <w:highlight w:val="none"/>
                <w14:textFill>
                  <w14:solidFill>
                    <w14:schemeClr w14:val="tx1"/>
                  </w14:solidFill>
                </w14:textFill>
              </w:rPr>
              <w:t>则隧道窑烟气中氟化物产生浓度为</w:t>
            </w:r>
            <w:r>
              <w:rPr>
                <w:rFonts w:hint="eastAsia"/>
                <w:color w:val="000000" w:themeColor="text1"/>
                <w:sz w:val="24"/>
                <w:szCs w:val="22"/>
                <w:highlight w:val="none"/>
                <w:lang w:val="en-US" w:eastAsia="zh-CN"/>
                <w14:textFill>
                  <w14:solidFill>
                    <w14:schemeClr w14:val="tx1"/>
                  </w14:solidFill>
                </w14:textFill>
              </w:rPr>
              <w:t>0.594</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，产生速率为0.</w:t>
            </w:r>
            <w:r>
              <w:rPr>
                <w:rFonts w:hint="eastAsia"/>
                <w:color w:val="000000" w:themeColor="text1"/>
                <w:sz w:val="24"/>
                <w:szCs w:val="22"/>
                <w:highlight w:val="none"/>
                <w:lang w:val="en-US" w:eastAsia="zh-CN"/>
                <w14:textFill>
                  <w14:solidFill>
                    <w14:schemeClr w14:val="tx1"/>
                  </w14:solidFill>
                </w14:textFill>
              </w:rPr>
              <w:t>202</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，产生量为</w:t>
            </w:r>
            <w:r>
              <w:rPr>
                <w:rFonts w:hint="eastAsia"/>
                <w:color w:val="000000" w:themeColor="text1"/>
                <w:sz w:val="24"/>
                <w:szCs w:val="22"/>
                <w:highlight w:val="none"/>
                <w:lang w:val="en-US" w:eastAsia="zh-CN"/>
                <w14:textFill>
                  <w14:solidFill>
                    <w14:schemeClr w14:val="tx1"/>
                  </w14:solidFill>
                </w14:textFill>
              </w:rPr>
              <w:t>1.536</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，经废气治理设施处理后，氟化物排放浓度为0.0</w:t>
            </w:r>
            <w:r>
              <w:rPr>
                <w:rFonts w:hint="eastAsia"/>
                <w:color w:val="000000" w:themeColor="text1"/>
                <w:sz w:val="24"/>
                <w:szCs w:val="22"/>
                <w:highlight w:val="none"/>
                <w:lang w:val="en-US" w:eastAsia="zh-CN"/>
                <w14:textFill>
                  <w14:solidFill>
                    <w14:schemeClr w14:val="tx1"/>
                  </w14:solidFill>
                </w14:textFill>
              </w:rPr>
              <w:t>6</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，排放速率为0.0</w:t>
            </w:r>
            <w:r>
              <w:rPr>
                <w:rFonts w:hint="eastAsia"/>
                <w:color w:val="000000" w:themeColor="text1"/>
                <w:sz w:val="24"/>
                <w:szCs w:val="22"/>
                <w:highlight w:val="none"/>
                <w:lang w:val="en-US" w:eastAsia="zh-CN"/>
                <w14:textFill>
                  <w14:solidFill>
                    <w14:schemeClr w14:val="tx1"/>
                  </w14:solidFill>
                </w14:textFill>
              </w:rPr>
              <w:t>2</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，排放量为</w:t>
            </w:r>
            <w:r>
              <w:rPr>
                <w:rFonts w:hint="eastAsia"/>
                <w:color w:val="000000" w:themeColor="text1"/>
                <w:sz w:val="24"/>
                <w:szCs w:val="22"/>
                <w:highlight w:val="none"/>
                <w:lang w:val="en-US" w:eastAsia="zh-CN"/>
                <w14:textFill>
                  <w14:solidFill>
                    <w14:schemeClr w14:val="tx1"/>
                  </w14:solidFill>
                </w14:textFill>
              </w:rPr>
              <w:t>0.1536</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w:t>
            </w:r>
            <w:r>
              <w:rPr>
                <w:color w:val="000000" w:themeColor="text1"/>
                <w:sz w:val="24"/>
                <w:highlight w:val="none"/>
                <w14:textFill>
                  <w14:solidFill>
                    <w14:schemeClr w14:val="tx1"/>
                  </w14:solidFill>
                </w14:textFill>
              </w:rPr>
              <w:t>，即氟化物（以F计）≤3mg/m</w:t>
            </w:r>
            <w:r>
              <w:rPr>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w:t>
            </w:r>
          </w:p>
          <w:p w14:paraId="443897A6">
            <w:pPr>
              <w:spacing w:line="480" w:lineRule="exact"/>
              <w:ind w:firstLine="482" w:firstLineChars="200"/>
              <w:rPr>
                <w:rFonts w:hint="eastAsia" w:eastAsia="宋体"/>
                <w:b/>
                <w:color w:val="000000" w:themeColor="text1"/>
                <w:sz w:val="24"/>
                <w:highlight w:val="none"/>
                <w:lang w:eastAsia="zh-CN"/>
                <w14:textFill>
                  <w14:solidFill>
                    <w14:schemeClr w14:val="tx1"/>
                  </w14:solidFill>
                </w14:textFill>
              </w:rPr>
            </w:pPr>
            <w:r>
              <w:rPr>
                <w:rFonts w:hint="eastAsia"/>
                <w:b/>
                <w:color w:val="000000" w:themeColor="text1"/>
                <w:sz w:val="24"/>
                <w:highlight w:val="none"/>
                <w14:textFill>
                  <w14:solidFill>
                    <w14:schemeClr w14:val="tx1"/>
                  </w14:solidFill>
                </w14:textFill>
              </w:rPr>
              <w:t>⑤</w:t>
            </w:r>
            <w:r>
              <w:rPr>
                <w:rFonts w:hint="eastAsia"/>
                <w:b/>
                <w:color w:val="000000" w:themeColor="text1"/>
                <w:sz w:val="24"/>
                <w:highlight w:val="none"/>
                <w:lang w:val="en-US" w:eastAsia="zh-CN"/>
                <w14:textFill>
                  <w14:solidFill>
                    <w14:schemeClr w14:val="tx1"/>
                  </w14:solidFill>
                </w14:textFill>
              </w:rPr>
              <w:t>氨</w:t>
            </w:r>
          </w:p>
          <w:p w14:paraId="79FF1223">
            <w:pPr>
              <w:spacing w:line="48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结合设计资料，同时</w:t>
            </w:r>
            <w:r>
              <w:rPr>
                <w:rFonts w:hint="eastAsia"/>
                <w:color w:val="000000" w:themeColor="text1"/>
                <w:sz w:val="24"/>
                <w:highlight w:val="none"/>
                <w14:textFill>
                  <w14:solidFill>
                    <w14:schemeClr w14:val="tx1"/>
                  </w14:solidFill>
                </w14:textFill>
              </w:rPr>
              <w:t>类比同类</w:t>
            </w:r>
            <w:r>
              <w:rPr>
                <w:rFonts w:hint="eastAsia"/>
                <w:color w:val="000000" w:themeColor="text1"/>
                <w:sz w:val="24"/>
                <w:highlight w:val="none"/>
                <w:lang w:val="en-US" w:eastAsia="zh-CN"/>
                <w14:textFill>
                  <w14:solidFill>
                    <w14:schemeClr w14:val="tx1"/>
                  </w14:solidFill>
                </w14:textFill>
              </w:rPr>
              <w:t>生产</w:t>
            </w:r>
            <w:r>
              <w:rPr>
                <w:rFonts w:hint="eastAsia"/>
                <w:color w:val="000000" w:themeColor="text1"/>
                <w:sz w:val="24"/>
                <w:highlight w:val="none"/>
                <w14:textFill>
                  <w14:solidFill>
                    <w14:schemeClr w14:val="tx1"/>
                  </w14:solidFill>
                </w14:textFill>
              </w:rPr>
              <w:t>企业</w:t>
            </w:r>
            <w:r>
              <w:rPr>
                <w:color w:val="000000" w:themeColor="text1"/>
                <w:sz w:val="24"/>
                <w:highlight w:val="none"/>
                <w14:textFill>
                  <w14:solidFill>
                    <w14:schemeClr w14:val="tx1"/>
                  </w14:solidFill>
                </w14:textFill>
              </w:rPr>
              <w:t>隧道窑</w:t>
            </w:r>
            <w:r>
              <w:rPr>
                <w:rFonts w:hint="eastAsia"/>
                <w:color w:val="000000" w:themeColor="text1"/>
                <w:sz w:val="24"/>
                <w:highlight w:val="none"/>
                <w:lang w:val="en-US" w:eastAsia="zh-CN"/>
                <w14:textFill>
                  <w14:solidFill>
                    <w14:schemeClr w14:val="tx1"/>
                  </w14:solidFill>
                </w14:textFill>
              </w:rPr>
              <w:t>废气</w:t>
            </w:r>
            <w:r>
              <w:rPr>
                <w:rFonts w:hint="eastAsia"/>
                <w:color w:val="000000" w:themeColor="text1"/>
                <w:sz w:val="24"/>
                <w:highlight w:val="none"/>
                <w14:textFill>
                  <w14:solidFill>
                    <w14:schemeClr w14:val="tx1"/>
                  </w14:solidFill>
                </w14:textFill>
              </w:rPr>
              <w:t>氨逃逸浓度低于</w:t>
            </w:r>
            <w:r>
              <w:rPr>
                <w:rFonts w:hint="eastAsia"/>
                <w:color w:val="000000" w:themeColor="text1"/>
                <w:sz w:val="24"/>
                <w:highlight w:val="none"/>
                <w:lang w:val="en-US" w:eastAsia="zh-CN"/>
                <w14:textFill>
                  <w14:solidFill>
                    <w14:schemeClr w14:val="tx1"/>
                  </w14:solidFill>
                </w14:textFill>
              </w:rPr>
              <w:t>7.5</w:t>
            </w:r>
            <w:r>
              <w:rPr>
                <w:rFonts w:hint="eastAsia"/>
                <w:color w:val="000000" w:themeColor="text1"/>
                <w:sz w:val="24"/>
                <w:highlight w:val="none"/>
                <w14:textFill>
                  <w14:solidFill>
                    <w14:schemeClr w14:val="tx1"/>
                  </w14:solidFill>
                </w14:textFill>
              </w:rPr>
              <w:t>mg/m³，本次评价以</w:t>
            </w:r>
            <w:r>
              <w:rPr>
                <w:rFonts w:hint="eastAsia"/>
                <w:color w:val="000000" w:themeColor="text1"/>
                <w:sz w:val="24"/>
                <w:highlight w:val="none"/>
                <w:lang w:val="en-US" w:eastAsia="zh-CN"/>
                <w14:textFill>
                  <w14:solidFill>
                    <w14:schemeClr w14:val="tx1"/>
                  </w14:solidFill>
                </w14:textFill>
              </w:rPr>
              <w:t>7.5</w:t>
            </w:r>
            <w:r>
              <w:rPr>
                <w:rFonts w:hint="eastAsia"/>
                <w:color w:val="000000" w:themeColor="text1"/>
                <w:sz w:val="24"/>
                <w:highlight w:val="none"/>
                <w14:textFill>
                  <w14:solidFill>
                    <w14:schemeClr w14:val="tx1"/>
                  </w14:solidFill>
                </w14:textFill>
              </w:rPr>
              <w:t>mg/m³，排放速率</w:t>
            </w:r>
            <w:r>
              <w:rPr>
                <w:rFonts w:hint="eastAsia"/>
                <w:color w:val="000000" w:themeColor="text1"/>
                <w:sz w:val="24"/>
                <w:highlight w:val="none"/>
                <w:lang w:val="en-US" w:eastAsia="zh-CN"/>
                <w14:textFill>
                  <w14:solidFill>
                    <w14:schemeClr w14:val="tx1"/>
                  </w14:solidFill>
                </w14:textFill>
              </w:rPr>
              <w:t>合计</w:t>
            </w:r>
            <w:r>
              <w:rPr>
                <w:rFonts w:hint="eastAsia"/>
                <w:color w:val="000000" w:themeColor="text1"/>
                <w:sz w:val="24"/>
                <w:highlight w:val="none"/>
                <w14:textFill>
                  <w14:solidFill>
                    <w14:schemeClr w14:val="tx1"/>
                  </w14:solidFill>
                </w14:textFill>
              </w:rPr>
              <w:t>为</w:t>
            </w:r>
            <w:r>
              <w:rPr>
                <w:rFonts w:hint="eastAsia"/>
                <w:color w:val="000000" w:themeColor="text1"/>
                <w:sz w:val="24"/>
                <w:highlight w:val="none"/>
                <w:lang w:val="en-US" w:eastAsia="zh-CN"/>
                <w14:textFill>
                  <w14:solidFill>
                    <w14:schemeClr w14:val="tx1"/>
                  </w14:solidFill>
                </w14:textFill>
              </w:rPr>
              <w:t>2.55</w:t>
            </w:r>
            <w:r>
              <w:rPr>
                <w:rFonts w:hint="eastAsia"/>
                <w:color w:val="000000" w:themeColor="text1"/>
                <w:sz w:val="24"/>
                <w:highlight w:val="none"/>
                <w14:textFill>
                  <w14:solidFill>
                    <w14:schemeClr w14:val="tx1"/>
                  </w14:solidFill>
                </w14:textFill>
              </w:rPr>
              <w:t>kg/h，排放量</w:t>
            </w:r>
            <w:r>
              <w:rPr>
                <w:rFonts w:hint="eastAsia"/>
                <w:color w:val="000000" w:themeColor="text1"/>
                <w:sz w:val="24"/>
                <w:highlight w:val="none"/>
                <w:lang w:val="en-US" w:eastAsia="zh-CN"/>
                <w14:textFill>
                  <w14:solidFill>
                    <w14:schemeClr w14:val="tx1"/>
                  </w14:solidFill>
                </w14:textFill>
              </w:rPr>
              <w:t>合计</w:t>
            </w:r>
            <w:r>
              <w:rPr>
                <w:rFonts w:hint="eastAsia"/>
                <w:color w:val="000000" w:themeColor="text1"/>
                <w:sz w:val="24"/>
                <w:highlight w:val="none"/>
                <w14:textFill>
                  <w14:solidFill>
                    <w14:schemeClr w14:val="tx1"/>
                  </w14:solidFill>
                </w14:textFill>
              </w:rPr>
              <w:t>为</w:t>
            </w:r>
            <w:r>
              <w:rPr>
                <w:rFonts w:hint="eastAsia"/>
                <w:color w:val="000000" w:themeColor="text1"/>
                <w:sz w:val="24"/>
                <w:highlight w:val="none"/>
                <w:lang w:val="en-US" w:eastAsia="zh-CN"/>
                <w14:textFill>
                  <w14:solidFill>
                    <w14:schemeClr w14:val="tx1"/>
                  </w14:solidFill>
                </w14:textFill>
              </w:rPr>
              <w:t>19.38</w:t>
            </w:r>
            <w:r>
              <w:rPr>
                <w:rFonts w:hint="eastAsia"/>
                <w:color w:val="000000" w:themeColor="text1"/>
                <w:sz w:val="24"/>
                <w:highlight w:val="none"/>
                <w14:textFill>
                  <w14:solidFill>
                    <w14:schemeClr w14:val="tx1"/>
                  </w14:solidFill>
                </w14:textFill>
              </w:rPr>
              <w:t>t/a，氨排放满足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w:t>
            </w:r>
            <w:r>
              <w:rPr>
                <w:color w:val="000000" w:themeColor="text1"/>
                <w:sz w:val="24"/>
                <w:highlight w:val="none"/>
                <w14:textFill>
                  <w14:solidFill>
                    <w14:schemeClr w14:val="tx1"/>
                  </w14:solidFill>
                </w14:textFill>
              </w:rPr>
              <w:t>，即</w:t>
            </w:r>
            <w:r>
              <w:rPr>
                <w:rFonts w:hint="eastAsia"/>
                <w:color w:val="000000" w:themeColor="text1"/>
                <w:sz w:val="24"/>
                <w:highlight w:val="none"/>
                <w14:textFill>
                  <w14:solidFill>
                    <w14:schemeClr w14:val="tx1"/>
                  </w14:solidFill>
                </w14:textFill>
              </w:rPr>
              <w:t>氨</w:t>
            </w:r>
            <w:r>
              <w:rPr>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8.0</w:t>
            </w:r>
            <w:r>
              <w:rPr>
                <w:color w:val="000000" w:themeColor="text1"/>
                <w:sz w:val="24"/>
                <w:highlight w:val="none"/>
                <w14:textFill>
                  <w14:solidFill>
                    <w14:schemeClr w14:val="tx1"/>
                  </w14:solidFill>
                </w14:textFill>
              </w:rPr>
              <w:t>mg/m</w:t>
            </w:r>
            <w:r>
              <w:rPr>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w:t>
            </w:r>
          </w:p>
          <w:p w14:paraId="6260E18F">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⑥</w:t>
            </w:r>
            <w:r>
              <w:rPr>
                <w:b/>
                <w:color w:val="000000" w:themeColor="text1"/>
                <w:sz w:val="24"/>
                <w:highlight w:val="none"/>
                <w14:textFill>
                  <w14:solidFill>
                    <w14:schemeClr w14:val="tx1"/>
                  </w14:solidFill>
                </w14:textFill>
              </w:rPr>
              <w:t>氯化氢</w:t>
            </w:r>
          </w:p>
          <w:p w14:paraId="1F663366">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原料中含氯成分燃烧后产生HCl随废气排出，HCl具有很强的腐蚀性，会造成受热面的高温腐蚀，污染大气环境，还会促进毒性有机挥发物的生成。同时HCl与有机化合物在催化剂的作用下反应还会生产二噁英。</w:t>
            </w:r>
          </w:p>
          <w:p w14:paraId="2EF7B0A7">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根据污泥检测报告，</w:t>
            </w:r>
            <w:r>
              <w:rPr>
                <w:bCs/>
                <w:color w:val="000000" w:themeColor="text1"/>
                <w:sz w:val="24"/>
                <w:highlight w:val="none"/>
                <w14:textFill>
                  <w14:solidFill>
                    <w14:schemeClr w14:val="tx1"/>
                  </w14:solidFill>
                </w14:textFill>
              </w:rPr>
              <w:t>氯元素含量为4605.54mg/kg，</w:t>
            </w:r>
            <w:r>
              <w:rPr>
                <w:rFonts w:hint="eastAsia"/>
                <w:bCs/>
                <w:color w:val="000000" w:themeColor="text1"/>
                <w:sz w:val="24"/>
                <w:szCs w:val="22"/>
                <w:highlight w:val="none"/>
                <w14:textFill>
                  <w14:solidFill>
                    <w14:schemeClr w14:val="tx1"/>
                  </w14:solidFill>
                </w14:textFill>
              </w:rPr>
              <w:t>本次改扩建</w:t>
            </w:r>
            <w:r>
              <w:rPr>
                <w:bCs/>
                <w:color w:val="000000" w:themeColor="text1"/>
                <w:sz w:val="24"/>
                <w:szCs w:val="22"/>
                <w:highlight w:val="none"/>
                <w14:textFill>
                  <w14:solidFill>
                    <w14:schemeClr w14:val="tx1"/>
                  </w14:solidFill>
                </w14:textFill>
              </w:rPr>
              <w:t>项目拟用工业污泥量为</w:t>
            </w:r>
            <w:r>
              <w:rPr>
                <w:rFonts w:hint="eastAsia"/>
                <w:bCs/>
                <w:color w:val="000000" w:themeColor="text1"/>
                <w:sz w:val="24"/>
                <w:szCs w:val="22"/>
                <w:highlight w:val="none"/>
                <w:lang w:val="en-US" w:eastAsia="zh-CN"/>
                <w14:textFill>
                  <w14:solidFill>
                    <w14:schemeClr w14:val="tx1"/>
                  </w14:solidFill>
                </w14:textFill>
              </w:rPr>
              <w:t>115500</w:t>
            </w:r>
            <w:r>
              <w:rPr>
                <w:bCs/>
                <w:color w:val="000000" w:themeColor="text1"/>
                <w:sz w:val="24"/>
                <w:szCs w:val="22"/>
                <w:highlight w:val="none"/>
                <w14:textFill>
                  <w14:solidFill>
                    <w14:schemeClr w14:val="tx1"/>
                  </w14:solidFill>
                </w14:textFill>
              </w:rPr>
              <w:t>t/a</w:t>
            </w:r>
            <w:r>
              <w:rPr>
                <w:rFonts w:hint="eastAsia"/>
                <w:bCs/>
                <w:color w:val="000000" w:themeColor="text1"/>
                <w:sz w:val="24"/>
                <w:szCs w:val="22"/>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依据污泥焚烧计算书2012中，烟气中氯化氢的生成量为0.632Cl</w:t>
            </w:r>
            <w:r>
              <w:rPr>
                <w:rFonts w:hint="eastAsia"/>
                <w:bCs/>
                <w:color w:val="000000" w:themeColor="text1"/>
                <w:sz w:val="24"/>
                <w:highlight w:val="none"/>
                <w:vertAlign w:val="superscript"/>
                <w14:textFill>
                  <w14:solidFill>
                    <w14:schemeClr w14:val="tx1"/>
                  </w14:solidFill>
                </w14:textFill>
              </w:rPr>
              <w:t>y</w:t>
            </w:r>
            <w:r>
              <w:rPr>
                <w:rFonts w:hint="eastAsia"/>
                <w:bCs/>
                <w:color w:val="000000" w:themeColor="text1"/>
                <w:sz w:val="24"/>
                <w:highlight w:val="none"/>
                <w14:textFill>
                  <w14:solidFill>
                    <w14:schemeClr w14:val="tx1"/>
                  </w14:solidFill>
                </w14:textFill>
              </w:rPr>
              <w:t>（Cl</w:t>
            </w:r>
            <w:r>
              <w:rPr>
                <w:rFonts w:hint="eastAsia"/>
                <w:bCs/>
                <w:color w:val="000000" w:themeColor="text1"/>
                <w:sz w:val="24"/>
                <w:highlight w:val="none"/>
                <w:vertAlign w:val="superscript"/>
                <w14:textFill>
                  <w14:solidFill>
                    <w14:schemeClr w14:val="tx1"/>
                  </w14:solidFill>
                </w14:textFill>
              </w:rPr>
              <w:t>y</w:t>
            </w:r>
            <w:r>
              <w:rPr>
                <w:rFonts w:hint="eastAsia"/>
                <w:bCs/>
                <w:color w:val="000000" w:themeColor="text1"/>
                <w:sz w:val="24"/>
                <w:highlight w:val="none"/>
                <w14:textFill>
                  <w14:solidFill>
                    <w14:schemeClr w14:val="tx1"/>
                  </w14:solidFill>
                </w14:textFill>
              </w:rPr>
              <w:t>为氯离子含量，%），烟气中氯化氢的生成量为0.003Nm</w:t>
            </w:r>
            <w:r>
              <w:rPr>
                <w:rFonts w:hint="eastAsia"/>
                <w:bCs/>
                <w:color w:val="000000" w:themeColor="text1"/>
                <w:sz w:val="24"/>
                <w:highlight w:val="none"/>
                <w:vertAlign w:val="superscript"/>
                <w14:textFill>
                  <w14:solidFill>
                    <w14:schemeClr w14:val="tx1"/>
                  </w14:solidFill>
                </w14:textFill>
              </w:rPr>
              <w:t>3</w:t>
            </w:r>
            <w:r>
              <w:rPr>
                <w:rFonts w:hint="eastAsia"/>
                <w:bCs/>
                <w:color w:val="000000" w:themeColor="text1"/>
                <w:sz w:val="24"/>
                <w:highlight w:val="none"/>
                <w14:textFill>
                  <w14:solidFill>
                    <w14:schemeClr w14:val="tx1"/>
                  </w14:solidFill>
                </w14:textFill>
              </w:rPr>
              <w:t>/kg，</w:t>
            </w:r>
            <w:r>
              <w:rPr>
                <w:rFonts w:hint="eastAsia"/>
                <w:bCs/>
                <w:color w:val="000000" w:themeColor="text1"/>
                <w:sz w:val="24"/>
                <w:szCs w:val="22"/>
                <w:highlight w:val="none"/>
                <w14:textFill>
                  <w14:solidFill>
                    <w14:schemeClr w14:val="tx1"/>
                  </w14:solidFill>
                </w14:textFill>
              </w:rPr>
              <w:t>经计算烟气中氯化氢的生成量为</w:t>
            </w:r>
            <w:r>
              <w:rPr>
                <w:rFonts w:hint="eastAsia"/>
                <w:bCs/>
                <w:color w:val="000000" w:themeColor="text1"/>
                <w:sz w:val="24"/>
                <w:szCs w:val="22"/>
                <w:highlight w:val="none"/>
                <w:lang w:val="en-US" w:eastAsia="zh-CN"/>
                <w14:textFill>
                  <w14:solidFill>
                    <w14:schemeClr w14:val="tx1"/>
                  </w14:solidFill>
                </w14:textFill>
              </w:rPr>
              <w:t>2.6</w:t>
            </w:r>
            <w:r>
              <w:rPr>
                <w:rFonts w:hint="eastAsia"/>
                <w:bCs/>
                <w:color w:val="000000" w:themeColor="text1"/>
                <w:sz w:val="24"/>
                <w:szCs w:val="22"/>
                <w:highlight w:val="none"/>
                <w14:textFill>
                  <w14:solidFill>
                    <w14:schemeClr w14:val="tx1"/>
                  </w14:solidFill>
                </w14:textFill>
              </w:rPr>
              <w:t>t/a。</w:t>
            </w:r>
            <w:r>
              <w:rPr>
                <w:bCs/>
                <w:color w:val="000000" w:themeColor="text1"/>
                <w:sz w:val="24"/>
                <w:highlight w:val="none"/>
                <w14:textFill>
                  <w14:solidFill>
                    <w14:schemeClr w14:val="tx1"/>
                  </w14:solidFill>
                </w14:textFill>
              </w:rPr>
              <w:t>由于原料中含有Al</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O</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、Fe</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O</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、CaO、MgO等碱性物质，在高温焙烧过程中产生的HCl会与碱性物质发生反应，被碱性物质吸收，本次按吸收率</w:t>
            </w:r>
            <w:r>
              <w:rPr>
                <w:rFonts w:hint="eastAsia"/>
                <w:bCs/>
                <w:color w:val="000000" w:themeColor="text1"/>
                <w:sz w:val="24"/>
                <w:highlight w:val="none"/>
                <w:lang w:val="en-US" w:eastAsia="zh-CN"/>
                <w14:textFill>
                  <w14:solidFill>
                    <w14:schemeClr w14:val="tx1"/>
                  </w14:solidFill>
                </w14:textFill>
              </w:rPr>
              <w:t>60</w:t>
            </w:r>
            <w:r>
              <w:rPr>
                <w:bCs/>
                <w:color w:val="000000" w:themeColor="text1"/>
                <w:sz w:val="24"/>
                <w:highlight w:val="none"/>
                <w14:textFill>
                  <w14:solidFill>
                    <w14:schemeClr w14:val="tx1"/>
                  </w14:solidFill>
                </w14:textFill>
              </w:rPr>
              <w:t>%计，</w:t>
            </w:r>
            <w:r>
              <w:rPr>
                <w:rFonts w:hint="eastAsia"/>
                <w:bCs/>
                <w:color w:val="000000" w:themeColor="text1"/>
                <w:sz w:val="24"/>
                <w:szCs w:val="22"/>
                <w:highlight w:val="none"/>
                <w14:textFill>
                  <w14:solidFill>
                    <w14:schemeClr w14:val="tx1"/>
                  </w14:solidFill>
                </w14:textFill>
              </w:rPr>
              <w:t>烟气在进入废气治理设施前产生量为</w:t>
            </w:r>
            <w:r>
              <w:rPr>
                <w:rFonts w:hint="eastAsia"/>
                <w:bCs/>
                <w:color w:val="000000" w:themeColor="text1"/>
                <w:sz w:val="24"/>
                <w:szCs w:val="22"/>
                <w:highlight w:val="none"/>
                <w:lang w:val="en-US" w:eastAsia="zh-CN"/>
                <w14:textFill>
                  <w14:solidFill>
                    <w14:schemeClr w14:val="tx1"/>
                  </w14:solidFill>
                </w14:textFill>
              </w:rPr>
              <w:t>1.04</w:t>
            </w:r>
            <w:r>
              <w:rPr>
                <w:rFonts w:hint="eastAsia"/>
                <w:bCs/>
                <w:color w:val="000000" w:themeColor="text1"/>
                <w:sz w:val="24"/>
                <w:szCs w:val="22"/>
                <w:highlight w:val="none"/>
                <w14:textFill>
                  <w14:solidFill>
                    <w14:schemeClr w14:val="tx1"/>
                  </w14:solidFill>
                </w14:textFill>
              </w:rPr>
              <w:t>t/a。</w:t>
            </w:r>
          </w:p>
          <w:p w14:paraId="5E428280">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隧道窑窑体全封闭，通过窑体内置烟道，废气</w:t>
            </w:r>
            <w:r>
              <w:rPr>
                <w:rFonts w:hint="eastAsia"/>
                <w:color w:val="000000" w:themeColor="text1"/>
                <w:sz w:val="24"/>
                <w:highlight w:val="none"/>
                <w:lang w:val="en-US" w:eastAsia="zh-CN"/>
                <w14:textFill>
                  <w14:solidFill>
                    <w14:schemeClr w14:val="tx1"/>
                  </w14:solidFill>
                </w14:textFill>
              </w:rPr>
              <w:t>经SNCR脱硝+</w:t>
            </w:r>
            <w:r>
              <w:rPr>
                <w:color w:val="000000" w:themeColor="text1"/>
                <w:sz w:val="24"/>
                <w:highlight w:val="none"/>
                <w14:textFill>
                  <w14:solidFill>
                    <w14:schemeClr w14:val="tx1"/>
                  </w14:solidFill>
                </w14:textFill>
              </w:rPr>
              <w:t>石灰-石膏法脱硫+湿式静电除尘器处理后</w:t>
            </w:r>
            <w:r>
              <w:rPr>
                <w:rFonts w:hint="eastAsia"/>
                <w:color w:val="000000" w:themeColor="text1"/>
                <w:sz w:val="24"/>
                <w:highlight w:val="none"/>
                <w14:textFill>
                  <w14:solidFill>
                    <w14:schemeClr w14:val="tx1"/>
                  </w14:solidFill>
                </w14:textFill>
              </w:rPr>
              <w:t>分别</w:t>
            </w:r>
            <w:r>
              <w:rPr>
                <w:color w:val="000000" w:themeColor="text1"/>
                <w:sz w:val="24"/>
                <w:highlight w:val="none"/>
                <w14:textFill>
                  <w14:solidFill>
                    <w14:schemeClr w14:val="tx1"/>
                  </w14:solidFill>
                </w14:textFill>
              </w:rPr>
              <w:t>经</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r>
              <w:rPr>
                <w:rFonts w:hint="eastAsia"/>
                <w:color w:val="000000" w:themeColor="text1"/>
                <w:sz w:val="24"/>
                <w:highlight w:val="none"/>
                <w14:textFill>
                  <w14:solidFill>
                    <w14:schemeClr w14:val="tx1"/>
                  </w14:solidFill>
                </w14:textFill>
              </w:rPr>
              <w:t>。隧道窑烟气全部收集，</w:t>
            </w:r>
            <w:r>
              <w:rPr>
                <w:bCs/>
                <w:color w:val="000000" w:themeColor="text1"/>
                <w:sz w:val="24"/>
                <w:highlight w:val="none"/>
                <w14:textFill>
                  <w14:solidFill>
                    <w14:schemeClr w14:val="tx1"/>
                  </w14:solidFill>
                </w14:textFill>
              </w:rPr>
              <w:t>HCl在石灰-石膏法脱硫过程中，大部分可被中和吸收，HCl与HF均属于酸性气体，石灰-石膏法对HCl的去除效率与对氟化物的去除效率相近，石灰-石膏法脱硫系统对HCl的去除效率按90%计，风量为</w:t>
            </w:r>
            <w:r>
              <w:rPr>
                <w:rFonts w:hint="eastAsia"/>
                <w:bCs/>
                <w:color w:val="000000" w:themeColor="text1"/>
                <w:sz w:val="24"/>
                <w:highlight w:val="none"/>
                <w14:textFill>
                  <w14:solidFill>
                    <w14:schemeClr w14:val="tx1"/>
                  </w14:solidFill>
                </w14:textFill>
              </w:rPr>
              <w:t>34</w:t>
            </w:r>
            <w:r>
              <w:rPr>
                <w:bCs/>
                <w:color w:val="000000" w:themeColor="text1"/>
                <w:sz w:val="24"/>
                <w:highlight w:val="none"/>
                <w14:textFill>
                  <w14:solidFill>
                    <w14:schemeClr w14:val="tx1"/>
                  </w14:solidFill>
                </w14:textFill>
              </w:rPr>
              <w:t>0000m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/h，</w:t>
            </w:r>
            <w:r>
              <w:rPr>
                <w:rFonts w:hint="eastAsia"/>
                <w:color w:val="000000" w:themeColor="text1"/>
                <w:sz w:val="24"/>
                <w:highlight w:val="none"/>
                <w14:textFill>
                  <w14:solidFill>
                    <w14:schemeClr w14:val="tx1"/>
                  </w14:solidFill>
                </w14:textFill>
              </w:rPr>
              <w:t>隧道窑年有效作业时间为7600h，</w:t>
            </w:r>
            <w:r>
              <w:rPr>
                <w:rFonts w:hint="eastAsia"/>
                <w:color w:val="000000" w:themeColor="text1"/>
                <w:sz w:val="24"/>
                <w:szCs w:val="22"/>
                <w:highlight w:val="none"/>
                <w14:textFill>
                  <w14:solidFill>
                    <w14:schemeClr w14:val="tx1"/>
                  </w14:solidFill>
                </w14:textFill>
              </w:rPr>
              <w:t>则隧道窑烟气中氯化氢产生浓度为0.</w:t>
            </w:r>
            <w:r>
              <w:rPr>
                <w:rFonts w:hint="eastAsia"/>
                <w:color w:val="000000" w:themeColor="text1"/>
                <w:sz w:val="24"/>
                <w:szCs w:val="22"/>
                <w:highlight w:val="none"/>
                <w:lang w:val="en-US" w:eastAsia="zh-CN"/>
                <w14:textFill>
                  <w14:solidFill>
                    <w14:schemeClr w14:val="tx1"/>
                  </w14:solidFill>
                </w14:textFill>
              </w:rPr>
              <w:t>4</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，产生速率为0.</w:t>
            </w:r>
            <w:r>
              <w:rPr>
                <w:rFonts w:hint="eastAsia"/>
                <w:color w:val="000000" w:themeColor="text1"/>
                <w:sz w:val="24"/>
                <w:szCs w:val="22"/>
                <w:highlight w:val="none"/>
                <w:lang w:val="en-US" w:eastAsia="zh-CN"/>
                <w14:textFill>
                  <w14:solidFill>
                    <w14:schemeClr w14:val="tx1"/>
                  </w14:solidFill>
                </w14:textFill>
              </w:rPr>
              <w:t>137</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，产生量为</w:t>
            </w:r>
            <w:r>
              <w:rPr>
                <w:rFonts w:hint="eastAsia"/>
                <w:color w:val="000000" w:themeColor="text1"/>
                <w:sz w:val="24"/>
                <w:szCs w:val="22"/>
                <w:highlight w:val="none"/>
                <w:lang w:val="en-US" w:eastAsia="zh-CN"/>
                <w14:textFill>
                  <w14:solidFill>
                    <w14:schemeClr w14:val="tx1"/>
                  </w14:solidFill>
                </w14:textFill>
              </w:rPr>
              <w:t>1.04</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，经废气治理设施处理后，氯化氢排放浓度为0.0</w:t>
            </w:r>
            <w:r>
              <w:rPr>
                <w:rFonts w:hint="eastAsia"/>
                <w:color w:val="000000" w:themeColor="text1"/>
                <w:sz w:val="24"/>
                <w:szCs w:val="22"/>
                <w:highlight w:val="none"/>
                <w:lang w:val="en-US" w:eastAsia="zh-CN"/>
                <w14:textFill>
                  <w14:solidFill>
                    <w14:schemeClr w14:val="tx1"/>
                  </w14:solidFill>
                </w14:textFill>
              </w:rPr>
              <w:t>4</w:t>
            </w:r>
            <w:r>
              <w:rPr>
                <w:color w:val="000000" w:themeColor="text1"/>
                <w:sz w:val="24"/>
                <w:szCs w:val="22"/>
                <w:highlight w:val="none"/>
                <w14:textFill>
                  <w14:solidFill>
                    <w14:schemeClr w14:val="tx1"/>
                  </w14:solidFill>
                </w14:textFill>
              </w:rPr>
              <w:t>mg/m</w:t>
            </w:r>
            <w:r>
              <w:rPr>
                <w:color w:val="000000" w:themeColor="text1"/>
                <w:sz w:val="24"/>
                <w:szCs w:val="22"/>
                <w:highlight w:val="none"/>
                <w:vertAlign w:val="superscript"/>
                <w14:textFill>
                  <w14:solidFill>
                    <w14:schemeClr w14:val="tx1"/>
                  </w14:solidFill>
                </w14:textFill>
              </w:rPr>
              <w:t>3</w:t>
            </w:r>
            <w:r>
              <w:rPr>
                <w:rFonts w:hint="eastAsia"/>
                <w:color w:val="000000" w:themeColor="text1"/>
                <w:sz w:val="24"/>
                <w:szCs w:val="22"/>
                <w:highlight w:val="none"/>
                <w14:textFill>
                  <w14:solidFill>
                    <w14:schemeClr w14:val="tx1"/>
                  </w14:solidFill>
                </w14:textFill>
              </w:rPr>
              <w:t>，排放速率为0.0</w:t>
            </w:r>
            <w:r>
              <w:rPr>
                <w:rFonts w:hint="eastAsia"/>
                <w:color w:val="000000" w:themeColor="text1"/>
                <w:sz w:val="24"/>
                <w:szCs w:val="22"/>
                <w:highlight w:val="none"/>
                <w:lang w:val="en-US" w:eastAsia="zh-CN"/>
                <w14:textFill>
                  <w14:solidFill>
                    <w14:schemeClr w14:val="tx1"/>
                  </w14:solidFill>
                </w14:textFill>
              </w:rPr>
              <w:t>137</w:t>
            </w:r>
            <w:r>
              <w:rPr>
                <w:color w:val="000000" w:themeColor="text1"/>
                <w:sz w:val="24"/>
                <w:szCs w:val="22"/>
                <w:highlight w:val="none"/>
                <w14:textFill>
                  <w14:solidFill>
                    <w14:schemeClr w14:val="tx1"/>
                  </w14:solidFill>
                </w14:textFill>
              </w:rPr>
              <w:t>kg/h</w:t>
            </w:r>
            <w:r>
              <w:rPr>
                <w:rFonts w:hint="eastAsia"/>
                <w:color w:val="000000" w:themeColor="text1"/>
                <w:sz w:val="24"/>
                <w:szCs w:val="22"/>
                <w:highlight w:val="none"/>
                <w14:textFill>
                  <w14:solidFill>
                    <w14:schemeClr w14:val="tx1"/>
                  </w14:solidFill>
                </w14:textFill>
              </w:rPr>
              <w:t>，排放量为0.</w:t>
            </w:r>
            <w:r>
              <w:rPr>
                <w:rFonts w:hint="eastAsia"/>
                <w:color w:val="000000" w:themeColor="text1"/>
                <w:sz w:val="24"/>
                <w:szCs w:val="22"/>
                <w:highlight w:val="none"/>
                <w:lang w:val="en-US" w:eastAsia="zh-CN"/>
                <w14:textFill>
                  <w14:solidFill>
                    <w14:schemeClr w14:val="tx1"/>
                  </w14:solidFill>
                </w14:textFill>
              </w:rPr>
              <w:t>104</w:t>
            </w:r>
            <w:r>
              <w:rPr>
                <w:color w:val="000000" w:themeColor="text1"/>
                <w:sz w:val="24"/>
                <w:szCs w:val="22"/>
                <w:highlight w:val="none"/>
                <w14:textFill>
                  <w14:solidFill>
                    <w14:schemeClr w14:val="tx1"/>
                  </w14:solidFill>
                </w14:textFill>
              </w:rPr>
              <w:t>t/a</w:t>
            </w:r>
            <w:r>
              <w:rPr>
                <w:rFonts w:hint="eastAsia"/>
                <w:color w:val="000000" w:themeColor="text1"/>
                <w:sz w:val="24"/>
                <w:szCs w:val="22"/>
                <w:highlight w:val="none"/>
                <w14:textFill>
                  <w14:solidFill>
                    <w14:schemeClr w14:val="tx1"/>
                  </w14:solidFill>
                </w14:textFill>
              </w:rPr>
              <w:t>，</w:t>
            </w:r>
            <w:r>
              <w:rPr>
                <w:color w:val="000000" w:themeColor="text1"/>
                <w:sz w:val="24"/>
                <w:highlight w:val="none"/>
                <w14:textFill>
                  <w14:solidFill>
                    <w14:schemeClr w14:val="tx1"/>
                  </w14:solidFill>
                </w14:textFill>
              </w:rPr>
              <w:t>满足《生活垃圾焚烧大气污染控制标准》(DB13/5325-2021)表2生活垃圾焚烧炉烟气中污染物排放限值要求。</w:t>
            </w:r>
          </w:p>
          <w:p w14:paraId="7E718E67">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⑦</w:t>
            </w:r>
            <w:r>
              <w:rPr>
                <w:b/>
                <w:color w:val="000000" w:themeColor="text1"/>
                <w:sz w:val="24"/>
                <w:highlight w:val="none"/>
                <w14:textFill>
                  <w14:solidFill>
                    <w14:schemeClr w14:val="tx1"/>
                  </w14:solidFill>
                </w14:textFill>
              </w:rPr>
              <w:t>二噁英类</w:t>
            </w:r>
          </w:p>
          <w:p w14:paraId="2BD6BB8A">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污泥在隧道窑内得以充分燃烧是减少二噁英类生成的根本所在，“3T＋E”控制法是国际及国内普遍采用的措施，即保证隧道窑出口烟气的足够温度(Temperature)、烟气在隧道窑内停留足够的时间(Time)、燃烧过程中适当的湍流(Turbulence)和过量的空气(ExcessAir)。针对污泥焚烧过程中二噁英类物质的产生原理，</w:t>
            </w:r>
            <w:r>
              <w:rPr>
                <w:rFonts w:hint="eastAsia"/>
                <w:bCs/>
                <w:color w:val="000000" w:themeColor="text1"/>
                <w:sz w:val="24"/>
                <w:highlight w:val="none"/>
                <w14:textFill>
                  <w14:solidFill>
                    <w14:schemeClr w14:val="tx1"/>
                  </w14:solidFill>
                </w14:textFill>
              </w:rPr>
              <w:t>本</w:t>
            </w:r>
            <w:r>
              <w:rPr>
                <w:bCs/>
                <w:color w:val="000000" w:themeColor="text1"/>
                <w:sz w:val="24"/>
                <w:highlight w:val="none"/>
                <w14:textFill>
                  <w14:solidFill>
                    <w14:schemeClr w14:val="tx1"/>
                  </w14:solidFill>
                </w14:textFill>
              </w:rPr>
              <w:t>项目首先采取控制焚烧技术避免二噁英的产生，工艺中采取以下措施：在焚烧过程中燃烧均匀完全；燃烧过程中保证烟气温度不低于850</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，烟气在的停留时间不小于2S，O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浓度控制在6～12%，保证二噁英的充分分解。</w:t>
            </w:r>
            <w:r>
              <w:rPr>
                <w:rFonts w:hint="eastAsia"/>
                <w:color w:val="000000" w:themeColor="text1"/>
                <w:sz w:val="24"/>
                <w:highlight w:val="none"/>
                <w14:textFill>
                  <w14:solidFill>
                    <w14:schemeClr w14:val="tx1"/>
                  </w14:solidFill>
                </w14:textFill>
              </w:rPr>
              <w:t>隧道窑窑体全封闭，通过窑体内置烟道，废气</w:t>
            </w:r>
            <w:r>
              <w:rPr>
                <w:rFonts w:hint="eastAsia"/>
                <w:color w:val="000000" w:themeColor="text1"/>
                <w:sz w:val="24"/>
                <w:highlight w:val="none"/>
                <w:lang w:val="en-US" w:eastAsia="zh-CN"/>
                <w14:textFill>
                  <w14:solidFill>
                    <w14:schemeClr w14:val="tx1"/>
                  </w14:solidFill>
                </w14:textFill>
              </w:rPr>
              <w:t>经SNCR脱硝+</w:t>
            </w:r>
            <w:r>
              <w:rPr>
                <w:color w:val="000000" w:themeColor="text1"/>
                <w:sz w:val="24"/>
                <w:highlight w:val="none"/>
                <w14:textFill>
                  <w14:solidFill>
                    <w14:schemeClr w14:val="tx1"/>
                  </w14:solidFill>
                </w14:textFill>
              </w:rPr>
              <w:t>石灰-石膏法脱硫+湿式静电除尘器处理后</w:t>
            </w:r>
            <w:r>
              <w:rPr>
                <w:rFonts w:hint="eastAsia"/>
                <w:color w:val="000000" w:themeColor="text1"/>
                <w:sz w:val="24"/>
                <w:highlight w:val="none"/>
                <w14:textFill>
                  <w14:solidFill>
                    <w14:schemeClr w14:val="tx1"/>
                  </w14:solidFill>
                </w14:textFill>
              </w:rPr>
              <w:t>分别</w:t>
            </w:r>
            <w:r>
              <w:rPr>
                <w:color w:val="000000" w:themeColor="text1"/>
                <w:sz w:val="24"/>
                <w:highlight w:val="none"/>
                <w14:textFill>
                  <w14:solidFill>
                    <w14:schemeClr w14:val="tx1"/>
                  </w14:solidFill>
                </w14:textFill>
              </w:rPr>
              <w:t>经</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根38m高排气筒（DA00</w:t>
            </w:r>
            <w:r>
              <w:rPr>
                <w:rFonts w:hint="eastAsia"/>
                <w:color w:val="000000" w:themeColor="text1"/>
                <w:sz w:val="24"/>
                <w:highlight w:val="none"/>
                <w14:textFill>
                  <w14:solidFill>
                    <w14:schemeClr w14:val="tx1"/>
                  </w14:solidFill>
                </w14:textFill>
              </w:rPr>
              <w:t>3、</w:t>
            </w:r>
            <w:r>
              <w:rPr>
                <w:color w:val="000000" w:themeColor="text1"/>
                <w:sz w:val="24"/>
                <w:highlight w:val="none"/>
                <w14:textFill>
                  <w14:solidFill>
                    <w14:schemeClr w14:val="tx1"/>
                  </w14:solidFill>
                </w14:textFill>
              </w:rPr>
              <w:t>DA00</w:t>
            </w:r>
            <w:r>
              <w:rPr>
                <w:rFonts w:hint="eastAsia"/>
                <w:color w:val="000000" w:themeColor="text1"/>
                <w:sz w:val="24"/>
                <w:highlight w:val="none"/>
                <w14:textFill>
                  <w14:solidFill>
                    <w14:schemeClr w14:val="tx1"/>
                  </w14:solidFill>
                </w14:textFill>
              </w:rPr>
              <w:t>4</w:t>
            </w:r>
            <w:r>
              <w:rPr>
                <w:color w:val="000000" w:themeColor="text1"/>
                <w:sz w:val="24"/>
                <w:highlight w:val="none"/>
                <w14:textFill>
                  <w14:solidFill>
                    <w14:schemeClr w14:val="tx1"/>
                  </w14:solidFill>
                </w14:textFill>
              </w:rPr>
              <w:t>）排放</w:t>
            </w:r>
            <w:r>
              <w:rPr>
                <w:bCs/>
                <w:color w:val="000000" w:themeColor="text1"/>
                <w:sz w:val="24"/>
                <w:highlight w:val="none"/>
                <w14:textFill>
                  <w14:solidFill>
                    <w14:schemeClr w14:val="tx1"/>
                  </w14:solidFill>
                </w14:textFill>
              </w:rPr>
              <w:t>，保证二噁英类物质的达标排放。</w:t>
            </w:r>
          </w:p>
          <w:p w14:paraId="1FD550DB">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类比同类项目，本次评价认为二噁英产生量较少，在经过上述一系列措施后二噁英类污染物可以满足0.1ngTEQ/m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的排放限值要求的。保守考虑，</w:t>
            </w:r>
            <w:r>
              <w:rPr>
                <w:rFonts w:hint="eastAsia"/>
                <w:bCs/>
                <w:color w:val="000000" w:themeColor="text1"/>
                <w:sz w:val="24"/>
                <w:highlight w:val="none"/>
                <w14:textFill>
                  <w14:solidFill>
                    <w14:schemeClr w14:val="tx1"/>
                  </w14:solidFill>
                </w14:textFill>
              </w:rPr>
              <w:t>本</w:t>
            </w:r>
            <w:r>
              <w:rPr>
                <w:bCs/>
                <w:color w:val="000000" w:themeColor="text1"/>
                <w:sz w:val="24"/>
                <w:highlight w:val="none"/>
                <w14:textFill>
                  <w14:solidFill>
                    <w14:schemeClr w14:val="tx1"/>
                  </w14:solidFill>
                </w14:textFill>
              </w:rPr>
              <w:t>项目完成后1#、2#隧道窑废气中二噁英类排放浓度0.03ngTEQ/m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，废气量为170000m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/h，排放量为</w:t>
            </w:r>
            <w:r>
              <w:rPr>
                <w:rFonts w:hint="eastAsia"/>
                <w:bCs/>
                <w:color w:val="000000" w:themeColor="text1"/>
                <w:sz w:val="24"/>
                <w:highlight w:val="none"/>
                <w14:textFill>
                  <w14:solidFill>
                    <w14:schemeClr w14:val="tx1"/>
                  </w14:solidFill>
                </w14:textFill>
              </w:rPr>
              <w:t>38.76</w:t>
            </w:r>
            <w:r>
              <w:rPr>
                <w:bCs/>
                <w:color w:val="000000" w:themeColor="text1"/>
                <w:sz w:val="24"/>
                <w:highlight w:val="none"/>
                <w14:textFill>
                  <w14:solidFill>
                    <w14:schemeClr w14:val="tx1"/>
                  </w14:solidFill>
                </w14:textFill>
              </w:rPr>
              <w:t>mgTEQ/a，3#、4#隧道窑废气中二噁英类排放浓度0.03ngTEQ/m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，废气量为170000m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/h，排放量为</w:t>
            </w:r>
            <w:r>
              <w:rPr>
                <w:rFonts w:hint="eastAsia"/>
                <w:bCs/>
                <w:color w:val="000000" w:themeColor="text1"/>
                <w:sz w:val="24"/>
                <w:highlight w:val="none"/>
                <w14:textFill>
                  <w14:solidFill>
                    <w14:schemeClr w14:val="tx1"/>
                  </w14:solidFill>
                </w14:textFill>
              </w:rPr>
              <w:t>38.76</w:t>
            </w:r>
            <w:r>
              <w:rPr>
                <w:bCs/>
                <w:color w:val="000000" w:themeColor="text1"/>
                <w:sz w:val="24"/>
                <w:highlight w:val="none"/>
                <w14:textFill>
                  <w14:solidFill>
                    <w14:schemeClr w14:val="tx1"/>
                  </w14:solidFill>
                </w14:textFill>
              </w:rPr>
              <w:t>mgTEQ/a，满足《生活垃圾焚烧大气污染控制标准》(DB13/5325-2021)表2生活垃圾焚烧炉烟气中污染物排放限值要求，即二噁英≤0.1ngTEQ/m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w:t>
            </w:r>
          </w:p>
          <w:p w14:paraId="28D16096">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⑧</w:t>
            </w:r>
            <w:r>
              <w:rPr>
                <w:b/>
                <w:color w:val="000000" w:themeColor="text1"/>
                <w:sz w:val="24"/>
                <w:highlight w:val="none"/>
                <w14:textFill>
                  <w14:solidFill>
                    <w14:schemeClr w14:val="tx1"/>
                  </w14:solidFill>
                </w14:textFill>
              </w:rPr>
              <w:t>重金属</w:t>
            </w:r>
          </w:p>
          <w:p w14:paraId="49790A6E">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污泥中含有多种重金属，重金属元素并非是以单质形态，而是以某种易挥发化合物的形态挥发。将这些元素划分为3类，如下表所示</w:t>
            </w:r>
            <w:r>
              <w:rPr>
                <w:rFonts w:hint="eastAsia"/>
                <w:bCs/>
                <w:color w:val="000000" w:themeColor="text1"/>
                <w:sz w:val="24"/>
                <w:highlight w:val="none"/>
                <w14:textFill>
                  <w14:solidFill>
                    <w14:schemeClr w14:val="tx1"/>
                  </w14:solidFill>
                </w14:textFill>
              </w:rPr>
              <w:t>。</w:t>
            </w:r>
          </w:p>
          <w:p w14:paraId="3AD147EA">
            <w:pPr>
              <w:adjustRightInd w:val="0"/>
              <w:snapToGrid w:val="0"/>
              <w:spacing w:line="480" w:lineRule="exact"/>
              <w:ind w:firstLine="1656" w:firstLineChars="69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表4-2         重金属挥发性的分级</w:t>
            </w:r>
          </w:p>
          <w:tbl>
            <w:tblPr>
              <w:tblStyle w:val="2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23"/>
              <w:gridCol w:w="1701"/>
              <w:gridCol w:w="3118"/>
              <w:gridCol w:w="2128"/>
            </w:tblGrid>
            <w:tr w14:paraId="4C09D2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23" w:type="dxa"/>
                  <w:vAlign w:val="center"/>
                </w:tcPr>
                <w:p w14:paraId="7EE27550">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1701" w:type="dxa"/>
                  <w:vAlign w:val="center"/>
                </w:tcPr>
                <w:p w14:paraId="2AF14FA8">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等级</w:t>
                  </w:r>
                </w:p>
              </w:tc>
              <w:tc>
                <w:tcPr>
                  <w:tcW w:w="3118" w:type="dxa"/>
                  <w:vAlign w:val="center"/>
                </w:tcPr>
                <w:p w14:paraId="75FCD3F1">
                  <w:pPr>
                    <w:tabs>
                      <w:tab w:val="left" w:pos="0"/>
                    </w:tabs>
                    <w:ind w:firstLine="210" w:firstLineChars="10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重金属</w:t>
                  </w:r>
                </w:p>
              </w:tc>
              <w:tc>
                <w:tcPr>
                  <w:tcW w:w="2128" w:type="dxa"/>
                  <w:vAlign w:val="center"/>
                </w:tcPr>
                <w:p w14:paraId="644A1E00">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冷凝温度℃</w:t>
                  </w:r>
                </w:p>
              </w:tc>
            </w:tr>
            <w:tr w14:paraId="323CD9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23" w:type="dxa"/>
                  <w:vAlign w:val="center"/>
                </w:tcPr>
                <w:p w14:paraId="55A3056A">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701" w:type="dxa"/>
                  <w:vAlign w:val="center"/>
                </w:tcPr>
                <w:p w14:paraId="7026D588">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不挥发</w:t>
                  </w:r>
                </w:p>
              </w:tc>
              <w:tc>
                <w:tcPr>
                  <w:tcW w:w="3118" w:type="dxa"/>
                  <w:vAlign w:val="center"/>
                </w:tcPr>
                <w:p w14:paraId="4C88F0C3">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Zn、Be、As、Co、Ni、Cu</w:t>
                  </w:r>
                </w:p>
              </w:tc>
              <w:tc>
                <w:tcPr>
                  <w:tcW w:w="2128" w:type="dxa"/>
                  <w:vAlign w:val="center"/>
                </w:tcPr>
                <w:p w14:paraId="44B1A1AD">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r>
            <w:tr w14:paraId="5AB038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23" w:type="dxa"/>
                  <w:vAlign w:val="center"/>
                </w:tcPr>
                <w:p w14:paraId="51C67B0D">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701" w:type="dxa"/>
                  <w:vAlign w:val="center"/>
                </w:tcPr>
                <w:p w14:paraId="6CA559BE">
                  <w:pPr>
                    <w:tabs>
                      <w:tab w:val="left" w:pos="0"/>
                    </w:tabs>
                    <w:ind w:left="69" w:hanging="69" w:hangingChars="33"/>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难挥发</w:t>
                  </w:r>
                </w:p>
              </w:tc>
              <w:tc>
                <w:tcPr>
                  <w:tcW w:w="3118" w:type="dxa"/>
                  <w:vAlign w:val="center"/>
                </w:tcPr>
                <w:p w14:paraId="33414D44">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Cd、Pb</w:t>
                  </w:r>
                </w:p>
              </w:tc>
              <w:tc>
                <w:tcPr>
                  <w:tcW w:w="2128" w:type="dxa"/>
                  <w:vAlign w:val="center"/>
                </w:tcPr>
                <w:p w14:paraId="238E0004">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700-900</w:t>
                  </w:r>
                </w:p>
              </w:tc>
            </w:tr>
            <w:tr w14:paraId="55A38B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23" w:type="dxa"/>
                  <w:vAlign w:val="center"/>
                </w:tcPr>
                <w:p w14:paraId="7AFE3230">
                  <w:pPr>
                    <w:tabs>
                      <w:tab w:val="left" w:pos="0"/>
                    </w:tabs>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1701" w:type="dxa"/>
                  <w:vAlign w:val="center"/>
                </w:tcPr>
                <w:p w14:paraId="5698FB3F">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高挥发</w:t>
                  </w:r>
                </w:p>
              </w:tc>
              <w:tc>
                <w:tcPr>
                  <w:tcW w:w="3118" w:type="dxa"/>
                  <w:vAlign w:val="center"/>
                </w:tcPr>
                <w:p w14:paraId="17BE3071">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Hg</w:t>
                  </w:r>
                </w:p>
              </w:tc>
              <w:tc>
                <w:tcPr>
                  <w:tcW w:w="2128" w:type="dxa"/>
                  <w:vAlign w:val="center"/>
                </w:tcPr>
                <w:p w14:paraId="5952991E">
                  <w:pPr>
                    <w:tabs>
                      <w:tab w:val="left" w:pos="0"/>
                    </w:tabs>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≤250</w:t>
                  </w:r>
                </w:p>
              </w:tc>
            </w:tr>
          </w:tbl>
          <w:p w14:paraId="0DF80528">
            <w:pPr>
              <w:spacing w:line="480" w:lineRule="exact"/>
              <w:ind w:firstLine="480" w:firstLineChars="200"/>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A、不挥发类元素90%以上直接进入产品。</w:t>
            </w:r>
          </w:p>
          <w:p w14:paraId="5FA8DA8D">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B、难挥发类元素Pb和Cd在煅烧过程中，首先形成硫酸盐和氯化物，这类化合物在700-900</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温度范围内冷凝，在窑和预热器系统内形成内循环，很少带出窑系统外，即外循环量很少。</w:t>
            </w:r>
          </w:p>
          <w:p w14:paraId="3F747A6A">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C、高挥发类的Hg元素在约100</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温度下完全蒸发，所以不会结合在砖中，主要凝结在窑灰上火随窑废气带走形成外循环和排放。</w:t>
            </w:r>
          </w:p>
          <w:p w14:paraId="645D4302">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综合以上分析，本评价中入窑重金属中高挥发性金属Hg以保守计取100%的挥发率，不挥发性和难挥发金属取10%挥发率。各重金属在废气中主要以颗粒物形式存在，经烟气净化处理过程中重金属的去除率与除尘效率一致，即可达9</w:t>
            </w:r>
            <w:r>
              <w:rPr>
                <w:rFonts w:hint="eastAsia"/>
                <w:bCs/>
                <w:color w:val="000000" w:themeColor="text1"/>
                <w:sz w:val="24"/>
                <w:highlight w:val="none"/>
                <w:lang w:val="en-US" w:eastAsia="zh-CN"/>
                <w14:textFill>
                  <w14:solidFill>
                    <w14:schemeClr w14:val="tx1"/>
                  </w14:solidFill>
                </w14:textFill>
              </w:rPr>
              <w:t>5</w:t>
            </w:r>
            <w:r>
              <w:rPr>
                <w:bCs/>
                <w:color w:val="000000" w:themeColor="text1"/>
                <w:sz w:val="24"/>
                <w:highlight w:val="none"/>
                <w14:textFill>
                  <w14:solidFill>
                    <w14:schemeClr w14:val="tx1"/>
                  </w14:solidFill>
                </w14:textFill>
              </w:rPr>
              <w:t>%。</w:t>
            </w:r>
          </w:p>
          <w:p w14:paraId="16DCB977">
            <w:pPr>
              <w:spacing w:line="480" w:lineRule="exact"/>
              <w:ind w:firstLine="480" w:firstLineChars="200"/>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本项目重金属平衡表见</w:t>
            </w:r>
            <w:r>
              <w:rPr>
                <w:rFonts w:hint="eastAsia"/>
                <w:bCs/>
                <w:color w:val="000000" w:themeColor="text1"/>
                <w:sz w:val="24"/>
                <w:highlight w:val="none"/>
                <w14:textFill>
                  <w14:solidFill>
                    <w14:schemeClr w14:val="tx1"/>
                  </w14:solidFill>
                </w14:textFill>
              </w:rPr>
              <w:t>下表。</w:t>
            </w:r>
          </w:p>
          <w:p w14:paraId="62386D4E">
            <w:pPr>
              <w:autoSpaceDE w:val="0"/>
              <w:autoSpaceDN w:val="0"/>
              <w:spacing w:line="480" w:lineRule="exact"/>
              <w:jc w:val="center"/>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 xml:space="preserve">表4-3              </w:t>
            </w:r>
            <w:r>
              <w:rPr>
                <w:rFonts w:ascii="黑体" w:hAnsi="黑体" w:eastAsia="黑体"/>
                <w:color w:val="000000" w:themeColor="text1"/>
                <w:sz w:val="24"/>
                <w:highlight w:val="none"/>
                <w14:textFill>
                  <w14:solidFill>
                    <w14:schemeClr w14:val="tx1"/>
                  </w14:solidFill>
                </w14:textFill>
              </w:rPr>
              <w:t>重金属平衡表</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（单位：t/a）</w:t>
            </w:r>
          </w:p>
          <w:tbl>
            <w:tblPr>
              <w:tblStyle w:val="24"/>
              <w:tblW w:w="478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130"/>
              <w:gridCol w:w="1664"/>
              <w:gridCol w:w="1661"/>
              <w:gridCol w:w="1523"/>
              <w:gridCol w:w="1495"/>
            </w:tblGrid>
            <w:tr w14:paraId="69B18A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Merge w:val="restart"/>
                  <w:vAlign w:val="center"/>
                </w:tcPr>
                <w:p w14:paraId="5C013C55">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重金属</w:t>
                  </w:r>
                </w:p>
              </w:tc>
              <w:tc>
                <w:tcPr>
                  <w:tcW w:w="982" w:type="pct"/>
                  <w:vAlign w:val="center"/>
                </w:tcPr>
                <w:p w14:paraId="7C03C42A">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进入</w:t>
                  </w:r>
                </w:p>
              </w:tc>
              <w:tc>
                <w:tcPr>
                  <w:tcW w:w="2761" w:type="pct"/>
                  <w:gridSpan w:val="3"/>
                  <w:vAlign w:val="center"/>
                </w:tcPr>
                <w:p w14:paraId="4B57D48F">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产出</w:t>
                  </w:r>
                </w:p>
              </w:tc>
            </w:tr>
            <w:tr w14:paraId="4DDD17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Merge w:val="continue"/>
                  <w:vAlign w:val="center"/>
                </w:tcPr>
                <w:p w14:paraId="6B997120">
                  <w:pPr>
                    <w:pStyle w:val="22"/>
                    <w:spacing w:after="0"/>
                    <w:ind w:firstLine="0" w:firstLineChars="0"/>
                    <w:jc w:val="center"/>
                    <w:rPr>
                      <w:color w:val="000000" w:themeColor="text1"/>
                      <w:szCs w:val="18"/>
                      <w:highlight w:val="none"/>
                      <w14:textFill>
                        <w14:solidFill>
                          <w14:schemeClr w14:val="tx1"/>
                        </w14:solidFill>
                      </w14:textFill>
                    </w:rPr>
                  </w:pPr>
                </w:p>
              </w:tc>
              <w:tc>
                <w:tcPr>
                  <w:tcW w:w="982" w:type="pct"/>
                  <w:vAlign w:val="center"/>
                </w:tcPr>
                <w:p w14:paraId="62FFC510">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污泥带入</w:t>
                  </w:r>
                </w:p>
              </w:tc>
              <w:tc>
                <w:tcPr>
                  <w:tcW w:w="980" w:type="pct"/>
                  <w:vAlign w:val="center"/>
                </w:tcPr>
                <w:p w14:paraId="6AC10AA9">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固化在产品中</w:t>
                  </w:r>
                </w:p>
              </w:tc>
              <w:tc>
                <w:tcPr>
                  <w:tcW w:w="899" w:type="pct"/>
                  <w:vAlign w:val="center"/>
                </w:tcPr>
                <w:p w14:paraId="3FC01501">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进入收尘灰</w:t>
                  </w:r>
                </w:p>
              </w:tc>
              <w:tc>
                <w:tcPr>
                  <w:tcW w:w="882" w:type="pct"/>
                  <w:vAlign w:val="center"/>
                </w:tcPr>
                <w:p w14:paraId="1E21468E">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排放量</w:t>
                  </w:r>
                </w:p>
              </w:tc>
            </w:tr>
            <w:tr w14:paraId="357F0A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71494C4D">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汞</w:t>
                  </w:r>
                </w:p>
              </w:tc>
              <w:tc>
                <w:tcPr>
                  <w:tcW w:w="982" w:type="pct"/>
                  <w:vAlign w:val="center"/>
                </w:tcPr>
                <w:p w14:paraId="592C90C7">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0.8678</w:t>
                  </w:r>
                </w:p>
              </w:tc>
              <w:tc>
                <w:tcPr>
                  <w:tcW w:w="980" w:type="pct"/>
                  <w:vAlign w:val="center"/>
                </w:tcPr>
                <w:p w14:paraId="71E3B448">
                  <w:pPr>
                    <w:pStyle w:val="22"/>
                    <w:spacing w:after="0"/>
                    <w:ind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899" w:type="pct"/>
                  <w:vAlign w:val="center"/>
                </w:tcPr>
                <w:p w14:paraId="3B94E2EB">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0.8244</w:t>
                  </w:r>
                </w:p>
              </w:tc>
              <w:tc>
                <w:tcPr>
                  <w:tcW w:w="882" w:type="pct"/>
                  <w:vAlign w:val="center"/>
                </w:tcPr>
                <w:p w14:paraId="2E32D618">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434</w:t>
                  </w:r>
                </w:p>
              </w:tc>
            </w:tr>
            <w:tr w14:paraId="1CBE8C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18CD44A7">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镉</w:t>
                  </w:r>
                </w:p>
              </w:tc>
              <w:tc>
                <w:tcPr>
                  <w:tcW w:w="982" w:type="pct"/>
                  <w:vAlign w:val="center"/>
                </w:tcPr>
                <w:p w14:paraId="4CCA24CC">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0.659</w:t>
                  </w:r>
                </w:p>
              </w:tc>
              <w:tc>
                <w:tcPr>
                  <w:tcW w:w="980" w:type="pct"/>
                  <w:vAlign w:val="center"/>
                </w:tcPr>
                <w:p w14:paraId="313FC710">
                  <w:pPr>
                    <w:pStyle w:val="22"/>
                    <w:spacing w:after="0"/>
                    <w:ind w:firstLine="0" w:firstLineChars="0"/>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0.5931</w:t>
                  </w:r>
                </w:p>
              </w:tc>
              <w:tc>
                <w:tcPr>
                  <w:tcW w:w="899" w:type="pct"/>
                  <w:vAlign w:val="center"/>
                </w:tcPr>
                <w:p w14:paraId="7152E49A">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0.0626</w:t>
                  </w:r>
                </w:p>
              </w:tc>
              <w:tc>
                <w:tcPr>
                  <w:tcW w:w="882" w:type="pct"/>
                  <w:vAlign w:val="center"/>
                </w:tcPr>
                <w:p w14:paraId="35CC5F2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33</w:t>
                  </w:r>
                </w:p>
              </w:tc>
            </w:tr>
            <w:tr w14:paraId="51ED97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6E7E48D7">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砷</w:t>
                  </w:r>
                </w:p>
              </w:tc>
              <w:tc>
                <w:tcPr>
                  <w:tcW w:w="982" w:type="pct"/>
                  <w:vAlign w:val="center"/>
                </w:tcPr>
                <w:p w14:paraId="6DFF7363">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1.6206</w:t>
                  </w:r>
                </w:p>
              </w:tc>
              <w:tc>
                <w:tcPr>
                  <w:tcW w:w="980" w:type="pct"/>
                  <w:vAlign w:val="center"/>
                </w:tcPr>
                <w:p w14:paraId="7DC6BCC0">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1.4585</w:t>
                  </w:r>
                </w:p>
              </w:tc>
              <w:tc>
                <w:tcPr>
                  <w:tcW w:w="899" w:type="pct"/>
                  <w:vAlign w:val="center"/>
                </w:tcPr>
                <w:p w14:paraId="7119184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0.1540</w:t>
                  </w:r>
                </w:p>
              </w:tc>
              <w:tc>
                <w:tcPr>
                  <w:tcW w:w="882" w:type="pct"/>
                  <w:vAlign w:val="center"/>
                </w:tcPr>
                <w:p w14:paraId="6B707318">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81</w:t>
                  </w:r>
                </w:p>
              </w:tc>
            </w:tr>
            <w:tr w14:paraId="66045A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624A2504">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铅</w:t>
                  </w:r>
                </w:p>
              </w:tc>
              <w:tc>
                <w:tcPr>
                  <w:tcW w:w="982" w:type="pct"/>
                  <w:vAlign w:val="center"/>
                </w:tcPr>
                <w:p w14:paraId="20445DB0">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16.8234</w:t>
                  </w:r>
                </w:p>
              </w:tc>
              <w:tc>
                <w:tcPr>
                  <w:tcW w:w="980" w:type="pct"/>
                  <w:vAlign w:val="center"/>
                </w:tcPr>
                <w:p w14:paraId="23AB268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15.1411</w:t>
                  </w:r>
                </w:p>
              </w:tc>
              <w:tc>
                <w:tcPr>
                  <w:tcW w:w="899" w:type="pct"/>
                  <w:vAlign w:val="center"/>
                </w:tcPr>
                <w:p w14:paraId="4346ADE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1.5982</w:t>
                  </w:r>
                </w:p>
              </w:tc>
              <w:tc>
                <w:tcPr>
                  <w:tcW w:w="882" w:type="pct"/>
                  <w:vAlign w:val="center"/>
                </w:tcPr>
                <w:p w14:paraId="56179F29">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841</w:t>
                  </w:r>
                </w:p>
              </w:tc>
            </w:tr>
            <w:tr w14:paraId="1DA3B3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33D0C163">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钴</w:t>
                  </w:r>
                </w:p>
              </w:tc>
              <w:tc>
                <w:tcPr>
                  <w:tcW w:w="982" w:type="pct"/>
                  <w:vAlign w:val="center"/>
                </w:tcPr>
                <w:p w14:paraId="7C6F807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1.8711</w:t>
                  </w:r>
                </w:p>
              </w:tc>
              <w:tc>
                <w:tcPr>
                  <w:tcW w:w="980" w:type="pct"/>
                  <w:vAlign w:val="center"/>
                </w:tcPr>
                <w:p w14:paraId="7D84BEB0">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1.6840</w:t>
                  </w:r>
                </w:p>
              </w:tc>
              <w:tc>
                <w:tcPr>
                  <w:tcW w:w="899" w:type="pct"/>
                  <w:vAlign w:val="center"/>
                </w:tcPr>
                <w:p w14:paraId="061A6EBF">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0.1777</w:t>
                  </w:r>
                </w:p>
              </w:tc>
              <w:tc>
                <w:tcPr>
                  <w:tcW w:w="882" w:type="pct"/>
                  <w:vAlign w:val="center"/>
                </w:tcPr>
                <w:p w14:paraId="011CDC9F">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0.0094</w:t>
                  </w:r>
                </w:p>
              </w:tc>
            </w:tr>
            <w:tr w14:paraId="6508A5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7208AABF">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铜</w:t>
                  </w:r>
                </w:p>
              </w:tc>
              <w:tc>
                <w:tcPr>
                  <w:tcW w:w="982" w:type="pct"/>
                  <w:vAlign w:val="center"/>
                </w:tcPr>
                <w:p w14:paraId="1418424B">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8.3919</w:t>
                  </w:r>
                </w:p>
              </w:tc>
              <w:tc>
                <w:tcPr>
                  <w:tcW w:w="980" w:type="pct"/>
                  <w:vAlign w:val="center"/>
                </w:tcPr>
                <w:p w14:paraId="39B1B8F9">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7.5527</w:t>
                  </w:r>
                </w:p>
              </w:tc>
              <w:tc>
                <w:tcPr>
                  <w:tcW w:w="899" w:type="pct"/>
                  <w:vAlign w:val="center"/>
                </w:tcPr>
                <w:p w14:paraId="29BEA2FE">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0.7972</w:t>
                  </w:r>
                </w:p>
              </w:tc>
              <w:tc>
                <w:tcPr>
                  <w:tcW w:w="882" w:type="pct"/>
                  <w:vAlign w:val="center"/>
                </w:tcPr>
                <w:p w14:paraId="0999ECA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420</w:t>
                  </w:r>
                </w:p>
              </w:tc>
            </w:tr>
            <w:tr w14:paraId="0B04F8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6B25CFD7">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镍</w:t>
                  </w:r>
                </w:p>
              </w:tc>
              <w:tc>
                <w:tcPr>
                  <w:tcW w:w="982" w:type="pct"/>
                  <w:vAlign w:val="center"/>
                </w:tcPr>
                <w:p w14:paraId="7CACC872">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8.7549</w:t>
                  </w:r>
                </w:p>
              </w:tc>
              <w:tc>
                <w:tcPr>
                  <w:tcW w:w="980" w:type="pct"/>
                  <w:vAlign w:val="center"/>
                </w:tcPr>
                <w:p w14:paraId="29EA2BDA">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7.8794</w:t>
                  </w:r>
                </w:p>
              </w:tc>
              <w:tc>
                <w:tcPr>
                  <w:tcW w:w="899" w:type="pct"/>
                  <w:vAlign w:val="center"/>
                </w:tcPr>
                <w:p w14:paraId="797DFE45">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0.8317</w:t>
                  </w:r>
                </w:p>
              </w:tc>
              <w:tc>
                <w:tcPr>
                  <w:tcW w:w="882" w:type="pct"/>
                  <w:vAlign w:val="center"/>
                </w:tcPr>
                <w:p w14:paraId="65DBB741">
                  <w:pPr>
                    <w:pStyle w:val="22"/>
                    <w:spacing w:after="0"/>
                    <w:ind w:firstLine="0" w:firstLineChars="0"/>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438</w:t>
                  </w:r>
                </w:p>
              </w:tc>
            </w:tr>
            <w:tr w14:paraId="34BC08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3780179B">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汞及其化合物</w:t>
                  </w:r>
                </w:p>
              </w:tc>
              <w:tc>
                <w:tcPr>
                  <w:tcW w:w="1648" w:type="dxa"/>
                  <w:vAlign w:val="center"/>
                </w:tcPr>
                <w:p w14:paraId="66EE35C4">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0.8678</w:t>
                  </w:r>
                </w:p>
              </w:tc>
              <w:tc>
                <w:tcPr>
                  <w:tcW w:w="1645" w:type="dxa"/>
                  <w:vAlign w:val="center"/>
                </w:tcPr>
                <w:p w14:paraId="5268EF6F">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p>
              </w:tc>
              <w:tc>
                <w:tcPr>
                  <w:tcW w:w="1509" w:type="dxa"/>
                  <w:vAlign w:val="center"/>
                </w:tcPr>
                <w:p w14:paraId="1FB90C25">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0.8244</w:t>
                  </w:r>
                </w:p>
              </w:tc>
              <w:tc>
                <w:tcPr>
                  <w:tcW w:w="1481" w:type="dxa"/>
                  <w:vAlign w:val="center"/>
                </w:tcPr>
                <w:p w14:paraId="51D9D91E">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434</w:t>
                  </w:r>
                </w:p>
              </w:tc>
            </w:tr>
            <w:tr w14:paraId="04A7132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382D2796">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镉及其化合物</w:t>
                  </w:r>
                </w:p>
              </w:tc>
              <w:tc>
                <w:tcPr>
                  <w:tcW w:w="1648" w:type="dxa"/>
                  <w:vAlign w:val="center"/>
                </w:tcPr>
                <w:p w14:paraId="78A171EE">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0.659</w:t>
                  </w:r>
                </w:p>
              </w:tc>
              <w:tc>
                <w:tcPr>
                  <w:tcW w:w="1645" w:type="dxa"/>
                  <w:vAlign w:val="center"/>
                </w:tcPr>
                <w:p w14:paraId="3648DF10">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0.5931</w:t>
                  </w:r>
                </w:p>
              </w:tc>
              <w:tc>
                <w:tcPr>
                  <w:tcW w:w="1509" w:type="dxa"/>
                  <w:vAlign w:val="center"/>
                </w:tcPr>
                <w:p w14:paraId="752BBA90">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0.0626</w:t>
                  </w:r>
                </w:p>
              </w:tc>
              <w:tc>
                <w:tcPr>
                  <w:tcW w:w="1481" w:type="dxa"/>
                  <w:vAlign w:val="center"/>
                </w:tcPr>
                <w:p w14:paraId="6B95E634">
                  <w:pPr>
                    <w:pStyle w:val="22"/>
                    <w:spacing w:after="0"/>
                    <w:ind w:right="0" w:rightChars="0" w:firstLine="0" w:firstLineChars="0"/>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33</w:t>
                  </w:r>
                </w:p>
              </w:tc>
            </w:tr>
            <w:tr w14:paraId="4BCA2C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257" w:type="pct"/>
                  <w:vAlign w:val="center"/>
                </w:tcPr>
                <w:p w14:paraId="1F3AB814">
                  <w:pPr>
                    <w:pStyle w:val="22"/>
                    <w:spacing w:after="0"/>
                    <w:ind w:firstLine="0" w:firstLineChars="0"/>
                    <w:jc w:val="center"/>
                    <w:rPr>
                      <w:color w:val="000000" w:themeColor="text1"/>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砷、铅、钴、铜、镍及其化合物（As+Pb+Co+Cu+Ni计）</w:t>
                  </w:r>
                </w:p>
              </w:tc>
              <w:tc>
                <w:tcPr>
                  <w:tcW w:w="982" w:type="pct"/>
                  <w:vAlign w:val="center"/>
                </w:tcPr>
                <w:p w14:paraId="70D33A8F">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37.4619</w:t>
                  </w:r>
                </w:p>
              </w:tc>
              <w:tc>
                <w:tcPr>
                  <w:tcW w:w="1661" w:type="dxa"/>
                  <w:vAlign w:val="center"/>
                </w:tcPr>
                <w:p w14:paraId="5AF2CA5E">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33.7157</w:t>
                  </w:r>
                </w:p>
              </w:tc>
              <w:tc>
                <w:tcPr>
                  <w:tcW w:w="1523" w:type="dxa"/>
                  <w:vAlign w:val="center"/>
                </w:tcPr>
                <w:p w14:paraId="128752BF">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3.5588</w:t>
                  </w:r>
                </w:p>
              </w:tc>
              <w:tc>
                <w:tcPr>
                  <w:tcW w:w="1495" w:type="dxa"/>
                  <w:vAlign w:val="center"/>
                </w:tcPr>
                <w:p w14:paraId="6EF12A22">
                  <w:pPr>
                    <w:pStyle w:val="22"/>
                    <w:spacing w:after="0"/>
                    <w:ind w:firstLine="0" w:firstLineChars="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0.1874</w:t>
                  </w:r>
                </w:p>
              </w:tc>
            </w:tr>
          </w:tbl>
          <w:p w14:paraId="3F3A51C8">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隧道窑废气量</w:t>
            </w:r>
            <w:r>
              <w:rPr>
                <w:rFonts w:hint="eastAsia"/>
                <w:bCs/>
                <w:color w:val="000000" w:themeColor="text1"/>
                <w:sz w:val="24"/>
                <w:highlight w:val="none"/>
                <w:lang w:val="en-US" w:eastAsia="zh-CN"/>
                <w14:textFill>
                  <w14:solidFill>
                    <w14:schemeClr w14:val="tx1"/>
                  </w14:solidFill>
                </w14:textFill>
              </w:rPr>
              <w:t>合计</w:t>
            </w:r>
            <w:r>
              <w:rPr>
                <w:bCs/>
                <w:color w:val="000000" w:themeColor="text1"/>
                <w:sz w:val="24"/>
                <w:highlight w:val="none"/>
                <w14:textFill>
                  <w14:solidFill>
                    <w14:schemeClr w14:val="tx1"/>
                  </w14:solidFill>
                </w14:textFill>
              </w:rPr>
              <w:t>为</w:t>
            </w:r>
            <w:r>
              <w:rPr>
                <w:rFonts w:hint="eastAsia"/>
                <w:bCs/>
                <w:color w:val="000000" w:themeColor="text1"/>
                <w:sz w:val="24"/>
                <w:highlight w:val="none"/>
                <w14:textFill>
                  <w14:solidFill>
                    <w14:schemeClr w14:val="tx1"/>
                  </w14:solidFill>
                </w14:textFill>
              </w:rPr>
              <w:t>34</w:t>
            </w:r>
            <w:r>
              <w:rPr>
                <w:bCs/>
                <w:color w:val="000000" w:themeColor="text1"/>
                <w:sz w:val="24"/>
                <w:highlight w:val="none"/>
                <w14:textFill>
                  <w14:solidFill>
                    <w14:schemeClr w14:val="tx1"/>
                  </w14:solidFill>
                </w14:textFill>
              </w:rPr>
              <w:t>0000m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/h，年运行</w:t>
            </w:r>
            <w:r>
              <w:rPr>
                <w:rFonts w:hint="eastAsia"/>
                <w:bCs/>
                <w:color w:val="000000" w:themeColor="text1"/>
                <w:sz w:val="24"/>
                <w:highlight w:val="none"/>
                <w14:textFill>
                  <w14:solidFill>
                    <w14:schemeClr w14:val="tx1"/>
                  </w14:solidFill>
                </w14:textFill>
              </w:rPr>
              <w:t>76</w:t>
            </w:r>
            <w:r>
              <w:rPr>
                <w:bCs/>
                <w:color w:val="000000" w:themeColor="text1"/>
                <w:sz w:val="24"/>
                <w:highlight w:val="none"/>
                <w14:textFill>
                  <w14:solidFill>
                    <w14:schemeClr w14:val="tx1"/>
                  </w14:solidFill>
                </w14:textFill>
              </w:rPr>
              <w:t>00h，根据上表可知，</w:t>
            </w:r>
            <w:r>
              <w:rPr>
                <w:bCs/>
                <w:color w:val="000000" w:themeColor="text1"/>
                <w:sz w:val="24"/>
                <w:szCs w:val="22"/>
                <w:highlight w:val="none"/>
                <w14:textFill>
                  <w14:solidFill>
                    <w14:schemeClr w14:val="tx1"/>
                  </w14:solidFill>
                </w14:textFill>
              </w:rPr>
              <w:t>隧道窑</w:t>
            </w:r>
            <w:r>
              <w:rPr>
                <w:rFonts w:hint="eastAsia"/>
                <w:bCs/>
                <w:color w:val="000000" w:themeColor="text1"/>
                <w:sz w:val="24"/>
                <w:szCs w:val="22"/>
                <w:highlight w:val="none"/>
                <w14:textFill>
                  <w14:solidFill>
                    <w14:schemeClr w14:val="tx1"/>
                  </w14:solidFill>
                </w14:textFill>
              </w:rPr>
              <w:t>烟气</w:t>
            </w:r>
            <w:r>
              <w:rPr>
                <w:bCs/>
                <w:color w:val="000000" w:themeColor="text1"/>
                <w:sz w:val="24"/>
                <w:szCs w:val="22"/>
                <w:highlight w:val="none"/>
                <w14:textFill>
                  <w14:solidFill>
                    <w14:schemeClr w14:val="tx1"/>
                  </w14:solidFill>
                </w14:textFill>
              </w:rPr>
              <w:t>随粉尘排放的汞及其化合物（以Hg计）排放量为</w:t>
            </w:r>
            <w:r>
              <w:rPr>
                <w:rFonts w:hint="eastAsia"/>
                <w:bCs/>
                <w:color w:val="000000" w:themeColor="text1"/>
                <w:sz w:val="24"/>
                <w:szCs w:val="22"/>
                <w:highlight w:val="none"/>
                <w14:textFill>
                  <w14:solidFill>
                    <w14:schemeClr w14:val="tx1"/>
                  </w14:solidFill>
                </w14:textFill>
              </w:rPr>
              <w:t>0.0</w:t>
            </w:r>
            <w:r>
              <w:rPr>
                <w:rFonts w:hint="eastAsia"/>
                <w:bCs/>
                <w:color w:val="000000" w:themeColor="text1"/>
                <w:sz w:val="24"/>
                <w:szCs w:val="22"/>
                <w:highlight w:val="none"/>
                <w:lang w:val="en-US" w:eastAsia="zh-CN"/>
                <w14:textFill>
                  <w14:solidFill>
                    <w14:schemeClr w14:val="tx1"/>
                  </w14:solidFill>
                </w14:textFill>
              </w:rPr>
              <w:t>434</w:t>
            </w:r>
            <w:r>
              <w:rPr>
                <w:bCs/>
                <w:color w:val="000000" w:themeColor="text1"/>
                <w:sz w:val="24"/>
                <w:szCs w:val="22"/>
                <w:highlight w:val="none"/>
                <w14:textFill>
                  <w14:solidFill>
                    <w14:schemeClr w14:val="tx1"/>
                  </w14:solidFill>
                </w14:textFill>
              </w:rPr>
              <w:t>t/a，排放速率为</w:t>
            </w:r>
            <w:r>
              <w:rPr>
                <w:rFonts w:hint="eastAsia"/>
                <w:bCs/>
                <w:color w:val="000000" w:themeColor="text1"/>
                <w:sz w:val="24"/>
                <w:szCs w:val="22"/>
                <w:highlight w:val="none"/>
                <w14:textFill>
                  <w14:solidFill>
                    <w14:schemeClr w14:val="tx1"/>
                  </w14:solidFill>
                </w14:textFill>
              </w:rPr>
              <w:t>0.00</w:t>
            </w:r>
            <w:r>
              <w:rPr>
                <w:rFonts w:hint="eastAsia"/>
                <w:bCs/>
                <w:color w:val="000000" w:themeColor="text1"/>
                <w:sz w:val="24"/>
                <w:szCs w:val="22"/>
                <w:highlight w:val="none"/>
                <w:lang w:val="en-US" w:eastAsia="zh-CN"/>
                <w14:textFill>
                  <w14:solidFill>
                    <w14:schemeClr w14:val="tx1"/>
                  </w14:solidFill>
                </w14:textFill>
              </w:rPr>
              <w:t>571</w:t>
            </w:r>
            <w:r>
              <w:rPr>
                <w:bCs/>
                <w:color w:val="000000" w:themeColor="text1"/>
                <w:sz w:val="24"/>
                <w:szCs w:val="22"/>
                <w:highlight w:val="none"/>
                <w14:textFill>
                  <w14:solidFill>
                    <w14:schemeClr w14:val="tx1"/>
                  </w14:solidFill>
                </w14:textFill>
              </w:rPr>
              <w:t>kg/h，排放浓度为0.0</w:t>
            </w:r>
            <w:r>
              <w:rPr>
                <w:rFonts w:hint="eastAsia"/>
                <w:bCs/>
                <w:color w:val="000000" w:themeColor="text1"/>
                <w:sz w:val="24"/>
                <w:szCs w:val="22"/>
                <w:highlight w:val="none"/>
                <w:lang w:val="en-US" w:eastAsia="zh-CN"/>
                <w14:textFill>
                  <w14:solidFill>
                    <w14:schemeClr w14:val="tx1"/>
                  </w14:solidFill>
                </w14:textFill>
              </w:rPr>
              <w:t>168</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w:t>
            </w:r>
            <w:r>
              <w:rPr>
                <w:rFonts w:ascii="Times New Roman" w:hAnsi="Times New Roman" w:eastAsia="宋体" w:cs="Times New Roman"/>
                <w:bCs/>
                <w:color w:val="000000" w:themeColor="text1"/>
                <w:sz w:val="24"/>
                <w:szCs w:val="22"/>
                <w:highlight w:val="none"/>
                <w14:textFill>
                  <w14:solidFill>
                    <w14:schemeClr w14:val="tx1"/>
                  </w14:solidFill>
                </w14:textFill>
              </w:rPr>
              <w:t>随粉尘</w:t>
            </w:r>
            <w:r>
              <w:rPr>
                <w:bCs/>
                <w:color w:val="000000" w:themeColor="text1"/>
                <w:sz w:val="24"/>
                <w:szCs w:val="22"/>
                <w:highlight w:val="none"/>
                <w14:textFill>
                  <w14:solidFill>
                    <w14:schemeClr w14:val="tx1"/>
                  </w14:solidFill>
                </w14:textFill>
              </w:rPr>
              <w:t>排放的镉及其化合物（以Cd计）排放量为0.00</w:t>
            </w:r>
            <w:r>
              <w:rPr>
                <w:rFonts w:hint="eastAsia"/>
                <w:bCs/>
                <w:color w:val="000000" w:themeColor="text1"/>
                <w:sz w:val="24"/>
                <w:szCs w:val="22"/>
                <w:highlight w:val="none"/>
                <w:lang w:val="en-US" w:eastAsia="zh-CN"/>
                <w14:textFill>
                  <w14:solidFill>
                    <w14:schemeClr w14:val="tx1"/>
                  </w14:solidFill>
                </w14:textFill>
              </w:rPr>
              <w:t>33</w:t>
            </w:r>
            <w:r>
              <w:rPr>
                <w:bCs/>
                <w:color w:val="000000" w:themeColor="text1"/>
                <w:sz w:val="24"/>
                <w:szCs w:val="22"/>
                <w:highlight w:val="none"/>
                <w14:textFill>
                  <w14:solidFill>
                    <w14:schemeClr w14:val="tx1"/>
                  </w14:solidFill>
                </w14:textFill>
              </w:rPr>
              <w:t>t/a，排放速率为0.000</w:t>
            </w:r>
            <w:r>
              <w:rPr>
                <w:rFonts w:hint="eastAsia"/>
                <w:bCs/>
                <w:color w:val="000000" w:themeColor="text1"/>
                <w:sz w:val="24"/>
                <w:szCs w:val="22"/>
                <w:highlight w:val="none"/>
                <w:lang w:val="en-US" w:eastAsia="zh-CN"/>
                <w14:textFill>
                  <w14:solidFill>
                    <w14:schemeClr w14:val="tx1"/>
                  </w14:solidFill>
                </w14:textFill>
              </w:rPr>
              <w:t>4</w:t>
            </w:r>
            <w:r>
              <w:rPr>
                <w:bCs/>
                <w:color w:val="000000" w:themeColor="text1"/>
                <w:sz w:val="24"/>
                <w:szCs w:val="22"/>
                <w:highlight w:val="none"/>
                <w14:textFill>
                  <w14:solidFill>
                    <w14:schemeClr w14:val="tx1"/>
                  </w14:solidFill>
                </w14:textFill>
              </w:rPr>
              <w:t>kg/h，排放浓度为0.00</w:t>
            </w:r>
            <w:r>
              <w:rPr>
                <w:rFonts w:hint="eastAsia"/>
                <w:bCs/>
                <w:color w:val="000000" w:themeColor="text1"/>
                <w:sz w:val="24"/>
                <w:szCs w:val="22"/>
                <w:highlight w:val="none"/>
                <w:lang w:val="en-US" w:eastAsia="zh-CN"/>
                <w14:textFill>
                  <w14:solidFill>
                    <w14:schemeClr w14:val="tx1"/>
                  </w14:solidFill>
                </w14:textFill>
              </w:rPr>
              <w:t>13</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；随粉尘排放的砷、铅、钴、铜、镍及其化合物（As+Pb+Co+Cu+Ni计）排放量为</w:t>
            </w:r>
            <w:r>
              <w:rPr>
                <w:rFonts w:hint="eastAsia"/>
                <w:bCs/>
                <w:color w:val="000000" w:themeColor="text1"/>
                <w:sz w:val="24"/>
                <w:szCs w:val="22"/>
                <w:highlight w:val="none"/>
                <w14:textFill>
                  <w14:solidFill>
                    <w14:schemeClr w14:val="tx1"/>
                  </w14:solidFill>
                </w14:textFill>
              </w:rPr>
              <w:t>0.</w:t>
            </w:r>
            <w:r>
              <w:rPr>
                <w:rFonts w:hint="eastAsia"/>
                <w:bCs/>
                <w:color w:val="000000" w:themeColor="text1"/>
                <w:sz w:val="24"/>
                <w:szCs w:val="22"/>
                <w:highlight w:val="none"/>
                <w:lang w:val="en-US" w:eastAsia="zh-CN"/>
                <w14:textFill>
                  <w14:solidFill>
                    <w14:schemeClr w14:val="tx1"/>
                  </w14:solidFill>
                </w14:textFill>
              </w:rPr>
              <w:t>1874</w:t>
            </w:r>
            <w:r>
              <w:rPr>
                <w:bCs/>
                <w:color w:val="000000" w:themeColor="text1"/>
                <w:sz w:val="24"/>
                <w:szCs w:val="22"/>
                <w:highlight w:val="none"/>
                <w14:textFill>
                  <w14:solidFill>
                    <w14:schemeClr w14:val="tx1"/>
                  </w14:solidFill>
                </w14:textFill>
              </w:rPr>
              <w:t>t/a，排放速率为</w:t>
            </w:r>
            <w:r>
              <w:rPr>
                <w:rFonts w:hint="eastAsia"/>
                <w:bCs/>
                <w:color w:val="000000" w:themeColor="text1"/>
                <w:sz w:val="24"/>
                <w:szCs w:val="22"/>
                <w:highlight w:val="none"/>
                <w14:textFill>
                  <w14:solidFill>
                    <w14:schemeClr w14:val="tx1"/>
                  </w14:solidFill>
                </w14:textFill>
              </w:rPr>
              <w:t>0.0</w:t>
            </w:r>
            <w:r>
              <w:rPr>
                <w:rFonts w:hint="eastAsia"/>
                <w:bCs/>
                <w:color w:val="000000" w:themeColor="text1"/>
                <w:sz w:val="24"/>
                <w:szCs w:val="22"/>
                <w:highlight w:val="none"/>
                <w:lang w:val="en-US" w:eastAsia="zh-CN"/>
                <w14:textFill>
                  <w14:solidFill>
                    <w14:schemeClr w14:val="tx1"/>
                  </w14:solidFill>
                </w14:textFill>
              </w:rPr>
              <w:t>2466</w:t>
            </w:r>
            <w:r>
              <w:rPr>
                <w:bCs/>
                <w:color w:val="000000" w:themeColor="text1"/>
                <w:sz w:val="24"/>
                <w:szCs w:val="22"/>
                <w:highlight w:val="none"/>
                <w14:textFill>
                  <w14:solidFill>
                    <w14:schemeClr w14:val="tx1"/>
                  </w14:solidFill>
                </w14:textFill>
              </w:rPr>
              <w:t>kg/h，排放浓度为0.0</w:t>
            </w:r>
            <w:r>
              <w:rPr>
                <w:rFonts w:hint="eastAsia"/>
                <w:bCs/>
                <w:color w:val="000000" w:themeColor="text1"/>
                <w:sz w:val="24"/>
                <w:szCs w:val="22"/>
                <w:highlight w:val="none"/>
                <w:lang w:val="en-US" w:eastAsia="zh-CN"/>
                <w14:textFill>
                  <w14:solidFill>
                    <w14:schemeClr w14:val="tx1"/>
                  </w14:solidFill>
                </w14:textFill>
              </w:rPr>
              <w:t>73</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w:t>
            </w:r>
            <w:r>
              <w:rPr>
                <w:bCs/>
                <w:color w:val="000000" w:themeColor="text1"/>
                <w:sz w:val="24"/>
                <w:highlight w:val="none"/>
                <w14:textFill>
                  <w14:solidFill>
                    <w14:schemeClr w14:val="tx1"/>
                  </w14:solidFill>
                </w14:textFill>
              </w:rPr>
              <w:t>隧道窑废气中重金属排放浓度均满足《生活垃圾焚烧大气污染控制标准》(DB13/5325-2021)表2生活垃圾焚烧炉烟气中污染物排放限值要求，即汞及其化合物（以Hg计）≤0.02mg/m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镉、铊及其化合物</w:t>
            </w:r>
            <w:r>
              <w:rPr>
                <w:bCs/>
                <w:color w:val="000000" w:themeColor="text1"/>
                <w:sz w:val="24"/>
                <w:highlight w:val="none"/>
                <w14:textFill>
                  <w14:solidFill>
                    <w14:schemeClr w14:val="tx1"/>
                  </w14:solidFill>
                </w14:textFill>
              </w:rPr>
              <w:t>（以Cd+Tl计）≤0.03mg/m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锑、砷、铅、铬、钴、铜、锰、镍及其化合物</w:t>
            </w:r>
            <w:r>
              <w:rPr>
                <w:bCs/>
                <w:color w:val="000000" w:themeColor="text1"/>
                <w:sz w:val="24"/>
                <w:highlight w:val="none"/>
                <w14:textFill>
                  <w14:solidFill>
                    <w14:schemeClr w14:val="tx1"/>
                  </w14:solidFill>
                </w14:textFill>
              </w:rPr>
              <w:t>（以Sb+As+Pb+Cr+Co+Cu+Mn+Ni计）≤0.3mg/m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w:t>
            </w:r>
          </w:p>
          <w:p w14:paraId="1717576E">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（3）污泥储存产生的恶臭气体</w:t>
            </w:r>
          </w:p>
          <w:p w14:paraId="7CD348B4">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本次改扩建</w:t>
            </w:r>
            <w:r>
              <w:rPr>
                <w:bCs/>
                <w:color w:val="000000" w:themeColor="text1"/>
                <w:sz w:val="24"/>
                <w:highlight w:val="none"/>
                <w14:textFill>
                  <w14:solidFill>
                    <w14:schemeClr w14:val="tx1"/>
                  </w14:solidFill>
                </w14:textFill>
              </w:rPr>
              <w:t>项目</w:t>
            </w:r>
            <w:r>
              <w:rPr>
                <w:rFonts w:hint="eastAsia"/>
                <w:bCs/>
                <w:color w:val="000000" w:themeColor="text1"/>
                <w:sz w:val="24"/>
                <w:highlight w:val="none"/>
                <w14:textFill>
                  <w14:solidFill>
                    <w14:schemeClr w14:val="tx1"/>
                  </w14:solidFill>
                </w14:textFill>
              </w:rPr>
              <w:t>工业污泥贮存利用现有</w:t>
            </w:r>
            <w:r>
              <w:rPr>
                <w:bCs/>
                <w:color w:val="000000" w:themeColor="text1"/>
                <w:sz w:val="24"/>
                <w:highlight w:val="none"/>
                <w14:textFill>
                  <w14:solidFill>
                    <w14:schemeClr w14:val="tx1"/>
                  </w14:solidFill>
                </w14:textFill>
              </w:rPr>
              <w:t>封闭污泥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同时本次新建1座生活污泥库，</w:t>
            </w:r>
            <w:r>
              <w:rPr>
                <w:bCs/>
                <w:color w:val="000000" w:themeColor="text1"/>
                <w:sz w:val="24"/>
                <w:highlight w:val="none"/>
                <w14:textFill>
                  <w14:solidFill>
                    <w14:schemeClr w14:val="tx1"/>
                  </w14:solidFill>
                </w14:textFill>
              </w:rPr>
              <w:t>污泥储存于污泥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内会产生恶臭气体，主要</w:t>
            </w:r>
            <w:r>
              <w:rPr>
                <w:rFonts w:hint="eastAsia"/>
                <w:bCs/>
                <w:color w:val="000000" w:themeColor="text1"/>
                <w:sz w:val="24"/>
                <w:highlight w:val="none"/>
                <w14:textFill>
                  <w14:solidFill>
                    <w14:schemeClr w14:val="tx1"/>
                  </w14:solidFill>
                </w14:textFill>
              </w:rPr>
              <w:t>污染物</w:t>
            </w:r>
            <w:r>
              <w:rPr>
                <w:bCs/>
                <w:color w:val="000000" w:themeColor="text1"/>
                <w:sz w:val="24"/>
                <w:highlight w:val="none"/>
                <w14:textFill>
                  <w14:solidFill>
                    <w14:schemeClr w14:val="tx1"/>
                  </w14:solidFill>
                </w14:textFill>
              </w:rPr>
              <w:t>为氨、硫化氢、臭气浓度。</w:t>
            </w:r>
            <w:r>
              <w:rPr>
                <w:rFonts w:hint="eastAsia"/>
                <w:bCs/>
                <w:color w:val="000000" w:themeColor="text1"/>
                <w:sz w:val="24"/>
                <w:highlight w:val="none"/>
                <w14:textFill>
                  <w14:solidFill>
                    <w14:schemeClr w14:val="tx1"/>
                  </w14:solidFill>
                </w14:textFill>
              </w:rPr>
              <w:t>2座</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密闭负压收集，正常生产时将恶臭气体引至1#隧道窑进行高温焙烧处理，随隧道窑废气经过现有环保工程后经38m高排气筒排放。隧道窑停产时将恶臭气体引至两级活性炭吸附装置处理后，经1根15m高排气筒（DA007）排放；</w:t>
            </w:r>
          </w:p>
          <w:p w14:paraId="4FC6AAB3">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参照《污水泵站的恶臭评价与治理对策》，恶臭污染物排污系数一般可通过单位时间内单位体积散发量表征，并根据设计的构筑物面积估算废气源强。NH</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的排放系数为0.03mg/s·m</w:t>
            </w:r>
            <w:r>
              <w:rPr>
                <w:bCs/>
                <w:color w:val="000000" w:themeColor="text1"/>
                <w:sz w:val="24"/>
                <w:highlight w:val="none"/>
                <w:vertAlign w:val="superscript"/>
                <w14:textFill>
                  <w14:solidFill>
                    <w14:schemeClr w14:val="tx1"/>
                  </w14:solidFill>
                </w14:textFill>
              </w:rPr>
              <w:t>2</w:t>
            </w:r>
            <w:r>
              <w:rPr>
                <w:bCs/>
                <w:color w:val="000000" w:themeColor="text1"/>
                <w:sz w:val="24"/>
                <w:highlight w:val="none"/>
                <w14:textFill>
                  <w14:solidFill>
                    <w14:schemeClr w14:val="tx1"/>
                  </w14:solidFill>
                </w14:textFill>
              </w:rPr>
              <w:t>，H</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S的排放系数为1.39×10</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mg/s·m</w:t>
            </w:r>
            <w:r>
              <w:rPr>
                <w:bCs/>
                <w:color w:val="000000" w:themeColor="text1"/>
                <w:sz w:val="24"/>
                <w:highlight w:val="none"/>
                <w:vertAlign w:val="superscript"/>
                <w14:textFill>
                  <w14:solidFill>
                    <w14:schemeClr w14:val="tx1"/>
                  </w14:solidFill>
                </w14:textFill>
              </w:rPr>
              <w:t>2</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工业</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库、生活污泥库</w:t>
            </w:r>
            <w:r>
              <w:rPr>
                <w:bCs/>
                <w:color w:val="000000" w:themeColor="text1"/>
                <w:sz w:val="24"/>
                <w:highlight w:val="none"/>
                <w14:textFill>
                  <w14:solidFill>
                    <w14:schemeClr w14:val="tx1"/>
                  </w14:solidFill>
                </w14:textFill>
              </w:rPr>
              <w:t>面积</w:t>
            </w:r>
            <w:r>
              <w:rPr>
                <w:rFonts w:hint="eastAsia"/>
                <w:bCs/>
                <w:color w:val="000000" w:themeColor="text1"/>
                <w:sz w:val="24"/>
                <w:highlight w:val="none"/>
                <w14:textFill>
                  <w14:solidFill>
                    <w14:schemeClr w14:val="tx1"/>
                  </w14:solidFill>
                </w14:textFill>
              </w:rPr>
              <w:t>均为176</w:t>
            </w:r>
            <w:r>
              <w:rPr>
                <w:bCs/>
                <w:color w:val="000000" w:themeColor="text1"/>
                <w:sz w:val="24"/>
                <w:highlight w:val="none"/>
                <w14:textFill>
                  <w14:solidFill>
                    <w14:schemeClr w14:val="tx1"/>
                  </w14:solidFill>
                </w14:textFill>
              </w:rPr>
              <w:t>m</w:t>
            </w:r>
            <w:r>
              <w:rPr>
                <w:bCs/>
                <w:color w:val="000000" w:themeColor="text1"/>
                <w:sz w:val="24"/>
                <w:highlight w:val="none"/>
                <w:vertAlign w:val="superscript"/>
                <w14:textFill>
                  <w14:solidFill>
                    <w14:schemeClr w14:val="tx1"/>
                  </w14:solidFill>
                </w14:textFill>
              </w:rPr>
              <w:t>2</w:t>
            </w:r>
            <w:r>
              <w:rPr>
                <w:bCs/>
                <w:color w:val="000000" w:themeColor="text1"/>
                <w:sz w:val="24"/>
                <w:highlight w:val="none"/>
                <w14:textFill>
                  <w14:solidFill>
                    <w14:schemeClr w14:val="tx1"/>
                  </w14:solidFill>
                </w14:textFill>
              </w:rPr>
              <w:t>，则</w:t>
            </w:r>
            <w:r>
              <w:rPr>
                <w:rFonts w:hint="eastAsia"/>
                <w:bCs/>
                <w:color w:val="000000" w:themeColor="text1"/>
                <w:sz w:val="24"/>
                <w:highlight w:val="none"/>
                <w14:textFill>
                  <w14:solidFill>
                    <w14:schemeClr w14:val="tx1"/>
                  </w14:solidFill>
                </w14:textFill>
              </w:rPr>
              <w:t>工业</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库、生活污泥库恶臭</w:t>
            </w:r>
            <w:r>
              <w:rPr>
                <w:bCs/>
                <w:color w:val="000000" w:themeColor="text1"/>
                <w:sz w:val="24"/>
                <w:highlight w:val="none"/>
                <w14:textFill>
                  <w14:solidFill>
                    <w14:schemeClr w14:val="tx1"/>
                  </w14:solidFill>
                </w14:textFill>
              </w:rPr>
              <w:t>产生量</w:t>
            </w:r>
            <w:r>
              <w:rPr>
                <w:rFonts w:hint="eastAsia"/>
                <w:bCs/>
                <w:color w:val="000000" w:themeColor="text1"/>
                <w:sz w:val="24"/>
                <w:highlight w:val="none"/>
                <w14:textFill>
                  <w14:solidFill>
                    <w14:schemeClr w14:val="tx1"/>
                  </w14:solidFill>
                </w14:textFill>
              </w:rPr>
              <w:t>均</w:t>
            </w:r>
            <w:r>
              <w:rPr>
                <w:bCs/>
                <w:color w:val="000000" w:themeColor="text1"/>
                <w:sz w:val="24"/>
                <w:highlight w:val="none"/>
                <w14:textFill>
                  <w14:solidFill>
                    <w14:schemeClr w14:val="tx1"/>
                  </w14:solidFill>
                </w14:textFill>
              </w:rPr>
              <w:t>为：NH</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 xml:space="preserve"> 0.</w:t>
            </w:r>
            <w:r>
              <w:rPr>
                <w:rFonts w:hint="eastAsia"/>
                <w:bCs/>
                <w:color w:val="000000" w:themeColor="text1"/>
                <w:sz w:val="24"/>
                <w:highlight w:val="none"/>
                <w14:textFill>
                  <w14:solidFill>
                    <w14:schemeClr w14:val="tx1"/>
                  </w14:solidFill>
                </w14:textFill>
              </w:rPr>
              <w:t>151</w:t>
            </w:r>
            <w:r>
              <w:rPr>
                <w:bCs/>
                <w:color w:val="000000" w:themeColor="text1"/>
                <w:sz w:val="24"/>
                <w:highlight w:val="none"/>
                <w14:textFill>
                  <w14:solidFill>
                    <w14:schemeClr w14:val="tx1"/>
                  </w14:solidFill>
                </w14:textFill>
              </w:rPr>
              <w:t>t/a，H</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S 0.0</w:t>
            </w:r>
            <w:r>
              <w:rPr>
                <w:rFonts w:hint="eastAsia"/>
                <w:bCs/>
                <w:color w:val="000000" w:themeColor="text1"/>
                <w:sz w:val="24"/>
                <w:highlight w:val="none"/>
                <w14:textFill>
                  <w14:solidFill>
                    <w14:schemeClr w14:val="tx1"/>
                  </w14:solidFill>
                </w14:textFill>
              </w:rPr>
              <w:t>07</w:t>
            </w:r>
            <w:r>
              <w:rPr>
                <w:bCs/>
                <w:color w:val="000000" w:themeColor="text1"/>
                <w:sz w:val="24"/>
                <w:highlight w:val="none"/>
                <w14:textFill>
                  <w14:solidFill>
                    <w14:schemeClr w14:val="tx1"/>
                  </w14:solidFill>
                </w14:textFill>
              </w:rPr>
              <w:t>t/a</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根据日本的6级臭气的强度测试法，将人对气体的嗅味感觉划分为0-5级，判断本项目</w:t>
            </w:r>
            <w:r>
              <w:rPr>
                <w:rFonts w:hint="eastAsia"/>
                <w:bCs/>
                <w:color w:val="000000" w:themeColor="text1"/>
                <w:sz w:val="24"/>
                <w:highlight w:val="none"/>
                <w14:textFill>
                  <w14:solidFill>
                    <w14:schemeClr w14:val="tx1"/>
                  </w14:solidFill>
                </w14:textFill>
              </w:rPr>
              <w:t>生产车间</w:t>
            </w:r>
            <w:r>
              <w:rPr>
                <w:bCs/>
                <w:color w:val="000000" w:themeColor="text1"/>
                <w:sz w:val="24"/>
                <w:highlight w:val="none"/>
                <w14:textFill>
                  <w14:solidFill>
                    <w14:schemeClr w14:val="tx1"/>
                  </w14:solidFill>
                </w14:textFill>
              </w:rPr>
              <w:t>的臭气强度等级</w:t>
            </w:r>
            <w:r>
              <w:rPr>
                <w:rFonts w:hint="eastAsia"/>
                <w:bCs/>
                <w:color w:val="000000" w:themeColor="text1"/>
                <w:sz w:val="24"/>
                <w:highlight w:val="none"/>
                <w14:textFill>
                  <w14:solidFill>
                    <w14:schemeClr w14:val="tx1"/>
                  </w14:solidFill>
                </w14:textFill>
              </w:rPr>
              <w:t>在2~3</w:t>
            </w:r>
            <w:r>
              <w:rPr>
                <w:bCs/>
                <w:color w:val="000000" w:themeColor="text1"/>
                <w:sz w:val="24"/>
                <w:highlight w:val="none"/>
                <w14:textFill>
                  <w14:solidFill>
                    <w14:schemeClr w14:val="tx1"/>
                  </w14:solidFill>
                </w14:textFill>
              </w:rPr>
              <w:t>级。根据《臭气强度与臭气浓度间的定量关系研究》（城市环境与</w:t>
            </w:r>
            <w:r>
              <w:rPr>
                <w:rFonts w:hint="eastAsia"/>
                <w:bCs/>
                <w:color w:val="000000" w:themeColor="text1"/>
                <w:sz w:val="24"/>
                <w:highlight w:val="none"/>
                <w14:textFill>
                  <w14:solidFill>
                    <w14:schemeClr w14:val="tx1"/>
                  </w14:solidFill>
                </w14:textFill>
              </w:rPr>
              <w:t>城市</w:t>
            </w:r>
            <w:r>
              <w:rPr>
                <w:bCs/>
                <w:color w:val="000000" w:themeColor="text1"/>
                <w:sz w:val="24"/>
                <w:highlight w:val="none"/>
                <w14:textFill>
                  <w14:solidFill>
                    <w14:schemeClr w14:val="tx1"/>
                  </w14:solidFill>
                </w14:textFill>
              </w:rPr>
              <w:t>生态2014年8月第27卷4期）一文可知</w:t>
            </w:r>
            <w:r>
              <w:rPr>
                <w:rFonts w:hint="eastAsia"/>
                <w:bCs/>
                <w:color w:val="000000" w:themeColor="text1"/>
                <w:sz w:val="24"/>
                <w:highlight w:val="none"/>
                <w14:textFill>
                  <w14:solidFill>
                    <w14:schemeClr w14:val="tx1"/>
                  </w14:solidFill>
                </w14:textFill>
              </w:rPr>
              <w:t>，污泥料棚臭气浓度98~550（无量纲），本次评价</w:t>
            </w:r>
            <w:r>
              <w:rPr>
                <w:bCs/>
                <w:color w:val="000000" w:themeColor="text1"/>
                <w:sz w:val="24"/>
                <w:highlight w:val="none"/>
                <w14:textFill>
                  <w14:solidFill>
                    <w14:schemeClr w14:val="tx1"/>
                  </w14:solidFill>
                </w14:textFill>
              </w:rPr>
              <w:t>臭气浓度产生浓度</w:t>
            </w:r>
            <w:r>
              <w:rPr>
                <w:rFonts w:hint="eastAsia"/>
                <w:bCs/>
                <w:color w:val="000000" w:themeColor="text1"/>
                <w:sz w:val="24"/>
                <w:highlight w:val="none"/>
                <w14:textFill>
                  <w14:solidFill>
                    <w14:schemeClr w14:val="tx1"/>
                  </w14:solidFill>
                </w14:textFill>
              </w:rPr>
              <w:t>取</w:t>
            </w:r>
            <w:r>
              <w:rPr>
                <w:bCs/>
                <w:color w:val="000000" w:themeColor="text1"/>
                <w:sz w:val="24"/>
                <w:highlight w:val="none"/>
                <w14:textFill>
                  <w14:solidFill>
                    <w14:schemeClr w14:val="tx1"/>
                  </w14:solidFill>
                </w14:textFill>
              </w:rPr>
              <w:t>200（无量纲），</w:t>
            </w:r>
            <w:r>
              <w:rPr>
                <w:rFonts w:hint="eastAsia"/>
                <w:bCs/>
                <w:color w:val="000000" w:themeColor="text1"/>
                <w:sz w:val="24"/>
                <w:highlight w:val="none"/>
                <w14:textFill>
                  <w14:solidFill>
                    <w14:schemeClr w14:val="tx1"/>
                  </w14:solidFill>
                </w14:textFill>
              </w:rPr>
              <w:t>2座</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整体密闭、负压收集，</w:t>
            </w:r>
            <w:r>
              <w:rPr>
                <w:rFonts w:hint="eastAsia"/>
                <w:bCs/>
                <w:color w:val="000000" w:themeColor="text1"/>
                <w:sz w:val="24"/>
                <w:szCs w:val="22"/>
                <w:highlight w:val="none"/>
                <w14:textFill>
                  <w14:solidFill>
                    <w14:schemeClr w14:val="tx1"/>
                  </w14:solidFill>
                </w14:textFill>
              </w:rPr>
              <w:t>仅车辆进出时开启，</w:t>
            </w:r>
            <w:r>
              <w:rPr>
                <w:bCs/>
                <w:color w:val="000000" w:themeColor="text1"/>
                <w:sz w:val="24"/>
                <w:highlight w:val="none"/>
                <w14:textFill>
                  <w14:solidFill>
                    <w14:schemeClr w14:val="tx1"/>
                  </w14:solidFill>
                </w14:textFill>
              </w:rPr>
              <w:t>收集捕集率约为95%</w:t>
            </w:r>
            <w:r>
              <w:rPr>
                <w:rFonts w:hint="eastAsia"/>
                <w:bCs/>
                <w:color w:val="000000" w:themeColor="text1"/>
                <w:sz w:val="24"/>
                <w:highlight w:val="none"/>
                <w14:textFill>
                  <w14:solidFill>
                    <w14:schemeClr w14:val="tx1"/>
                  </w14:solidFill>
                </w14:textFill>
              </w:rPr>
              <w:t>。</w:t>
            </w:r>
          </w:p>
          <w:p w14:paraId="55E261B5">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①</w:t>
            </w:r>
            <w:r>
              <w:rPr>
                <w:bCs/>
                <w:color w:val="000000" w:themeColor="text1"/>
                <w:sz w:val="24"/>
                <w:highlight w:val="none"/>
                <w14:textFill>
                  <w14:solidFill>
                    <w14:schemeClr w14:val="tx1"/>
                  </w14:solidFill>
                </w14:textFill>
              </w:rPr>
              <w:t>正常生产时</w:t>
            </w:r>
          </w:p>
          <w:p w14:paraId="18247CA6">
            <w:pPr>
              <w:spacing w:line="480" w:lineRule="exact"/>
              <w:ind w:firstLine="480" w:firstLineChars="200"/>
              <w:rPr>
                <w:rFonts w:hint="eastAsia"/>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正常生产时将恶臭气体引至1#隧道窑进行高温焙烧处理，随隧道窑废气经过现有</w:t>
            </w:r>
            <w:r>
              <w:rPr>
                <w:rFonts w:hint="eastAsia"/>
                <w:bCs/>
                <w:color w:val="000000" w:themeColor="text1"/>
                <w:sz w:val="24"/>
                <w:highlight w:val="none"/>
                <w14:textFill>
                  <w14:solidFill>
                    <w14:schemeClr w14:val="tx1"/>
                  </w14:solidFill>
                </w14:textFill>
              </w:rPr>
              <w:t>废气治理设施处理</w:t>
            </w:r>
            <w:r>
              <w:rPr>
                <w:bCs/>
                <w:color w:val="000000" w:themeColor="text1"/>
                <w:sz w:val="24"/>
                <w:highlight w:val="none"/>
                <w14:textFill>
                  <w14:solidFill>
                    <w14:schemeClr w14:val="tx1"/>
                  </w14:solidFill>
                </w14:textFill>
              </w:rPr>
              <w:t>后经38m高排气筒排放。处理效率按90%计，</w:t>
            </w:r>
            <w:r>
              <w:rPr>
                <w:bCs/>
                <w:color w:val="000000" w:themeColor="text1"/>
                <w:sz w:val="24"/>
                <w:szCs w:val="22"/>
                <w:highlight w:val="none"/>
                <w14:textFill>
                  <w14:solidFill>
                    <w14:schemeClr w14:val="tx1"/>
                  </w14:solidFill>
                </w14:textFill>
              </w:rPr>
              <w:t>经处理后氨的排放量为</w:t>
            </w:r>
            <w:r>
              <w:rPr>
                <w:rFonts w:hint="eastAsia"/>
                <w:bCs/>
                <w:color w:val="000000" w:themeColor="text1"/>
                <w:sz w:val="24"/>
                <w:szCs w:val="22"/>
                <w:highlight w:val="none"/>
                <w14:textFill>
                  <w14:solidFill>
                    <w14:schemeClr w14:val="tx1"/>
                  </w14:solidFill>
                </w14:textFill>
              </w:rPr>
              <w:t>0.0287</w:t>
            </w:r>
            <w:r>
              <w:rPr>
                <w:bCs/>
                <w:color w:val="000000" w:themeColor="text1"/>
                <w:sz w:val="24"/>
                <w:szCs w:val="22"/>
                <w:highlight w:val="none"/>
                <w14:textFill>
                  <w14:solidFill>
                    <w14:schemeClr w14:val="tx1"/>
                  </w14:solidFill>
                </w14:textFill>
              </w:rPr>
              <w:t>t/a，排放速率为</w:t>
            </w:r>
            <w:r>
              <w:rPr>
                <w:rFonts w:hint="eastAsia"/>
                <w:bCs/>
                <w:color w:val="000000" w:themeColor="text1"/>
                <w:sz w:val="24"/>
                <w:szCs w:val="22"/>
                <w:highlight w:val="none"/>
                <w14:textFill>
                  <w14:solidFill>
                    <w14:schemeClr w14:val="tx1"/>
                  </w14:solidFill>
                </w14:textFill>
              </w:rPr>
              <w:t>0.0038</w:t>
            </w:r>
            <w:r>
              <w:rPr>
                <w:bCs/>
                <w:color w:val="000000" w:themeColor="text1"/>
                <w:sz w:val="24"/>
                <w:szCs w:val="22"/>
                <w:highlight w:val="none"/>
                <w14:textFill>
                  <w14:solidFill>
                    <w14:schemeClr w14:val="tx1"/>
                  </w14:solidFill>
                </w14:textFill>
              </w:rPr>
              <w:t>kg/h，排放浓度为</w:t>
            </w:r>
            <w:r>
              <w:rPr>
                <w:rFonts w:hint="eastAsia"/>
                <w:bCs/>
                <w:color w:val="000000" w:themeColor="text1"/>
                <w:sz w:val="24"/>
                <w:szCs w:val="22"/>
                <w:highlight w:val="none"/>
                <w14:textFill>
                  <w14:solidFill>
                    <w14:schemeClr w14:val="tx1"/>
                  </w14:solidFill>
                </w14:textFill>
              </w:rPr>
              <w:t>0.022</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rFonts w:hint="eastAsia"/>
                <w:bCs/>
                <w:color w:val="000000" w:themeColor="text1"/>
                <w:sz w:val="24"/>
                <w:szCs w:val="22"/>
                <w:highlight w:val="none"/>
                <w:vertAlign w:val="baseline"/>
                <w:lang w:eastAsia="zh-CN"/>
                <w14:textFill>
                  <w14:solidFill>
                    <w14:schemeClr w14:val="tx1"/>
                  </w14:solidFill>
                </w14:textFill>
              </w:rPr>
              <w:t>，</w:t>
            </w:r>
            <w:r>
              <w:rPr>
                <w:rFonts w:hint="eastAsia"/>
                <w:bCs/>
                <w:color w:val="000000" w:themeColor="text1"/>
                <w:sz w:val="24"/>
                <w:szCs w:val="22"/>
                <w:highlight w:val="none"/>
                <w:vertAlign w:val="baseline"/>
                <w:lang w:val="en-US" w:eastAsia="zh-CN"/>
                <w14:textFill>
                  <w14:solidFill>
                    <w14:schemeClr w14:val="tx1"/>
                  </w14:solidFill>
                </w14:textFill>
              </w:rPr>
              <w:t>同时叠加前文SNCR氨逃逸源强，确定最终</w:t>
            </w:r>
            <w:r>
              <w:rPr>
                <w:color w:val="000000" w:themeColor="text1"/>
                <w:sz w:val="24"/>
                <w:highlight w:val="none"/>
                <w14:textFill>
                  <w14:solidFill>
                    <w14:schemeClr w14:val="tx1"/>
                  </w14:solidFill>
                </w14:textFill>
              </w:rPr>
              <w:t>隧道窑</w:t>
            </w:r>
            <w:r>
              <w:rPr>
                <w:rFonts w:hint="eastAsia"/>
                <w:color w:val="000000" w:themeColor="text1"/>
                <w:sz w:val="24"/>
                <w:highlight w:val="none"/>
                <w:lang w:val="en-US" w:eastAsia="zh-CN"/>
                <w14:textFill>
                  <w14:solidFill>
                    <w14:schemeClr w14:val="tx1"/>
                  </w14:solidFill>
                </w14:textFill>
              </w:rPr>
              <w:t>废气</w:t>
            </w:r>
            <w:r>
              <w:rPr>
                <w:rFonts w:hint="eastAsia"/>
                <w:color w:val="000000" w:themeColor="text1"/>
                <w:sz w:val="24"/>
                <w:highlight w:val="none"/>
                <w14:textFill>
                  <w14:solidFill>
                    <w14:schemeClr w14:val="tx1"/>
                  </w14:solidFill>
                </w14:textFill>
              </w:rPr>
              <w:t>氨</w:t>
            </w:r>
            <w:r>
              <w:rPr>
                <w:rFonts w:hint="eastAsia"/>
                <w:color w:val="000000" w:themeColor="text1"/>
                <w:sz w:val="24"/>
                <w:highlight w:val="none"/>
                <w:lang w:val="en-US" w:eastAsia="zh-CN"/>
                <w14:textFill>
                  <w14:solidFill>
                    <w14:schemeClr w14:val="tx1"/>
                  </w14:solidFill>
                </w14:textFill>
              </w:rPr>
              <w:t>排放</w:t>
            </w:r>
            <w:r>
              <w:rPr>
                <w:rFonts w:hint="eastAsia"/>
                <w:color w:val="000000" w:themeColor="text1"/>
                <w:sz w:val="24"/>
                <w:highlight w:val="none"/>
                <w14:textFill>
                  <w14:solidFill>
                    <w14:schemeClr w14:val="tx1"/>
                  </w14:solidFill>
                </w14:textFill>
              </w:rPr>
              <w:t>浓度</w:t>
            </w:r>
            <w:r>
              <w:rPr>
                <w:rFonts w:hint="eastAsia"/>
                <w:color w:val="000000" w:themeColor="text1"/>
                <w:sz w:val="24"/>
                <w:highlight w:val="none"/>
                <w:lang w:val="en-US" w:eastAsia="zh-CN"/>
                <w14:textFill>
                  <w14:solidFill>
                    <w14:schemeClr w14:val="tx1"/>
                  </w14:solidFill>
                </w14:textFill>
              </w:rPr>
              <w:t>为7.522</w:t>
            </w:r>
            <w:r>
              <w:rPr>
                <w:rFonts w:hint="eastAsia"/>
                <w:color w:val="000000" w:themeColor="text1"/>
                <w:sz w:val="24"/>
                <w:highlight w:val="none"/>
                <w14:textFill>
                  <w14:solidFill>
                    <w14:schemeClr w14:val="tx1"/>
                  </w14:solidFill>
                </w14:textFill>
              </w:rPr>
              <w:t>mg/m³，排放速率为</w:t>
            </w:r>
            <w:r>
              <w:rPr>
                <w:rFonts w:hint="eastAsia"/>
                <w:color w:val="000000" w:themeColor="text1"/>
                <w:sz w:val="24"/>
                <w:highlight w:val="none"/>
                <w:lang w:val="en-US" w:eastAsia="zh-CN"/>
                <w14:textFill>
                  <w14:solidFill>
                    <w14:schemeClr w14:val="tx1"/>
                  </w14:solidFill>
                </w14:textFill>
              </w:rPr>
              <w:t>1.2788</w:t>
            </w:r>
            <w:r>
              <w:rPr>
                <w:rFonts w:hint="eastAsia"/>
                <w:color w:val="000000" w:themeColor="text1"/>
                <w:sz w:val="24"/>
                <w:highlight w:val="none"/>
                <w14:textFill>
                  <w14:solidFill>
                    <w14:schemeClr w14:val="tx1"/>
                  </w14:solidFill>
                </w14:textFill>
              </w:rPr>
              <w:t>kg/h，排放量为</w:t>
            </w:r>
            <w:r>
              <w:rPr>
                <w:rFonts w:hint="eastAsia"/>
                <w:color w:val="000000" w:themeColor="text1"/>
                <w:sz w:val="24"/>
                <w:highlight w:val="none"/>
                <w:lang w:val="en-US" w:eastAsia="zh-CN"/>
                <w14:textFill>
                  <w14:solidFill>
                    <w14:schemeClr w14:val="tx1"/>
                  </w14:solidFill>
                </w14:textFill>
              </w:rPr>
              <w:t>9.7187</w:t>
            </w:r>
            <w:r>
              <w:rPr>
                <w:rFonts w:hint="eastAsia"/>
                <w:color w:val="000000" w:themeColor="text1"/>
                <w:sz w:val="24"/>
                <w:highlight w:val="none"/>
                <w14:textFill>
                  <w14:solidFill>
                    <w14:schemeClr w14:val="tx1"/>
                  </w14:solidFill>
                </w14:textFill>
              </w:rPr>
              <w:t>t/a，氨排放满足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2大气污染物排放限值以及</w:t>
            </w:r>
            <w:r>
              <w:rPr>
                <w:bCs/>
                <w:color w:val="000000" w:themeColor="text1"/>
                <w:sz w:val="24"/>
                <w:highlight w:val="none"/>
                <w14:textFill>
                  <w14:solidFill>
                    <w14:schemeClr w14:val="tx1"/>
                  </w14:solidFill>
                </w14:textFill>
              </w:rPr>
              <w:t>《恶臭污染物排放标准》（GB14554-93）表2恶臭污染物排放限值要求（40m高排气筒）</w:t>
            </w:r>
            <w:r>
              <w:rPr>
                <w:color w:val="000000" w:themeColor="text1"/>
                <w:sz w:val="24"/>
                <w:highlight w:val="none"/>
                <w14:textFill>
                  <w14:solidFill>
                    <w14:schemeClr w14:val="tx1"/>
                  </w14:solidFill>
                </w14:textFill>
              </w:rPr>
              <w:t>，即</w:t>
            </w:r>
            <w:r>
              <w:rPr>
                <w:rFonts w:hint="eastAsia"/>
                <w:color w:val="000000" w:themeColor="text1"/>
                <w:sz w:val="24"/>
                <w:highlight w:val="none"/>
                <w14:textFill>
                  <w14:solidFill>
                    <w14:schemeClr w14:val="tx1"/>
                  </w14:solidFill>
                </w14:textFill>
              </w:rPr>
              <w:t>氨</w:t>
            </w:r>
            <w:r>
              <w:rPr>
                <w:rFonts w:hint="eastAsia"/>
                <w:color w:val="000000" w:themeColor="text1"/>
                <w:sz w:val="24"/>
                <w:highlight w:val="none"/>
                <w:lang w:val="en-US" w:eastAsia="zh-CN"/>
                <w14:textFill>
                  <w14:solidFill>
                    <w14:schemeClr w14:val="tx1"/>
                  </w14:solidFill>
                </w14:textFill>
              </w:rPr>
              <w:t>排放浓度</w:t>
            </w:r>
            <w:r>
              <w:rPr>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8.0</w:t>
            </w:r>
            <w:r>
              <w:rPr>
                <w:color w:val="000000" w:themeColor="text1"/>
                <w:sz w:val="24"/>
                <w:highlight w:val="none"/>
                <w14:textFill>
                  <w14:solidFill>
                    <w14:schemeClr w14:val="tx1"/>
                  </w14:solidFill>
                </w14:textFill>
              </w:rPr>
              <w:t>mg/m</w:t>
            </w:r>
            <w:r>
              <w:rPr>
                <w:color w:val="000000" w:themeColor="text1"/>
                <w:sz w:val="24"/>
                <w:highlight w:val="none"/>
                <w:vertAlign w:val="superscript"/>
                <w14:textFill>
                  <w14:solidFill>
                    <w14:schemeClr w14:val="tx1"/>
                  </w14:solidFill>
                </w14:textFill>
              </w:rPr>
              <w:t>3</w:t>
            </w:r>
            <w:r>
              <w:rPr>
                <w:rFonts w:hint="eastAsia"/>
                <w:color w:val="000000" w:themeColor="text1"/>
                <w:sz w:val="24"/>
                <w:highlight w:val="none"/>
                <w:vertAlign w:val="baseline"/>
                <w:lang w:eastAsia="zh-CN"/>
                <w14:textFill>
                  <w14:solidFill>
                    <w14:schemeClr w14:val="tx1"/>
                  </w14:solidFill>
                </w14:textFill>
              </w:rPr>
              <w:t>，</w:t>
            </w:r>
            <w:r>
              <w:rPr>
                <w:bCs/>
                <w:color w:val="000000" w:themeColor="text1"/>
                <w:sz w:val="24"/>
                <w:highlight w:val="none"/>
                <w14:textFill>
                  <w14:solidFill>
                    <w14:schemeClr w14:val="tx1"/>
                  </w14:solidFill>
                </w14:textFill>
              </w:rPr>
              <w:t>氨</w:t>
            </w:r>
            <w:r>
              <w:rPr>
                <w:rFonts w:hint="eastAsia"/>
                <w:bCs/>
                <w:color w:val="000000" w:themeColor="text1"/>
                <w:sz w:val="24"/>
                <w:highlight w:val="none"/>
                <w:lang w:val="en-US" w:eastAsia="zh-CN"/>
                <w14:textFill>
                  <w14:solidFill>
                    <w14:schemeClr w14:val="tx1"/>
                  </w14:solidFill>
                </w14:textFill>
              </w:rPr>
              <w:t>排放速率</w:t>
            </w:r>
            <w:r>
              <w:rPr>
                <w:bCs/>
                <w:color w:val="000000" w:themeColor="text1"/>
                <w:sz w:val="24"/>
                <w:highlight w:val="none"/>
                <w14:textFill>
                  <w14:solidFill>
                    <w14:schemeClr w14:val="tx1"/>
                  </w14:solidFill>
                </w14:textFill>
              </w:rPr>
              <w:t>≤35kg/h</w:t>
            </w:r>
            <w:r>
              <w:rPr>
                <w:rFonts w:hint="eastAsia"/>
                <w:color w:val="000000" w:themeColor="text1"/>
                <w:sz w:val="24"/>
                <w:highlight w:val="none"/>
                <w14:textFill>
                  <w14:solidFill>
                    <w14:schemeClr w14:val="tx1"/>
                  </w14:solidFill>
                </w14:textFill>
              </w:rPr>
              <w:t>。</w:t>
            </w:r>
          </w:p>
          <w:p w14:paraId="3EF687A8">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szCs w:val="22"/>
                <w:highlight w:val="none"/>
                <w14:textFill>
                  <w14:solidFill>
                    <w14:schemeClr w14:val="tx1"/>
                  </w14:solidFill>
                </w14:textFill>
              </w:rPr>
              <w:t>硫化氢的排放量为0.00</w:t>
            </w:r>
            <w:r>
              <w:rPr>
                <w:rFonts w:hint="eastAsia"/>
                <w:bCs/>
                <w:color w:val="000000" w:themeColor="text1"/>
                <w:sz w:val="24"/>
                <w:szCs w:val="22"/>
                <w:highlight w:val="none"/>
                <w14:textFill>
                  <w14:solidFill>
                    <w14:schemeClr w14:val="tx1"/>
                  </w14:solidFill>
                </w14:textFill>
              </w:rPr>
              <w:t>13</w:t>
            </w:r>
            <w:r>
              <w:rPr>
                <w:bCs/>
                <w:color w:val="000000" w:themeColor="text1"/>
                <w:sz w:val="24"/>
                <w:szCs w:val="22"/>
                <w:highlight w:val="none"/>
                <w14:textFill>
                  <w14:solidFill>
                    <w14:schemeClr w14:val="tx1"/>
                  </w14:solidFill>
                </w14:textFill>
              </w:rPr>
              <w:t>t/a，排放速率为0.00</w:t>
            </w:r>
            <w:r>
              <w:rPr>
                <w:rFonts w:hint="eastAsia"/>
                <w:bCs/>
                <w:color w:val="000000" w:themeColor="text1"/>
                <w:sz w:val="24"/>
                <w:szCs w:val="22"/>
                <w:highlight w:val="none"/>
                <w14:textFill>
                  <w14:solidFill>
                    <w14:schemeClr w14:val="tx1"/>
                  </w14:solidFill>
                </w14:textFill>
              </w:rPr>
              <w:t>017</w:t>
            </w:r>
            <w:r>
              <w:rPr>
                <w:bCs/>
                <w:color w:val="000000" w:themeColor="text1"/>
                <w:sz w:val="24"/>
                <w:szCs w:val="22"/>
                <w:highlight w:val="none"/>
                <w14:textFill>
                  <w14:solidFill>
                    <w14:schemeClr w14:val="tx1"/>
                  </w14:solidFill>
                </w14:textFill>
              </w:rPr>
              <w:t>kg/h，排放浓度为0.00</w:t>
            </w:r>
            <w:r>
              <w:rPr>
                <w:rFonts w:hint="eastAsia"/>
                <w:bCs/>
                <w:color w:val="000000" w:themeColor="text1"/>
                <w:sz w:val="24"/>
                <w:szCs w:val="22"/>
                <w:highlight w:val="none"/>
                <w14:textFill>
                  <w14:solidFill>
                    <w14:schemeClr w14:val="tx1"/>
                  </w14:solidFill>
                </w14:textFill>
              </w:rPr>
              <w:t>1</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w:t>
            </w:r>
            <w:r>
              <w:rPr>
                <w:bCs/>
                <w:color w:val="000000" w:themeColor="text1"/>
                <w:sz w:val="24"/>
                <w:highlight w:val="none"/>
                <w14:textFill>
                  <w14:solidFill>
                    <w14:schemeClr w14:val="tx1"/>
                  </w14:solidFill>
                </w14:textFill>
              </w:rPr>
              <w:t>臭气浓度为20（无量纲）。废气排放满足《恶臭污染物排放标准》（GB14554-93）表2恶臭污染物排放限值要求（40m高排气筒），即硫化氢≤2.3kg/h，臭气浓度≤20000（无量纲）。</w:t>
            </w:r>
          </w:p>
          <w:p w14:paraId="7C6FDB91">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②</w:t>
            </w:r>
            <w:r>
              <w:rPr>
                <w:bCs/>
                <w:color w:val="000000" w:themeColor="text1"/>
                <w:sz w:val="24"/>
                <w:highlight w:val="none"/>
                <w14:textFill>
                  <w14:solidFill>
                    <w14:schemeClr w14:val="tx1"/>
                  </w14:solidFill>
                </w14:textFill>
              </w:rPr>
              <w:t>隧道窑停产时</w:t>
            </w:r>
          </w:p>
          <w:p w14:paraId="079574D8">
            <w:pPr>
              <w:spacing w:line="480" w:lineRule="exact"/>
              <w:ind w:firstLine="480" w:firstLineChars="200"/>
              <w:rPr>
                <w:bCs/>
                <w:color w:val="000000" w:themeColor="text1"/>
                <w:sz w:val="24"/>
                <w:szCs w:val="22"/>
                <w:highlight w:val="none"/>
                <w14:textFill>
                  <w14:solidFill>
                    <w14:schemeClr w14:val="tx1"/>
                  </w14:solidFill>
                </w14:textFill>
              </w:rPr>
            </w:pPr>
            <w:r>
              <w:rPr>
                <w:bCs/>
                <w:color w:val="000000" w:themeColor="text1"/>
                <w:sz w:val="24"/>
                <w:szCs w:val="22"/>
                <w:highlight w:val="none"/>
                <w14:textFill>
                  <w14:solidFill>
                    <w14:schemeClr w14:val="tx1"/>
                  </w14:solidFill>
                </w14:textFill>
              </w:rPr>
              <w:t>隧道窑停产时，将恶臭气体收集后引入两级活性炭吸附装置处理，</w:t>
            </w:r>
            <w:r>
              <w:rPr>
                <w:rFonts w:hint="eastAsia"/>
                <w:bCs/>
                <w:color w:val="000000" w:themeColor="text1"/>
                <w:sz w:val="24"/>
                <w:szCs w:val="22"/>
                <w:highlight w:val="none"/>
                <w14:textFill>
                  <w14:solidFill>
                    <w14:schemeClr w14:val="tx1"/>
                  </w14:solidFill>
                </w14:textFill>
              </w:rPr>
              <w:t>本次改扩建更换现有处理装置，处理能力20000</w:t>
            </w:r>
            <w:r>
              <w:rPr>
                <w:bCs/>
                <w:color w:val="000000" w:themeColor="text1"/>
                <w:sz w:val="24"/>
                <w:szCs w:val="22"/>
                <w:highlight w:val="none"/>
                <w14:textFill>
                  <w14:solidFill>
                    <w14:schemeClr w14:val="tx1"/>
                  </w14:solidFill>
                </w14:textFill>
              </w:rPr>
              <w:t>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/h，处理效率60%，处理后经1根15m高排气筒DA007排放。经处理后氨的排放量为</w:t>
            </w:r>
            <w:r>
              <w:rPr>
                <w:rFonts w:hint="eastAsia"/>
                <w:bCs/>
                <w:color w:val="000000" w:themeColor="text1"/>
                <w:sz w:val="24"/>
                <w:szCs w:val="22"/>
                <w:highlight w:val="none"/>
                <w14:textFill>
                  <w14:solidFill>
                    <w14:schemeClr w14:val="tx1"/>
                  </w14:solidFill>
                </w14:textFill>
              </w:rPr>
              <w:t>0.1148</w:t>
            </w:r>
            <w:r>
              <w:rPr>
                <w:bCs/>
                <w:color w:val="000000" w:themeColor="text1"/>
                <w:sz w:val="24"/>
                <w:szCs w:val="22"/>
                <w:highlight w:val="none"/>
                <w14:textFill>
                  <w14:solidFill>
                    <w14:schemeClr w14:val="tx1"/>
                  </w14:solidFill>
                </w14:textFill>
              </w:rPr>
              <w:t>t/a，排放速率为0.0</w:t>
            </w:r>
            <w:r>
              <w:rPr>
                <w:rFonts w:hint="eastAsia"/>
                <w:bCs/>
                <w:color w:val="000000" w:themeColor="text1"/>
                <w:sz w:val="24"/>
                <w:szCs w:val="22"/>
                <w:highlight w:val="none"/>
                <w14:textFill>
                  <w14:solidFill>
                    <w14:schemeClr w14:val="tx1"/>
                  </w14:solidFill>
                </w14:textFill>
              </w:rPr>
              <w:t>145</w:t>
            </w:r>
            <w:r>
              <w:rPr>
                <w:bCs/>
                <w:color w:val="000000" w:themeColor="text1"/>
                <w:sz w:val="24"/>
                <w:szCs w:val="22"/>
                <w:highlight w:val="none"/>
                <w14:textFill>
                  <w14:solidFill>
                    <w14:schemeClr w14:val="tx1"/>
                  </w14:solidFill>
                </w14:textFill>
              </w:rPr>
              <w:t>kg/h，排放浓度为</w:t>
            </w:r>
            <w:r>
              <w:rPr>
                <w:rFonts w:hint="eastAsia"/>
                <w:bCs/>
                <w:color w:val="000000" w:themeColor="text1"/>
                <w:sz w:val="24"/>
                <w:szCs w:val="22"/>
                <w:highlight w:val="none"/>
                <w14:textFill>
                  <w14:solidFill>
                    <w14:schemeClr w14:val="tx1"/>
                  </w14:solidFill>
                </w14:textFill>
              </w:rPr>
              <w:t>0.72</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；硫化氢的排放量为0.00</w:t>
            </w:r>
            <w:r>
              <w:rPr>
                <w:rFonts w:hint="eastAsia"/>
                <w:bCs/>
                <w:color w:val="000000" w:themeColor="text1"/>
                <w:sz w:val="24"/>
                <w:szCs w:val="22"/>
                <w:highlight w:val="none"/>
                <w14:textFill>
                  <w14:solidFill>
                    <w14:schemeClr w14:val="tx1"/>
                  </w14:solidFill>
                </w14:textFill>
              </w:rPr>
              <w:t>53</w:t>
            </w:r>
            <w:r>
              <w:rPr>
                <w:bCs/>
                <w:color w:val="000000" w:themeColor="text1"/>
                <w:sz w:val="24"/>
                <w:szCs w:val="22"/>
                <w:highlight w:val="none"/>
                <w14:textFill>
                  <w14:solidFill>
                    <w14:schemeClr w14:val="tx1"/>
                  </w14:solidFill>
                </w14:textFill>
              </w:rPr>
              <w:t>t/a，排放速率为0.000</w:t>
            </w:r>
            <w:r>
              <w:rPr>
                <w:rFonts w:hint="eastAsia"/>
                <w:bCs/>
                <w:color w:val="000000" w:themeColor="text1"/>
                <w:sz w:val="24"/>
                <w:szCs w:val="22"/>
                <w:highlight w:val="none"/>
                <w14:textFill>
                  <w14:solidFill>
                    <w14:schemeClr w14:val="tx1"/>
                  </w14:solidFill>
                </w14:textFill>
              </w:rPr>
              <w:t>67</w:t>
            </w:r>
            <w:r>
              <w:rPr>
                <w:bCs/>
                <w:color w:val="000000" w:themeColor="text1"/>
                <w:sz w:val="24"/>
                <w:szCs w:val="22"/>
                <w:highlight w:val="none"/>
                <w14:textFill>
                  <w14:solidFill>
                    <w14:schemeClr w14:val="tx1"/>
                  </w14:solidFill>
                </w14:textFill>
              </w:rPr>
              <w:t>kg/h，排放浓度为0.0</w:t>
            </w:r>
            <w:r>
              <w:rPr>
                <w:rFonts w:hint="eastAsia"/>
                <w:bCs/>
                <w:color w:val="000000" w:themeColor="text1"/>
                <w:sz w:val="24"/>
                <w:szCs w:val="22"/>
                <w:highlight w:val="none"/>
                <w14:textFill>
                  <w14:solidFill>
                    <w14:schemeClr w14:val="tx1"/>
                  </w14:solidFill>
                </w14:textFill>
              </w:rPr>
              <w:t>33</w:t>
            </w:r>
            <w:r>
              <w:rPr>
                <w:bCs/>
                <w:color w:val="000000" w:themeColor="text1"/>
                <w:sz w:val="24"/>
                <w:szCs w:val="22"/>
                <w:highlight w:val="none"/>
                <w14:textFill>
                  <w14:solidFill>
                    <w14:schemeClr w14:val="tx1"/>
                  </w14:solidFill>
                </w14:textFill>
              </w:rPr>
              <w:t>mg/m</w:t>
            </w:r>
            <w:r>
              <w:rPr>
                <w:bCs/>
                <w:color w:val="000000" w:themeColor="text1"/>
                <w:sz w:val="24"/>
                <w:szCs w:val="22"/>
                <w:highlight w:val="none"/>
                <w:vertAlign w:val="superscript"/>
                <w14:textFill>
                  <w14:solidFill>
                    <w14:schemeClr w14:val="tx1"/>
                  </w14:solidFill>
                </w14:textFill>
              </w:rPr>
              <w:t>3</w:t>
            </w:r>
            <w:r>
              <w:rPr>
                <w:bCs/>
                <w:color w:val="000000" w:themeColor="text1"/>
                <w:sz w:val="24"/>
                <w:szCs w:val="22"/>
                <w:highlight w:val="none"/>
                <w14:textFill>
                  <w14:solidFill>
                    <w14:schemeClr w14:val="tx1"/>
                  </w14:solidFill>
                </w14:textFill>
              </w:rPr>
              <w:t>，臭气浓度为80（无量纲）。废气排放满足《恶臭污染物排放标准》（GB14554-93）表2恶臭污染物排放限值要求（排气筒高度为15m），即氨≤4.9kg/h，硫化氢≤0.33kg/h，臭气浓度≤2000（无量纲）。</w:t>
            </w:r>
          </w:p>
          <w:p w14:paraId="75234382">
            <w:pPr>
              <w:spacing w:line="480" w:lineRule="exact"/>
              <w:ind w:firstLine="480" w:firstLineChars="200"/>
              <w:rPr>
                <w:color w:val="000000" w:themeColor="text1"/>
                <w:sz w:val="24"/>
                <w:szCs w:val="22"/>
                <w:highlight w:val="none"/>
                <w14:textFill>
                  <w14:solidFill>
                    <w14:schemeClr w14:val="tx1"/>
                  </w14:solidFill>
                </w14:textFill>
              </w:rPr>
            </w:pPr>
            <w:r>
              <w:rPr>
                <w:bCs/>
                <w:color w:val="000000" w:themeColor="text1"/>
                <w:sz w:val="24"/>
                <w:szCs w:val="22"/>
                <w:highlight w:val="none"/>
                <w14:textFill>
                  <w14:solidFill>
                    <w14:schemeClr w14:val="tx1"/>
                  </w14:solidFill>
                </w14:textFill>
              </w:rPr>
              <w:t>经核算，氨无组织排放量为</w:t>
            </w:r>
            <w:r>
              <w:rPr>
                <w:rFonts w:hint="eastAsia"/>
                <w:bCs/>
                <w:color w:val="000000" w:themeColor="text1"/>
                <w:sz w:val="24"/>
                <w:szCs w:val="22"/>
                <w:highlight w:val="none"/>
                <w14:textFill>
                  <w14:solidFill>
                    <w14:schemeClr w14:val="tx1"/>
                  </w14:solidFill>
                </w14:textFill>
              </w:rPr>
              <w:t>0.0151</w:t>
            </w:r>
            <w:r>
              <w:rPr>
                <w:bCs/>
                <w:color w:val="000000" w:themeColor="text1"/>
                <w:sz w:val="24"/>
                <w:szCs w:val="22"/>
                <w:highlight w:val="none"/>
                <w14:textFill>
                  <w14:solidFill>
                    <w14:schemeClr w14:val="tx1"/>
                  </w14:solidFill>
                </w14:textFill>
              </w:rPr>
              <w:t>t/a，排放速率为0.00</w:t>
            </w:r>
            <w:r>
              <w:rPr>
                <w:rFonts w:hint="eastAsia"/>
                <w:bCs/>
                <w:color w:val="000000" w:themeColor="text1"/>
                <w:sz w:val="24"/>
                <w:szCs w:val="22"/>
                <w:highlight w:val="none"/>
                <w14:textFill>
                  <w14:solidFill>
                    <w14:schemeClr w14:val="tx1"/>
                  </w14:solidFill>
                </w14:textFill>
              </w:rPr>
              <w:t>19</w:t>
            </w:r>
            <w:r>
              <w:rPr>
                <w:bCs/>
                <w:color w:val="000000" w:themeColor="text1"/>
                <w:sz w:val="24"/>
                <w:szCs w:val="22"/>
                <w:highlight w:val="none"/>
                <w14:textFill>
                  <w14:solidFill>
                    <w14:schemeClr w14:val="tx1"/>
                  </w14:solidFill>
                </w14:textFill>
              </w:rPr>
              <w:t>kg/h；硫化氢无组织排放量为0.000</w:t>
            </w:r>
            <w:r>
              <w:rPr>
                <w:rFonts w:hint="eastAsia"/>
                <w:bCs/>
                <w:color w:val="000000" w:themeColor="text1"/>
                <w:sz w:val="24"/>
                <w:szCs w:val="22"/>
                <w:highlight w:val="none"/>
                <w14:textFill>
                  <w14:solidFill>
                    <w14:schemeClr w14:val="tx1"/>
                  </w14:solidFill>
                </w14:textFill>
              </w:rPr>
              <w:t>7</w:t>
            </w:r>
            <w:r>
              <w:rPr>
                <w:bCs/>
                <w:color w:val="000000" w:themeColor="text1"/>
                <w:sz w:val="24"/>
                <w:szCs w:val="22"/>
                <w:highlight w:val="none"/>
                <w14:textFill>
                  <w14:solidFill>
                    <w14:schemeClr w14:val="tx1"/>
                  </w14:solidFill>
                </w14:textFill>
              </w:rPr>
              <w:t>t/a，排放速率为0.0000</w:t>
            </w:r>
            <w:r>
              <w:rPr>
                <w:rFonts w:hint="eastAsia"/>
                <w:bCs/>
                <w:color w:val="000000" w:themeColor="text1"/>
                <w:sz w:val="24"/>
                <w:szCs w:val="22"/>
                <w:highlight w:val="none"/>
                <w14:textFill>
                  <w14:solidFill>
                    <w14:schemeClr w14:val="tx1"/>
                  </w14:solidFill>
                </w14:textFill>
              </w:rPr>
              <w:t>88</w:t>
            </w:r>
            <w:r>
              <w:rPr>
                <w:bCs/>
                <w:color w:val="000000" w:themeColor="text1"/>
                <w:sz w:val="24"/>
                <w:szCs w:val="22"/>
                <w:highlight w:val="none"/>
                <w14:textFill>
                  <w14:solidFill>
                    <w14:schemeClr w14:val="tx1"/>
                  </w14:solidFill>
                </w14:textFill>
              </w:rPr>
              <w:t>kg/h。</w:t>
            </w:r>
          </w:p>
          <w:p w14:paraId="5E34EB3F">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1.1.2无组织废气</w:t>
            </w:r>
          </w:p>
          <w:p w14:paraId="72CA83A7">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物料装卸、堆存、上料、破碎、筛分、搅拌、窑车吹扫等过程无组织颗粒物</w:t>
            </w:r>
          </w:p>
          <w:p w14:paraId="0D88F8D9">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项目页岩原料库、煤矸石原料库、污泥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、破碎车间、陈化库、制坯车间、</w:t>
            </w:r>
            <w:r>
              <w:rPr>
                <w:rFonts w:hint="eastAsia"/>
                <w:bCs/>
                <w:color w:val="000000" w:themeColor="text1"/>
                <w:sz w:val="24"/>
                <w:highlight w:val="none"/>
                <w14:textFill>
                  <w14:solidFill>
                    <w14:schemeClr w14:val="tx1"/>
                  </w14:solidFill>
                </w14:textFill>
              </w:rPr>
              <w:t>焙烧</w:t>
            </w:r>
            <w:r>
              <w:rPr>
                <w:bCs/>
                <w:color w:val="000000" w:themeColor="text1"/>
                <w:sz w:val="24"/>
                <w:highlight w:val="none"/>
                <w14:textFill>
                  <w14:solidFill>
                    <w14:schemeClr w14:val="tx1"/>
                  </w14:solidFill>
                </w14:textFill>
              </w:rPr>
              <w:t>烘干车间等均为封闭式厂房，原料堆存区散料堆存随风起尘量很少，无组织粉尘主要来源于物料上料、破碎、筛分、搅拌过程集气罩未收集到的粉尘以及物料储运、装卸、转载等过程产生的粉尘，均以无组织形式排放。为降低无组织粉尘对周围环境的影响，</w:t>
            </w:r>
            <w:r>
              <w:rPr>
                <w:rFonts w:hint="eastAsia"/>
                <w:bCs/>
                <w:color w:val="000000" w:themeColor="text1"/>
                <w:sz w:val="24"/>
                <w:highlight w:val="none"/>
                <w14:textFill>
                  <w14:solidFill>
                    <w14:schemeClr w14:val="tx1"/>
                  </w14:solidFill>
                </w14:textFill>
              </w:rPr>
              <w:t>本</w:t>
            </w:r>
            <w:r>
              <w:rPr>
                <w:bCs/>
                <w:color w:val="000000" w:themeColor="text1"/>
                <w:sz w:val="24"/>
                <w:highlight w:val="none"/>
                <w14:textFill>
                  <w14:solidFill>
                    <w14:schemeClr w14:val="tx1"/>
                  </w14:solidFill>
                </w14:textFill>
              </w:rPr>
              <w:t>项目采取以下</w:t>
            </w:r>
            <w:r>
              <w:rPr>
                <w:rFonts w:hint="eastAsia"/>
                <w:bCs/>
                <w:color w:val="000000" w:themeColor="text1"/>
                <w:sz w:val="24"/>
                <w:highlight w:val="none"/>
                <w14:textFill>
                  <w14:solidFill>
                    <w14:schemeClr w14:val="tx1"/>
                  </w14:solidFill>
                </w14:textFill>
              </w:rPr>
              <w:t>无组织控制</w:t>
            </w:r>
            <w:r>
              <w:rPr>
                <w:bCs/>
                <w:color w:val="000000" w:themeColor="text1"/>
                <w:sz w:val="24"/>
                <w:highlight w:val="none"/>
                <w14:textFill>
                  <w14:solidFill>
                    <w14:schemeClr w14:val="tx1"/>
                  </w14:solidFill>
                </w14:textFill>
              </w:rPr>
              <w:t>措施：</w:t>
            </w:r>
          </w:p>
          <w:p w14:paraId="54CF927B">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原料运输时采用汽车运输，对运输的车辆进行苫布遮盖；物料由汽车直接运至原料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，因此原料装卸和堆存均在封闭原料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内进行，原料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均设置红外感应门，原料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顶配套全覆盖的喷淋设施，原料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内设置1台雾炮，</w:t>
            </w:r>
            <w:r>
              <w:rPr>
                <w:rFonts w:hint="eastAsia"/>
                <w:bCs/>
                <w:color w:val="000000" w:themeColor="text1"/>
                <w:sz w:val="24"/>
                <w:highlight w:val="none"/>
                <w14:textFill>
                  <w14:solidFill>
                    <w14:schemeClr w14:val="tx1"/>
                  </w14:solidFill>
                </w14:textFill>
              </w:rPr>
              <w:t>原料库</w:t>
            </w:r>
            <w:r>
              <w:rPr>
                <w:bCs/>
                <w:color w:val="000000" w:themeColor="text1"/>
                <w:sz w:val="24"/>
                <w:highlight w:val="none"/>
                <w14:textFill>
                  <w14:solidFill>
                    <w14:schemeClr w14:val="tx1"/>
                  </w14:solidFill>
                </w14:textFill>
              </w:rPr>
              <w:t>进出口设置车辆自动冲洗平台；车间和原料</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地面均已全部硬化，采用钢筋混凝土做基础；上料、破碎、筛分、搅拌等产尘作业均置于破碎车间内，且产尘点均封闭处理，并设置喷淋装置及集气罩收集粉尘以降低无组织排放量；物料转运采用皮带输送机设置密闭廊道；厂内配备洒水车和湿扫车，防止扬尘污染。</w:t>
            </w:r>
          </w:p>
          <w:p w14:paraId="50404910">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物料上料、破碎、筛分、搅拌工序置于破碎车间，上方分别采取三面封闭+喷淋，破碎机、筛分机、搅拌机全封闭处理，经集气后引至脉冲布袋除尘器进行处理。考虑到粉尘逸散，收集效率按95%，无组织排放按照废气产生量的5%考虑，</w:t>
            </w:r>
            <w:r>
              <w:rPr>
                <w:rFonts w:hint="eastAsia"/>
                <w:bCs/>
                <w:color w:val="000000" w:themeColor="text1"/>
                <w:sz w:val="24"/>
                <w:highlight w:val="none"/>
                <w14:textFill>
                  <w14:solidFill>
                    <w14:schemeClr w14:val="tx1"/>
                  </w14:solidFill>
                </w14:textFill>
              </w:rPr>
              <w:t>参照《排放源统计调查产排污核算方法和系数手册》，密闭式厂房粉尘抑制效率99%，</w:t>
            </w:r>
            <w:r>
              <w:rPr>
                <w:bCs/>
                <w:color w:val="000000" w:themeColor="text1"/>
                <w:sz w:val="24"/>
                <w:szCs w:val="22"/>
                <w:highlight w:val="none"/>
                <w14:textFill>
                  <w14:solidFill>
                    <w14:schemeClr w14:val="tx1"/>
                  </w14:solidFill>
                </w14:textFill>
              </w:rPr>
              <w:t>则上料、破碎、筛分、搅拌工序颗粒物无组织排放量为0.</w:t>
            </w:r>
            <w:r>
              <w:rPr>
                <w:rFonts w:hint="eastAsia"/>
                <w:bCs/>
                <w:color w:val="000000" w:themeColor="text1"/>
                <w:sz w:val="24"/>
                <w:szCs w:val="22"/>
                <w:highlight w:val="none"/>
                <w14:textFill>
                  <w14:solidFill>
                    <w14:schemeClr w14:val="tx1"/>
                  </w14:solidFill>
                </w14:textFill>
              </w:rPr>
              <w:t>0</w:t>
            </w:r>
            <w:r>
              <w:rPr>
                <w:rFonts w:hint="eastAsia"/>
                <w:bCs/>
                <w:color w:val="000000" w:themeColor="text1"/>
                <w:sz w:val="24"/>
                <w:szCs w:val="22"/>
                <w:highlight w:val="none"/>
                <w:lang w:val="en-US" w:eastAsia="zh-CN"/>
                <w14:textFill>
                  <w14:solidFill>
                    <w14:schemeClr w14:val="tx1"/>
                  </w14:solidFill>
                </w14:textFill>
              </w:rPr>
              <w:t>2</w:t>
            </w:r>
            <w:r>
              <w:rPr>
                <w:bCs/>
                <w:color w:val="000000" w:themeColor="text1"/>
                <w:sz w:val="24"/>
                <w:szCs w:val="22"/>
                <w:highlight w:val="none"/>
                <w14:textFill>
                  <w14:solidFill>
                    <w14:schemeClr w14:val="tx1"/>
                  </w14:solidFill>
                </w14:textFill>
              </w:rPr>
              <w:t>t/a，排放速率为0.</w:t>
            </w:r>
            <w:r>
              <w:rPr>
                <w:rFonts w:hint="eastAsia"/>
                <w:bCs/>
                <w:color w:val="000000" w:themeColor="text1"/>
                <w:sz w:val="24"/>
                <w:szCs w:val="22"/>
                <w:highlight w:val="none"/>
                <w14:textFill>
                  <w14:solidFill>
                    <w14:schemeClr w14:val="tx1"/>
                  </w14:solidFill>
                </w14:textFill>
              </w:rPr>
              <w:t>00</w:t>
            </w:r>
            <w:r>
              <w:rPr>
                <w:rFonts w:hint="eastAsia"/>
                <w:bCs/>
                <w:color w:val="000000" w:themeColor="text1"/>
                <w:sz w:val="24"/>
                <w:szCs w:val="22"/>
                <w:highlight w:val="none"/>
                <w:lang w:val="en-US" w:eastAsia="zh-CN"/>
                <w14:textFill>
                  <w14:solidFill>
                    <w14:schemeClr w14:val="tx1"/>
                  </w14:solidFill>
                </w14:textFill>
              </w:rPr>
              <w:t>374</w:t>
            </w:r>
            <w:r>
              <w:rPr>
                <w:bCs/>
                <w:color w:val="000000" w:themeColor="text1"/>
                <w:sz w:val="24"/>
                <w:szCs w:val="22"/>
                <w:highlight w:val="none"/>
                <w14:textFill>
                  <w14:solidFill>
                    <w14:schemeClr w14:val="tx1"/>
                  </w14:solidFill>
                </w14:textFill>
              </w:rPr>
              <w:t>kg/h。</w:t>
            </w:r>
          </w:p>
          <w:p w14:paraId="3A6B3058">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窑车吹扫置于</w:t>
            </w:r>
            <w:r>
              <w:rPr>
                <w:rFonts w:hint="eastAsia"/>
                <w:bCs/>
                <w:color w:val="000000" w:themeColor="text1"/>
                <w:sz w:val="24"/>
                <w:highlight w:val="none"/>
                <w14:textFill>
                  <w14:solidFill>
                    <w14:schemeClr w14:val="tx1"/>
                  </w14:solidFill>
                </w14:textFill>
              </w:rPr>
              <w:t>焙烧烘干</w:t>
            </w:r>
            <w:r>
              <w:rPr>
                <w:bCs/>
                <w:color w:val="000000" w:themeColor="text1"/>
                <w:sz w:val="24"/>
                <w:highlight w:val="none"/>
                <w14:textFill>
                  <w14:solidFill>
                    <w14:schemeClr w14:val="tx1"/>
                  </w14:solidFill>
                </w14:textFill>
              </w:rPr>
              <w:t>车间，设置固定工位，且进行全封闭处理，经集气后引至脉冲布袋除尘器进行处理。考虑到粉尘逸散，收集效率按95%，无组织排放按照废气产生量的5%考虑，</w:t>
            </w:r>
            <w:r>
              <w:rPr>
                <w:rFonts w:hint="eastAsia"/>
                <w:bCs/>
                <w:color w:val="000000" w:themeColor="text1"/>
                <w:sz w:val="24"/>
                <w:highlight w:val="none"/>
                <w14:textFill>
                  <w14:solidFill>
                    <w14:schemeClr w14:val="tx1"/>
                  </w14:solidFill>
                </w14:textFill>
              </w:rPr>
              <w:t>参照《排放源统计调查产排污核算方法和系数手册》，密闭式厂房粉尘抑制效率99%，</w:t>
            </w:r>
            <w:r>
              <w:rPr>
                <w:bCs/>
                <w:color w:val="000000" w:themeColor="text1"/>
                <w:sz w:val="24"/>
                <w:szCs w:val="22"/>
                <w:highlight w:val="none"/>
                <w14:textFill>
                  <w14:solidFill>
                    <w14:schemeClr w14:val="tx1"/>
                  </w14:solidFill>
                </w14:textFill>
              </w:rPr>
              <w:t>则窑车吹扫工序颗粒物无组织排放量为</w:t>
            </w:r>
            <w:r>
              <w:rPr>
                <w:rFonts w:hint="eastAsia"/>
                <w:bCs/>
                <w:color w:val="000000" w:themeColor="text1"/>
                <w:sz w:val="24"/>
                <w:szCs w:val="22"/>
                <w:highlight w:val="none"/>
                <w14:textFill>
                  <w14:solidFill>
                    <w14:schemeClr w14:val="tx1"/>
                  </w14:solidFill>
                </w14:textFill>
              </w:rPr>
              <w:t>0.00</w:t>
            </w:r>
            <w:r>
              <w:rPr>
                <w:rFonts w:hint="eastAsia"/>
                <w:bCs/>
                <w:color w:val="000000" w:themeColor="text1"/>
                <w:sz w:val="24"/>
                <w:szCs w:val="22"/>
                <w:highlight w:val="none"/>
                <w:lang w:val="en-US" w:eastAsia="zh-CN"/>
                <w14:textFill>
                  <w14:solidFill>
                    <w14:schemeClr w14:val="tx1"/>
                  </w14:solidFill>
                </w14:textFill>
              </w:rPr>
              <w:t>5</w:t>
            </w:r>
            <w:r>
              <w:rPr>
                <w:bCs/>
                <w:color w:val="000000" w:themeColor="text1"/>
                <w:sz w:val="24"/>
                <w:szCs w:val="22"/>
                <w:highlight w:val="none"/>
                <w14:textFill>
                  <w14:solidFill>
                    <w14:schemeClr w14:val="tx1"/>
                  </w14:solidFill>
                </w14:textFill>
              </w:rPr>
              <w:t>t/a，排放速率为0.0</w:t>
            </w:r>
            <w:r>
              <w:rPr>
                <w:rFonts w:hint="eastAsia"/>
                <w:bCs/>
                <w:color w:val="000000" w:themeColor="text1"/>
                <w:sz w:val="24"/>
                <w:szCs w:val="22"/>
                <w:highlight w:val="none"/>
                <w14:textFill>
                  <w14:solidFill>
                    <w14:schemeClr w14:val="tx1"/>
                  </w14:solidFill>
                </w14:textFill>
              </w:rPr>
              <w:t>00</w:t>
            </w:r>
            <w:r>
              <w:rPr>
                <w:rFonts w:hint="eastAsia"/>
                <w:bCs/>
                <w:color w:val="000000" w:themeColor="text1"/>
                <w:sz w:val="24"/>
                <w:szCs w:val="22"/>
                <w:highlight w:val="none"/>
                <w:lang w:val="en-US" w:eastAsia="zh-CN"/>
                <w14:textFill>
                  <w14:solidFill>
                    <w14:schemeClr w14:val="tx1"/>
                  </w14:solidFill>
                </w14:textFill>
              </w:rPr>
              <w:t>93</w:t>
            </w:r>
            <w:r>
              <w:rPr>
                <w:bCs/>
                <w:color w:val="000000" w:themeColor="text1"/>
                <w:sz w:val="24"/>
                <w:szCs w:val="22"/>
                <w:highlight w:val="none"/>
                <w14:textFill>
                  <w14:solidFill>
                    <w14:schemeClr w14:val="tx1"/>
                  </w14:solidFill>
                </w14:textFill>
              </w:rPr>
              <w:t>kg/h。</w:t>
            </w:r>
          </w:p>
          <w:p w14:paraId="32F40063">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）污泥</w:t>
            </w:r>
            <w:r>
              <w:rPr>
                <w:rFonts w:hint="eastAsia"/>
                <w:color w:val="000000" w:themeColor="text1"/>
                <w:sz w:val="24"/>
                <w:highlight w:val="none"/>
                <w14:textFill>
                  <w14:solidFill>
                    <w14:schemeClr w14:val="tx1"/>
                  </w14:solidFill>
                </w14:textFill>
              </w:rPr>
              <w:t>库</w:t>
            </w:r>
            <w:r>
              <w:rPr>
                <w:color w:val="000000" w:themeColor="text1"/>
                <w:sz w:val="24"/>
                <w:highlight w:val="none"/>
                <w14:textFill>
                  <w14:solidFill>
                    <w14:schemeClr w14:val="tx1"/>
                  </w14:solidFill>
                </w14:textFill>
              </w:rPr>
              <w:t>未收集的恶臭气体，主要为氨、硫化氢、臭气浓度</w:t>
            </w:r>
          </w:p>
          <w:p w14:paraId="7D4CAB6F">
            <w:pPr>
              <w:spacing w:line="480" w:lineRule="exact"/>
              <w:ind w:firstLine="480" w:firstLineChars="200"/>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考虑到污泥</w:t>
            </w:r>
            <w:r>
              <w:rPr>
                <w:rFonts w:hint="eastAsia"/>
                <w:bCs/>
                <w:color w:val="000000" w:themeColor="text1"/>
                <w:sz w:val="24"/>
                <w:highlight w:val="none"/>
                <w14:textFill>
                  <w14:solidFill>
                    <w14:schemeClr w14:val="tx1"/>
                  </w14:solidFill>
                </w14:textFill>
              </w:rPr>
              <w:t>库</w:t>
            </w:r>
            <w:r>
              <w:rPr>
                <w:bCs/>
                <w:color w:val="000000" w:themeColor="text1"/>
                <w:sz w:val="24"/>
                <w:highlight w:val="none"/>
                <w14:textFill>
                  <w14:solidFill>
                    <w14:schemeClr w14:val="tx1"/>
                  </w14:solidFill>
                </w14:textFill>
              </w:rPr>
              <w:t>车辆进出时，自动感应门的开启，会有少量恶臭气体逸散，</w:t>
            </w:r>
            <w:r>
              <w:rPr>
                <w:rFonts w:hint="eastAsia"/>
                <w:bCs/>
                <w:color w:val="000000" w:themeColor="text1"/>
                <w:sz w:val="24"/>
                <w:highlight w:val="none"/>
                <w14:textFill>
                  <w14:solidFill>
                    <w14:schemeClr w14:val="tx1"/>
                  </w14:solidFill>
                </w14:textFill>
              </w:rPr>
              <w:t>约为产生量的5%。</w:t>
            </w:r>
            <w:r>
              <w:rPr>
                <w:bCs/>
                <w:color w:val="000000" w:themeColor="text1"/>
                <w:sz w:val="24"/>
                <w:highlight w:val="none"/>
                <w14:textFill>
                  <w14:solidFill>
                    <w14:schemeClr w14:val="tx1"/>
                  </w14:solidFill>
                </w14:textFill>
              </w:rPr>
              <w:t>经核算，</w:t>
            </w:r>
            <w:r>
              <w:rPr>
                <w:bCs/>
                <w:color w:val="000000" w:themeColor="text1"/>
                <w:sz w:val="24"/>
                <w:szCs w:val="22"/>
                <w:highlight w:val="none"/>
                <w14:textFill>
                  <w14:solidFill>
                    <w14:schemeClr w14:val="tx1"/>
                  </w14:solidFill>
                </w14:textFill>
              </w:rPr>
              <w:t>氨无组织排放量为</w:t>
            </w:r>
            <w:r>
              <w:rPr>
                <w:rFonts w:hint="eastAsia"/>
                <w:bCs/>
                <w:color w:val="000000" w:themeColor="text1"/>
                <w:sz w:val="24"/>
                <w:szCs w:val="22"/>
                <w:highlight w:val="none"/>
                <w14:textFill>
                  <w14:solidFill>
                    <w14:schemeClr w14:val="tx1"/>
                  </w14:solidFill>
                </w14:textFill>
              </w:rPr>
              <w:t>0.0151</w:t>
            </w:r>
            <w:r>
              <w:rPr>
                <w:bCs/>
                <w:color w:val="000000" w:themeColor="text1"/>
                <w:sz w:val="24"/>
                <w:szCs w:val="22"/>
                <w:highlight w:val="none"/>
                <w14:textFill>
                  <w14:solidFill>
                    <w14:schemeClr w14:val="tx1"/>
                  </w14:solidFill>
                </w14:textFill>
              </w:rPr>
              <w:t>t/a，排放速率为0.00</w:t>
            </w:r>
            <w:r>
              <w:rPr>
                <w:rFonts w:hint="eastAsia"/>
                <w:bCs/>
                <w:color w:val="000000" w:themeColor="text1"/>
                <w:sz w:val="24"/>
                <w:szCs w:val="22"/>
                <w:highlight w:val="none"/>
                <w14:textFill>
                  <w14:solidFill>
                    <w14:schemeClr w14:val="tx1"/>
                  </w14:solidFill>
                </w14:textFill>
              </w:rPr>
              <w:t>19</w:t>
            </w:r>
            <w:r>
              <w:rPr>
                <w:bCs/>
                <w:color w:val="000000" w:themeColor="text1"/>
                <w:sz w:val="24"/>
                <w:szCs w:val="22"/>
                <w:highlight w:val="none"/>
                <w14:textFill>
                  <w14:solidFill>
                    <w14:schemeClr w14:val="tx1"/>
                  </w14:solidFill>
                </w14:textFill>
              </w:rPr>
              <w:t>kg/h；硫化氢无组织排放量为0.000</w:t>
            </w:r>
            <w:r>
              <w:rPr>
                <w:rFonts w:hint="eastAsia"/>
                <w:bCs/>
                <w:color w:val="000000" w:themeColor="text1"/>
                <w:sz w:val="24"/>
                <w:szCs w:val="22"/>
                <w:highlight w:val="none"/>
                <w14:textFill>
                  <w14:solidFill>
                    <w14:schemeClr w14:val="tx1"/>
                  </w14:solidFill>
                </w14:textFill>
              </w:rPr>
              <w:t>7</w:t>
            </w:r>
            <w:r>
              <w:rPr>
                <w:bCs/>
                <w:color w:val="000000" w:themeColor="text1"/>
                <w:sz w:val="24"/>
                <w:szCs w:val="22"/>
                <w:highlight w:val="none"/>
                <w14:textFill>
                  <w14:solidFill>
                    <w14:schemeClr w14:val="tx1"/>
                  </w14:solidFill>
                </w14:textFill>
              </w:rPr>
              <w:t>t/a，排放速率为0.0000</w:t>
            </w:r>
            <w:r>
              <w:rPr>
                <w:rFonts w:hint="eastAsia"/>
                <w:bCs/>
                <w:color w:val="000000" w:themeColor="text1"/>
                <w:sz w:val="24"/>
                <w:szCs w:val="22"/>
                <w:highlight w:val="none"/>
                <w14:textFill>
                  <w14:solidFill>
                    <w14:schemeClr w14:val="tx1"/>
                  </w14:solidFill>
                </w14:textFill>
              </w:rPr>
              <w:t>88</w:t>
            </w:r>
            <w:r>
              <w:rPr>
                <w:bCs/>
                <w:color w:val="000000" w:themeColor="text1"/>
                <w:sz w:val="24"/>
                <w:szCs w:val="22"/>
                <w:highlight w:val="none"/>
                <w14:textFill>
                  <w14:solidFill>
                    <w14:schemeClr w14:val="tx1"/>
                  </w14:solidFill>
                </w14:textFill>
              </w:rPr>
              <w:t>kg/h。</w:t>
            </w:r>
          </w:p>
          <w:p w14:paraId="35DAE0A6">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经估算，氨、硫化氢、臭气浓度无组织排放满足《恶臭污染物排放标准》（GB14554-93）表1恶臭污染物厂界标准限值要求，即氨≤1.5mg/m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、硫化氢≤0.06mg/m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、臭气浓度≤20（无量纲）。</w:t>
            </w:r>
          </w:p>
          <w:p w14:paraId="2AF19921">
            <w:pPr>
              <w:spacing w:line="48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1.2废气污染物产生及排放情况</w:t>
            </w:r>
          </w:p>
          <w:p w14:paraId="7BAF3897">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本项目废气主要为</w:t>
            </w:r>
            <w:r>
              <w:rPr>
                <w:color w:val="000000" w:themeColor="text1"/>
                <w:sz w:val="24"/>
                <w:highlight w:val="none"/>
                <w14:textFill>
                  <w14:solidFill>
                    <w14:schemeClr w14:val="tx1"/>
                  </w14:solidFill>
                </w14:textFill>
              </w:rPr>
              <w:t>原料给料、破碎、筛分、搅拌、落料、窑车吹扫产生的废气</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隧道窑废气</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污泥</w:t>
            </w:r>
            <w:r>
              <w:rPr>
                <w:rFonts w:hint="eastAsia"/>
                <w:color w:val="000000" w:themeColor="text1"/>
                <w:sz w:val="24"/>
                <w:highlight w:val="none"/>
                <w14:textFill>
                  <w14:solidFill>
                    <w14:schemeClr w14:val="tx1"/>
                  </w14:solidFill>
                </w14:textFill>
              </w:rPr>
              <w:t>储存</w:t>
            </w:r>
            <w:r>
              <w:rPr>
                <w:color w:val="000000" w:themeColor="text1"/>
                <w:sz w:val="24"/>
                <w:highlight w:val="none"/>
                <w14:textFill>
                  <w14:solidFill>
                    <w14:schemeClr w14:val="tx1"/>
                  </w14:solidFill>
                </w14:textFill>
              </w:rPr>
              <w:t>产生的恶臭气体</w:t>
            </w:r>
            <w:r>
              <w:rPr>
                <w:rFonts w:hint="eastAsia"/>
                <w:color w:val="000000" w:themeColor="text1"/>
                <w:sz w:val="24"/>
                <w:highlight w:val="none"/>
                <w14:textFill>
                  <w14:solidFill>
                    <w14:schemeClr w14:val="tx1"/>
                  </w14:solidFill>
                </w14:textFill>
              </w:rPr>
              <w:t>、无组织废气。项目主要污染物产生及预计排放情况见表4-4，废气排放口基本情况见表4-5。</w:t>
            </w:r>
          </w:p>
        </w:tc>
      </w:tr>
    </w:tbl>
    <w:p w14:paraId="00ED78F0">
      <w:pPr>
        <w:adjustRightInd w:val="0"/>
        <w:snapToGrid w:val="0"/>
        <w:spacing w:line="480" w:lineRule="exact"/>
        <w:ind w:left="-105" w:right="-105"/>
        <w:rPr>
          <w:rFonts w:ascii="黑体" w:hAnsi="黑体" w:eastAsia="黑体"/>
          <w:b/>
          <w:bCs/>
          <w:color w:val="000000" w:themeColor="text1"/>
          <w:sz w:val="28"/>
          <w:szCs w:val="28"/>
          <w:highlight w:val="green"/>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4"/>
        <w:tblW w:w="137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736"/>
      </w:tblGrid>
      <w:tr w14:paraId="363A4B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3736" w:type="dxa"/>
            <w:tcMar>
              <w:left w:w="28" w:type="dxa"/>
              <w:right w:w="28" w:type="dxa"/>
            </w:tcMar>
            <w:vAlign w:val="center"/>
          </w:tcPr>
          <w:p w14:paraId="1B19C379">
            <w:pPr>
              <w:spacing w:line="480" w:lineRule="exact"/>
              <w:ind w:left="-108" w:right="-108" w:firstLine="1680" w:firstLineChars="700"/>
              <w:rPr>
                <w:rFonts w:ascii="黑体" w:hAnsi="黑体" w:eastAsia="黑体"/>
                <w:color w:val="000000" w:themeColor="text1"/>
                <w:sz w:val="24"/>
                <w:highlight w:val="none"/>
                <w14:textFill>
                  <w14:solidFill>
                    <w14:schemeClr w14:val="tx1"/>
                  </w14:solidFill>
                </w14:textFill>
              </w:rPr>
            </w:pPr>
            <w:r>
              <w:rPr>
                <w:rFonts w:hint="eastAsia" w:ascii="黑体" w:hAnsi="黑体" w:eastAsia="黑体"/>
                <w:color w:val="000000" w:themeColor="text1"/>
                <w:sz w:val="24"/>
                <w:highlight w:val="none"/>
                <w14:textFill>
                  <w14:solidFill>
                    <w14:schemeClr w14:val="tx1"/>
                  </w14:solidFill>
                </w14:textFill>
              </w:rPr>
              <w:t>表4-4                  废气污染源源强核算结果及相关参数一览表</w:t>
            </w:r>
          </w:p>
          <w:tbl>
            <w:tblPr>
              <w:tblStyle w:val="24"/>
              <w:tblW w:w="4948" w:type="pct"/>
              <w:jc w:val="center"/>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7"/>
              <w:gridCol w:w="990"/>
              <w:gridCol w:w="712"/>
              <w:gridCol w:w="847"/>
              <w:gridCol w:w="852"/>
              <w:gridCol w:w="852"/>
              <w:gridCol w:w="2124"/>
              <w:gridCol w:w="852"/>
              <w:gridCol w:w="568"/>
              <w:gridCol w:w="709"/>
              <w:gridCol w:w="712"/>
              <w:gridCol w:w="706"/>
              <w:gridCol w:w="879"/>
              <w:gridCol w:w="709"/>
              <w:gridCol w:w="879"/>
            </w:tblGrid>
            <w:tr w14:paraId="7D09F275">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restart"/>
                  <w:tcMar>
                    <w:top w:w="60" w:type="dxa"/>
                    <w:left w:w="60" w:type="dxa"/>
                    <w:bottom w:w="45" w:type="dxa"/>
                    <w:right w:w="60" w:type="dxa"/>
                  </w:tcMar>
                  <w:vAlign w:val="center"/>
                </w:tcPr>
                <w:p w14:paraId="7496F861">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产污环节</w:t>
                  </w:r>
                </w:p>
              </w:tc>
              <w:tc>
                <w:tcPr>
                  <w:tcW w:w="365" w:type="pct"/>
                  <w:vMerge w:val="restart"/>
                  <w:tcMar>
                    <w:top w:w="60" w:type="dxa"/>
                    <w:left w:w="60" w:type="dxa"/>
                    <w:right w:w="60" w:type="dxa"/>
                  </w:tcMar>
                  <w:vAlign w:val="center"/>
                </w:tcPr>
                <w:p w14:paraId="672854EE">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产污点</w:t>
                  </w:r>
                </w:p>
              </w:tc>
              <w:tc>
                <w:tcPr>
                  <w:tcW w:w="263" w:type="pct"/>
                  <w:vMerge w:val="restart"/>
                  <w:tcMar>
                    <w:top w:w="60" w:type="dxa"/>
                    <w:left w:w="60" w:type="dxa"/>
                    <w:right w:w="60" w:type="dxa"/>
                  </w:tcMar>
                  <w:vAlign w:val="center"/>
                </w:tcPr>
                <w:p w14:paraId="2B4FD6B3">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排放形式</w:t>
                  </w:r>
                </w:p>
              </w:tc>
              <w:tc>
                <w:tcPr>
                  <w:tcW w:w="313" w:type="pct"/>
                  <w:vMerge w:val="restart"/>
                  <w:tcMar>
                    <w:top w:w="60" w:type="dxa"/>
                    <w:left w:w="60" w:type="dxa"/>
                    <w:right w:w="60" w:type="dxa"/>
                  </w:tcMar>
                  <w:vAlign w:val="center"/>
                </w:tcPr>
                <w:p w14:paraId="0F6AC87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污染物种类</w:t>
                  </w:r>
                </w:p>
              </w:tc>
              <w:tc>
                <w:tcPr>
                  <w:tcW w:w="629" w:type="pct"/>
                  <w:gridSpan w:val="2"/>
                  <w:tcMar>
                    <w:top w:w="60" w:type="dxa"/>
                    <w:left w:w="60" w:type="dxa"/>
                    <w:right w:w="60" w:type="dxa"/>
                  </w:tcMar>
                  <w:vAlign w:val="center"/>
                </w:tcPr>
                <w:p w14:paraId="6623A16C">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污染物产生</w:t>
                  </w:r>
                </w:p>
              </w:tc>
              <w:tc>
                <w:tcPr>
                  <w:tcW w:w="1835" w:type="pct"/>
                  <w:gridSpan w:val="5"/>
                  <w:tcMar>
                    <w:top w:w="60" w:type="dxa"/>
                    <w:left w:w="60" w:type="dxa"/>
                    <w:right w:w="60" w:type="dxa"/>
                  </w:tcMar>
                  <w:vAlign w:val="center"/>
                </w:tcPr>
                <w:p w14:paraId="5E8BC8C5">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治理措施</w:t>
                  </w:r>
                </w:p>
              </w:tc>
              <w:tc>
                <w:tcPr>
                  <w:tcW w:w="1172" w:type="pct"/>
                  <w:gridSpan w:val="4"/>
                  <w:vAlign w:val="center"/>
                </w:tcPr>
                <w:p w14:paraId="08E10DE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污染物排放</w:t>
                  </w:r>
                </w:p>
              </w:tc>
            </w:tr>
            <w:tr w14:paraId="2FB07632">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3E333CB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5DA75819">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7DF9D747">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13" w:type="pct"/>
                  <w:vMerge w:val="continue"/>
                  <w:tcMar>
                    <w:top w:w="60" w:type="dxa"/>
                    <w:left w:w="60" w:type="dxa"/>
                    <w:right w:w="60" w:type="dxa"/>
                  </w:tcMar>
                  <w:vAlign w:val="center"/>
                </w:tcPr>
                <w:p w14:paraId="104739BE">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14" w:type="pct"/>
                  <w:tcMar>
                    <w:top w:w="60" w:type="dxa"/>
                    <w:left w:w="60" w:type="dxa"/>
                    <w:right w:w="60" w:type="dxa"/>
                  </w:tcMar>
                  <w:vAlign w:val="center"/>
                </w:tcPr>
                <w:p w14:paraId="5CEFB526">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产生浓度/(mg/m</w:t>
                  </w:r>
                  <w:r>
                    <w:rPr>
                      <w:rFonts w:ascii="Times New Roman" w:hAnsi="Times New Roman"/>
                      <w:color w:val="000000" w:themeColor="text1"/>
                      <w:sz w:val="21"/>
                      <w:szCs w:val="21"/>
                      <w:highlight w:val="none"/>
                      <w:vertAlign w:val="superscript"/>
                      <w14:textFill>
                        <w14:solidFill>
                          <w14:schemeClr w14:val="tx1"/>
                        </w14:solidFill>
                      </w14:textFill>
                    </w:rPr>
                    <w:t>3</w:t>
                  </w:r>
                  <w:r>
                    <w:rPr>
                      <w:rFonts w:ascii="Times New Roman" w:hAnsi="Times New Roman"/>
                      <w:color w:val="000000" w:themeColor="text1"/>
                      <w:sz w:val="21"/>
                      <w:szCs w:val="21"/>
                      <w:highlight w:val="none"/>
                      <w14:textFill>
                        <w14:solidFill>
                          <w14:schemeClr w14:val="tx1"/>
                        </w14:solidFill>
                      </w14:textFill>
                    </w:rPr>
                    <w:t>)</w:t>
                  </w:r>
                </w:p>
              </w:tc>
              <w:tc>
                <w:tcPr>
                  <w:tcW w:w="314" w:type="pct"/>
                  <w:tcMar>
                    <w:top w:w="60" w:type="dxa"/>
                    <w:left w:w="60" w:type="dxa"/>
                    <w:right w:w="60" w:type="dxa"/>
                  </w:tcMar>
                  <w:vAlign w:val="center"/>
                </w:tcPr>
                <w:p w14:paraId="2B00F423">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产生量</w:t>
                  </w:r>
                </w:p>
                <w:p w14:paraId="5F0D0CFB">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(t/a)</w:t>
                  </w:r>
                </w:p>
              </w:tc>
              <w:tc>
                <w:tcPr>
                  <w:tcW w:w="785" w:type="pct"/>
                  <w:tcMar>
                    <w:top w:w="60" w:type="dxa"/>
                    <w:left w:w="60" w:type="dxa"/>
                    <w:right w:w="60" w:type="dxa"/>
                  </w:tcMar>
                  <w:vAlign w:val="center"/>
                </w:tcPr>
                <w:p w14:paraId="751050C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治理工艺</w:t>
                  </w:r>
                </w:p>
              </w:tc>
              <w:tc>
                <w:tcPr>
                  <w:tcW w:w="314" w:type="pct"/>
                  <w:tcMar>
                    <w:top w:w="60" w:type="dxa"/>
                    <w:left w:w="60" w:type="dxa"/>
                    <w:right w:w="60" w:type="dxa"/>
                  </w:tcMar>
                  <w:vAlign w:val="center"/>
                </w:tcPr>
                <w:p w14:paraId="254CCE4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处理能力/m</w:t>
                  </w:r>
                  <w:r>
                    <w:rPr>
                      <w:rFonts w:ascii="Times New Roman" w:hAnsi="Times New Roman"/>
                      <w:color w:val="000000" w:themeColor="text1"/>
                      <w:sz w:val="21"/>
                      <w:szCs w:val="21"/>
                      <w:highlight w:val="none"/>
                      <w:vertAlign w:val="superscript"/>
                      <w14:textFill>
                        <w14:solidFill>
                          <w14:schemeClr w14:val="tx1"/>
                        </w14:solidFill>
                      </w14:textFill>
                    </w:rPr>
                    <w:t>3</w:t>
                  </w:r>
                  <w:r>
                    <w:rPr>
                      <w:rFonts w:ascii="Times New Roman" w:hAnsi="Times New Roman"/>
                      <w:color w:val="000000" w:themeColor="text1"/>
                      <w:sz w:val="21"/>
                      <w:szCs w:val="21"/>
                      <w:highlight w:val="none"/>
                      <w14:textFill>
                        <w14:solidFill>
                          <w14:schemeClr w14:val="tx1"/>
                        </w14:solidFill>
                      </w14:textFill>
                    </w:rPr>
                    <w:t>/h</w:t>
                  </w:r>
                </w:p>
              </w:tc>
              <w:tc>
                <w:tcPr>
                  <w:tcW w:w="209" w:type="pct"/>
                  <w:tcMar>
                    <w:top w:w="60" w:type="dxa"/>
                    <w:left w:w="60" w:type="dxa"/>
                    <w:right w:w="60" w:type="dxa"/>
                  </w:tcMar>
                  <w:vAlign w:val="center"/>
                </w:tcPr>
                <w:p w14:paraId="78A8EB4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收集效率%</w:t>
                  </w:r>
                </w:p>
              </w:tc>
              <w:tc>
                <w:tcPr>
                  <w:tcW w:w="262" w:type="pct"/>
                  <w:tcMar>
                    <w:top w:w="60" w:type="dxa"/>
                    <w:left w:w="60" w:type="dxa"/>
                    <w:right w:w="60" w:type="dxa"/>
                  </w:tcMar>
                  <w:vAlign w:val="center"/>
                </w:tcPr>
                <w:p w14:paraId="74A2605F">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治理工艺去除率%</w:t>
                  </w:r>
                </w:p>
              </w:tc>
              <w:tc>
                <w:tcPr>
                  <w:tcW w:w="263" w:type="pct"/>
                  <w:tcMar>
                    <w:top w:w="60" w:type="dxa"/>
                    <w:left w:w="60" w:type="dxa"/>
                    <w:right w:w="60" w:type="dxa"/>
                  </w:tcMar>
                  <w:vAlign w:val="center"/>
                </w:tcPr>
                <w:p w14:paraId="4975FF81">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是否为可行技术</w:t>
                  </w:r>
                </w:p>
              </w:tc>
              <w:tc>
                <w:tcPr>
                  <w:tcW w:w="260" w:type="pct"/>
                  <w:tcMar>
                    <w:top w:w="60" w:type="dxa"/>
                    <w:left w:w="60" w:type="dxa"/>
                    <w:right w:w="60" w:type="dxa"/>
                  </w:tcMar>
                  <w:vAlign w:val="center"/>
                </w:tcPr>
                <w:p w14:paraId="0BC2D70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排放浓度/mg/m</w:t>
                  </w:r>
                  <w:r>
                    <w:rPr>
                      <w:rFonts w:ascii="Times New Roman" w:hAnsi="Times New Roman"/>
                      <w:color w:val="000000" w:themeColor="text1"/>
                      <w:sz w:val="21"/>
                      <w:szCs w:val="21"/>
                      <w:highlight w:val="none"/>
                      <w:vertAlign w:val="superscript"/>
                      <w14:textFill>
                        <w14:solidFill>
                          <w14:schemeClr w14:val="tx1"/>
                        </w14:solidFill>
                      </w14:textFill>
                    </w:rPr>
                    <w:t>3</w:t>
                  </w:r>
                </w:p>
              </w:tc>
              <w:tc>
                <w:tcPr>
                  <w:tcW w:w="324" w:type="pct"/>
                  <w:tcMar>
                    <w:top w:w="60" w:type="dxa"/>
                    <w:left w:w="60" w:type="dxa"/>
                    <w:right w:w="60" w:type="dxa"/>
                  </w:tcMar>
                  <w:vAlign w:val="center"/>
                </w:tcPr>
                <w:p w14:paraId="2AD3286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排放量</w:t>
                  </w:r>
                </w:p>
                <w:p w14:paraId="79DC09D1">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(t/a)</w:t>
                  </w:r>
                </w:p>
              </w:tc>
              <w:tc>
                <w:tcPr>
                  <w:tcW w:w="262" w:type="pct"/>
                  <w:vAlign w:val="center"/>
                </w:tcPr>
                <w:p w14:paraId="53AC1246">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排放时间</w:t>
                  </w:r>
                  <w:r>
                    <w:rPr>
                      <w:rFonts w:hint="eastAsia" w:ascii="Times New Roman" w:hAnsi="Times New Roman"/>
                      <w:color w:val="000000" w:themeColor="text1"/>
                      <w:sz w:val="21"/>
                      <w:szCs w:val="21"/>
                      <w:highlight w:val="none"/>
                      <w14:textFill>
                        <w14:solidFill>
                          <w14:schemeClr w14:val="tx1"/>
                        </w14:solidFill>
                      </w14:textFill>
                    </w:rPr>
                    <w:t>（h）</w:t>
                  </w:r>
                </w:p>
              </w:tc>
              <w:tc>
                <w:tcPr>
                  <w:tcW w:w="324" w:type="pct"/>
                  <w:vAlign w:val="center"/>
                </w:tcPr>
                <w:p w14:paraId="4FAE6065">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排放速率（kg/h）</w:t>
                  </w:r>
                </w:p>
              </w:tc>
            </w:tr>
            <w:tr w14:paraId="3DD59AC4">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tcMar>
                    <w:top w:w="60" w:type="dxa"/>
                    <w:left w:w="60" w:type="dxa"/>
                    <w:bottom w:w="45" w:type="dxa"/>
                    <w:right w:w="60" w:type="dxa"/>
                  </w:tcMar>
                  <w:vAlign w:val="center"/>
                </w:tcPr>
                <w:p w14:paraId="5F350958">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页岩给料、破碎、筛分、搅拌工序</w:t>
                  </w:r>
                </w:p>
              </w:tc>
              <w:tc>
                <w:tcPr>
                  <w:tcW w:w="365" w:type="pct"/>
                  <w:tcMar>
                    <w:top w:w="60" w:type="dxa"/>
                    <w:left w:w="60" w:type="dxa"/>
                    <w:right w:w="60" w:type="dxa"/>
                  </w:tcMar>
                  <w:vAlign w:val="center"/>
                </w:tcPr>
                <w:p w14:paraId="5A7673B3">
                  <w:pPr>
                    <w:pStyle w:val="53"/>
                    <w:spacing w:line="260" w:lineRule="exact"/>
                    <w:ind w:left="-63" w:leftChars="-30" w:right="-63" w:rightChars="-3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箱式给料机、颚破、锤破、圆滚筛、搅拌机</w:t>
                  </w:r>
                </w:p>
              </w:tc>
              <w:tc>
                <w:tcPr>
                  <w:tcW w:w="263" w:type="pct"/>
                  <w:tcMar>
                    <w:top w:w="60" w:type="dxa"/>
                    <w:left w:w="60" w:type="dxa"/>
                    <w:right w:w="60" w:type="dxa"/>
                  </w:tcMar>
                  <w:vAlign w:val="center"/>
                </w:tcPr>
                <w:p w14:paraId="211B64EB">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2100E810">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颗粒物</w:t>
                  </w:r>
                </w:p>
              </w:tc>
              <w:tc>
                <w:tcPr>
                  <w:tcW w:w="314" w:type="pct"/>
                  <w:tcMar>
                    <w:top w:w="60" w:type="dxa"/>
                    <w:left w:w="60" w:type="dxa"/>
                    <w:right w:w="60" w:type="dxa"/>
                  </w:tcMar>
                  <w:vAlign w:val="center"/>
                </w:tcPr>
                <w:p w14:paraId="14C67601">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71.02</w:t>
                  </w:r>
                </w:p>
              </w:tc>
              <w:tc>
                <w:tcPr>
                  <w:tcW w:w="314" w:type="pct"/>
                  <w:tcMar>
                    <w:top w:w="60" w:type="dxa"/>
                    <w:left w:w="60" w:type="dxa"/>
                    <w:right w:w="60" w:type="dxa"/>
                  </w:tcMar>
                  <w:vAlign w:val="center"/>
                </w:tcPr>
                <w:p w14:paraId="3792239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18.75</w:t>
                  </w:r>
                </w:p>
              </w:tc>
              <w:tc>
                <w:tcPr>
                  <w:tcW w:w="785" w:type="pct"/>
                  <w:tcMar>
                    <w:top w:w="60" w:type="dxa"/>
                    <w:left w:w="60" w:type="dxa"/>
                    <w:right w:w="60" w:type="dxa"/>
                  </w:tcMar>
                  <w:vAlign w:val="center"/>
                </w:tcPr>
                <w:p w14:paraId="23683E28">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hint="eastAsia" w:ascii="Times New Roman"/>
                      <w:color w:val="000000" w:themeColor="text1"/>
                      <w:kern w:val="2"/>
                      <w:szCs w:val="21"/>
                      <w:highlight w:val="none"/>
                      <w14:textFill>
                        <w14:solidFill>
                          <w14:schemeClr w14:val="tx1"/>
                        </w14:solidFill>
                      </w14:textFill>
                    </w:rPr>
                    <w:t>给料口</w:t>
                  </w:r>
                  <w:r>
                    <w:rPr>
                      <w:rFonts w:ascii="Times New Roman"/>
                      <w:color w:val="000000" w:themeColor="text1"/>
                      <w:kern w:val="2"/>
                      <w:szCs w:val="21"/>
                      <w:highlight w:val="none"/>
                      <w14:textFill>
                        <w14:solidFill>
                          <w14:schemeClr w14:val="tx1"/>
                        </w14:solidFill>
                      </w14:textFill>
                    </w:rPr>
                    <w:t>三面封闭+喷淋，下料口设置全封闭集气罩+引风管，颚式破碎机、锤式破碎机、圆滚筛、搅拌机均封闭处理+集尘管，全封闭皮带通廊转运点均设置集气罩，将上述废气均引至脉冲布袋除尘器处理后，经15m高排气筒（DA00</w:t>
                  </w:r>
                  <w:r>
                    <w:rPr>
                      <w:rFonts w:hint="eastAsia" w:ascii="Times New Roman"/>
                      <w:color w:val="000000" w:themeColor="text1"/>
                      <w:kern w:val="2"/>
                      <w:szCs w:val="21"/>
                      <w:highlight w:val="none"/>
                      <w14:textFill>
                        <w14:solidFill>
                          <w14:schemeClr w14:val="tx1"/>
                        </w14:solidFill>
                      </w14:textFill>
                    </w:rPr>
                    <w:t>1</w:t>
                  </w:r>
                  <w:r>
                    <w:rPr>
                      <w:rFonts w:ascii="Times New Roman"/>
                      <w:color w:val="000000" w:themeColor="text1"/>
                      <w:kern w:val="2"/>
                      <w:szCs w:val="21"/>
                      <w:highlight w:val="none"/>
                      <w14:textFill>
                        <w14:solidFill>
                          <w14:schemeClr w14:val="tx1"/>
                        </w14:solidFill>
                      </w14:textFill>
                    </w:rPr>
                    <w:t>）排放</w:t>
                  </w:r>
                </w:p>
              </w:tc>
              <w:tc>
                <w:tcPr>
                  <w:tcW w:w="314" w:type="pct"/>
                  <w:tcBorders>
                    <w:top w:val="single" w:color="auto" w:sz="4" w:space="0"/>
                  </w:tcBorders>
                  <w:tcMar>
                    <w:top w:w="60" w:type="dxa"/>
                    <w:left w:w="60" w:type="dxa"/>
                    <w:right w:w="60" w:type="dxa"/>
                  </w:tcMar>
                  <w:vAlign w:val="center"/>
                </w:tcPr>
                <w:p w14:paraId="538E364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50000</w:t>
                  </w:r>
                </w:p>
              </w:tc>
              <w:tc>
                <w:tcPr>
                  <w:tcW w:w="209" w:type="pct"/>
                  <w:tcMar>
                    <w:top w:w="60" w:type="dxa"/>
                    <w:left w:w="60" w:type="dxa"/>
                    <w:right w:w="60" w:type="dxa"/>
                  </w:tcMar>
                  <w:vAlign w:val="center"/>
                </w:tcPr>
                <w:p w14:paraId="06636F9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2" w:type="pct"/>
                  <w:tcMar>
                    <w:top w:w="60" w:type="dxa"/>
                    <w:left w:w="60" w:type="dxa"/>
                    <w:right w:w="60" w:type="dxa"/>
                  </w:tcMar>
                  <w:vAlign w:val="center"/>
                </w:tcPr>
                <w:p w14:paraId="10CCD89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98</w:t>
                  </w:r>
                </w:p>
              </w:tc>
              <w:tc>
                <w:tcPr>
                  <w:tcW w:w="263" w:type="pct"/>
                  <w:tcBorders>
                    <w:top w:val="single" w:color="auto" w:sz="4" w:space="0"/>
                  </w:tcBorders>
                  <w:tcMar>
                    <w:top w:w="60" w:type="dxa"/>
                    <w:left w:w="60" w:type="dxa"/>
                    <w:right w:w="60" w:type="dxa"/>
                  </w:tcMar>
                  <w:vAlign w:val="center"/>
                </w:tcPr>
                <w:p w14:paraId="26558EF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tcMar>
                    <w:top w:w="60" w:type="dxa"/>
                    <w:left w:w="60" w:type="dxa"/>
                    <w:right w:w="60" w:type="dxa"/>
                  </w:tcMar>
                  <w:vAlign w:val="center"/>
                </w:tcPr>
                <w:p w14:paraId="408F90C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1.42</w:t>
                  </w:r>
                </w:p>
              </w:tc>
              <w:tc>
                <w:tcPr>
                  <w:tcW w:w="324" w:type="pct"/>
                  <w:tcMar>
                    <w:top w:w="60" w:type="dxa"/>
                    <w:left w:w="60" w:type="dxa"/>
                    <w:right w:w="60" w:type="dxa"/>
                  </w:tcMar>
                  <w:vAlign w:val="center"/>
                </w:tcPr>
                <w:p w14:paraId="61C76365">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375</w:t>
                  </w:r>
                </w:p>
              </w:tc>
              <w:tc>
                <w:tcPr>
                  <w:tcW w:w="262" w:type="pct"/>
                  <w:vAlign w:val="center"/>
                </w:tcPr>
                <w:p w14:paraId="77FB277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w:t>
                  </w:r>
                </w:p>
              </w:tc>
              <w:tc>
                <w:tcPr>
                  <w:tcW w:w="324" w:type="pct"/>
                  <w:vAlign w:val="center"/>
                </w:tcPr>
                <w:p w14:paraId="4C6ED450">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071</w:t>
                  </w:r>
                </w:p>
              </w:tc>
            </w:tr>
            <w:tr w14:paraId="352EA9F1">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tcMar>
                    <w:top w:w="60" w:type="dxa"/>
                    <w:left w:w="60" w:type="dxa"/>
                    <w:bottom w:w="45" w:type="dxa"/>
                    <w:right w:w="60" w:type="dxa"/>
                  </w:tcMar>
                  <w:vAlign w:val="center"/>
                </w:tcPr>
                <w:p w14:paraId="6088EE88">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煤矸石给料、破碎、筛分工序</w:t>
                  </w:r>
                </w:p>
              </w:tc>
              <w:tc>
                <w:tcPr>
                  <w:tcW w:w="365" w:type="pct"/>
                  <w:tcMar>
                    <w:top w:w="60" w:type="dxa"/>
                    <w:left w:w="60" w:type="dxa"/>
                    <w:right w:w="60" w:type="dxa"/>
                  </w:tcMar>
                  <w:vAlign w:val="center"/>
                </w:tcPr>
                <w:p w14:paraId="1F225781">
                  <w:pPr>
                    <w:pStyle w:val="53"/>
                    <w:spacing w:line="260" w:lineRule="exact"/>
                    <w:ind w:left="-63" w:leftChars="-30" w:right="-63" w:rightChars="-3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箱式给料机、颚破、锤破、圆滚筛、煤矸石储料仓</w:t>
                  </w:r>
                </w:p>
              </w:tc>
              <w:tc>
                <w:tcPr>
                  <w:tcW w:w="263" w:type="pct"/>
                  <w:tcMar>
                    <w:top w:w="60" w:type="dxa"/>
                    <w:left w:w="60" w:type="dxa"/>
                    <w:right w:w="60" w:type="dxa"/>
                  </w:tcMar>
                  <w:vAlign w:val="center"/>
                </w:tcPr>
                <w:p w14:paraId="4530F05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4CAF7993">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颗粒物</w:t>
                  </w:r>
                </w:p>
              </w:tc>
              <w:tc>
                <w:tcPr>
                  <w:tcW w:w="314" w:type="pct"/>
                  <w:tcMar>
                    <w:top w:w="60" w:type="dxa"/>
                    <w:left w:w="60" w:type="dxa"/>
                    <w:right w:w="60" w:type="dxa"/>
                  </w:tcMar>
                  <w:vAlign w:val="center"/>
                </w:tcPr>
                <w:p w14:paraId="3E0051E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71.02</w:t>
                  </w:r>
                </w:p>
              </w:tc>
              <w:tc>
                <w:tcPr>
                  <w:tcW w:w="314" w:type="pct"/>
                  <w:tcMar>
                    <w:top w:w="60" w:type="dxa"/>
                    <w:left w:w="60" w:type="dxa"/>
                    <w:right w:w="60" w:type="dxa"/>
                  </w:tcMar>
                  <w:vAlign w:val="center"/>
                </w:tcPr>
                <w:p w14:paraId="66318F4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18.75</w:t>
                  </w:r>
                </w:p>
              </w:tc>
              <w:tc>
                <w:tcPr>
                  <w:tcW w:w="785" w:type="pct"/>
                  <w:tcMar>
                    <w:top w:w="60" w:type="dxa"/>
                    <w:left w:w="60" w:type="dxa"/>
                    <w:right w:w="60" w:type="dxa"/>
                  </w:tcMar>
                  <w:vAlign w:val="center"/>
                </w:tcPr>
                <w:p w14:paraId="2583ABC9">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hint="eastAsia" w:ascii="Times New Roman"/>
                      <w:color w:val="000000" w:themeColor="text1"/>
                      <w:kern w:val="2"/>
                      <w:szCs w:val="21"/>
                      <w:highlight w:val="none"/>
                      <w14:textFill>
                        <w14:solidFill>
                          <w14:schemeClr w14:val="tx1"/>
                        </w14:solidFill>
                      </w14:textFill>
                    </w:rPr>
                    <w:t>给料口</w:t>
                  </w:r>
                  <w:r>
                    <w:rPr>
                      <w:rFonts w:ascii="Times New Roman"/>
                      <w:color w:val="000000" w:themeColor="text1"/>
                      <w:kern w:val="2"/>
                      <w:szCs w:val="21"/>
                      <w:highlight w:val="none"/>
                      <w14:textFill>
                        <w14:solidFill>
                          <w14:schemeClr w14:val="tx1"/>
                        </w14:solidFill>
                      </w14:textFill>
                    </w:rPr>
                    <w:t>三面封闭+喷淋，下料口设置全封闭集气罩+引风管，锤式破碎机、圆滚筛均封闭处理+集尘管，</w:t>
                  </w:r>
                  <w:r>
                    <w:rPr>
                      <w:rFonts w:hint="eastAsia" w:ascii="Times New Roman"/>
                      <w:color w:val="000000" w:themeColor="text1"/>
                      <w:kern w:val="2"/>
                      <w:szCs w:val="21"/>
                      <w:highlight w:val="none"/>
                      <w14:textFill>
                        <w14:solidFill>
                          <w14:schemeClr w14:val="tx1"/>
                        </w14:solidFill>
                      </w14:textFill>
                    </w:rPr>
                    <w:t>煤矸石储料仓封闭设集尘管，</w:t>
                  </w:r>
                  <w:r>
                    <w:rPr>
                      <w:rFonts w:ascii="Times New Roman"/>
                      <w:color w:val="000000" w:themeColor="text1"/>
                      <w:kern w:val="2"/>
                      <w:szCs w:val="21"/>
                      <w:highlight w:val="none"/>
                      <w14:textFill>
                        <w14:solidFill>
                          <w14:schemeClr w14:val="tx1"/>
                        </w14:solidFill>
                      </w14:textFill>
                    </w:rPr>
                    <w:t>全封闭皮带通廊转运点均设置集气罩，将上述废气均引至脉冲布袋除尘器处理后，经15m高排气筒（DA00</w:t>
                  </w:r>
                  <w:r>
                    <w:rPr>
                      <w:rFonts w:hint="eastAsia" w:ascii="Times New Roman"/>
                      <w:color w:val="000000" w:themeColor="text1"/>
                      <w:kern w:val="2"/>
                      <w:szCs w:val="21"/>
                      <w:highlight w:val="none"/>
                      <w14:textFill>
                        <w14:solidFill>
                          <w14:schemeClr w14:val="tx1"/>
                        </w14:solidFill>
                      </w14:textFill>
                    </w:rPr>
                    <w:t>2</w:t>
                  </w:r>
                  <w:r>
                    <w:rPr>
                      <w:rFonts w:ascii="Times New Roman"/>
                      <w:color w:val="000000" w:themeColor="text1"/>
                      <w:kern w:val="2"/>
                      <w:szCs w:val="21"/>
                      <w:highlight w:val="none"/>
                      <w14:textFill>
                        <w14:solidFill>
                          <w14:schemeClr w14:val="tx1"/>
                        </w14:solidFill>
                      </w14:textFill>
                    </w:rPr>
                    <w:t>）</w:t>
                  </w:r>
                  <w:r>
                    <w:rPr>
                      <w:rFonts w:hint="eastAsia" w:ascii="Times New Roman"/>
                      <w:color w:val="000000" w:themeColor="text1"/>
                      <w:kern w:val="2"/>
                      <w:szCs w:val="21"/>
                      <w:highlight w:val="none"/>
                      <w14:textFill>
                        <w14:solidFill>
                          <w14:schemeClr w14:val="tx1"/>
                        </w14:solidFill>
                      </w14:textFill>
                    </w:rPr>
                    <w:t>排放</w:t>
                  </w:r>
                </w:p>
              </w:tc>
              <w:tc>
                <w:tcPr>
                  <w:tcW w:w="314" w:type="pct"/>
                  <w:tcBorders>
                    <w:top w:val="single" w:color="auto" w:sz="4" w:space="0"/>
                  </w:tcBorders>
                  <w:tcMar>
                    <w:top w:w="60" w:type="dxa"/>
                    <w:left w:w="60" w:type="dxa"/>
                    <w:right w:w="60" w:type="dxa"/>
                  </w:tcMar>
                  <w:vAlign w:val="center"/>
                </w:tcPr>
                <w:p w14:paraId="1C85F69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50000</w:t>
                  </w:r>
                </w:p>
              </w:tc>
              <w:tc>
                <w:tcPr>
                  <w:tcW w:w="209" w:type="pct"/>
                  <w:tcMar>
                    <w:top w:w="60" w:type="dxa"/>
                    <w:left w:w="60" w:type="dxa"/>
                    <w:right w:w="60" w:type="dxa"/>
                  </w:tcMar>
                  <w:vAlign w:val="center"/>
                </w:tcPr>
                <w:p w14:paraId="6E2FF40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2" w:type="pct"/>
                  <w:tcMar>
                    <w:top w:w="60" w:type="dxa"/>
                    <w:left w:w="60" w:type="dxa"/>
                    <w:right w:w="60" w:type="dxa"/>
                  </w:tcMar>
                  <w:vAlign w:val="center"/>
                </w:tcPr>
                <w:p w14:paraId="6FB1BD0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98</w:t>
                  </w:r>
                </w:p>
              </w:tc>
              <w:tc>
                <w:tcPr>
                  <w:tcW w:w="263" w:type="pct"/>
                  <w:tcBorders>
                    <w:top w:val="single" w:color="auto" w:sz="4" w:space="0"/>
                  </w:tcBorders>
                  <w:tcMar>
                    <w:top w:w="60" w:type="dxa"/>
                    <w:left w:w="60" w:type="dxa"/>
                    <w:right w:w="60" w:type="dxa"/>
                  </w:tcMar>
                  <w:vAlign w:val="center"/>
                </w:tcPr>
                <w:p w14:paraId="4A846DD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tcMar>
                    <w:top w:w="60" w:type="dxa"/>
                    <w:left w:w="60" w:type="dxa"/>
                    <w:right w:w="60" w:type="dxa"/>
                  </w:tcMar>
                  <w:vAlign w:val="center"/>
                </w:tcPr>
                <w:p w14:paraId="2FAEE96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1.42</w:t>
                  </w:r>
                </w:p>
              </w:tc>
              <w:tc>
                <w:tcPr>
                  <w:tcW w:w="324" w:type="pct"/>
                  <w:tcMar>
                    <w:top w:w="60" w:type="dxa"/>
                    <w:left w:w="60" w:type="dxa"/>
                    <w:right w:w="60" w:type="dxa"/>
                  </w:tcMar>
                  <w:vAlign w:val="center"/>
                </w:tcPr>
                <w:p w14:paraId="3DCE8FF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375</w:t>
                  </w:r>
                </w:p>
              </w:tc>
              <w:tc>
                <w:tcPr>
                  <w:tcW w:w="262" w:type="pct"/>
                  <w:vAlign w:val="center"/>
                </w:tcPr>
                <w:p w14:paraId="7393C22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w:t>
                  </w:r>
                </w:p>
              </w:tc>
              <w:tc>
                <w:tcPr>
                  <w:tcW w:w="324" w:type="pct"/>
                  <w:vAlign w:val="center"/>
                </w:tcPr>
                <w:p w14:paraId="5F4CE68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071</w:t>
                  </w:r>
                </w:p>
              </w:tc>
            </w:tr>
            <w:tr w14:paraId="25CD6B5A">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restart"/>
                  <w:tcMar>
                    <w:top w:w="60" w:type="dxa"/>
                    <w:left w:w="60" w:type="dxa"/>
                    <w:bottom w:w="45" w:type="dxa"/>
                    <w:right w:w="60" w:type="dxa"/>
                  </w:tcMar>
                  <w:vAlign w:val="center"/>
                </w:tcPr>
                <w:p w14:paraId="0357E29F">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1#、2#隧道窑废气</w:t>
                  </w:r>
                </w:p>
              </w:tc>
              <w:tc>
                <w:tcPr>
                  <w:tcW w:w="365" w:type="pct"/>
                  <w:vMerge w:val="restart"/>
                  <w:tcMar>
                    <w:top w:w="60" w:type="dxa"/>
                    <w:left w:w="60" w:type="dxa"/>
                    <w:right w:w="60" w:type="dxa"/>
                  </w:tcMar>
                  <w:vAlign w:val="center"/>
                </w:tcPr>
                <w:p w14:paraId="644CBB98">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1#、2#隧道窑</w:t>
                  </w:r>
                </w:p>
              </w:tc>
              <w:tc>
                <w:tcPr>
                  <w:tcW w:w="263" w:type="pct"/>
                  <w:vMerge w:val="restart"/>
                  <w:tcMar>
                    <w:top w:w="60" w:type="dxa"/>
                    <w:left w:w="60" w:type="dxa"/>
                    <w:right w:w="60" w:type="dxa"/>
                  </w:tcMar>
                  <w:vAlign w:val="center"/>
                </w:tcPr>
                <w:p w14:paraId="4E3A8284">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062EADF3">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颗粒物</w:t>
                  </w:r>
                </w:p>
              </w:tc>
              <w:tc>
                <w:tcPr>
                  <w:tcW w:w="314" w:type="pct"/>
                  <w:tcMar>
                    <w:top w:w="60" w:type="dxa"/>
                    <w:left w:w="60" w:type="dxa"/>
                    <w:right w:w="60" w:type="dxa"/>
                  </w:tcMar>
                  <w:vAlign w:val="center"/>
                </w:tcPr>
                <w:p w14:paraId="1574A28F">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73.43</w:t>
                  </w:r>
                </w:p>
              </w:tc>
              <w:tc>
                <w:tcPr>
                  <w:tcW w:w="314" w:type="pct"/>
                  <w:tcMar>
                    <w:top w:w="60" w:type="dxa"/>
                    <w:left w:w="60" w:type="dxa"/>
                    <w:right w:w="60" w:type="dxa"/>
                  </w:tcMar>
                  <w:vAlign w:val="center"/>
                </w:tcPr>
                <w:p w14:paraId="76DB2DEE">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94.872</w:t>
                  </w:r>
                </w:p>
              </w:tc>
              <w:tc>
                <w:tcPr>
                  <w:tcW w:w="785" w:type="pct"/>
                  <w:vMerge w:val="restart"/>
                  <w:tcMar>
                    <w:top w:w="60" w:type="dxa"/>
                    <w:left w:w="60" w:type="dxa"/>
                    <w:right w:w="60" w:type="dxa"/>
                  </w:tcMar>
                  <w:vAlign w:val="center"/>
                </w:tcPr>
                <w:p w14:paraId="20845A2A">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hint="eastAsia" w:ascii="Times New Roman"/>
                      <w:color w:val="000000" w:themeColor="text1"/>
                      <w:kern w:val="2"/>
                      <w:szCs w:val="21"/>
                      <w:highlight w:val="none"/>
                      <w14:textFill>
                        <w14:solidFill>
                          <w14:schemeClr w14:val="tx1"/>
                        </w14:solidFill>
                      </w14:textFill>
                    </w:rPr>
                    <w:t>隧道窑窑体全封闭，通过窑体内置烟道，废气</w:t>
                  </w:r>
                  <w:r>
                    <w:rPr>
                      <w:rFonts w:hint="eastAsia" w:ascii="Times New Roman"/>
                      <w:color w:val="000000" w:themeColor="text1"/>
                      <w:kern w:val="2"/>
                      <w:szCs w:val="21"/>
                      <w:highlight w:val="none"/>
                      <w:lang w:val="en-US" w:eastAsia="zh-CN"/>
                      <w14:textFill>
                        <w14:solidFill>
                          <w14:schemeClr w14:val="tx1"/>
                        </w14:solidFill>
                      </w14:textFill>
                    </w:rPr>
                    <w:t>经SNCR脱硝+</w:t>
                  </w:r>
                  <w:r>
                    <w:rPr>
                      <w:rFonts w:ascii="Times New Roman"/>
                      <w:color w:val="000000" w:themeColor="text1"/>
                      <w:kern w:val="2"/>
                      <w:szCs w:val="21"/>
                      <w:highlight w:val="none"/>
                      <w14:textFill>
                        <w14:solidFill>
                          <w14:schemeClr w14:val="tx1"/>
                        </w14:solidFill>
                      </w14:textFill>
                    </w:rPr>
                    <w:t>石灰-石膏法脱硫+湿式静电除尘器处理后经38m高排气筒（DA00</w:t>
                  </w:r>
                  <w:r>
                    <w:rPr>
                      <w:rFonts w:hint="eastAsia" w:ascii="Times New Roman"/>
                      <w:color w:val="000000" w:themeColor="text1"/>
                      <w:kern w:val="2"/>
                      <w:szCs w:val="21"/>
                      <w:highlight w:val="none"/>
                      <w14:textFill>
                        <w14:solidFill>
                          <w14:schemeClr w14:val="tx1"/>
                        </w14:solidFill>
                      </w14:textFill>
                    </w:rPr>
                    <w:t>3</w:t>
                  </w:r>
                  <w:r>
                    <w:rPr>
                      <w:rFonts w:ascii="Times New Roman"/>
                      <w:color w:val="000000" w:themeColor="text1"/>
                      <w:kern w:val="2"/>
                      <w:szCs w:val="21"/>
                      <w:highlight w:val="none"/>
                      <w14:textFill>
                        <w14:solidFill>
                          <w14:schemeClr w14:val="tx1"/>
                        </w14:solidFill>
                      </w14:textFill>
                    </w:rPr>
                    <w:t>）排放</w:t>
                  </w:r>
                </w:p>
              </w:tc>
              <w:tc>
                <w:tcPr>
                  <w:tcW w:w="314" w:type="pct"/>
                  <w:vMerge w:val="restart"/>
                  <w:tcBorders>
                    <w:top w:val="single" w:color="auto" w:sz="4" w:space="0"/>
                  </w:tcBorders>
                  <w:tcMar>
                    <w:top w:w="60" w:type="dxa"/>
                    <w:left w:w="60" w:type="dxa"/>
                    <w:right w:w="60" w:type="dxa"/>
                  </w:tcMar>
                  <w:vAlign w:val="center"/>
                </w:tcPr>
                <w:p w14:paraId="0505E21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170000</w:t>
                  </w:r>
                </w:p>
              </w:tc>
              <w:tc>
                <w:tcPr>
                  <w:tcW w:w="209" w:type="pct"/>
                  <w:vMerge w:val="restart"/>
                  <w:tcMar>
                    <w:top w:w="60" w:type="dxa"/>
                    <w:left w:w="60" w:type="dxa"/>
                    <w:right w:w="60" w:type="dxa"/>
                  </w:tcMar>
                  <w:vAlign w:val="center"/>
                </w:tcPr>
                <w:p w14:paraId="1B7726D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100</w:t>
                  </w:r>
                </w:p>
              </w:tc>
              <w:tc>
                <w:tcPr>
                  <w:tcW w:w="262" w:type="pct"/>
                  <w:tcMar>
                    <w:top w:w="60" w:type="dxa"/>
                    <w:left w:w="60" w:type="dxa"/>
                    <w:right w:w="60" w:type="dxa"/>
                  </w:tcMar>
                  <w:vAlign w:val="center"/>
                </w:tcPr>
                <w:p w14:paraId="3C37CAD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tcMar>
                    <w:top w:w="60" w:type="dxa"/>
                    <w:left w:w="60" w:type="dxa"/>
                    <w:right w:w="60" w:type="dxa"/>
                  </w:tcMar>
                  <w:vAlign w:val="center"/>
                </w:tcPr>
                <w:p w14:paraId="42FB3EE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tcMar>
                    <w:top w:w="60" w:type="dxa"/>
                    <w:left w:w="60" w:type="dxa"/>
                    <w:right w:w="60" w:type="dxa"/>
                  </w:tcMar>
                  <w:vAlign w:val="center"/>
                </w:tcPr>
                <w:p w14:paraId="155DF583">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3.67</w:t>
                  </w:r>
                </w:p>
              </w:tc>
              <w:tc>
                <w:tcPr>
                  <w:tcW w:w="324" w:type="pct"/>
                  <w:tcMar>
                    <w:top w:w="60" w:type="dxa"/>
                    <w:left w:w="60" w:type="dxa"/>
                    <w:right w:w="60" w:type="dxa"/>
                  </w:tcMar>
                  <w:vAlign w:val="center"/>
                </w:tcPr>
                <w:p w14:paraId="4FB75120">
                  <w:pPr>
                    <w:widowControl/>
                    <w:spacing w:line="260" w:lineRule="exact"/>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4.744</w:t>
                  </w:r>
                </w:p>
              </w:tc>
              <w:tc>
                <w:tcPr>
                  <w:tcW w:w="262" w:type="pct"/>
                  <w:vMerge w:val="restart"/>
                  <w:vAlign w:val="center"/>
                </w:tcPr>
                <w:p w14:paraId="4F9EFED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7600</w:t>
                  </w:r>
                </w:p>
              </w:tc>
              <w:tc>
                <w:tcPr>
                  <w:tcW w:w="324" w:type="pct"/>
                  <w:vAlign w:val="center"/>
                </w:tcPr>
                <w:p w14:paraId="789D229C">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624</w:t>
                  </w:r>
                </w:p>
              </w:tc>
            </w:tr>
            <w:tr w14:paraId="2BA028F9">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6DDE7B4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040406DC">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13378F19">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04FEDFDF">
                  <w:pPr>
                    <w:widowControl/>
                    <w:spacing w:line="260" w:lineRule="exact"/>
                    <w:ind w:left="-63" w:leftChars="-30" w:right="-63" w:rightChars="-30"/>
                    <w:jc w:val="center"/>
                    <w:textAlignment w:val="center"/>
                    <w:rPr>
                      <w:color w:val="000000" w:themeColor="text1"/>
                      <w:highlight w:val="none"/>
                      <w:vertAlign w:val="subscript"/>
                      <w14:textFill>
                        <w14:solidFill>
                          <w14:schemeClr w14:val="tx1"/>
                        </w14:solidFill>
                      </w14:textFill>
                    </w:rPr>
                  </w:pPr>
                  <w:r>
                    <w:rPr>
                      <w:color w:val="000000" w:themeColor="text1"/>
                      <w:highlight w:val="none"/>
                      <w14:textFill>
                        <w14:solidFill>
                          <w14:schemeClr w14:val="tx1"/>
                        </w14:solidFill>
                      </w14:textFill>
                    </w:rPr>
                    <w:t>SO</w:t>
                  </w:r>
                  <w:r>
                    <w:rPr>
                      <w:color w:val="000000" w:themeColor="text1"/>
                      <w:highlight w:val="none"/>
                      <w:vertAlign w:val="subscript"/>
                      <w14:textFill>
                        <w14:solidFill>
                          <w14:schemeClr w14:val="tx1"/>
                        </w14:solidFill>
                      </w14:textFill>
                    </w:rPr>
                    <w:t>2</w:t>
                  </w:r>
                </w:p>
              </w:tc>
              <w:tc>
                <w:tcPr>
                  <w:tcW w:w="314" w:type="pct"/>
                  <w:tcMar>
                    <w:top w:w="60" w:type="dxa"/>
                    <w:left w:w="60" w:type="dxa"/>
                    <w:right w:w="60" w:type="dxa"/>
                  </w:tcMar>
                  <w:vAlign w:val="center"/>
                </w:tcPr>
                <w:p w14:paraId="33F0D83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229.76</w:t>
                  </w:r>
                </w:p>
              </w:tc>
              <w:tc>
                <w:tcPr>
                  <w:tcW w:w="314" w:type="pct"/>
                  <w:tcMar>
                    <w:top w:w="60" w:type="dxa"/>
                    <w:left w:w="60" w:type="dxa"/>
                    <w:right w:w="60" w:type="dxa"/>
                  </w:tcMar>
                  <w:vAlign w:val="center"/>
                </w:tcPr>
                <w:p w14:paraId="1F0C2B87">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296.851</w:t>
                  </w:r>
                </w:p>
              </w:tc>
              <w:tc>
                <w:tcPr>
                  <w:tcW w:w="785" w:type="pct"/>
                  <w:vMerge w:val="continue"/>
                  <w:tcMar>
                    <w:top w:w="60" w:type="dxa"/>
                    <w:left w:w="60" w:type="dxa"/>
                    <w:right w:w="60" w:type="dxa"/>
                  </w:tcMar>
                  <w:vAlign w:val="center"/>
                </w:tcPr>
                <w:p w14:paraId="41FF6F97">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765DE9C6">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2C4F5208">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347B3CC2">
                  <w:pPr>
                    <w:spacing w:line="260" w:lineRule="exact"/>
                    <w:ind w:left="-63" w:leftChars="-30" w:right="-63" w:rightChars="-3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9</w:t>
                  </w:r>
                  <w:r>
                    <w:rPr>
                      <w:rFonts w:hint="eastAsia"/>
                      <w:color w:val="000000" w:themeColor="text1"/>
                      <w:szCs w:val="21"/>
                      <w:highlight w:val="none"/>
                      <w:lang w:val="en-US" w:eastAsia="zh-CN"/>
                      <w14:textFill>
                        <w14:solidFill>
                          <w14:schemeClr w14:val="tx1"/>
                        </w14:solidFill>
                      </w14:textFill>
                    </w:rPr>
                    <w:t>7</w:t>
                  </w:r>
                </w:p>
              </w:tc>
              <w:tc>
                <w:tcPr>
                  <w:tcW w:w="263" w:type="pct"/>
                  <w:tcBorders>
                    <w:top w:val="single" w:color="auto" w:sz="4" w:space="0"/>
                  </w:tcBorders>
                  <w:tcMar>
                    <w:top w:w="60" w:type="dxa"/>
                    <w:left w:w="60" w:type="dxa"/>
                    <w:right w:w="60" w:type="dxa"/>
                  </w:tcMar>
                  <w:vAlign w:val="center"/>
                </w:tcPr>
                <w:p w14:paraId="4B7DFFE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tcMar>
                    <w:top w:w="60" w:type="dxa"/>
                    <w:left w:w="60" w:type="dxa"/>
                    <w:right w:w="60" w:type="dxa"/>
                  </w:tcMar>
                  <w:vAlign w:val="center"/>
                </w:tcPr>
                <w:p w14:paraId="6CCCFA7B">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6.89</w:t>
                  </w:r>
                </w:p>
              </w:tc>
              <w:tc>
                <w:tcPr>
                  <w:tcW w:w="324" w:type="pct"/>
                  <w:tcMar>
                    <w:top w:w="60" w:type="dxa"/>
                    <w:left w:w="60" w:type="dxa"/>
                    <w:right w:w="60" w:type="dxa"/>
                  </w:tcMar>
                  <w:vAlign w:val="center"/>
                </w:tcPr>
                <w:p w14:paraId="31798615">
                  <w:pPr>
                    <w:widowControl/>
                    <w:spacing w:line="260" w:lineRule="exact"/>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8.905</w:t>
                  </w:r>
                </w:p>
              </w:tc>
              <w:tc>
                <w:tcPr>
                  <w:tcW w:w="262" w:type="pct"/>
                  <w:vMerge w:val="continue"/>
                  <w:vAlign w:val="center"/>
                </w:tcPr>
                <w:p w14:paraId="6EA06497">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7F9E69CC">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1.171</w:t>
                  </w:r>
                </w:p>
              </w:tc>
            </w:tr>
            <w:tr w14:paraId="477D34A6">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3170475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29D7D3E4">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0325079E">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2D811BB2">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NOx</w:t>
                  </w:r>
                </w:p>
              </w:tc>
              <w:tc>
                <w:tcPr>
                  <w:tcW w:w="314" w:type="pct"/>
                  <w:tcMar>
                    <w:top w:w="60" w:type="dxa"/>
                    <w:left w:w="60" w:type="dxa"/>
                    <w:right w:w="60" w:type="dxa"/>
                  </w:tcMar>
                  <w:vAlign w:val="center"/>
                </w:tcPr>
                <w:p w14:paraId="5F91814D">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25.77</w:t>
                  </w:r>
                </w:p>
              </w:tc>
              <w:tc>
                <w:tcPr>
                  <w:tcW w:w="314" w:type="pct"/>
                  <w:tcMar>
                    <w:top w:w="60" w:type="dxa"/>
                    <w:left w:w="60" w:type="dxa"/>
                    <w:right w:w="60" w:type="dxa"/>
                  </w:tcMar>
                  <w:vAlign w:val="center"/>
                </w:tcPr>
                <w:p w14:paraId="54970A55">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33.295</w:t>
                  </w:r>
                </w:p>
              </w:tc>
              <w:tc>
                <w:tcPr>
                  <w:tcW w:w="785" w:type="pct"/>
                  <w:vMerge w:val="continue"/>
                  <w:tcMar>
                    <w:top w:w="60" w:type="dxa"/>
                    <w:left w:w="60" w:type="dxa"/>
                    <w:right w:w="60" w:type="dxa"/>
                  </w:tcMar>
                  <w:vAlign w:val="center"/>
                </w:tcPr>
                <w:p w14:paraId="3DF1B0BB">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5D683F6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3E02AC7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3FACC97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50</w:t>
                  </w:r>
                </w:p>
              </w:tc>
              <w:tc>
                <w:tcPr>
                  <w:tcW w:w="263" w:type="pct"/>
                  <w:tcBorders>
                    <w:top w:val="single" w:color="auto" w:sz="4" w:space="0"/>
                  </w:tcBorders>
                  <w:tcMar>
                    <w:top w:w="60" w:type="dxa"/>
                    <w:left w:w="60" w:type="dxa"/>
                    <w:right w:w="60" w:type="dxa"/>
                  </w:tcMar>
                  <w:vAlign w:val="center"/>
                </w:tcPr>
                <w:p w14:paraId="24DF1B1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77096086">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12.9</w:t>
                  </w:r>
                </w:p>
              </w:tc>
              <w:tc>
                <w:tcPr>
                  <w:tcW w:w="324" w:type="pct"/>
                  <w:tcMar>
                    <w:top w:w="60" w:type="dxa"/>
                    <w:left w:w="60" w:type="dxa"/>
                    <w:right w:w="60" w:type="dxa"/>
                  </w:tcMar>
                  <w:vAlign w:val="center"/>
                </w:tcPr>
                <w:p w14:paraId="0CCDDF4B">
                  <w:pPr>
                    <w:widowControl/>
                    <w:spacing w:line="260" w:lineRule="exact"/>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16.65</w:t>
                  </w:r>
                </w:p>
              </w:tc>
              <w:tc>
                <w:tcPr>
                  <w:tcW w:w="262" w:type="pct"/>
                  <w:vMerge w:val="continue"/>
                  <w:vAlign w:val="center"/>
                </w:tcPr>
                <w:p w14:paraId="6A85EB36">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25B62B0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2.19</w:t>
                  </w:r>
                </w:p>
              </w:tc>
            </w:tr>
            <w:tr w14:paraId="7DE8A325">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560AAD41">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546F7658">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283A1D45">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67B9844A">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氟化物</w:t>
                  </w:r>
                </w:p>
              </w:tc>
              <w:tc>
                <w:tcPr>
                  <w:tcW w:w="314" w:type="pct"/>
                  <w:tcMar>
                    <w:top w:w="60" w:type="dxa"/>
                    <w:left w:w="60" w:type="dxa"/>
                    <w:right w:w="60" w:type="dxa"/>
                  </w:tcMar>
                  <w:vAlign w:val="center"/>
                </w:tcPr>
                <w:p w14:paraId="65E9AD90">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0.594</w:t>
                  </w:r>
                </w:p>
              </w:tc>
              <w:tc>
                <w:tcPr>
                  <w:tcW w:w="314" w:type="pct"/>
                  <w:tcMar>
                    <w:top w:w="60" w:type="dxa"/>
                    <w:left w:w="60" w:type="dxa"/>
                    <w:right w:w="60" w:type="dxa"/>
                  </w:tcMar>
                  <w:vAlign w:val="center"/>
                </w:tcPr>
                <w:p w14:paraId="5030BB1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0.768</w:t>
                  </w:r>
                </w:p>
              </w:tc>
              <w:tc>
                <w:tcPr>
                  <w:tcW w:w="785" w:type="pct"/>
                  <w:vMerge w:val="continue"/>
                  <w:tcMar>
                    <w:top w:w="60" w:type="dxa"/>
                    <w:left w:w="60" w:type="dxa"/>
                    <w:right w:w="60" w:type="dxa"/>
                  </w:tcMar>
                  <w:vAlign w:val="center"/>
                </w:tcPr>
                <w:p w14:paraId="1A08BF9D">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703CF93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1108717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001BE57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90</w:t>
                  </w:r>
                </w:p>
              </w:tc>
              <w:tc>
                <w:tcPr>
                  <w:tcW w:w="263" w:type="pct"/>
                  <w:tcBorders>
                    <w:top w:val="single" w:color="auto" w:sz="4" w:space="0"/>
                  </w:tcBorders>
                  <w:tcMar>
                    <w:top w:w="60" w:type="dxa"/>
                    <w:left w:w="60" w:type="dxa"/>
                    <w:right w:w="60" w:type="dxa"/>
                  </w:tcMar>
                  <w:vAlign w:val="center"/>
                </w:tcPr>
                <w:p w14:paraId="59505BC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3C1725A7">
                  <w:pPr>
                    <w:spacing w:line="260" w:lineRule="exact"/>
                    <w:ind w:left="-63" w:leftChars="-30" w:right="-63" w:rightChars="-3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6</w:t>
                  </w:r>
                </w:p>
              </w:tc>
              <w:tc>
                <w:tcPr>
                  <w:tcW w:w="324" w:type="pct"/>
                  <w:tcMar>
                    <w:top w:w="60" w:type="dxa"/>
                    <w:left w:w="60" w:type="dxa"/>
                    <w:right w:w="60" w:type="dxa"/>
                  </w:tcMar>
                  <w:vAlign w:val="center"/>
                </w:tcPr>
                <w:p w14:paraId="23D16EAE">
                  <w:pPr>
                    <w:widowControl/>
                    <w:spacing w:line="260" w:lineRule="exact"/>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768</w:t>
                  </w:r>
                </w:p>
              </w:tc>
              <w:tc>
                <w:tcPr>
                  <w:tcW w:w="262" w:type="pct"/>
                  <w:vMerge w:val="continue"/>
                  <w:vAlign w:val="center"/>
                </w:tcPr>
                <w:p w14:paraId="6F6CC90D">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76CD451E">
                  <w:pPr>
                    <w:spacing w:line="260" w:lineRule="exact"/>
                    <w:ind w:left="-63" w:leftChars="-30" w:right="-63" w:rightChars="-3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1</w:t>
                  </w:r>
                </w:p>
              </w:tc>
            </w:tr>
            <w:tr w14:paraId="4DD93F7D">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4486C4F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17D63D0F">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5C37FEC9">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5817D66D">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氯化氢</w:t>
                  </w:r>
                </w:p>
              </w:tc>
              <w:tc>
                <w:tcPr>
                  <w:tcW w:w="314" w:type="pct"/>
                  <w:tcMar>
                    <w:top w:w="60" w:type="dxa"/>
                    <w:left w:w="60" w:type="dxa"/>
                    <w:right w:w="60" w:type="dxa"/>
                  </w:tcMar>
                  <w:vAlign w:val="center"/>
                </w:tcPr>
                <w:p w14:paraId="22BCC1B5">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4</w:t>
                  </w:r>
                </w:p>
              </w:tc>
              <w:tc>
                <w:tcPr>
                  <w:tcW w:w="314" w:type="pct"/>
                  <w:tcMar>
                    <w:top w:w="60" w:type="dxa"/>
                    <w:left w:w="60" w:type="dxa"/>
                    <w:right w:w="60" w:type="dxa"/>
                  </w:tcMar>
                  <w:vAlign w:val="center"/>
                </w:tcPr>
                <w:p w14:paraId="78CC5A46">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0.52</w:t>
                  </w:r>
                </w:p>
              </w:tc>
              <w:tc>
                <w:tcPr>
                  <w:tcW w:w="785" w:type="pct"/>
                  <w:vMerge w:val="continue"/>
                  <w:tcMar>
                    <w:top w:w="60" w:type="dxa"/>
                    <w:left w:w="60" w:type="dxa"/>
                    <w:right w:w="60" w:type="dxa"/>
                  </w:tcMar>
                  <w:vAlign w:val="center"/>
                </w:tcPr>
                <w:p w14:paraId="57909FEF">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32A69177">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52553A71">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312642A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90</w:t>
                  </w:r>
                </w:p>
              </w:tc>
              <w:tc>
                <w:tcPr>
                  <w:tcW w:w="263" w:type="pct"/>
                  <w:tcBorders>
                    <w:top w:val="single" w:color="auto" w:sz="4" w:space="0"/>
                  </w:tcBorders>
                  <w:tcMar>
                    <w:top w:w="60" w:type="dxa"/>
                    <w:left w:w="60" w:type="dxa"/>
                    <w:right w:w="60" w:type="dxa"/>
                  </w:tcMar>
                  <w:vAlign w:val="center"/>
                </w:tcPr>
                <w:p w14:paraId="0A68FA2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0F39E236">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04</w:t>
                  </w:r>
                </w:p>
              </w:tc>
              <w:tc>
                <w:tcPr>
                  <w:tcW w:w="324" w:type="pct"/>
                  <w:tcMar>
                    <w:top w:w="60" w:type="dxa"/>
                    <w:left w:w="60" w:type="dxa"/>
                    <w:right w:w="60" w:type="dxa"/>
                  </w:tcMar>
                  <w:vAlign w:val="center"/>
                </w:tcPr>
                <w:p w14:paraId="15761D73">
                  <w:pPr>
                    <w:widowControl/>
                    <w:spacing w:line="26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052</w:t>
                  </w:r>
                </w:p>
              </w:tc>
              <w:tc>
                <w:tcPr>
                  <w:tcW w:w="262" w:type="pct"/>
                  <w:vMerge w:val="continue"/>
                  <w:vAlign w:val="center"/>
                </w:tcPr>
                <w:p w14:paraId="03057B3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67347F18">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0685</w:t>
                  </w:r>
                </w:p>
              </w:tc>
            </w:tr>
            <w:tr w14:paraId="1D8FF2E4">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303C4C4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B3C8055">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5DA9F596">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7C1680EF">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二噁英类</w:t>
                  </w:r>
                </w:p>
              </w:tc>
              <w:tc>
                <w:tcPr>
                  <w:tcW w:w="314" w:type="pct"/>
                  <w:tcMar>
                    <w:top w:w="60" w:type="dxa"/>
                    <w:left w:w="60" w:type="dxa"/>
                    <w:right w:w="60" w:type="dxa"/>
                  </w:tcMar>
                  <w:vAlign w:val="center"/>
                </w:tcPr>
                <w:p w14:paraId="1EA5B46D">
                  <w:pPr>
                    <w:spacing w:line="260" w:lineRule="exact"/>
                    <w:ind w:left="-63" w:leftChars="-30" w:right="-63" w:rightChars="-3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0.03ngTEQ/m</w:t>
                  </w:r>
                  <w:r>
                    <w:rPr>
                      <w:color w:val="000000" w:themeColor="text1"/>
                      <w:szCs w:val="21"/>
                      <w:highlight w:val="none"/>
                      <w:vertAlign w:val="superscript"/>
                      <w14:textFill>
                        <w14:solidFill>
                          <w14:schemeClr w14:val="tx1"/>
                        </w14:solidFill>
                      </w14:textFill>
                    </w:rPr>
                    <w:t>3</w:t>
                  </w:r>
                </w:p>
              </w:tc>
              <w:tc>
                <w:tcPr>
                  <w:tcW w:w="314" w:type="pct"/>
                  <w:tcMar>
                    <w:top w:w="60" w:type="dxa"/>
                    <w:left w:w="60" w:type="dxa"/>
                    <w:right w:w="60" w:type="dxa"/>
                  </w:tcMar>
                  <w:vAlign w:val="center"/>
                </w:tcPr>
                <w:p w14:paraId="4D4584B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38.76</w:t>
                  </w:r>
                  <w:r>
                    <w:rPr>
                      <w:color w:val="000000" w:themeColor="text1"/>
                      <w:szCs w:val="21"/>
                      <w:highlight w:val="none"/>
                      <w14:textFill>
                        <w14:solidFill>
                          <w14:schemeClr w14:val="tx1"/>
                        </w14:solidFill>
                      </w14:textFill>
                    </w:rPr>
                    <w:t>mgTEQ/a</w:t>
                  </w:r>
                </w:p>
              </w:tc>
              <w:tc>
                <w:tcPr>
                  <w:tcW w:w="785" w:type="pct"/>
                  <w:vMerge w:val="continue"/>
                  <w:tcMar>
                    <w:top w:w="60" w:type="dxa"/>
                    <w:left w:w="60" w:type="dxa"/>
                    <w:right w:w="60" w:type="dxa"/>
                  </w:tcMar>
                  <w:vAlign w:val="center"/>
                </w:tcPr>
                <w:p w14:paraId="26A553B5">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73879A39">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0A4A3737">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317E426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Borders>
                    <w:top w:val="single" w:color="auto" w:sz="4" w:space="0"/>
                  </w:tcBorders>
                  <w:tcMar>
                    <w:top w:w="60" w:type="dxa"/>
                    <w:left w:w="60" w:type="dxa"/>
                    <w:right w:w="60" w:type="dxa"/>
                  </w:tcMar>
                  <w:vAlign w:val="center"/>
                </w:tcPr>
                <w:p w14:paraId="436F990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7974CE66">
                  <w:pPr>
                    <w:spacing w:line="260" w:lineRule="exact"/>
                    <w:ind w:left="-63" w:leftChars="-30" w:right="-63" w:rightChars="-3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0.03ngTEQ/m</w:t>
                  </w:r>
                  <w:r>
                    <w:rPr>
                      <w:color w:val="000000" w:themeColor="text1"/>
                      <w:szCs w:val="21"/>
                      <w:highlight w:val="none"/>
                      <w:vertAlign w:val="superscript"/>
                      <w14:textFill>
                        <w14:solidFill>
                          <w14:schemeClr w14:val="tx1"/>
                        </w14:solidFill>
                      </w14:textFill>
                    </w:rPr>
                    <w:t>3</w:t>
                  </w:r>
                </w:p>
              </w:tc>
              <w:tc>
                <w:tcPr>
                  <w:tcW w:w="324" w:type="pct"/>
                  <w:tcMar>
                    <w:top w:w="60" w:type="dxa"/>
                    <w:left w:w="60" w:type="dxa"/>
                    <w:right w:w="60" w:type="dxa"/>
                  </w:tcMar>
                  <w:vAlign w:val="center"/>
                </w:tcPr>
                <w:p w14:paraId="6B7B78F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38.76mgTEQ/a</w:t>
                  </w:r>
                </w:p>
              </w:tc>
              <w:tc>
                <w:tcPr>
                  <w:tcW w:w="262" w:type="pct"/>
                  <w:vMerge w:val="continue"/>
                  <w:vAlign w:val="center"/>
                </w:tcPr>
                <w:p w14:paraId="248A44D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3B9C623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5.1</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-9</w:t>
                  </w:r>
                </w:p>
              </w:tc>
            </w:tr>
            <w:tr w14:paraId="4F32EEF1">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5A7A7A9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07A25F5">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665B1116">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26A7A2CF">
                  <w:pPr>
                    <w:widowControl/>
                    <w:spacing w:line="260" w:lineRule="exact"/>
                    <w:ind w:left="-63" w:leftChars="-30" w:right="-63" w:rightChars="-3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汞及其化合物（以Hg计）</w:t>
                  </w:r>
                </w:p>
              </w:tc>
              <w:tc>
                <w:tcPr>
                  <w:tcW w:w="314" w:type="pct"/>
                  <w:tcMar>
                    <w:top w:w="60" w:type="dxa"/>
                    <w:left w:w="60" w:type="dxa"/>
                    <w:right w:w="60" w:type="dxa"/>
                  </w:tcMar>
                  <w:vAlign w:val="center"/>
                </w:tcPr>
                <w:p w14:paraId="291FAA01">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336</w:t>
                  </w:r>
                </w:p>
              </w:tc>
              <w:tc>
                <w:tcPr>
                  <w:tcW w:w="314" w:type="pct"/>
                  <w:tcMar>
                    <w:top w:w="60" w:type="dxa"/>
                    <w:left w:w="60" w:type="dxa"/>
                    <w:right w:w="60" w:type="dxa"/>
                  </w:tcMar>
                  <w:vAlign w:val="center"/>
                </w:tcPr>
                <w:p w14:paraId="1D4D59FD">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8678</w:t>
                  </w:r>
                </w:p>
              </w:tc>
              <w:tc>
                <w:tcPr>
                  <w:tcW w:w="785" w:type="pct"/>
                  <w:vMerge w:val="continue"/>
                  <w:tcMar>
                    <w:top w:w="60" w:type="dxa"/>
                    <w:left w:w="60" w:type="dxa"/>
                    <w:right w:w="60" w:type="dxa"/>
                  </w:tcMar>
                  <w:vAlign w:val="center"/>
                </w:tcPr>
                <w:p w14:paraId="4524F895">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4D271E7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2F128EDD">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337B284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tcMar>
                    <w:top w:w="60" w:type="dxa"/>
                    <w:left w:w="60" w:type="dxa"/>
                    <w:right w:w="60" w:type="dxa"/>
                  </w:tcMar>
                  <w:vAlign w:val="center"/>
                </w:tcPr>
                <w:p w14:paraId="3A0FC1F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25F0F48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168</w:t>
                  </w:r>
                </w:p>
              </w:tc>
              <w:tc>
                <w:tcPr>
                  <w:tcW w:w="324" w:type="pct"/>
                  <w:tcMar>
                    <w:top w:w="60" w:type="dxa"/>
                    <w:left w:w="60" w:type="dxa"/>
                    <w:right w:w="60" w:type="dxa"/>
                  </w:tcMar>
                  <w:vAlign w:val="center"/>
                </w:tcPr>
                <w:p w14:paraId="03427906">
                  <w:pPr>
                    <w:widowControl/>
                    <w:spacing w:line="26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0217</w:t>
                  </w:r>
                </w:p>
              </w:tc>
              <w:tc>
                <w:tcPr>
                  <w:tcW w:w="262" w:type="pct"/>
                  <w:vMerge w:val="continue"/>
                  <w:vAlign w:val="center"/>
                </w:tcPr>
                <w:p w14:paraId="6271814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766D312B">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w:t>
                  </w:r>
                  <w:r>
                    <w:rPr>
                      <w:rFonts w:hint="eastAsia"/>
                      <w:color w:val="000000" w:themeColor="text1"/>
                      <w:szCs w:val="21"/>
                      <w:highlight w:val="none"/>
                      <w:lang w:val="en-US" w:eastAsia="zh-CN"/>
                      <w14:textFill>
                        <w14:solidFill>
                          <w14:schemeClr w14:val="tx1"/>
                        </w14:solidFill>
                      </w14:textFill>
                    </w:rPr>
                    <w:t>2855</w:t>
                  </w:r>
                </w:p>
              </w:tc>
            </w:tr>
            <w:tr w14:paraId="17B29351">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3DFC48A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6CB487D6">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2487647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5AA83D2D">
                  <w:pPr>
                    <w:pStyle w:val="22"/>
                    <w:adjustRightInd w:val="0"/>
                    <w:spacing w:after="0" w:line="260" w:lineRule="exact"/>
                    <w:ind w:left="-63" w:leftChars="-30" w:right="-63" w:rightChars="-30" w:firstLine="0" w:firstLineChars="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镉及其化合物（以Cd计）</w:t>
                  </w:r>
                </w:p>
              </w:tc>
              <w:tc>
                <w:tcPr>
                  <w:tcW w:w="314" w:type="pct"/>
                  <w:tcMar>
                    <w:top w:w="60" w:type="dxa"/>
                    <w:left w:w="60" w:type="dxa"/>
                    <w:right w:w="60" w:type="dxa"/>
                  </w:tcMar>
                  <w:vAlign w:val="center"/>
                </w:tcPr>
                <w:p w14:paraId="36DE9F03">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26</w:t>
                  </w:r>
                </w:p>
              </w:tc>
              <w:tc>
                <w:tcPr>
                  <w:tcW w:w="314" w:type="pct"/>
                  <w:tcMar>
                    <w:top w:w="60" w:type="dxa"/>
                    <w:left w:w="60" w:type="dxa"/>
                    <w:right w:w="60" w:type="dxa"/>
                  </w:tcMar>
                  <w:vAlign w:val="center"/>
                </w:tcPr>
                <w:p w14:paraId="798422AD">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659</w:t>
                  </w:r>
                </w:p>
              </w:tc>
              <w:tc>
                <w:tcPr>
                  <w:tcW w:w="785" w:type="pct"/>
                  <w:vMerge w:val="continue"/>
                  <w:tcMar>
                    <w:top w:w="60" w:type="dxa"/>
                    <w:left w:w="60" w:type="dxa"/>
                    <w:right w:w="60" w:type="dxa"/>
                  </w:tcMar>
                  <w:vAlign w:val="center"/>
                </w:tcPr>
                <w:p w14:paraId="4B634A1B">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334A5D25">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4A6C109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4D0D4F5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tcMar>
                    <w:top w:w="60" w:type="dxa"/>
                    <w:left w:w="60" w:type="dxa"/>
                    <w:right w:w="60" w:type="dxa"/>
                  </w:tcMar>
                  <w:vAlign w:val="center"/>
                </w:tcPr>
                <w:p w14:paraId="4529137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0AB67638">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w:t>
                  </w:r>
                  <w:r>
                    <w:rPr>
                      <w:rFonts w:hint="eastAsia"/>
                      <w:color w:val="000000" w:themeColor="text1"/>
                      <w:szCs w:val="21"/>
                      <w:highlight w:val="none"/>
                      <w:lang w:val="en-US" w:eastAsia="zh-CN"/>
                      <w14:textFill>
                        <w14:solidFill>
                          <w14:schemeClr w14:val="tx1"/>
                        </w14:solidFill>
                      </w14:textFill>
                    </w:rPr>
                    <w:t>13</w:t>
                  </w:r>
                </w:p>
              </w:tc>
              <w:tc>
                <w:tcPr>
                  <w:tcW w:w="324" w:type="pct"/>
                  <w:tcMar>
                    <w:top w:w="60" w:type="dxa"/>
                    <w:left w:w="60" w:type="dxa"/>
                    <w:right w:w="60" w:type="dxa"/>
                  </w:tcMar>
                  <w:vAlign w:val="center"/>
                </w:tcPr>
                <w:p w14:paraId="33D04958">
                  <w:pPr>
                    <w:widowControl/>
                    <w:spacing w:line="26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0.00</w:t>
                  </w:r>
                  <w:r>
                    <w:rPr>
                      <w:rFonts w:hint="eastAsia"/>
                      <w:color w:val="000000" w:themeColor="text1"/>
                      <w:highlight w:val="none"/>
                      <w:lang w:val="en-US" w:eastAsia="zh-CN"/>
                      <w14:textFill>
                        <w14:solidFill>
                          <w14:schemeClr w14:val="tx1"/>
                        </w14:solidFill>
                      </w14:textFill>
                    </w:rPr>
                    <w:t>165</w:t>
                  </w:r>
                </w:p>
              </w:tc>
              <w:tc>
                <w:tcPr>
                  <w:tcW w:w="262" w:type="pct"/>
                  <w:vMerge w:val="continue"/>
                  <w:vAlign w:val="center"/>
                </w:tcPr>
                <w:p w14:paraId="25B9B75C">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298EB081">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0.000</w:t>
                  </w:r>
                  <w:r>
                    <w:rPr>
                      <w:rFonts w:hint="eastAsia"/>
                      <w:color w:val="000000" w:themeColor="text1"/>
                      <w:szCs w:val="21"/>
                      <w:highlight w:val="none"/>
                      <w:lang w:val="en-US" w:eastAsia="zh-CN"/>
                      <w14:textFill>
                        <w14:solidFill>
                          <w14:schemeClr w14:val="tx1"/>
                        </w14:solidFill>
                      </w14:textFill>
                    </w:rPr>
                    <w:t>2</w:t>
                  </w:r>
                </w:p>
              </w:tc>
            </w:tr>
            <w:tr w14:paraId="74F5AFBC">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71E0B36E">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7DAECC71">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74E6AAE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14AB67F2">
                  <w:pPr>
                    <w:pStyle w:val="22"/>
                    <w:adjustRightInd w:val="0"/>
                    <w:spacing w:after="0" w:line="260" w:lineRule="exact"/>
                    <w:ind w:left="-63" w:leftChars="-30" w:right="-63" w:rightChars="-30" w:firstLine="0" w:firstLineChars="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砷、铅、钴、铜、镍及其化合物（As+Pb+Co+Cu+Ni计）</w:t>
                  </w:r>
                </w:p>
              </w:tc>
              <w:tc>
                <w:tcPr>
                  <w:tcW w:w="314" w:type="pct"/>
                  <w:tcMar>
                    <w:top w:w="60" w:type="dxa"/>
                    <w:left w:w="60" w:type="dxa"/>
                    <w:right w:w="60" w:type="dxa"/>
                  </w:tcMar>
                  <w:vAlign w:val="center"/>
                </w:tcPr>
                <w:p w14:paraId="5177B940">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1.46</w:t>
                  </w:r>
                </w:p>
              </w:tc>
              <w:tc>
                <w:tcPr>
                  <w:tcW w:w="314" w:type="pct"/>
                  <w:tcMar>
                    <w:top w:w="60" w:type="dxa"/>
                    <w:left w:w="60" w:type="dxa"/>
                    <w:right w:w="60" w:type="dxa"/>
                  </w:tcMar>
                  <w:vAlign w:val="center"/>
                </w:tcPr>
                <w:p w14:paraId="4A17D140">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3.7462</w:t>
                  </w:r>
                </w:p>
              </w:tc>
              <w:tc>
                <w:tcPr>
                  <w:tcW w:w="785" w:type="pct"/>
                  <w:vMerge w:val="continue"/>
                  <w:tcMar>
                    <w:top w:w="60" w:type="dxa"/>
                    <w:left w:w="60" w:type="dxa"/>
                    <w:right w:w="60" w:type="dxa"/>
                  </w:tcMar>
                  <w:vAlign w:val="center"/>
                </w:tcPr>
                <w:p w14:paraId="67D62EFE">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7F993BC6">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2CF09FB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66B2FF1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tcMar>
                    <w:top w:w="60" w:type="dxa"/>
                    <w:left w:w="60" w:type="dxa"/>
                    <w:right w:w="60" w:type="dxa"/>
                  </w:tcMar>
                  <w:vAlign w:val="center"/>
                </w:tcPr>
                <w:p w14:paraId="018B30B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74DF2293">
                  <w:pPr>
                    <w:spacing w:line="260" w:lineRule="exact"/>
                    <w:ind w:left="-63" w:leftChars="-30" w:right="-63" w:rightChars="-3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73</w:t>
                  </w:r>
                </w:p>
              </w:tc>
              <w:tc>
                <w:tcPr>
                  <w:tcW w:w="324" w:type="pct"/>
                  <w:tcMar>
                    <w:top w:w="60" w:type="dxa"/>
                    <w:left w:w="60" w:type="dxa"/>
                    <w:right w:w="60" w:type="dxa"/>
                  </w:tcMar>
                  <w:vAlign w:val="center"/>
                </w:tcPr>
                <w:p w14:paraId="606648A1">
                  <w:pPr>
                    <w:widowControl/>
                    <w:spacing w:line="26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0.0</w:t>
                  </w:r>
                  <w:r>
                    <w:rPr>
                      <w:rFonts w:hint="eastAsia"/>
                      <w:color w:val="000000" w:themeColor="text1"/>
                      <w:highlight w:val="none"/>
                      <w:lang w:val="en-US" w:eastAsia="zh-CN"/>
                      <w14:textFill>
                        <w14:solidFill>
                          <w14:schemeClr w14:val="tx1"/>
                        </w14:solidFill>
                      </w14:textFill>
                    </w:rPr>
                    <w:t>937</w:t>
                  </w:r>
                </w:p>
              </w:tc>
              <w:tc>
                <w:tcPr>
                  <w:tcW w:w="262" w:type="pct"/>
                  <w:vMerge w:val="continue"/>
                  <w:vAlign w:val="center"/>
                </w:tcPr>
                <w:p w14:paraId="061C61C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55DB60EB">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1233</w:t>
                  </w:r>
                </w:p>
              </w:tc>
            </w:tr>
            <w:tr w14:paraId="51AD30F9">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1C11D475">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2AC8B69C">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66073F72">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1174A478">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氨</w:t>
                  </w:r>
                </w:p>
              </w:tc>
              <w:tc>
                <w:tcPr>
                  <w:tcW w:w="314" w:type="pct"/>
                  <w:tcMar>
                    <w:top w:w="60" w:type="dxa"/>
                    <w:left w:w="60" w:type="dxa"/>
                    <w:right w:w="60" w:type="dxa"/>
                  </w:tcMar>
                  <w:vAlign w:val="center"/>
                </w:tcPr>
                <w:p w14:paraId="77A83C5B">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7.72</w:t>
                  </w:r>
                </w:p>
              </w:tc>
              <w:tc>
                <w:tcPr>
                  <w:tcW w:w="314" w:type="pct"/>
                  <w:tcMar>
                    <w:top w:w="60" w:type="dxa"/>
                    <w:left w:w="60" w:type="dxa"/>
                    <w:right w:w="60" w:type="dxa"/>
                  </w:tcMar>
                  <w:vAlign w:val="center"/>
                </w:tcPr>
                <w:p w14:paraId="7AECB603">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9.9769</w:t>
                  </w:r>
                </w:p>
              </w:tc>
              <w:tc>
                <w:tcPr>
                  <w:tcW w:w="785" w:type="pct"/>
                  <w:vMerge w:val="continue"/>
                  <w:tcMar>
                    <w:top w:w="60" w:type="dxa"/>
                    <w:left w:w="60" w:type="dxa"/>
                    <w:right w:w="60" w:type="dxa"/>
                  </w:tcMar>
                  <w:vAlign w:val="center"/>
                </w:tcPr>
                <w:p w14:paraId="3C4D895C">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7190891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restart"/>
                  <w:tcMar>
                    <w:top w:w="60" w:type="dxa"/>
                    <w:left w:w="60" w:type="dxa"/>
                    <w:right w:w="60" w:type="dxa"/>
                  </w:tcMar>
                  <w:vAlign w:val="center"/>
                </w:tcPr>
                <w:p w14:paraId="6A7ABBA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2" w:type="pct"/>
                  <w:tcMar>
                    <w:top w:w="60" w:type="dxa"/>
                    <w:left w:w="60" w:type="dxa"/>
                    <w:right w:w="60" w:type="dxa"/>
                  </w:tcMar>
                  <w:vAlign w:val="center"/>
                </w:tcPr>
                <w:p w14:paraId="11A0623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Borders>
                    <w:top w:val="single" w:color="auto" w:sz="4" w:space="0"/>
                  </w:tcBorders>
                  <w:tcMar>
                    <w:top w:w="60" w:type="dxa"/>
                    <w:left w:w="60" w:type="dxa"/>
                    <w:right w:w="60" w:type="dxa"/>
                  </w:tcMar>
                  <w:vAlign w:val="center"/>
                </w:tcPr>
                <w:p w14:paraId="69E351A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453EAD0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7.5</w:t>
                  </w:r>
                  <w:r>
                    <w:rPr>
                      <w:rFonts w:hint="eastAsia"/>
                      <w:color w:val="000000" w:themeColor="text1"/>
                      <w:szCs w:val="21"/>
                      <w:highlight w:val="none"/>
                      <w14:textFill>
                        <w14:solidFill>
                          <w14:schemeClr w14:val="tx1"/>
                        </w14:solidFill>
                      </w14:textFill>
                    </w:rPr>
                    <w:t>22</w:t>
                  </w:r>
                </w:p>
              </w:tc>
              <w:tc>
                <w:tcPr>
                  <w:tcW w:w="324" w:type="pct"/>
                  <w:tcMar>
                    <w:top w:w="60" w:type="dxa"/>
                    <w:left w:w="60" w:type="dxa"/>
                    <w:right w:w="60" w:type="dxa"/>
                  </w:tcMar>
                  <w:vAlign w:val="center"/>
                </w:tcPr>
                <w:p w14:paraId="1924E962">
                  <w:pPr>
                    <w:widowControl/>
                    <w:spacing w:line="26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9.7187</w:t>
                  </w:r>
                </w:p>
              </w:tc>
              <w:tc>
                <w:tcPr>
                  <w:tcW w:w="262" w:type="pct"/>
                  <w:vMerge w:val="continue"/>
                  <w:vAlign w:val="center"/>
                </w:tcPr>
                <w:p w14:paraId="48C5E69A">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632FF69A">
                  <w:pPr>
                    <w:widowControl/>
                    <w:spacing w:line="260" w:lineRule="exact"/>
                    <w:jc w:val="center"/>
                    <w:textAlignment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1.2788</w:t>
                  </w:r>
                </w:p>
              </w:tc>
            </w:tr>
            <w:tr w14:paraId="6C359EAA">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712B0BAE">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391442AA">
                  <w:pPr>
                    <w:pStyle w:val="53"/>
                    <w:spacing w:line="260" w:lineRule="exact"/>
                    <w:ind w:left="-63" w:leftChars="-30" w:right="-63" w:rightChars="-30"/>
                    <w:jc w:val="center"/>
                    <w:rPr>
                      <w:bCs/>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0A167EC1">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71ADFB03">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硫化氢</w:t>
                  </w:r>
                </w:p>
              </w:tc>
              <w:tc>
                <w:tcPr>
                  <w:tcW w:w="314" w:type="pct"/>
                  <w:tcMar>
                    <w:top w:w="60" w:type="dxa"/>
                    <w:left w:w="60" w:type="dxa"/>
                    <w:right w:w="60" w:type="dxa"/>
                  </w:tcMar>
                  <w:vAlign w:val="center"/>
                </w:tcPr>
                <w:p w14:paraId="37028DF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0.005</w:t>
                  </w:r>
                </w:p>
              </w:tc>
              <w:tc>
                <w:tcPr>
                  <w:tcW w:w="314" w:type="pct"/>
                  <w:tcMar>
                    <w:top w:w="60" w:type="dxa"/>
                    <w:left w:w="60" w:type="dxa"/>
                    <w:right w:w="60" w:type="dxa"/>
                  </w:tcMar>
                  <w:vAlign w:val="center"/>
                </w:tcPr>
                <w:p w14:paraId="5F07307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0.0133</w:t>
                  </w:r>
                </w:p>
              </w:tc>
              <w:tc>
                <w:tcPr>
                  <w:tcW w:w="785" w:type="pct"/>
                  <w:vMerge w:val="continue"/>
                  <w:tcMar>
                    <w:top w:w="60" w:type="dxa"/>
                    <w:left w:w="60" w:type="dxa"/>
                    <w:right w:w="60" w:type="dxa"/>
                  </w:tcMar>
                  <w:vAlign w:val="center"/>
                </w:tcPr>
                <w:p w14:paraId="16926F4D">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348C858E">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34706CD0">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vMerge w:val="restart"/>
                  <w:tcMar>
                    <w:top w:w="60" w:type="dxa"/>
                    <w:left w:w="60" w:type="dxa"/>
                    <w:right w:w="60" w:type="dxa"/>
                  </w:tcMar>
                  <w:vAlign w:val="center"/>
                </w:tcPr>
                <w:p w14:paraId="250A2A5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90</w:t>
                  </w:r>
                </w:p>
              </w:tc>
              <w:tc>
                <w:tcPr>
                  <w:tcW w:w="263" w:type="pct"/>
                  <w:tcBorders>
                    <w:top w:val="single" w:color="auto" w:sz="4" w:space="0"/>
                  </w:tcBorders>
                  <w:tcMar>
                    <w:top w:w="60" w:type="dxa"/>
                    <w:left w:w="60" w:type="dxa"/>
                    <w:right w:w="60" w:type="dxa"/>
                  </w:tcMar>
                  <w:vAlign w:val="center"/>
                </w:tcPr>
                <w:p w14:paraId="4517821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1BAD10B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0.001</w:t>
                  </w:r>
                </w:p>
              </w:tc>
              <w:tc>
                <w:tcPr>
                  <w:tcW w:w="324" w:type="pct"/>
                  <w:tcMar>
                    <w:top w:w="60" w:type="dxa"/>
                    <w:left w:w="60" w:type="dxa"/>
                    <w:right w:w="60" w:type="dxa"/>
                  </w:tcMar>
                  <w:vAlign w:val="center"/>
                </w:tcPr>
                <w:p w14:paraId="5D18E884">
                  <w:pPr>
                    <w:widowControl/>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0.0013</w:t>
                  </w:r>
                </w:p>
              </w:tc>
              <w:tc>
                <w:tcPr>
                  <w:tcW w:w="262" w:type="pct"/>
                  <w:vMerge w:val="continue"/>
                  <w:vAlign w:val="center"/>
                </w:tcPr>
                <w:p w14:paraId="4BF0FADA">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08EC0849">
                  <w:pPr>
                    <w:widowControl/>
                    <w:spacing w:line="260" w:lineRule="exact"/>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0.00017</w:t>
                  </w:r>
                </w:p>
              </w:tc>
            </w:tr>
            <w:tr w14:paraId="4CF10508">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208D7A65">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06FEC064">
                  <w:pPr>
                    <w:pStyle w:val="53"/>
                    <w:spacing w:line="260" w:lineRule="exact"/>
                    <w:ind w:left="-63" w:leftChars="-30" w:right="-63" w:rightChars="-30"/>
                    <w:jc w:val="center"/>
                    <w:rPr>
                      <w:bCs/>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78E96E5B">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77E3A0D1">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臭气浓度（无量纲）</w:t>
                  </w:r>
                </w:p>
              </w:tc>
              <w:tc>
                <w:tcPr>
                  <w:tcW w:w="314" w:type="pct"/>
                  <w:tcMar>
                    <w:top w:w="60" w:type="dxa"/>
                    <w:left w:w="60" w:type="dxa"/>
                    <w:right w:w="60" w:type="dxa"/>
                  </w:tcMar>
                  <w:vAlign w:val="center"/>
                </w:tcPr>
                <w:p w14:paraId="21E6670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200</w:t>
                  </w:r>
                </w:p>
              </w:tc>
              <w:tc>
                <w:tcPr>
                  <w:tcW w:w="314" w:type="pct"/>
                  <w:tcMar>
                    <w:top w:w="60" w:type="dxa"/>
                    <w:left w:w="60" w:type="dxa"/>
                    <w:right w:w="60" w:type="dxa"/>
                  </w:tcMar>
                  <w:vAlign w:val="center"/>
                </w:tcPr>
                <w:p w14:paraId="05DD0A6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785" w:type="pct"/>
                  <w:vMerge w:val="continue"/>
                  <w:tcMar>
                    <w:top w:w="60" w:type="dxa"/>
                    <w:left w:w="60" w:type="dxa"/>
                    <w:right w:w="60" w:type="dxa"/>
                  </w:tcMar>
                  <w:vAlign w:val="center"/>
                </w:tcPr>
                <w:p w14:paraId="60AA2080">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48FA4D27">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7C0E182C">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vMerge w:val="continue"/>
                  <w:tcMar>
                    <w:top w:w="60" w:type="dxa"/>
                    <w:left w:w="60" w:type="dxa"/>
                    <w:right w:w="60" w:type="dxa"/>
                  </w:tcMar>
                  <w:vAlign w:val="center"/>
                </w:tcPr>
                <w:p w14:paraId="212AE76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tcBorders>
                    <w:top w:val="single" w:color="auto" w:sz="4" w:space="0"/>
                  </w:tcBorders>
                  <w:tcMar>
                    <w:top w:w="60" w:type="dxa"/>
                    <w:left w:w="60" w:type="dxa"/>
                    <w:right w:w="60" w:type="dxa"/>
                  </w:tcMar>
                  <w:vAlign w:val="center"/>
                </w:tcPr>
                <w:p w14:paraId="2B7F667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2B9A859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20</w:t>
                  </w:r>
                </w:p>
              </w:tc>
              <w:tc>
                <w:tcPr>
                  <w:tcW w:w="324" w:type="pct"/>
                  <w:tcMar>
                    <w:top w:w="60" w:type="dxa"/>
                    <w:left w:w="60" w:type="dxa"/>
                    <w:right w:w="60" w:type="dxa"/>
                  </w:tcMar>
                  <w:vAlign w:val="center"/>
                </w:tcPr>
                <w:p w14:paraId="131C89B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vMerge w:val="continue"/>
                  <w:vAlign w:val="center"/>
                </w:tcPr>
                <w:p w14:paraId="72A97766">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0A47357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24EF35F6">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restart"/>
                  <w:tcMar>
                    <w:top w:w="60" w:type="dxa"/>
                    <w:left w:w="60" w:type="dxa"/>
                    <w:bottom w:w="45" w:type="dxa"/>
                    <w:right w:w="60" w:type="dxa"/>
                  </w:tcMar>
                  <w:vAlign w:val="center"/>
                </w:tcPr>
                <w:p w14:paraId="507457BC">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3#、4#隧道窑废气</w:t>
                  </w:r>
                </w:p>
              </w:tc>
              <w:tc>
                <w:tcPr>
                  <w:tcW w:w="365" w:type="pct"/>
                  <w:vMerge w:val="restart"/>
                  <w:tcMar>
                    <w:top w:w="60" w:type="dxa"/>
                    <w:left w:w="60" w:type="dxa"/>
                    <w:right w:w="60" w:type="dxa"/>
                  </w:tcMar>
                  <w:vAlign w:val="center"/>
                </w:tcPr>
                <w:p w14:paraId="72DF9BAE">
                  <w:pPr>
                    <w:pStyle w:val="53"/>
                    <w:spacing w:line="260" w:lineRule="exact"/>
                    <w:ind w:left="-63" w:leftChars="-30" w:right="-63" w:rightChars="-30"/>
                    <w:jc w:val="center"/>
                    <w:rPr>
                      <w:bCs/>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3#、4#隧道窑</w:t>
                  </w:r>
                </w:p>
              </w:tc>
              <w:tc>
                <w:tcPr>
                  <w:tcW w:w="263" w:type="pct"/>
                  <w:vMerge w:val="restart"/>
                  <w:tcMar>
                    <w:top w:w="60" w:type="dxa"/>
                    <w:left w:w="60" w:type="dxa"/>
                    <w:right w:w="60" w:type="dxa"/>
                  </w:tcMar>
                  <w:vAlign w:val="center"/>
                </w:tcPr>
                <w:p w14:paraId="3DCBD07F">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018CD523">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颗粒物</w:t>
                  </w:r>
                </w:p>
              </w:tc>
              <w:tc>
                <w:tcPr>
                  <w:tcW w:w="314" w:type="pct"/>
                  <w:tcMar>
                    <w:top w:w="60" w:type="dxa"/>
                    <w:left w:w="60" w:type="dxa"/>
                    <w:right w:w="60" w:type="dxa"/>
                  </w:tcMar>
                  <w:vAlign w:val="center"/>
                </w:tcPr>
                <w:p w14:paraId="00FADCA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73.43</w:t>
                  </w:r>
                </w:p>
              </w:tc>
              <w:tc>
                <w:tcPr>
                  <w:tcW w:w="314" w:type="pct"/>
                  <w:tcMar>
                    <w:top w:w="60" w:type="dxa"/>
                    <w:left w:w="60" w:type="dxa"/>
                    <w:right w:w="60" w:type="dxa"/>
                  </w:tcMar>
                  <w:vAlign w:val="center"/>
                </w:tcPr>
                <w:p w14:paraId="72995F3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94.872</w:t>
                  </w:r>
                </w:p>
              </w:tc>
              <w:tc>
                <w:tcPr>
                  <w:tcW w:w="785" w:type="pct"/>
                  <w:vMerge w:val="restart"/>
                  <w:tcMar>
                    <w:top w:w="60" w:type="dxa"/>
                    <w:left w:w="60" w:type="dxa"/>
                    <w:right w:w="60" w:type="dxa"/>
                  </w:tcMar>
                  <w:vAlign w:val="center"/>
                </w:tcPr>
                <w:p w14:paraId="628E46C0">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hint="eastAsia" w:ascii="Times New Roman"/>
                      <w:color w:val="000000" w:themeColor="text1"/>
                      <w:kern w:val="2"/>
                      <w:szCs w:val="21"/>
                      <w:highlight w:val="none"/>
                      <w14:textFill>
                        <w14:solidFill>
                          <w14:schemeClr w14:val="tx1"/>
                        </w14:solidFill>
                      </w14:textFill>
                    </w:rPr>
                    <w:t>隧道窑窑体全封闭，通过窑体内置烟道，废气</w:t>
                  </w:r>
                  <w:r>
                    <w:rPr>
                      <w:rFonts w:hint="eastAsia" w:ascii="Times New Roman"/>
                      <w:color w:val="000000" w:themeColor="text1"/>
                      <w:kern w:val="2"/>
                      <w:szCs w:val="21"/>
                      <w:highlight w:val="none"/>
                      <w:lang w:val="en-US" w:eastAsia="zh-CN"/>
                      <w14:textFill>
                        <w14:solidFill>
                          <w14:schemeClr w14:val="tx1"/>
                        </w14:solidFill>
                      </w14:textFill>
                    </w:rPr>
                    <w:t>经SNCR脱硝+</w:t>
                  </w:r>
                  <w:r>
                    <w:rPr>
                      <w:rFonts w:ascii="Times New Roman"/>
                      <w:color w:val="000000" w:themeColor="text1"/>
                      <w:kern w:val="2"/>
                      <w:szCs w:val="21"/>
                      <w:highlight w:val="none"/>
                      <w14:textFill>
                        <w14:solidFill>
                          <w14:schemeClr w14:val="tx1"/>
                        </w14:solidFill>
                      </w14:textFill>
                    </w:rPr>
                    <w:t>石灰-石膏法脱硫+湿式静电除尘器处理后经38m高排气筒（DA00</w:t>
                  </w:r>
                  <w:r>
                    <w:rPr>
                      <w:rFonts w:hint="eastAsia" w:ascii="Times New Roman"/>
                      <w:color w:val="000000" w:themeColor="text1"/>
                      <w:kern w:val="2"/>
                      <w:szCs w:val="21"/>
                      <w:highlight w:val="none"/>
                      <w14:textFill>
                        <w14:solidFill>
                          <w14:schemeClr w14:val="tx1"/>
                        </w14:solidFill>
                      </w14:textFill>
                    </w:rPr>
                    <w:t>4</w:t>
                  </w:r>
                  <w:r>
                    <w:rPr>
                      <w:rFonts w:ascii="Times New Roman"/>
                      <w:color w:val="000000" w:themeColor="text1"/>
                      <w:kern w:val="2"/>
                      <w:szCs w:val="21"/>
                      <w:highlight w:val="none"/>
                      <w14:textFill>
                        <w14:solidFill>
                          <w14:schemeClr w14:val="tx1"/>
                        </w14:solidFill>
                      </w14:textFill>
                    </w:rPr>
                    <w:t>）排放</w:t>
                  </w:r>
                </w:p>
              </w:tc>
              <w:tc>
                <w:tcPr>
                  <w:tcW w:w="314" w:type="pct"/>
                  <w:vMerge w:val="restart"/>
                  <w:tcBorders>
                    <w:top w:val="single" w:color="auto" w:sz="4" w:space="0"/>
                  </w:tcBorders>
                  <w:tcMar>
                    <w:top w:w="60" w:type="dxa"/>
                    <w:left w:w="60" w:type="dxa"/>
                    <w:right w:w="60" w:type="dxa"/>
                  </w:tcMar>
                  <w:vAlign w:val="center"/>
                </w:tcPr>
                <w:p w14:paraId="65596F0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170000</w:t>
                  </w:r>
                </w:p>
              </w:tc>
              <w:tc>
                <w:tcPr>
                  <w:tcW w:w="209" w:type="pct"/>
                  <w:vMerge w:val="restart"/>
                  <w:tcMar>
                    <w:top w:w="60" w:type="dxa"/>
                    <w:left w:w="60" w:type="dxa"/>
                    <w:right w:w="60" w:type="dxa"/>
                  </w:tcMar>
                  <w:vAlign w:val="center"/>
                </w:tcPr>
                <w:p w14:paraId="126A72B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100</w:t>
                  </w:r>
                </w:p>
              </w:tc>
              <w:tc>
                <w:tcPr>
                  <w:tcW w:w="262" w:type="pct"/>
                  <w:shd w:val="clear" w:color="auto" w:fill="auto"/>
                  <w:tcMar>
                    <w:top w:w="60" w:type="dxa"/>
                    <w:left w:w="60" w:type="dxa"/>
                    <w:right w:w="60" w:type="dxa"/>
                  </w:tcMar>
                  <w:vAlign w:val="center"/>
                </w:tcPr>
                <w:p w14:paraId="291AC5C9">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shd w:val="clear" w:color="auto" w:fill="auto"/>
                  <w:tcMar>
                    <w:top w:w="60" w:type="dxa"/>
                    <w:left w:w="60" w:type="dxa"/>
                    <w:right w:w="60" w:type="dxa"/>
                  </w:tcMar>
                  <w:vAlign w:val="center"/>
                </w:tcPr>
                <w:p w14:paraId="252067CD">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shd w:val="clear" w:color="auto" w:fill="auto"/>
                  <w:tcMar>
                    <w:top w:w="60" w:type="dxa"/>
                    <w:left w:w="60" w:type="dxa"/>
                    <w:right w:w="60" w:type="dxa"/>
                  </w:tcMar>
                  <w:vAlign w:val="center"/>
                </w:tcPr>
                <w:p w14:paraId="2C998D34">
                  <w:pPr>
                    <w:spacing w:line="260" w:lineRule="exact"/>
                    <w:ind w:left="-63" w:leftChars="-30" w:right="-63" w:rightChars="-3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3.67</w:t>
                  </w:r>
                </w:p>
              </w:tc>
              <w:tc>
                <w:tcPr>
                  <w:tcW w:w="324" w:type="pct"/>
                  <w:shd w:val="clear" w:color="auto" w:fill="auto"/>
                  <w:tcMar>
                    <w:top w:w="60" w:type="dxa"/>
                    <w:left w:w="60" w:type="dxa"/>
                    <w:right w:w="60" w:type="dxa"/>
                  </w:tcMar>
                  <w:vAlign w:val="center"/>
                </w:tcPr>
                <w:p w14:paraId="52F70F8A">
                  <w:pPr>
                    <w:widowControl/>
                    <w:spacing w:line="260" w:lineRule="exact"/>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4.744</w:t>
                  </w:r>
                </w:p>
              </w:tc>
              <w:tc>
                <w:tcPr>
                  <w:tcW w:w="262" w:type="pct"/>
                  <w:vMerge w:val="restart"/>
                  <w:vAlign w:val="center"/>
                </w:tcPr>
                <w:p w14:paraId="7ABE530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7600</w:t>
                  </w:r>
                </w:p>
              </w:tc>
              <w:tc>
                <w:tcPr>
                  <w:tcW w:w="324" w:type="pct"/>
                  <w:shd w:val="clear" w:color="auto" w:fill="auto"/>
                  <w:vAlign w:val="center"/>
                </w:tcPr>
                <w:p w14:paraId="5508754A">
                  <w:pPr>
                    <w:spacing w:line="260" w:lineRule="exact"/>
                    <w:ind w:left="-63" w:leftChars="-30" w:right="-63" w:rightChars="-3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624</w:t>
                  </w:r>
                </w:p>
              </w:tc>
            </w:tr>
            <w:tr w14:paraId="7F7772D6">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5C46563C">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77092612">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1276F832">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37EA6458">
                  <w:pPr>
                    <w:widowControl/>
                    <w:spacing w:line="260" w:lineRule="exact"/>
                    <w:ind w:left="-63" w:leftChars="-30" w:right="-63" w:rightChars="-30"/>
                    <w:jc w:val="center"/>
                    <w:textAlignment w:val="center"/>
                    <w:rPr>
                      <w:color w:val="000000" w:themeColor="text1"/>
                      <w:highlight w:val="none"/>
                      <w:vertAlign w:val="subscript"/>
                      <w14:textFill>
                        <w14:solidFill>
                          <w14:schemeClr w14:val="tx1"/>
                        </w14:solidFill>
                      </w14:textFill>
                    </w:rPr>
                  </w:pPr>
                  <w:r>
                    <w:rPr>
                      <w:color w:val="000000" w:themeColor="text1"/>
                      <w:highlight w:val="none"/>
                      <w14:textFill>
                        <w14:solidFill>
                          <w14:schemeClr w14:val="tx1"/>
                        </w14:solidFill>
                      </w14:textFill>
                    </w:rPr>
                    <w:t>SO</w:t>
                  </w:r>
                  <w:r>
                    <w:rPr>
                      <w:color w:val="000000" w:themeColor="text1"/>
                      <w:highlight w:val="none"/>
                      <w:vertAlign w:val="subscript"/>
                      <w14:textFill>
                        <w14:solidFill>
                          <w14:schemeClr w14:val="tx1"/>
                        </w14:solidFill>
                      </w14:textFill>
                    </w:rPr>
                    <w:t>2</w:t>
                  </w:r>
                </w:p>
              </w:tc>
              <w:tc>
                <w:tcPr>
                  <w:tcW w:w="314" w:type="pct"/>
                  <w:tcMar>
                    <w:top w:w="60" w:type="dxa"/>
                    <w:left w:w="60" w:type="dxa"/>
                    <w:right w:w="60" w:type="dxa"/>
                  </w:tcMar>
                  <w:vAlign w:val="center"/>
                </w:tcPr>
                <w:p w14:paraId="5803BAE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229.76</w:t>
                  </w:r>
                </w:p>
              </w:tc>
              <w:tc>
                <w:tcPr>
                  <w:tcW w:w="314" w:type="pct"/>
                  <w:tcMar>
                    <w:top w:w="60" w:type="dxa"/>
                    <w:left w:w="60" w:type="dxa"/>
                    <w:right w:w="60" w:type="dxa"/>
                  </w:tcMar>
                  <w:vAlign w:val="center"/>
                </w:tcPr>
                <w:p w14:paraId="4F8B8C2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296.851</w:t>
                  </w:r>
                </w:p>
              </w:tc>
              <w:tc>
                <w:tcPr>
                  <w:tcW w:w="785" w:type="pct"/>
                  <w:vMerge w:val="continue"/>
                  <w:tcMar>
                    <w:top w:w="60" w:type="dxa"/>
                    <w:left w:w="60" w:type="dxa"/>
                    <w:right w:w="60" w:type="dxa"/>
                  </w:tcMar>
                  <w:vAlign w:val="center"/>
                </w:tcPr>
                <w:p w14:paraId="7CFD8435">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28B2768C">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0C0A46A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shd w:val="clear" w:color="auto" w:fill="auto"/>
                  <w:tcMar>
                    <w:top w:w="60" w:type="dxa"/>
                    <w:left w:w="60" w:type="dxa"/>
                    <w:right w:w="60" w:type="dxa"/>
                  </w:tcMar>
                  <w:vAlign w:val="center"/>
                </w:tcPr>
                <w:p w14:paraId="3CEE9F1F">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9</w:t>
                  </w:r>
                  <w:r>
                    <w:rPr>
                      <w:rFonts w:hint="eastAsia"/>
                      <w:color w:val="000000" w:themeColor="text1"/>
                      <w:szCs w:val="21"/>
                      <w:highlight w:val="none"/>
                      <w:lang w:val="en-US" w:eastAsia="zh-CN"/>
                      <w14:textFill>
                        <w14:solidFill>
                          <w14:schemeClr w14:val="tx1"/>
                        </w14:solidFill>
                      </w14:textFill>
                    </w:rPr>
                    <w:t>7</w:t>
                  </w:r>
                </w:p>
              </w:tc>
              <w:tc>
                <w:tcPr>
                  <w:tcW w:w="263" w:type="pct"/>
                  <w:shd w:val="clear" w:color="auto" w:fill="auto"/>
                  <w:tcMar>
                    <w:top w:w="60" w:type="dxa"/>
                    <w:left w:w="60" w:type="dxa"/>
                    <w:right w:w="60" w:type="dxa"/>
                  </w:tcMar>
                  <w:vAlign w:val="center"/>
                </w:tcPr>
                <w:p w14:paraId="3776453D">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shd w:val="clear" w:color="auto" w:fill="auto"/>
                  <w:tcMar>
                    <w:top w:w="60" w:type="dxa"/>
                    <w:left w:w="60" w:type="dxa"/>
                    <w:right w:w="60" w:type="dxa"/>
                  </w:tcMar>
                  <w:vAlign w:val="center"/>
                </w:tcPr>
                <w:p w14:paraId="1C214416">
                  <w:pPr>
                    <w:spacing w:line="260" w:lineRule="exact"/>
                    <w:ind w:left="-63" w:leftChars="-30" w:right="-63" w:rightChars="-3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6.89</w:t>
                  </w:r>
                </w:p>
              </w:tc>
              <w:tc>
                <w:tcPr>
                  <w:tcW w:w="324" w:type="pct"/>
                  <w:shd w:val="clear" w:color="auto" w:fill="auto"/>
                  <w:tcMar>
                    <w:top w:w="60" w:type="dxa"/>
                    <w:left w:w="60" w:type="dxa"/>
                    <w:right w:w="60" w:type="dxa"/>
                  </w:tcMar>
                  <w:vAlign w:val="center"/>
                </w:tcPr>
                <w:p w14:paraId="2A9DEF9C">
                  <w:pPr>
                    <w:widowControl/>
                    <w:spacing w:line="260" w:lineRule="exact"/>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8.905</w:t>
                  </w:r>
                </w:p>
              </w:tc>
              <w:tc>
                <w:tcPr>
                  <w:tcW w:w="262" w:type="pct"/>
                  <w:vMerge w:val="continue"/>
                  <w:vAlign w:val="center"/>
                </w:tcPr>
                <w:p w14:paraId="46E7F2E0">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shd w:val="clear" w:color="auto" w:fill="auto"/>
                  <w:vAlign w:val="center"/>
                </w:tcPr>
                <w:p w14:paraId="1CB3F0AB">
                  <w:pPr>
                    <w:spacing w:line="260" w:lineRule="exact"/>
                    <w:ind w:left="-63" w:leftChars="-30" w:right="-63" w:rightChars="-3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1.171</w:t>
                  </w:r>
                </w:p>
              </w:tc>
            </w:tr>
            <w:tr w14:paraId="06F388D6">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4A9B2276">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3BC4468F">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11BF01B3">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23DFBE79">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NOx</w:t>
                  </w:r>
                </w:p>
              </w:tc>
              <w:tc>
                <w:tcPr>
                  <w:tcW w:w="314" w:type="pct"/>
                  <w:tcMar>
                    <w:top w:w="60" w:type="dxa"/>
                    <w:left w:w="60" w:type="dxa"/>
                    <w:right w:w="60" w:type="dxa"/>
                  </w:tcMar>
                  <w:vAlign w:val="center"/>
                </w:tcPr>
                <w:p w14:paraId="2E1DFD0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25.77</w:t>
                  </w:r>
                </w:p>
              </w:tc>
              <w:tc>
                <w:tcPr>
                  <w:tcW w:w="314" w:type="pct"/>
                  <w:tcMar>
                    <w:top w:w="60" w:type="dxa"/>
                    <w:left w:w="60" w:type="dxa"/>
                    <w:right w:w="60" w:type="dxa"/>
                  </w:tcMar>
                  <w:vAlign w:val="center"/>
                </w:tcPr>
                <w:p w14:paraId="17E9C73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33.295</w:t>
                  </w:r>
                </w:p>
              </w:tc>
              <w:tc>
                <w:tcPr>
                  <w:tcW w:w="785" w:type="pct"/>
                  <w:vMerge w:val="continue"/>
                  <w:tcMar>
                    <w:top w:w="60" w:type="dxa"/>
                    <w:left w:w="60" w:type="dxa"/>
                    <w:right w:w="60" w:type="dxa"/>
                  </w:tcMar>
                  <w:vAlign w:val="center"/>
                </w:tcPr>
                <w:p w14:paraId="46D296BD">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21DDA71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1C699A0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shd w:val="clear" w:color="auto" w:fill="auto"/>
                  <w:tcMar>
                    <w:top w:w="60" w:type="dxa"/>
                    <w:left w:w="60" w:type="dxa"/>
                    <w:right w:w="60" w:type="dxa"/>
                  </w:tcMar>
                  <w:vAlign w:val="center"/>
                </w:tcPr>
                <w:p w14:paraId="4BFDABF4">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50</w:t>
                  </w:r>
                </w:p>
              </w:tc>
              <w:tc>
                <w:tcPr>
                  <w:tcW w:w="263" w:type="pct"/>
                  <w:shd w:val="clear" w:color="auto" w:fill="auto"/>
                  <w:tcMar>
                    <w:top w:w="60" w:type="dxa"/>
                    <w:left w:w="60" w:type="dxa"/>
                    <w:right w:w="60" w:type="dxa"/>
                  </w:tcMar>
                  <w:vAlign w:val="center"/>
                </w:tcPr>
                <w:p w14:paraId="247B7B14">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shd w:val="clear" w:color="auto" w:fill="auto"/>
                  <w:tcMar>
                    <w:top w:w="60" w:type="dxa"/>
                    <w:left w:w="60" w:type="dxa"/>
                    <w:right w:w="60" w:type="dxa"/>
                  </w:tcMar>
                  <w:vAlign w:val="center"/>
                </w:tcPr>
                <w:p w14:paraId="1E23825B">
                  <w:pPr>
                    <w:spacing w:line="260" w:lineRule="exact"/>
                    <w:ind w:left="-63" w:leftChars="-30" w:right="-63" w:rightChars="-3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12.9</w:t>
                  </w:r>
                </w:p>
              </w:tc>
              <w:tc>
                <w:tcPr>
                  <w:tcW w:w="324" w:type="pct"/>
                  <w:shd w:val="clear" w:color="auto" w:fill="auto"/>
                  <w:tcMar>
                    <w:top w:w="60" w:type="dxa"/>
                    <w:left w:w="60" w:type="dxa"/>
                    <w:right w:w="60" w:type="dxa"/>
                  </w:tcMar>
                  <w:vAlign w:val="center"/>
                </w:tcPr>
                <w:p w14:paraId="1B4587A9">
                  <w:pPr>
                    <w:widowControl/>
                    <w:spacing w:line="260" w:lineRule="exact"/>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16.65</w:t>
                  </w:r>
                </w:p>
              </w:tc>
              <w:tc>
                <w:tcPr>
                  <w:tcW w:w="262" w:type="pct"/>
                  <w:vMerge w:val="continue"/>
                  <w:vAlign w:val="center"/>
                </w:tcPr>
                <w:p w14:paraId="4A8B871F">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shd w:val="clear" w:color="auto" w:fill="auto"/>
                  <w:vAlign w:val="center"/>
                </w:tcPr>
                <w:p w14:paraId="1D1677D9">
                  <w:pPr>
                    <w:spacing w:line="260" w:lineRule="exact"/>
                    <w:ind w:left="-63" w:leftChars="-30" w:right="-63" w:rightChars="-3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2.19</w:t>
                  </w:r>
                </w:p>
              </w:tc>
            </w:tr>
            <w:tr w14:paraId="603E0CC7">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3C15AB3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601DF2B1">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493324F1">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64FD2A38">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氟化物</w:t>
                  </w:r>
                </w:p>
              </w:tc>
              <w:tc>
                <w:tcPr>
                  <w:tcW w:w="314" w:type="pct"/>
                  <w:tcMar>
                    <w:top w:w="60" w:type="dxa"/>
                    <w:left w:w="60" w:type="dxa"/>
                    <w:right w:w="60" w:type="dxa"/>
                  </w:tcMar>
                  <w:vAlign w:val="center"/>
                </w:tcPr>
                <w:p w14:paraId="01F425C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0.594</w:t>
                  </w:r>
                </w:p>
              </w:tc>
              <w:tc>
                <w:tcPr>
                  <w:tcW w:w="314" w:type="pct"/>
                  <w:tcMar>
                    <w:top w:w="60" w:type="dxa"/>
                    <w:left w:w="60" w:type="dxa"/>
                    <w:right w:w="60" w:type="dxa"/>
                  </w:tcMar>
                  <w:vAlign w:val="center"/>
                </w:tcPr>
                <w:p w14:paraId="556F8EF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0.768</w:t>
                  </w:r>
                </w:p>
              </w:tc>
              <w:tc>
                <w:tcPr>
                  <w:tcW w:w="785" w:type="pct"/>
                  <w:vMerge w:val="continue"/>
                  <w:tcMar>
                    <w:top w:w="60" w:type="dxa"/>
                    <w:left w:w="60" w:type="dxa"/>
                    <w:right w:w="60" w:type="dxa"/>
                  </w:tcMar>
                  <w:vAlign w:val="center"/>
                </w:tcPr>
                <w:p w14:paraId="73ED6BAA">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045B35B5">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63A922EE">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shd w:val="clear" w:color="auto" w:fill="auto"/>
                  <w:tcMar>
                    <w:top w:w="60" w:type="dxa"/>
                    <w:left w:w="60" w:type="dxa"/>
                    <w:right w:w="60" w:type="dxa"/>
                  </w:tcMar>
                  <w:vAlign w:val="center"/>
                </w:tcPr>
                <w:p w14:paraId="2B9512A1">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90</w:t>
                  </w:r>
                </w:p>
              </w:tc>
              <w:tc>
                <w:tcPr>
                  <w:tcW w:w="263" w:type="pct"/>
                  <w:shd w:val="clear" w:color="auto" w:fill="auto"/>
                  <w:tcMar>
                    <w:top w:w="60" w:type="dxa"/>
                    <w:left w:w="60" w:type="dxa"/>
                    <w:right w:w="60" w:type="dxa"/>
                  </w:tcMar>
                  <w:vAlign w:val="center"/>
                </w:tcPr>
                <w:p w14:paraId="4B108DD2">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shd w:val="clear" w:color="auto" w:fill="auto"/>
                  <w:tcMar>
                    <w:top w:w="60" w:type="dxa"/>
                    <w:left w:w="60" w:type="dxa"/>
                    <w:right w:w="60" w:type="dxa"/>
                  </w:tcMar>
                  <w:vAlign w:val="center"/>
                </w:tcPr>
                <w:p w14:paraId="55637D06">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6</w:t>
                  </w:r>
                </w:p>
              </w:tc>
              <w:tc>
                <w:tcPr>
                  <w:tcW w:w="324" w:type="pct"/>
                  <w:shd w:val="clear" w:color="auto" w:fill="auto"/>
                  <w:tcMar>
                    <w:top w:w="60" w:type="dxa"/>
                    <w:left w:w="60" w:type="dxa"/>
                    <w:right w:w="60" w:type="dxa"/>
                  </w:tcMar>
                  <w:vAlign w:val="center"/>
                </w:tcPr>
                <w:p w14:paraId="23E5EF14">
                  <w:pPr>
                    <w:widowControl/>
                    <w:spacing w:line="260" w:lineRule="exact"/>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768</w:t>
                  </w:r>
                </w:p>
              </w:tc>
              <w:tc>
                <w:tcPr>
                  <w:tcW w:w="262" w:type="pct"/>
                  <w:vMerge w:val="continue"/>
                  <w:vAlign w:val="center"/>
                </w:tcPr>
                <w:p w14:paraId="66B4E4C1">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shd w:val="clear" w:color="auto" w:fill="auto"/>
                  <w:vAlign w:val="center"/>
                </w:tcPr>
                <w:p w14:paraId="23C7A3E2">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1</w:t>
                  </w:r>
                </w:p>
              </w:tc>
            </w:tr>
            <w:tr w14:paraId="7DD37818">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61035D56">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626FB1E">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18DAF3F5">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0FC71730">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氯化氢</w:t>
                  </w:r>
                </w:p>
              </w:tc>
              <w:tc>
                <w:tcPr>
                  <w:tcW w:w="314" w:type="pct"/>
                  <w:tcMar>
                    <w:top w:w="60" w:type="dxa"/>
                    <w:left w:w="60" w:type="dxa"/>
                    <w:right w:w="60" w:type="dxa"/>
                  </w:tcMar>
                  <w:vAlign w:val="center"/>
                </w:tcPr>
                <w:p w14:paraId="3201882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4</w:t>
                  </w:r>
                </w:p>
              </w:tc>
              <w:tc>
                <w:tcPr>
                  <w:tcW w:w="314" w:type="pct"/>
                  <w:tcMar>
                    <w:top w:w="60" w:type="dxa"/>
                    <w:left w:w="60" w:type="dxa"/>
                    <w:right w:w="60" w:type="dxa"/>
                  </w:tcMar>
                  <w:vAlign w:val="center"/>
                </w:tcPr>
                <w:p w14:paraId="61E42AC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0.52</w:t>
                  </w:r>
                </w:p>
              </w:tc>
              <w:tc>
                <w:tcPr>
                  <w:tcW w:w="785" w:type="pct"/>
                  <w:vMerge w:val="continue"/>
                  <w:tcMar>
                    <w:top w:w="60" w:type="dxa"/>
                    <w:left w:w="60" w:type="dxa"/>
                    <w:right w:w="60" w:type="dxa"/>
                  </w:tcMar>
                  <w:vAlign w:val="center"/>
                </w:tcPr>
                <w:p w14:paraId="0FC463F3">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6D0413E6">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7F9B5D3A">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2B2C373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90</w:t>
                  </w:r>
                </w:p>
              </w:tc>
              <w:tc>
                <w:tcPr>
                  <w:tcW w:w="263" w:type="pct"/>
                  <w:tcMar>
                    <w:top w:w="60" w:type="dxa"/>
                    <w:left w:w="60" w:type="dxa"/>
                    <w:right w:w="60" w:type="dxa"/>
                  </w:tcMar>
                  <w:vAlign w:val="center"/>
                </w:tcPr>
                <w:p w14:paraId="0BE0636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022B520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04</w:t>
                  </w:r>
                </w:p>
              </w:tc>
              <w:tc>
                <w:tcPr>
                  <w:tcW w:w="324" w:type="pct"/>
                  <w:tcMar>
                    <w:top w:w="60" w:type="dxa"/>
                    <w:left w:w="60" w:type="dxa"/>
                    <w:right w:w="60" w:type="dxa"/>
                  </w:tcMar>
                  <w:vAlign w:val="center"/>
                </w:tcPr>
                <w:p w14:paraId="0171D29C">
                  <w:pPr>
                    <w:widowControl/>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052</w:t>
                  </w:r>
                </w:p>
              </w:tc>
              <w:tc>
                <w:tcPr>
                  <w:tcW w:w="262" w:type="pct"/>
                  <w:vMerge w:val="continue"/>
                  <w:vAlign w:val="center"/>
                </w:tcPr>
                <w:p w14:paraId="3EC7A0A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7905BA0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0685</w:t>
                  </w:r>
                </w:p>
              </w:tc>
            </w:tr>
            <w:tr w14:paraId="492A60C0">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2E55F052">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609AF221">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0B10500E">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59247AD0">
                  <w:pPr>
                    <w:widowControl/>
                    <w:spacing w:line="260" w:lineRule="exact"/>
                    <w:ind w:left="-63" w:leftChars="-30" w:right="-63" w:rightChars="-3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二噁英类</w:t>
                  </w:r>
                </w:p>
              </w:tc>
              <w:tc>
                <w:tcPr>
                  <w:tcW w:w="314" w:type="pct"/>
                  <w:tcMar>
                    <w:top w:w="60" w:type="dxa"/>
                    <w:left w:w="60" w:type="dxa"/>
                    <w:right w:w="60" w:type="dxa"/>
                  </w:tcMar>
                  <w:vAlign w:val="center"/>
                </w:tcPr>
                <w:p w14:paraId="58693D03">
                  <w:pPr>
                    <w:spacing w:line="260" w:lineRule="exact"/>
                    <w:ind w:left="-63" w:leftChars="-30" w:right="-63" w:rightChars="-3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0.03ngTEQ/m</w:t>
                  </w:r>
                  <w:r>
                    <w:rPr>
                      <w:color w:val="000000" w:themeColor="text1"/>
                      <w:szCs w:val="21"/>
                      <w:highlight w:val="none"/>
                      <w:vertAlign w:val="superscript"/>
                      <w14:textFill>
                        <w14:solidFill>
                          <w14:schemeClr w14:val="tx1"/>
                        </w14:solidFill>
                      </w14:textFill>
                    </w:rPr>
                    <w:t>3</w:t>
                  </w:r>
                </w:p>
              </w:tc>
              <w:tc>
                <w:tcPr>
                  <w:tcW w:w="314" w:type="pct"/>
                  <w:tcMar>
                    <w:top w:w="60" w:type="dxa"/>
                    <w:left w:w="60" w:type="dxa"/>
                    <w:right w:w="60" w:type="dxa"/>
                  </w:tcMar>
                  <w:vAlign w:val="center"/>
                </w:tcPr>
                <w:p w14:paraId="1E1FE57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38.76</w:t>
                  </w:r>
                  <w:r>
                    <w:rPr>
                      <w:color w:val="000000" w:themeColor="text1"/>
                      <w:szCs w:val="21"/>
                      <w:highlight w:val="none"/>
                      <w14:textFill>
                        <w14:solidFill>
                          <w14:schemeClr w14:val="tx1"/>
                        </w14:solidFill>
                      </w14:textFill>
                    </w:rPr>
                    <w:t>mgTEQ/a</w:t>
                  </w:r>
                </w:p>
              </w:tc>
              <w:tc>
                <w:tcPr>
                  <w:tcW w:w="785" w:type="pct"/>
                  <w:vMerge w:val="continue"/>
                  <w:tcMar>
                    <w:top w:w="60" w:type="dxa"/>
                    <w:left w:w="60" w:type="dxa"/>
                    <w:right w:w="60" w:type="dxa"/>
                  </w:tcMar>
                  <w:vAlign w:val="center"/>
                </w:tcPr>
                <w:p w14:paraId="57AB39D5">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45AC157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4E1B917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5E72118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Mar>
                    <w:top w:w="60" w:type="dxa"/>
                    <w:left w:w="60" w:type="dxa"/>
                    <w:right w:w="60" w:type="dxa"/>
                  </w:tcMar>
                  <w:vAlign w:val="center"/>
                </w:tcPr>
                <w:p w14:paraId="517C4B3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59ABA0A4">
                  <w:pPr>
                    <w:spacing w:line="260" w:lineRule="exact"/>
                    <w:ind w:left="-63" w:leftChars="-30" w:right="-63" w:rightChars="-3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0.03ngTEQ/m</w:t>
                  </w:r>
                  <w:r>
                    <w:rPr>
                      <w:color w:val="000000" w:themeColor="text1"/>
                      <w:szCs w:val="21"/>
                      <w:highlight w:val="none"/>
                      <w:vertAlign w:val="superscript"/>
                      <w14:textFill>
                        <w14:solidFill>
                          <w14:schemeClr w14:val="tx1"/>
                        </w14:solidFill>
                      </w14:textFill>
                    </w:rPr>
                    <w:t>3</w:t>
                  </w:r>
                </w:p>
              </w:tc>
              <w:tc>
                <w:tcPr>
                  <w:tcW w:w="324" w:type="pct"/>
                  <w:tcMar>
                    <w:top w:w="60" w:type="dxa"/>
                    <w:left w:w="60" w:type="dxa"/>
                    <w:right w:w="60" w:type="dxa"/>
                  </w:tcMar>
                  <w:vAlign w:val="center"/>
                </w:tcPr>
                <w:p w14:paraId="573A7C4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38.76mgTEQ/a</w:t>
                  </w:r>
                </w:p>
              </w:tc>
              <w:tc>
                <w:tcPr>
                  <w:tcW w:w="262" w:type="pct"/>
                  <w:vMerge w:val="continue"/>
                  <w:vAlign w:val="center"/>
                </w:tcPr>
                <w:p w14:paraId="05423D08">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03AEC38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5.1</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-9</w:t>
                  </w:r>
                </w:p>
              </w:tc>
            </w:tr>
            <w:tr w14:paraId="5A7E685F">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0AB90FB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6488CE0A">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657615E0">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43186613">
                  <w:pPr>
                    <w:widowControl/>
                    <w:spacing w:line="260" w:lineRule="exact"/>
                    <w:ind w:left="-63" w:leftChars="-30" w:right="-63" w:rightChars="-3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汞及其化合物（以Hg计）</w:t>
                  </w:r>
                </w:p>
              </w:tc>
              <w:tc>
                <w:tcPr>
                  <w:tcW w:w="314" w:type="pct"/>
                  <w:tcMar>
                    <w:top w:w="60" w:type="dxa"/>
                    <w:left w:w="60" w:type="dxa"/>
                    <w:right w:w="60" w:type="dxa"/>
                  </w:tcMar>
                  <w:vAlign w:val="center"/>
                </w:tcPr>
                <w:p w14:paraId="14ED70A4">
                  <w:pPr>
                    <w:spacing w:line="260" w:lineRule="exact"/>
                    <w:ind w:left="-63" w:leftChars="-30" w:right="-63" w:rightChars="-3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336</w:t>
                  </w:r>
                </w:p>
              </w:tc>
              <w:tc>
                <w:tcPr>
                  <w:tcW w:w="314" w:type="pct"/>
                  <w:tcMar>
                    <w:top w:w="60" w:type="dxa"/>
                    <w:left w:w="60" w:type="dxa"/>
                    <w:right w:w="60" w:type="dxa"/>
                  </w:tcMar>
                  <w:vAlign w:val="center"/>
                </w:tcPr>
                <w:p w14:paraId="7123052F">
                  <w:pPr>
                    <w:spacing w:line="260" w:lineRule="exact"/>
                    <w:ind w:left="-63" w:leftChars="-30" w:right="-63" w:rightChars="-3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8678</w:t>
                  </w:r>
                </w:p>
              </w:tc>
              <w:tc>
                <w:tcPr>
                  <w:tcW w:w="785" w:type="pct"/>
                  <w:vMerge w:val="continue"/>
                  <w:tcMar>
                    <w:top w:w="60" w:type="dxa"/>
                    <w:left w:w="60" w:type="dxa"/>
                    <w:right w:w="60" w:type="dxa"/>
                  </w:tcMar>
                  <w:vAlign w:val="center"/>
                </w:tcPr>
                <w:p w14:paraId="400D40F7">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6C4D9C6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0D355C9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017C5F1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Mar>
                    <w:top w:w="60" w:type="dxa"/>
                    <w:left w:w="60" w:type="dxa"/>
                    <w:right w:w="60" w:type="dxa"/>
                  </w:tcMar>
                  <w:vAlign w:val="center"/>
                </w:tcPr>
                <w:p w14:paraId="453E958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1AB4DA23">
                  <w:pPr>
                    <w:spacing w:line="260" w:lineRule="exact"/>
                    <w:ind w:left="-63" w:leftChars="-30" w:right="-63" w:rightChars="-3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168</w:t>
                  </w:r>
                </w:p>
              </w:tc>
              <w:tc>
                <w:tcPr>
                  <w:tcW w:w="324" w:type="pct"/>
                  <w:tcMar>
                    <w:top w:w="60" w:type="dxa"/>
                    <w:left w:w="60" w:type="dxa"/>
                    <w:right w:w="60" w:type="dxa"/>
                  </w:tcMar>
                  <w:vAlign w:val="center"/>
                </w:tcPr>
                <w:p w14:paraId="18826B3E">
                  <w:pPr>
                    <w:widowControl/>
                    <w:spacing w:line="260" w:lineRule="exact"/>
                    <w:jc w:val="center"/>
                    <w:textAlignment w:val="center"/>
                    <w:rPr>
                      <w:rFonts w:hint="default"/>
                      <w:color w:val="000000" w:themeColor="text1"/>
                      <w:highlight w:val="none"/>
                      <w:lang w:val="en-US"/>
                      <w14:textFill>
                        <w14:solidFill>
                          <w14:schemeClr w14:val="tx1"/>
                        </w14:solidFill>
                      </w14:textFill>
                    </w:rPr>
                  </w:pPr>
                  <w:r>
                    <w:rPr>
                      <w:rFonts w:hint="eastAsia"/>
                      <w:color w:val="000000" w:themeColor="text1"/>
                      <w:highlight w:val="none"/>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0217</w:t>
                  </w:r>
                </w:p>
              </w:tc>
              <w:tc>
                <w:tcPr>
                  <w:tcW w:w="262" w:type="pct"/>
                  <w:vMerge w:val="continue"/>
                  <w:vAlign w:val="center"/>
                </w:tcPr>
                <w:p w14:paraId="6EDC2BB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6404F73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w:t>
                  </w:r>
                  <w:r>
                    <w:rPr>
                      <w:rFonts w:hint="eastAsia"/>
                      <w:color w:val="000000" w:themeColor="text1"/>
                      <w:szCs w:val="21"/>
                      <w:highlight w:val="none"/>
                      <w:lang w:val="en-US" w:eastAsia="zh-CN"/>
                      <w14:textFill>
                        <w14:solidFill>
                          <w14:schemeClr w14:val="tx1"/>
                        </w14:solidFill>
                      </w14:textFill>
                    </w:rPr>
                    <w:t>2855</w:t>
                  </w:r>
                </w:p>
              </w:tc>
            </w:tr>
            <w:tr w14:paraId="4FFDD8CD">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51C5CD8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25669D7B">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7E7E3D80">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651DA3CE">
                  <w:pPr>
                    <w:pStyle w:val="22"/>
                    <w:adjustRightInd w:val="0"/>
                    <w:spacing w:after="0" w:line="260" w:lineRule="exact"/>
                    <w:ind w:left="-63" w:leftChars="-30" w:right="-63" w:rightChars="-30" w:firstLine="0" w:firstLineChars="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镉及其化合物（以Cd计）</w:t>
                  </w:r>
                </w:p>
              </w:tc>
              <w:tc>
                <w:tcPr>
                  <w:tcW w:w="314" w:type="pct"/>
                  <w:tcMar>
                    <w:top w:w="60" w:type="dxa"/>
                    <w:left w:w="60" w:type="dxa"/>
                    <w:right w:w="60" w:type="dxa"/>
                  </w:tcMar>
                  <w:vAlign w:val="center"/>
                </w:tcPr>
                <w:p w14:paraId="319D0CF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26</w:t>
                  </w:r>
                </w:p>
              </w:tc>
              <w:tc>
                <w:tcPr>
                  <w:tcW w:w="314" w:type="pct"/>
                  <w:tcMar>
                    <w:top w:w="60" w:type="dxa"/>
                    <w:left w:w="60" w:type="dxa"/>
                    <w:right w:w="60" w:type="dxa"/>
                  </w:tcMar>
                  <w:vAlign w:val="center"/>
                </w:tcPr>
                <w:p w14:paraId="7A5A0662">
                  <w:pPr>
                    <w:spacing w:line="260" w:lineRule="exact"/>
                    <w:ind w:left="-63" w:leftChars="-30" w:right="-63" w:rightChars="-3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659</w:t>
                  </w:r>
                </w:p>
              </w:tc>
              <w:tc>
                <w:tcPr>
                  <w:tcW w:w="785" w:type="pct"/>
                  <w:vMerge w:val="continue"/>
                  <w:tcMar>
                    <w:top w:w="60" w:type="dxa"/>
                    <w:left w:w="60" w:type="dxa"/>
                    <w:right w:w="60" w:type="dxa"/>
                  </w:tcMar>
                  <w:vAlign w:val="center"/>
                </w:tcPr>
                <w:p w14:paraId="2D2E51FF">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00121F6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631863D8">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40C545B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tcMar>
                    <w:top w:w="60" w:type="dxa"/>
                    <w:left w:w="60" w:type="dxa"/>
                    <w:right w:w="60" w:type="dxa"/>
                  </w:tcMar>
                  <w:vAlign w:val="center"/>
                </w:tcPr>
                <w:p w14:paraId="4F3672F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22B3C9FA">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w:t>
                  </w:r>
                  <w:r>
                    <w:rPr>
                      <w:rFonts w:hint="eastAsia"/>
                      <w:color w:val="000000" w:themeColor="text1"/>
                      <w:szCs w:val="21"/>
                      <w:highlight w:val="none"/>
                      <w:lang w:val="en-US" w:eastAsia="zh-CN"/>
                      <w14:textFill>
                        <w14:solidFill>
                          <w14:schemeClr w14:val="tx1"/>
                        </w14:solidFill>
                      </w14:textFill>
                    </w:rPr>
                    <w:t>13</w:t>
                  </w:r>
                </w:p>
              </w:tc>
              <w:tc>
                <w:tcPr>
                  <w:tcW w:w="324" w:type="pct"/>
                  <w:tcMar>
                    <w:top w:w="60" w:type="dxa"/>
                    <w:left w:w="60" w:type="dxa"/>
                    <w:right w:w="60" w:type="dxa"/>
                  </w:tcMar>
                  <w:vAlign w:val="center"/>
                </w:tcPr>
                <w:p w14:paraId="441AC18B">
                  <w:pPr>
                    <w:widowControl/>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0.00</w:t>
                  </w:r>
                  <w:r>
                    <w:rPr>
                      <w:rFonts w:hint="eastAsia"/>
                      <w:color w:val="000000" w:themeColor="text1"/>
                      <w:highlight w:val="none"/>
                      <w:lang w:val="en-US" w:eastAsia="zh-CN"/>
                      <w14:textFill>
                        <w14:solidFill>
                          <w14:schemeClr w14:val="tx1"/>
                        </w14:solidFill>
                      </w14:textFill>
                    </w:rPr>
                    <w:t>165</w:t>
                  </w:r>
                </w:p>
              </w:tc>
              <w:tc>
                <w:tcPr>
                  <w:tcW w:w="262" w:type="pct"/>
                  <w:vMerge w:val="continue"/>
                  <w:vAlign w:val="center"/>
                </w:tcPr>
                <w:p w14:paraId="71569DD5">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11BBCE1C">
                  <w:pPr>
                    <w:spacing w:line="260" w:lineRule="exact"/>
                    <w:ind w:left="-63" w:leftChars="-30" w:right="-63" w:rightChars="-30"/>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14:textFill>
                        <w14:solidFill>
                          <w14:schemeClr w14:val="tx1"/>
                        </w14:solidFill>
                      </w14:textFill>
                    </w:rPr>
                    <w:t>0.000</w:t>
                  </w:r>
                  <w:r>
                    <w:rPr>
                      <w:rFonts w:hint="eastAsia"/>
                      <w:color w:val="000000" w:themeColor="text1"/>
                      <w:szCs w:val="21"/>
                      <w:highlight w:val="none"/>
                      <w:lang w:val="en-US" w:eastAsia="zh-CN"/>
                      <w14:textFill>
                        <w14:solidFill>
                          <w14:schemeClr w14:val="tx1"/>
                        </w14:solidFill>
                      </w14:textFill>
                    </w:rPr>
                    <w:t>2</w:t>
                  </w:r>
                </w:p>
              </w:tc>
            </w:tr>
            <w:tr w14:paraId="49E66465">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788CE3FB">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6832C367">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72CD4E33">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shd w:val="clear" w:color="auto" w:fill="auto"/>
                  <w:tcMar>
                    <w:top w:w="60" w:type="dxa"/>
                    <w:left w:w="60" w:type="dxa"/>
                    <w:right w:w="60" w:type="dxa"/>
                  </w:tcMar>
                  <w:vAlign w:val="center"/>
                </w:tcPr>
                <w:p w14:paraId="43A37CCE">
                  <w:pPr>
                    <w:pStyle w:val="22"/>
                    <w:adjustRightInd w:val="0"/>
                    <w:spacing w:after="0" w:line="260" w:lineRule="exact"/>
                    <w:ind w:left="-63" w:leftChars="-30" w:right="-63" w:rightChars="-30" w:firstLine="0" w:firstLineChars="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砷、铅、钴、铜、镍及其化合物（As+Pb+Co+Cu+Ni计）</w:t>
                  </w:r>
                </w:p>
              </w:tc>
              <w:tc>
                <w:tcPr>
                  <w:tcW w:w="314" w:type="pct"/>
                  <w:shd w:val="clear" w:color="auto" w:fill="auto"/>
                  <w:tcMar>
                    <w:top w:w="60" w:type="dxa"/>
                    <w:left w:w="60" w:type="dxa"/>
                    <w:right w:w="60" w:type="dxa"/>
                  </w:tcMar>
                  <w:vAlign w:val="center"/>
                </w:tcPr>
                <w:p w14:paraId="51A92069">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1.46</w:t>
                  </w:r>
                </w:p>
              </w:tc>
              <w:tc>
                <w:tcPr>
                  <w:tcW w:w="314" w:type="pct"/>
                  <w:shd w:val="clear" w:color="auto" w:fill="auto"/>
                  <w:tcMar>
                    <w:top w:w="60" w:type="dxa"/>
                    <w:left w:w="60" w:type="dxa"/>
                    <w:right w:w="60" w:type="dxa"/>
                  </w:tcMar>
                  <w:vAlign w:val="center"/>
                </w:tcPr>
                <w:p w14:paraId="3E0F26C2">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3.7462</w:t>
                  </w:r>
                </w:p>
              </w:tc>
              <w:tc>
                <w:tcPr>
                  <w:tcW w:w="785" w:type="pct"/>
                  <w:vMerge w:val="continue"/>
                  <w:tcMar>
                    <w:top w:w="60" w:type="dxa"/>
                    <w:left w:w="60" w:type="dxa"/>
                    <w:right w:w="60" w:type="dxa"/>
                  </w:tcMar>
                  <w:vAlign w:val="center"/>
                </w:tcPr>
                <w:p w14:paraId="74C72A44">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37E3003E">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3303AAC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shd w:val="clear" w:color="auto" w:fill="auto"/>
                  <w:tcMar>
                    <w:top w:w="60" w:type="dxa"/>
                    <w:left w:w="60" w:type="dxa"/>
                    <w:right w:w="60" w:type="dxa"/>
                  </w:tcMar>
                  <w:vAlign w:val="center"/>
                </w:tcPr>
                <w:p w14:paraId="01BE1F60">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shd w:val="clear" w:color="auto" w:fill="auto"/>
                  <w:tcMar>
                    <w:top w:w="60" w:type="dxa"/>
                    <w:left w:w="60" w:type="dxa"/>
                    <w:right w:w="60" w:type="dxa"/>
                  </w:tcMar>
                  <w:vAlign w:val="center"/>
                </w:tcPr>
                <w:p w14:paraId="2F507676">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shd w:val="clear" w:color="auto" w:fill="auto"/>
                  <w:tcMar>
                    <w:top w:w="60" w:type="dxa"/>
                    <w:left w:w="60" w:type="dxa"/>
                    <w:right w:w="60" w:type="dxa"/>
                  </w:tcMar>
                  <w:vAlign w:val="center"/>
                </w:tcPr>
                <w:p w14:paraId="42D61D24">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73</w:t>
                  </w:r>
                </w:p>
              </w:tc>
              <w:tc>
                <w:tcPr>
                  <w:tcW w:w="324" w:type="pct"/>
                  <w:shd w:val="clear" w:color="auto" w:fill="auto"/>
                  <w:tcMar>
                    <w:top w:w="60" w:type="dxa"/>
                    <w:left w:w="60" w:type="dxa"/>
                    <w:right w:w="60" w:type="dxa"/>
                  </w:tcMar>
                  <w:vAlign w:val="center"/>
                </w:tcPr>
                <w:p w14:paraId="7D97B8C6">
                  <w:pPr>
                    <w:widowControl/>
                    <w:spacing w:line="260" w:lineRule="exact"/>
                    <w:jc w:val="center"/>
                    <w:textAlignment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0.0</w:t>
                  </w:r>
                  <w:r>
                    <w:rPr>
                      <w:rFonts w:hint="eastAsia"/>
                      <w:color w:val="000000" w:themeColor="text1"/>
                      <w:highlight w:val="none"/>
                      <w:lang w:val="en-US" w:eastAsia="zh-CN"/>
                      <w14:textFill>
                        <w14:solidFill>
                          <w14:schemeClr w14:val="tx1"/>
                        </w14:solidFill>
                      </w14:textFill>
                    </w:rPr>
                    <w:t>937</w:t>
                  </w:r>
                </w:p>
              </w:tc>
              <w:tc>
                <w:tcPr>
                  <w:tcW w:w="262" w:type="pct"/>
                  <w:vMerge w:val="continue"/>
                  <w:shd w:val="clear" w:color="auto" w:fill="auto"/>
                  <w:vAlign w:val="center"/>
                </w:tcPr>
                <w:p w14:paraId="105CC1AC">
                  <w:pPr>
                    <w:spacing w:line="260" w:lineRule="exact"/>
                    <w:ind w:left="-63" w:leftChars="-30" w:right="-63" w:rightChars="-3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p>
              </w:tc>
              <w:tc>
                <w:tcPr>
                  <w:tcW w:w="324" w:type="pct"/>
                  <w:shd w:val="clear" w:color="auto" w:fill="auto"/>
                  <w:vAlign w:val="center"/>
                </w:tcPr>
                <w:p w14:paraId="75A37ACD">
                  <w:pPr>
                    <w:spacing w:line="260" w:lineRule="exact"/>
                    <w:ind w:left="-63" w:leftChars="-30" w:right="-63" w:rightChars="-3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1233</w:t>
                  </w:r>
                </w:p>
              </w:tc>
            </w:tr>
            <w:tr w14:paraId="49BDBA61">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573FBDD2">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570D5F6C">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02F43849">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273463F0">
                  <w:pPr>
                    <w:pStyle w:val="22"/>
                    <w:adjustRightInd w:val="0"/>
                    <w:spacing w:after="0" w:line="260" w:lineRule="exact"/>
                    <w:ind w:left="-63" w:leftChars="-30" w:right="-63" w:rightChars="-30" w:firstLine="0" w:firstLineChars="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氨</w:t>
                  </w:r>
                </w:p>
              </w:tc>
              <w:tc>
                <w:tcPr>
                  <w:tcW w:w="314" w:type="pct"/>
                  <w:tcMar>
                    <w:top w:w="60" w:type="dxa"/>
                    <w:left w:w="60" w:type="dxa"/>
                    <w:right w:w="60" w:type="dxa"/>
                  </w:tcMar>
                  <w:vAlign w:val="center"/>
                </w:tcPr>
                <w:p w14:paraId="44C55CF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7.5</w:t>
                  </w:r>
                </w:p>
              </w:tc>
              <w:tc>
                <w:tcPr>
                  <w:tcW w:w="314" w:type="pct"/>
                  <w:tcMar>
                    <w:top w:w="60" w:type="dxa"/>
                    <w:left w:w="60" w:type="dxa"/>
                    <w:right w:w="60" w:type="dxa"/>
                  </w:tcMar>
                  <w:vAlign w:val="center"/>
                </w:tcPr>
                <w:p w14:paraId="425B965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9.69</w:t>
                  </w:r>
                </w:p>
              </w:tc>
              <w:tc>
                <w:tcPr>
                  <w:tcW w:w="785" w:type="pct"/>
                  <w:vMerge w:val="continue"/>
                  <w:tcMar>
                    <w:top w:w="60" w:type="dxa"/>
                    <w:left w:w="60" w:type="dxa"/>
                    <w:right w:w="60" w:type="dxa"/>
                  </w:tcMar>
                  <w:vAlign w:val="center"/>
                </w:tcPr>
                <w:p w14:paraId="265FB779">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2A3EC3F0">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5759B6AD">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tcMar>
                    <w:top w:w="60" w:type="dxa"/>
                    <w:left w:w="60" w:type="dxa"/>
                    <w:right w:w="60" w:type="dxa"/>
                  </w:tcMar>
                  <w:vAlign w:val="center"/>
                </w:tcPr>
                <w:p w14:paraId="621D8EC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3" w:type="pct"/>
                  <w:tcBorders>
                    <w:top w:val="single" w:color="auto" w:sz="4" w:space="0"/>
                  </w:tcBorders>
                  <w:tcMar>
                    <w:top w:w="60" w:type="dxa"/>
                    <w:left w:w="60" w:type="dxa"/>
                    <w:right w:w="60" w:type="dxa"/>
                  </w:tcMar>
                  <w:vAlign w:val="center"/>
                </w:tcPr>
                <w:p w14:paraId="5AE5130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34D8656E">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7.5</w:t>
                  </w:r>
                </w:p>
              </w:tc>
              <w:tc>
                <w:tcPr>
                  <w:tcW w:w="324" w:type="pct"/>
                  <w:tcMar>
                    <w:top w:w="60" w:type="dxa"/>
                    <w:left w:w="60" w:type="dxa"/>
                    <w:right w:w="60" w:type="dxa"/>
                  </w:tcMar>
                  <w:vAlign w:val="center"/>
                </w:tcPr>
                <w:p w14:paraId="6A86EFF2">
                  <w:pPr>
                    <w:widowControl/>
                    <w:spacing w:line="26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9.69</w:t>
                  </w:r>
                </w:p>
              </w:tc>
              <w:tc>
                <w:tcPr>
                  <w:tcW w:w="262" w:type="pct"/>
                  <w:vMerge w:val="continue"/>
                  <w:vAlign w:val="center"/>
                </w:tcPr>
                <w:p w14:paraId="338FCFD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3F56BD7C">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1.275</w:t>
                  </w:r>
                </w:p>
              </w:tc>
            </w:tr>
            <w:tr w14:paraId="29474F39">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tcMar>
                    <w:top w:w="60" w:type="dxa"/>
                    <w:left w:w="60" w:type="dxa"/>
                    <w:bottom w:w="45" w:type="dxa"/>
                    <w:right w:w="60" w:type="dxa"/>
                  </w:tcMar>
                  <w:vAlign w:val="center"/>
                </w:tcPr>
                <w:p w14:paraId="16E96567">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窑车吹扫废气</w:t>
                  </w:r>
                </w:p>
              </w:tc>
              <w:tc>
                <w:tcPr>
                  <w:tcW w:w="365" w:type="pct"/>
                  <w:tcMar>
                    <w:top w:w="60" w:type="dxa"/>
                    <w:left w:w="60" w:type="dxa"/>
                    <w:right w:w="60" w:type="dxa"/>
                  </w:tcMar>
                  <w:vAlign w:val="center"/>
                </w:tcPr>
                <w:p w14:paraId="7678751C">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1#、2#隧道窑窑车吹扫设备</w:t>
                  </w:r>
                </w:p>
              </w:tc>
              <w:tc>
                <w:tcPr>
                  <w:tcW w:w="263" w:type="pct"/>
                  <w:tcMar>
                    <w:top w:w="60" w:type="dxa"/>
                    <w:left w:w="60" w:type="dxa"/>
                    <w:right w:w="60" w:type="dxa"/>
                  </w:tcMar>
                  <w:vAlign w:val="center"/>
                </w:tcPr>
                <w:p w14:paraId="6AB4F99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424913FD">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颗粒物</w:t>
                  </w:r>
                </w:p>
              </w:tc>
              <w:tc>
                <w:tcPr>
                  <w:tcW w:w="314" w:type="pct"/>
                  <w:tcMar>
                    <w:top w:w="60" w:type="dxa"/>
                    <w:left w:w="60" w:type="dxa"/>
                    <w:right w:w="60" w:type="dxa"/>
                  </w:tcMar>
                  <w:vAlign w:val="center"/>
                </w:tcPr>
                <w:p w14:paraId="79E927AD">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73.98</w:t>
                  </w:r>
                </w:p>
              </w:tc>
              <w:tc>
                <w:tcPr>
                  <w:tcW w:w="314" w:type="pct"/>
                  <w:tcMar>
                    <w:top w:w="60" w:type="dxa"/>
                    <w:left w:w="60" w:type="dxa"/>
                    <w:right w:w="60" w:type="dxa"/>
                  </w:tcMar>
                  <w:vAlign w:val="center"/>
                </w:tcPr>
                <w:p w14:paraId="7FA862F7">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4.6873</w:t>
                  </w:r>
                </w:p>
              </w:tc>
              <w:tc>
                <w:tcPr>
                  <w:tcW w:w="785" w:type="pct"/>
                  <w:tcMar>
                    <w:top w:w="60" w:type="dxa"/>
                    <w:left w:w="60" w:type="dxa"/>
                    <w:right w:w="60" w:type="dxa"/>
                  </w:tcMar>
                  <w:vAlign w:val="center"/>
                </w:tcPr>
                <w:p w14:paraId="6AD9A5CB">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ascii="Times New Roman"/>
                      <w:color w:val="000000" w:themeColor="text1"/>
                      <w:kern w:val="2"/>
                      <w:szCs w:val="21"/>
                      <w:highlight w:val="none"/>
                      <w14:textFill>
                        <w14:solidFill>
                          <w14:schemeClr w14:val="tx1"/>
                        </w14:solidFill>
                      </w14:textFill>
                    </w:rPr>
                    <w:t>窑车吹扫工位固定，全封闭处理</w:t>
                  </w:r>
                  <w:r>
                    <w:rPr>
                      <w:rFonts w:hint="eastAsia" w:ascii="Times New Roman"/>
                      <w:color w:val="000000" w:themeColor="text1"/>
                      <w:kern w:val="2"/>
                      <w:szCs w:val="21"/>
                      <w:highlight w:val="none"/>
                      <w14:textFill>
                        <w14:solidFill>
                          <w14:schemeClr w14:val="tx1"/>
                        </w14:solidFill>
                      </w14:textFill>
                    </w:rPr>
                    <w:t>，废气引入1套脉冲布袋除尘器处理后通过15m高排气筒（DA005）排放</w:t>
                  </w:r>
                </w:p>
              </w:tc>
              <w:tc>
                <w:tcPr>
                  <w:tcW w:w="314" w:type="pct"/>
                  <w:tcBorders>
                    <w:top w:val="single" w:color="auto" w:sz="4" w:space="0"/>
                  </w:tcBorders>
                  <w:tcMar>
                    <w:top w:w="60" w:type="dxa"/>
                    <w:left w:w="60" w:type="dxa"/>
                    <w:right w:w="60" w:type="dxa"/>
                  </w:tcMar>
                  <w:vAlign w:val="center"/>
                </w:tcPr>
                <w:p w14:paraId="3092DE25">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12000</w:t>
                  </w:r>
                </w:p>
              </w:tc>
              <w:tc>
                <w:tcPr>
                  <w:tcW w:w="209" w:type="pct"/>
                  <w:tcMar>
                    <w:top w:w="60" w:type="dxa"/>
                    <w:left w:w="60" w:type="dxa"/>
                    <w:right w:w="60" w:type="dxa"/>
                  </w:tcMar>
                  <w:vAlign w:val="center"/>
                </w:tcPr>
                <w:p w14:paraId="5FB4D3B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2" w:type="pct"/>
                  <w:tcMar>
                    <w:top w:w="60" w:type="dxa"/>
                    <w:left w:w="60" w:type="dxa"/>
                    <w:right w:w="60" w:type="dxa"/>
                  </w:tcMar>
                  <w:vAlign w:val="center"/>
                </w:tcPr>
                <w:p w14:paraId="642187E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98</w:t>
                  </w:r>
                </w:p>
              </w:tc>
              <w:tc>
                <w:tcPr>
                  <w:tcW w:w="263" w:type="pct"/>
                  <w:tcBorders>
                    <w:top w:val="single" w:color="auto" w:sz="4" w:space="0"/>
                  </w:tcBorders>
                  <w:tcMar>
                    <w:top w:w="60" w:type="dxa"/>
                    <w:left w:w="60" w:type="dxa"/>
                    <w:right w:w="60" w:type="dxa"/>
                  </w:tcMar>
                  <w:vAlign w:val="center"/>
                </w:tcPr>
                <w:p w14:paraId="5D2F81A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tcMar>
                    <w:top w:w="60" w:type="dxa"/>
                    <w:left w:w="60" w:type="dxa"/>
                    <w:right w:w="60" w:type="dxa"/>
                  </w:tcMar>
                  <w:vAlign w:val="center"/>
                </w:tcPr>
                <w:p w14:paraId="42384BD1">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1.48</w:t>
                  </w:r>
                </w:p>
              </w:tc>
              <w:tc>
                <w:tcPr>
                  <w:tcW w:w="324" w:type="pct"/>
                  <w:tcMar>
                    <w:top w:w="60" w:type="dxa"/>
                    <w:left w:w="60" w:type="dxa"/>
                    <w:right w:w="60" w:type="dxa"/>
                  </w:tcMar>
                  <w:vAlign w:val="center"/>
                </w:tcPr>
                <w:p w14:paraId="7F497B7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9375</w:t>
                  </w:r>
                </w:p>
              </w:tc>
              <w:tc>
                <w:tcPr>
                  <w:tcW w:w="262" w:type="pct"/>
                  <w:vAlign w:val="center"/>
                </w:tcPr>
                <w:p w14:paraId="3C34059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w:t>
                  </w:r>
                </w:p>
              </w:tc>
              <w:tc>
                <w:tcPr>
                  <w:tcW w:w="324" w:type="pct"/>
                  <w:vAlign w:val="center"/>
                </w:tcPr>
                <w:p w14:paraId="4C63BEB2">
                  <w:pPr>
                    <w:spacing w:line="260" w:lineRule="exact"/>
                    <w:ind w:left="-63" w:leftChars="-30" w:right="-63" w:rightChars="-3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0.01</w:t>
                  </w:r>
                  <w:r>
                    <w:rPr>
                      <w:rFonts w:hint="eastAsia"/>
                      <w:color w:val="000000" w:themeColor="text1"/>
                      <w:szCs w:val="21"/>
                      <w:highlight w:val="none"/>
                      <w:lang w:val="en-US" w:eastAsia="zh-CN"/>
                      <w14:textFill>
                        <w14:solidFill>
                          <w14:schemeClr w14:val="tx1"/>
                        </w14:solidFill>
                      </w14:textFill>
                    </w:rPr>
                    <w:t>7</w:t>
                  </w:r>
                  <w:r>
                    <w:rPr>
                      <w:rFonts w:hint="eastAsia"/>
                      <w:color w:val="000000" w:themeColor="text1"/>
                      <w:szCs w:val="21"/>
                      <w:highlight w:val="none"/>
                      <w14:textFill>
                        <w14:solidFill>
                          <w14:schemeClr w14:val="tx1"/>
                        </w14:solidFill>
                      </w14:textFill>
                    </w:rPr>
                    <w:t>7</w:t>
                  </w:r>
                  <w:r>
                    <w:rPr>
                      <w:rFonts w:hint="eastAsia"/>
                      <w:color w:val="000000" w:themeColor="text1"/>
                      <w:szCs w:val="21"/>
                      <w:highlight w:val="none"/>
                      <w:lang w:val="en-US" w:eastAsia="zh-CN"/>
                      <w14:textFill>
                        <w14:solidFill>
                          <w14:schemeClr w14:val="tx1"/>
                        </w14:solidFill>
                      </w14:textFill>
                    </w:rPr>
                    <w:t>5</w:t>
                  </w:r>
                </w:p>
              </w:tc>
            </w:tr>
            <w:tr w14:paraId="12AB955C">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tcMar>
                    <w:top w:w="60" w:type="dxa"/>
                    <w:left w:w="60" w:type="dxa"/>
                    <w:bottom w:w="45" w:type="dxa"/>
                    <w:right w:w="60" w:type="dxa"/>
                  </w:tcMar>
                  <w:vAlign w:val="center"/>
                </w:tcPr>
                <w:p w14:paraId="1590A965">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窑车吹扫废气</w:t>
                  </w:r>
                </w:p>
              </w:tc>
              <w:tc>
                <w:tcPr>
                  <w:tcW w:w="365" w:type="pct"/>
                  <w:tcMar>
                    <w:top w:w="60" w:type="dxa"/>
                    <w:left w:w="60" w:type="dxa"/>
                    <w:right w:w="60" w:type="dxa"/>
                  </w:tcMar>
                  <w:vAlign w:val="center"/>
                </w:tcPr>
                <w:p w14:paraId="5482119D">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1#、2#隧道窑窑车吹扫设备</w:t>
                  </w:r>
                </w:p>
              </w:tc>
              <w:tc>
                <w:tcPr>
                  <w:tcW w:w="263" w:type="pct"/>
                  <w:tcMar>
                    <w:top w:w="60" w:type="dxa"/>
                    <w:left w:w="60" w:type="dxa"/>
                    <w:right w:w="60" w:type="dxa"/>
                  </w:tcMar>
                  <w:vAlign w:val="center"/>
                </w:tcPr>
                <w:p w14:paraId="4B951059">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620E549F">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颗粒物</w:t>
                  </w:r>
                </w:p>
              </w:tc>
              <w:tc>
                <w:tcPr>
                  <w:tcW w:w="314" w:type="pct"/>
                  <w:tcMar>
                    <w:top w:w="60" w:type="dxa"/>
                    <w:left w:w="60" w:type="dxa"/>
                    <w:right w:w="60" w:type="dxa"/>
                  </w:tcMar>
                  <w:vAlign w:val="center"/>
                </w:tcPr>
                <w:p w14:paraId="37F94CB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73.98</w:t>
                  </w:r>
                </w:p>
              </w:tc>
              <w:tc>
                <w:tcPr>
                  <w:tcW w:w="314" w:type="pct"/>
                  <w:tcMar>
                    <w:top w:w="60" w:type="dxa"/>
                    <w:left w:w="60" w:type="dxa"/>
                    <w:right w:w="60" w:type="dxa"/>
                  </w:tcMar>
                  <w:vAlign w:val="center"/>
                </w:tcPr>
                <w:p w14:paraId="0F5EE4B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4.6873</w:t>
                  </w:r>
                </w:p>
              </w:tc>
              <w:tc>
                <w:tcPr>
                  <w:tcW w:w="785" w:type="pct"/>
                  <w:tcMar>
                    <w:top w:w="60" w:type="dxa"/>
                    <w:left w:w="60" w:type="dxa"/>
                    <w:right w:w="60" w:type="dxa"/>
                  </w:tcMar>
                  <w:vAlign w:val="center"/>
                </w:tcPr>
                <w:p w14:paraId="1E429161">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ascii="Times New Roman"/>
                      <w:color w:val="000000" w:themeColor="text1"/>
                      <w:kern w:val="2"/>
                      <w:szCs w:val="21"/>
                      <w:highlight w:val="none"/>
                      <w14:textFill>
                        <w14:solidFill>
                          <w14:schemeClr w14:val="tx1"/>
                        </w14:solidFill>
                      </w14:textFill>
                    </w:rPr>
                    <w:t>窑车吹扫工位固定，全封闭处理</w:t>
                  </w:r>
                  <w:r>
                    <w:rPr>
                      <w:rFonts w:hint="eastAsia" w:ascii="Times New Roman"/>
                      <w:color w:val="000000" w:themeColor="text1"/>
                      <w:kern w:val="2"/>
                      <w:szCs w:val="21"/>
                      <w:highlight w:val="none"/>
                      <w14:textFill>
                        <w14:solidFill>
                          <w14:schemeClr w14:val="tx1"/>
                        </w14:solidFill>
                      </w14:textFill>
                    </w:rPr>
                    <w:t>，废气引入1套脉冲布袋除尘器处理后通过15m高排气筒（DA006）排放</w:t>
                  </w:r>
                </w:p>
              </w:tc>
              <w:tc>
                <w:tcPr>
                  <w:tcW w:w="314" w:type="pct"/>
                  <w:tcBorders>
                    <w:top w:val="single" w:color="auto" w:sz="4" w:space="0"/>
                  </w:tcBorders>
                  <w:tcMar>
                    <w:top w:w="60" w:type="dxa"/>
                    <w:left w:w="60" w:type="dxa"/>
                    <w:right w:w="60" w:type="dxa"/>
                  </w:tcMar>
                  <w:vAlign w:val="center"/>
                </w:tcPr>
                <w:p w14:paraId="74D78A0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12000</w:t>
                  </w:r>
                </w:p>
              </w:tc>
              <w:tc>
                <w:tcPr>
                  <w:tcW w:w="209" w:type="pct"/>
                  <w:tcMar>
                    <w:top w:w="60" w:type="dxa"/>
                    <w:left w:w="60" w:type="dxa"/>
                    <w:right w:w="60" w:type="dxa"/>
                  </w:tcMar>
                  <w:vAlign w:val="center"/>
                </w:tcPr>
                <w:p w14:paraId="5B8DB39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2" w:type="pct"/>
                  <w:tcMar>
                    <w:top w:w="60" w:type="dxa"/>
                    <w:left w:w="60" w:type="dxa"/>
                    <w:right w:w="60" w:type="dxa"/>
                  </w:tcMar>
                  <w:vAlign w:val="center"/>
                </w:tcPr>
                <w:p w14:paraId="6221DBB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98</w:t>
                  </w:r>
                </w:p>
              </w:tc>
              <w:tc>
                <w:tcPr>
                  <w:tcW w:w="263" w:type="pct"/>
                  <w:tcBorders>
                    <w:top w:val="single" w:color="auto" w:sz="4" w:space="0"/>
                  </w:tcBorders>
                  <w:tcMar>
                    <w:top w:w="60" w:type="dxa"/>
                    <w:left w:w="60" w:type="dxa"/>
                    <w:right w:w="60" w:type="dxa"/>
                  </w:tcMar>
                  <w:vAlign w:val="center"/>
                </w:tcPr>
                <w:p w14:paraId="58E7F9A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c>
                <w:tcPr>
                  <w:tcW w:w="260" w:type="pct"/>
                  <w:tcMar>
                    <w:top w:w="60" w:type="dxa"/>
                    <w:left w:w="60" w:type="dxa"/>
                    <w:right w:w="60" w:type="dxa"/>
                  </w:tcMar>
                  <w:vAlign w:val="center"/>
                </w:tcPr>
                <w:p w14:paraId="1591849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1.48</w:t>
                  </w:r>
                </w:p>
              </w:tc>
              <w:tc>
                <w:tcPr>
                  <w:tcW w:w="324" w:type="pct"/>
                  <w:tcMar>
                    <w:top w:w="60" w:type="dxa"/>
                    <w:left w:w="60" w:type="dxa"/>
                    <w:right w:w="60" w:type="dxa"/>
                  </w:tcMar>
                  <w:vAlign w:val="center"/>
                </w:tcPr>
                <w:p w14:paraId="63CEB3E7">
                  <w:pPr>
                    <w:widowControl/>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9375</w:t>
                  </w:r>
                </w:p>
              </w:tc>
              <w:tc>
                <w:tcPr>
                  <w:tcW w:w="262" w:type="pct"/>
                  <w:vAlign w:val="center"/>
                </w:tcPr>
                <w:p w14:paraId="3677D2D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w:t>
                  </w:r>
                </w:p>
              </w:tc>
              <w:tc>
                <w:tcPr>
                  <w:tcW w:w="324" w:type="pct"/>
                  <w:vAlign w:val="center"/>
                </w:tcPr>
                <w:p w14:paraId="7956E862">
                  <w:pPr>
                    <w:spacing w:line="260" w:lineRule="exact"/>
                    <w:ind w:left="-63" w:leftChars="-30" w:right="-63" w:rightChars="-3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0.01</w:t>
                  </w:r>
                  <w:r>
                    <w:rPr>
                      <w:rFonts w:hint="eastAsia"/>
                      <w:color w:val="000000" w:themeColor="text1"/>
                      <w:szCs w:val="21"/>
                      <w:highlight w:val="none"/>
                      <w:lang w:val="en-US" w:eastAsia="zh-CN"/>
                      <w14:textFill>
                        <w14:solidFill>
                          <w14:schemeClr w14:val="tx1"/>
                        </w14:solidFill>
                      </w14:textFill>
                    </w:rPr>
                    <w:t>7</w:t>
                  </w:r>
                  <w:r>
                    <w:rPr>
                      <w:rFonts w:hint="eastAsia"/>
                      <w:color w:val="000000" w:themeColor="text1"/>
                      <w:szCs w:val="21"/>
                      <w:highlight w:val="none"/>
                      <w14:textFill>
                        <w14:solidFill>
                          <w14:schemeClr w14:val="tx1"/>
                        </w14:solidFill>
                      </w14:textFill>
                    </w:rPr>
                    <w:t>7</w:t>
                  </w:r>
                  <w:r>
                    <w:rPr>
                      <w:rFonts w:hint="eastAsia"/>
                      <w:color w:val="000000" w:themeColor="text1"/>
                      <w:szCs w:val="21"/>
                      <w:highlight w:val="none"/>
                      <w:lang w:val="en-US" w:eastAsia="zh-CN"/>
                      <w14:textFill>
                        <w14:solidFill>
                          <w14:schemeClr w14:val="tx1"/>
                        </w14:solidFill>
                      </w14:textFill>
                    </w:rPr>
                    <w:t>5</w:t>
                  </w:r>
                </w:p>
              </w:tc>
            </w:tr>
            <w:tr w14:paraId="428A710C">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restart"/>
                  <w:tcMar>
                    <w:top w:w="60" w:type="dxa"/>
                    <w:left w:w="60" w:type="dxa"/>
                    <w:bottom w:w="45" w:type="dxa"/>
                    <w:right w:w="60" w:type="dxa"/>
                  </w:tcMar>
                  <w:vAlign w:val="center"/>
                </w:tcPr>
                <w:p w14:paraId="71B12F7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污泥储存恶臭废气</w:t>
                  </w:r>
                </w:p>
              </w:tc>
              <w:tc>
                <w:tcPr>
                  <w:tcW w:w="365" w:type="pct"/>
                  <w:vMerge w:val="restart"/>
                  <w:tcMar>
                    <w:top w:w="60" w:type="dxa"/>
                    <w:left w:w="60" w:type="dxa"/>
                    <w:right w:w="60" w:type="dxa"/>
                  </w:tcMar>
                  <w:vAlign w:val="center"/>
                </w:tcPr>
                <w:p w14:paraId="49D40322">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污泥库2座（工业污泥库、生活污泥库）</w:t>
                  </w:r>
                </w:p>
              </w:tc>
              <w:tc>
                <w:tcPr>
                  <w:tcW w:w="263" w:type="pct"/>
                  <w:vMerge w:val="restart"/>
                  <w:tcMar>
                    <w:top w:w="60" w:type="dxa"/>
                    <w:left w:w="60" w:type="dxa"/>
                    <w:right w:w="60" w:type="dxa"/>
                  </w:tcMar>
                  <w:vAlign w:val="center"/>
                </w:tcPr>
                <w:p w14:paraId="265C9187">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有组织</w:t>
                  </w:r>
                </w:p>
              </w:tc>
              <w:tc>
                <w:tcPr>
                  <w:tcW w:w="313" w:type="pct"/>
                  <w:tcMar>
                    <w:top w:w="60" w:type="dxa"/>
                    <w:left w:w="60" w:type="dxa"/>
                    <w:right w:w="60" w:type="dxa"/>
                  </w:tcMar>
                  <w:vAlign w:val="center"/>
                </w:tcPr>
                <w:p w14:paraId="4360CEFF">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氨</w:t>
                  </w:r>
                </w:p>
              </w:tc>
              <w:tc>
                <w:tcPr>
                  <w:tcW w:w="314" w:type="pct"/>
                  <w:tcMar>
                    <w:top w:w="60" w:type="dxa"/>
                    <w:left w:w="60" w:type="dxa"/>
                    <w:right w:w="60" w:type="dxa"/>
                  </w:tcMar>
                  <w:vAlign w:val="center"/>
                </w:tcPr>
                <w:p w14:paraId="6909FEB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1.81</w:t>
                  </w:r>
                </w:p>
              </w:tc>
              <w:tc>
                <w:tcPr>
                  <w:tcW w:w="314" w:type="pct"/>
                  <w:tcMar>
                    <w:top w:w="60" w:type="dxa"/>
                    <w:left w:w="60" w:type="dxa"/>
                    <w:right w:w="60" w:type="dxa"/>
                  </w:tcMar>
                  <w:vAlign w:val="center"/>
                </w:tcPr>
                <w:p w14:paraId="6B868DD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0.2869</w:t>
                  </w:r>
                </w:p>
              </w:tc>
              <w:tc>
                <w:tcPr>
                  <w:tcW w:w="785" w:type="pct"/>
                  <w:vMerge w:val="restart"/>
                  <w:tcMar>
                    <w:top w:w="60" w:type="dxa"/>
                    <w:left w:w="60" w:type="dxa"/>
                    <w:right w:w="60" w:type="dxa"/>
                  </w:tcMar>
                  <w:vAlign w:val="center"/>
                </w:tcPr>
                <w:p w14:paraId="5CE2282F">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r>
                    <w:rPr>
                      <w:rFonts w:ascii="Times New Roman"/>
                      <w:bCs/>
                      <w:color w:val="000000" w:themeColor="text1"/>
                      <w:kern w:val="2"/>
                      <w:szCs w:val="21"/>
                      <w:highlight w:val="none"/>
                      <w14:textFill>
                        <w14:solidFill>
                          <w14:schemeClr w14:val="tx1"/>
                        </w14:solidFill>
                      </w14:textFill>
                    </w:rPr>
                    <w:t>隧道窑停产时，将恶臭气体收集后引入两级活性炭吸附装置处理后经1根15m高排气筒</w:t>
                  </w:r>
                  <w:r>
                    <w:rPr>
                      <w:rFonts w:hint="eastAsia" w:ascii="Times New Roman"/>
                      <w:bCs/>
                      <w:color w:val="000000" w:themeColor="text1"/>
                      <w:kern w:val="2"/>
                      <w:szCs w:val="21"/>
                      <w:highlight w:val="none"/>
                      <w14:textFill>
                        <w14:solidFill>
                          <w14:schemeClr w14:val="tx1"/>
                        </w14:solidFill>
                      </w14:textFill>
                    </w:rPr>
                    <w:t>（</w:t>
                  </w:r>
                  <w:r>
                    <w:rPr>
                      <w:rFonts w:ascii="Times New Roman"/>
                      <w:bCs/>
                      <w:color w:val="000000" w:themeColor="text1"/>
                      <w:kern w:val="2"/>
                      <w:szCs w:val="21"/>
                      <w:highlight w:val="none"/>
                      <w14:textFill>
                        <w14:solidFill>
                          <w14:schemeClr w14:val="tx1"/>
                        </w14:solidFill>
                      </w14:textFill>
                    </w:rPr>
                    <w:t>DA007</w:t>
                  </w:r>
                  <w:r>
                    <w:rPr>
                      <w:rFonts w:hint="eastAsia" w:ascii="Times New Roman"/>
                      <w:bCs/>
                      <w:color w:val="000000" w:themeColor="text1"/>
                      <w:kern w:val="2"/>
                      <w:szCs w:val="21"/>
                      <w:highlight w:val="none"/>
                      <w14:textFill>
                        <w14:solidFill>
                          <w14:schemeClr w14:val="tx1"/>
                        </w14:solidFill>
                      </w14:textFill>
                    </w:rPr>
                    <w:t>）</w:t>
                  </w:r>
                  <w:r>
                    <w:rPr>
                      <w:rFonts w:ascii="Times New Roman"/>
                      <w:bCs/>
                      <w:color w:val="000000" w:themeColor="text1"/>
                      <w:kern w:val="2"/>
                      <w:szCs w:val="21"/>
                      <w:highlight w:val="none"/>
                      <w14:textFill>
                        <w14:solidFill>
                          <w14:schemeClr w14:val="tx1"/>
                        </w14:solidFill>
                      </w14:textFill>
                    </w:rPr>
                    <w:t>排放</w:t>
                  </w:r>
                </w:p>
              </w:tc>
              <w:tc>
                <w:tcPr>
                  <w:tcW w:w="314" w:type="pct"/>
                  <w:vMerge w:val="restart"/>
                  <w:tcBorders>
                    <w:top w:val="single" w:color="auto" w:sz="4" w:space="0"/>
                  </w:tcBorders>
                  <w:tcMar>
                    <w:top w:w="60" w:type="dxa"/>
                    <w:left w:w="60" w:type="dxa"/>
                    <w:right w:w="60" w:type="dxa"/>
                  </w:tcMar>
                  <w:vAlign w:val="center"/>
                </w:tcPr>
                <w:p w14:paraId="420A626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20000</w:t>
                  </w:r>
                </w:p>
              </w:tc>
              <w:tc>
                <w:tcPr>
                  <w:tcW w:w="209" w:type="pct"/>
                  <w:vMerge w:val="restart"/>
                  <w:tcMar>
                    <w:top w:w="60" w:type="dxa"/>
                    <w:left w:w="60" w:type="dxa"/>
                    <w:right w:w="60" w:type="dxa"/>
                  </w:tcMar>
                  <w:vAlign w:val="center"/>
                </w:tcPr>
                <w:p w14:paraId="54B9335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95</w:t>
                  </w:r>
                </w:p>
              </w:tc>
              <w:tc>
                <w:tcPr>
                  <w:tcW w:w="262" w:type="pct"/>
                  <w:vMerge w:val="restart"/>
                  <w:tcMar>
                    <w:top w:w="60" w:type="dxa"/>
                    <w:left w:w="60" w:type="dxa"/>
                    <w:right w:w="60" w:type="dxa"/>
                  </w:tcMar>
                  <w:vAlign w:val="center"/>
                </w:tcPr>
                <w:p w14:paraId="75DDC8D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60</w:t>
                  </w:r>
                </w:p>
              </w:tc>
              <w:tc>
                <w:tcPr>
                  <w:tcW w:w="263" w:type="pct"/>
                  <w:tcBorders>
                    <w:top w:val="single" w:color="auto" w:sz="4" w:space="0"/>
                  </w:tcBorders>
                  <w:tcMar>
                    <w:top w:w="60" w:type="dxa"/>
                    <w:left w:w="60" w:type="dxa"/>
                    <w:right w:w="60" w:type="dxa"/>
                  </w:tcMar>
                  <w:vAlign w:val="center"/>
                </w:tcPr>
                <w:p w14:paraId="3A825D5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029B586A">
                  <w:pPr>
                    <w:widowControl/>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0.72</w:t>
                  </w:r>
                </w:p>
              </w:tc>
              <w:tc>
                <w:tcPr>
                  <w:tcW w:w="324" w:type="pct"/>
                  <w:tcMar>
                    <w:top w:w="60" w:type="dxa"/>
                    <w:left w:w="60" w:type="dxa"/>
                    <w:right w:w="60" w:type="dxa"/>
                  </w:tcMar>
                  <w:vAlign w:val="center"/>
                </w:tcPr>
                <w:p w14:paraId="3E466781">
                  <w:pPr>
                    <w:widowControl/>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0.1148</w:t>
                  </w:r>
                </w:p>
              </w:tc>
              <w:tc>
                <w:tcPr>
                  <w:tcW w:w="262" w:type="pct"/>
                  <w:vMerge w:val="restart"/>
                  <w:vAlign w:val="center"/>
                </w:tcPr>
                <w:p w14:paraId="3E4BEDF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7920</w:t>
                  </w:r>
                </w:p>
              </w:tc>
              <w:tc>
                <w:tcPr>
                  <w:tcW w:w="324" w:type="pct"/>
                  <w:vAlign w:val="center"/>
                </w:tcPr>
                <w:p w14:paraId="61ECA09F">
                  <w:pPr>
                    <w:widowControl/>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0.0145</w:t>
                  </w:r>
                </w:p>
              </w:tc>
            </w:tr>
            <w:tr w14:paraId="7D56CFF9">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15019E4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1EB314AF">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55E23EB8">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23B1D336">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硫化氢</w:t>
                  </w:r>
                </w:p>
              </w:tc>
              <w:tc>
                <w:tcPr>
                  <w:tcW w:w="314" w:type="pct"/>
                  <w:tcMar>
                    <w:top w:w="60" w:type="dxa"/>
                    <w:left w:w="60" w:type="dxa"/>
                    <w:right w:w="60" w:type="dxa"/>
                  </w:tcMar>
                  <w:vAlign w:val="center"/>
                </w:tcPr>
                <w:p w14:paraId="548C181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0.084</w:t>
                  </w:r>
                </w:p>
              </w:tc>
              <w:tc>
                <w:tcPr>
                  <w:tcW w:w="314" w:type="pct"/>
                  <w:tcMar>
                    <w:top w:w="60" w:type="dxa"/>
                    <w:left w:w="60" w:type="dxa"/>
                    <w:right w:w="60" w:type="dxa"/>
                  </w:tcMar>
                  <w:vAlign w:val="center"/>
                </w:tcPr>
                <w:p w14:paraId="35E8E48D">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0.0133</w:t>
                  </w:r>
                </w:p>
              </w:tc>
              <w:tc>
                <w:tcPr>
                  <w:tcW w:w="785" w:type="pct"/>
                  <w:vMerge w:val="continue"/>
                  <w:tcMar>
                    <w:top w:w="60" w:type="dxa"/>
                    <w:left w:w="60" w:type="dxa"/>
                    <w:right w:w="60" w:type="dxa"/>
                  </w:tcMar>
                  <w:vAlign w:val="center"/>
                </w:tcPr>
                <w:p w14:paraId="297B93AB">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2103D975">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782E2AB9">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vMerge w:val="continue"/>
                  <w:tcMar>
                    <w:top w:w="60" w:type="dxa"/>
                    <w:left w:w="60" w:type="dxa"/>
                    <w:right w:w="60" w:type="dxa"/>
                  </w:tcMar>
                  <w:vAlign w:val="center"/>
                </w:tcPr>
                <w:p w14:paraId="32C3AC17">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tcMar>
                    <w:top w:w="60" w:type="dxa"/>
                    <w:left w:w="60" w:type="dxa"/>
                    <w:right w:w="60" w:type="dxa"/>
                  </w:tcMar>
                  <w:vAlign w:val="center"/>
                </w:tcPr>
                <w:p w14:paraId="2F01133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657D145B">
                  <w:pPr>
                    <w:widowControl/>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0.033</w:t>
                  </w:r>
                </w:p>
              </w:tc>
              <w:tc>
                <w:tcPr>
                  <w:tcW w:w="324" w:type="pct"/>
                  <w:tcMar>
                    <w:top w:w="60" w:type="dxa"/>
                    <w:left w:w="60" w:type="dxa"/>
                    <w:right w:w="60" w:type="dxa"/>
                  </w:tcMar>
                  <w:vAlign w:val="center"/>
                </w:tcPr>
                <w:p w14:paraId="60CBDB34">
                  <w:pPr>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0.0053</w:t>
                  </w:r>
                </w:p>
              </w:tc>
              <w:tc>
                <w:tcPr>
                  <w:tcW w:w="262" w:type="pct"/>
                  <w:vMerge w:val="continue"/>
                  <w:vAlign w:val="center"/>
                </w:tcPr>
                <w:p w14:paraId="202FCD2F">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6E15BCD8">
                  <w:pPr>
                    <w:widowControl/>
                    <w:adjustRightInd w:val="0"/>
                    <w:snapToGrid w:val="0"/>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0.00067</w:t>
                  </w:r>
                </w:p>
              </w:tc>
            </w:tr>
            <w:tr w14:paraId="70F9F875">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03022391">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22A22387">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4D306339">
                  <w:pPr>
                    <w:pStyle w:val="20"/>
                    <w:spacing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42C0C373">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臭气浓度（无量纲）</w:t>
                  </w:r>
                </w:p>
              </w:tc>
              <w:tc>
                <w:tcPr>
                  <w:tcW w:w="314" w:type="pct"/>
                  <w:tcMar>
                    <w:top w:w="60" w:type="dxa"/>
                    <w:left w:w="60" w:type="dxa"/>
                    <w:right w:w="60" w:type="dxa"/>
                  </w:tcMar>
                  <w:vAlign w:val="center"/>
                </w:tcPr>
                <w:p w14:paraId="18D75A4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200</w:t>
                  </w:r>
                </w:p>
              </w:tc>
              <w:tc>
                <w:tcPr>
                  <w:tcW w:w="314" w:type="pct"/>
                  <w:tcMar>
                    <w:top w:w="60" w:type="dxa"/>
                    <w:left w:w="60" w:type="dxa"/>
                    <w:right w:w="60" w:type="dxa"/>
                  </w:tcMar>
                  <w:vAlign w:val="center"/>
                </w:tcPr>
                <w:p w14:paraId="03CA88D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785" w:type="pct"/>
                  <w:vMerge w:val="continue"/>
                  <w:tcMar>
                    <w:top w:w="60" w:type="dxa"/>
                    <w:left w:w="60" w:type="dxa"/>
                    <w:right w:w="60" w:type="dxa"/>
                  </w:tcMar>
                  <w:vAlign w:val="center"/>
                </w:tcPr>
                <w:p w14:paraId="7352EAAA">
                  <w:pPr>
                    <w:pStyle w:val="39"/>
                    <w:spacing w:beforeLines="0" w:afterLines="0" w:line="260" w:lineRule="exact"/>
                    <w:ind w:left="-63" w:leftChars="-30" w:right="-63" w:rightChars="-30"/>
                    <w:rPr>
                      <w:rFonts w:ascii="Times New Roman"/>
                      <w:color w:val="000000" w:themeColor="text1"/>
                      <w:kern w:val="2"/>
                      <w:szCs w:val="21"/>
                      <w:highlight w:val="none"/>
                      <w14:textFill>
                        <w14:solidFill>
                          <w14:schemeClr w14:val="tx1"/>
                        </w14:solidFill>
                      </w14:textFill>
                    </w:rPr>
                  </w:pPr>
                </w:p>
              </w:tc>
              <w:tc>
                <w:tcPr>
                  <w:tcW w:w="314" w:type="pct"/>
                  <w:vMerge w:val="continue"/>
                  <w:tcMar>
                    <w:top w:w="60" w:type="dxa"/>
                    <w:left w:w="60" w:type="dxa"/>
                    <w:right w:w="60" w:type="dxa"/>
                  </w:tcMar>
                  <w:vAlign w:val="center"/>
                </w:tcPr>
                <w:p w14:paraId="3F8DFD3E">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09" w:type="pct"/>
                  <w:vMerge w:val="continue"/>
                  <w:tcMar>
                    <w:top w:w="60" w:type="dxa"/>
                    <w:left w:w="60" w:type="dxa"/>
                    <w:right w:w="60" w:type="dxa"/>
                  </w:tcMar>
                  <w:vAlign w:val="center"/>
                </w:tcPr>
                <w:p w14:paraId="4BD83512">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2" w:type="pct"/>
                  <w:vMerge w:val="continue"/>
                  <w:tcMar>
                    <w:top w:w="60" w:type="dxa"/>
                    <w:left w:w="60" w:type="dxa"/>
                    <w:right w:w="60" w:type="dxa"/>
                  </w:tcMar>
                  <w:vAlign w:val="center"/>
                </w:tcPr>
                <w:p w14:paraId="6BDCA0B9">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tcMar>
                    <w:top w:w="60" w:type="dxa"/>
                    <w:left w:w="60" w:type="dxa"/>
                    <w:right w:w="60" w:type="dxa"/>
                  </w:tcMar>
                  <w:vAlign w:val="center"/>
                </w:tcPr>
                <w:p w14:paraId="17FF66D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2516D13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80</w:t>
                  </w:r>
                </w:p>
              </w:tc>
              <w:tc>
                <w:tcPr>
                  <w:tcW w:w="324" w:type="pct"/>
                  <w:tcMar>
                    <w:top w:w="60" w:type="dxa"/>
                    <w:left w:w="60" w:type="dxa"/>
                    <w:right w:w="60" w:type="dxa"/>
                  </w:tcMar>
                  <w:vAlign w:val="center"/>
                </w:tcPr>
                <w:p w14:paraId="5B719457">
                  <w:pPr>
                    <w:spacing w:line="26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262" w:type="pct"/>
                  <w:vMerge w:val="continue"/>
                  <w:vAlign w:val="center"/>
                </w:tcPr>
                <w:p w14:paraId="5A6ACBFB">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4D9DCDC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38BEA7BA">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tcMar>
                    <w:top w:w="60" w:type="dxa"/>
                    <w:left w:w="60" w:type="dxa"/>
                    <w:bottom w:w="45" w:type="dxa"/>
                    <w:right w:w="60" w:type="dxa"/>
                  </w:tcMar>
                  <w:vAlign w:val="center"/>
                </w:tcPr>
                <w:p w14:paraId="1240018A">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破碎车间</w:t>
                  </w:r>
                </w:p>
              </w:tc>
              <w:tc>
                <w:tcPr>
                  <w:tcW w:w="365" w:type="pct"/>
                  <w:tcMar>
                    <w:top w:w="60" w:type="dxa"/>
                    <w:left w:w="60" w:type="dxa"/>
                    <w:right w:w="60" w:type="dxa"/>
                  </w:tcMar>
                  <w:vAlign w:val="center"/>
                </w:tcPr>
                <w:p w14:paraId="00FDFEB5">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未被收集的给料、破碎、筛分、搅拌等废气</w:t>
                  </w:r>
                </w:p>
              </w:tc>
              <w:tc>
                <w:tcPr>
                  <w:tcW w:w="263" w:type="pct"/>
                  <w:tcMar>
                    <w:top w:w="60" w:type="dxa"/>
                    <w:left w:w="60" w:type="dxa"/>
                    <w:right w:w="60" w:type="dxa"/>
                  </w:tcMar>
                  <w:vAlign w:val="center"/>
                </w:tcPr>
                <w:p w14:paraId="63DBB4C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无组织</w:t>
                  </w:r>
                </w:p>
              </w:tc>
              <w:tc>
                <w:tcPr>
                  <w:tcW w:w="313" w:type="pct"/>
                  <w:tcMar>
                    <w:top w:w="60" w:type="dxa"/>
                    <w:left w:w="60" w:type="dxa"/>
                    <w:right w:w="60" w:type="dxa"/>
                  </w:tcMar>
                  <w:vAlign w:val="center"/>
                </w:tcPr>
                <w:p w14:paraId="03CF0462">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颗粒物</w:t>
                  </w:r>
                </w:p>
              </w:tc>
              <w:tc>
                <w:tcPr>
                  <w:tcW w:w="314" w:type="pct"/>
                  <w:tcMar>
                    <w:top w:w="60" w:type="dxa"/>
                    <w:left w:w="60" w:type="dxa"/>
                    <w:right w:w="60" w:type="dxa"/>
                  </w:tcMar>
                  <w:vAlign w:val="center"/>
                </w:tcPr>
                <w:p w14:paraId="4339B33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5ED92046">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1.9736</w:t>
                  </w:r>
                </w:p>
              </w:tc>
              <w:tc>
                <w:tcPr>
                  <w:tcW w:w="785" w:type="pct"/>
                  <w:tcMar>
                    <w:top w:w="60" w:type="dxa"/>
                    <w:left w:w="60" w:type="dxa"/>
                    <w:right w:w="60" w:type="dxa"/>
                  </w:tcMar>
                  <w:vAlign w:val="center"/>
                </w:tcPr>
                <w:p w14:paraId="71C59B4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封闭生产车间</w:t>
                  </w:r>
                </w:p>
              </w:tc>
              <w:tc>
                <w:tcPr>
                  <w:tcW w:w="314" w:type="pct"/>
                  <w:tcBorders>
                    <w:top w:val="single" w:color="auto" w:sz="4" w:space="0"/>
                  </w:tcBorders>
                  <w:tcMar>
                    <w:top w:w="60" w:type="dxa"/>
                    <w:left w:w="60" w:type="dxa"/>
                    <w:right w:w="60" w:type="dxa"/>
                  </w:tcMar>
                  <w:vAlign w:val="center"/>
                </w:tcPr>
                <w:p w14:paraId="25AB496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78BE081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19DEB78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99</w:t>
                  </w:r>
                </w:p>
              </w:tc>
              <w:tc>
                <w:tcPr>
                  <w:tcW w:w="263" w:type="pct"/>
                  <w:tcBorders>
                    <w:top w:val="single" w:color="auto" w:sz="4" w:space="0"/>
                  </w:tcBorders>
                  <w:tcMar>
                    <w:top w:w="60" w:type="dxa"/>
                    <w:left w:w="60" w:type="dxa"/>
                    <w:right w:w="60" w:type="dxa"/>
                  </w:tcMar>
                  <w:vAlign w:val="center"/>
                </w:tcPr>
                <w:p w14:paraId="2A8037C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06104D3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00F123A3">
                  <w:pPr>
                    <w:spacing w:line="260" w:lineRule="exact"/>
                    <w:ind w:left="-63" w:leftChars="-30" w:right="-63" w:rightChars="-3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2</w:t>
                  </w:r>
                </w:p>
              </w:tc>
              <w:tc>
                <w:tcPr>
                  <w:tcW w:w="262" w:type="pct"/>
                  <w:vAlign w:val="center"/>
                </w:tcPr>
                <w:p w14:paraId="745AE4FE">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5280</w:t>
                  </w:r>
                </w:p>
              </w:tc>
              <w:tc>
                <w:tcPr>
                  <w:tcW w:w="324" w:type="pct"/>
                  <w:vAlign w:val="center"/>
                </w:tcPr>
                <w:p w14:paraId="4B71311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w:t>
                  </w:r>
                  <w:r>
                    <w:rPr>
                      <w:rFonts w:hint="eastAsia"/>
                      <w:color w:val="000000" w:themeColor="text1"/>
                      <w:szCs w:val="21"/>
                      <w:highlight w:val="none"/>
                      <w:lang w:val="en-US" w:eastAsia="zh-CN"/>
                      <w14:textFill>
                        <w14:solidFill>
                          <w14:schemeClr w14:val="tx1"/>
                        </w14:solidFill>
                      </w14:textFill>
                    </w:rPr>
                    <w:t>374</w:t>
                  </w:r>
                </w:p>
              </w:tc>
            </w:tr>
            <w:tr w14:paraId="5EAC4E8A">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tcMar>
                    <w:top w:w="60" w:type="dxa"/>
                    <w:left w:w="60" w:type="dxa"/>
                    <w:bottom w:w="45" w:type="dxa"/>
                    <w:right w:w="60" w:type="dxa"/>
                  </w:tcMar>
                  <w:vAlign w:val="center"/>
                </w:tcPr>
                <w:p w14:paraId="25D3596C">
                  <w:pPr>
                    <w:pStyle w:val="20"/>
                    <w:spacing w:before="0" w:beforeAutospacing="0" w:after="0" w:afterAutospacing="0" w:line="260" w:lineRule="exact"/>
                    <w:ind w:left="-63" w:leftChars="-30" w:right="-63" w:rightChars="-30"/>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焙烧烘干</w:t>
                  </w:r>
                </w:p>
                <w:p w14:paraId="4601E0FE">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车间</w:t>
                  </w:r>
                </w:p>
              </w:tc>
              <w:tc>
                <w:tcPr>
                  <w:tcW w:w="365" w:type="pct"/>
                  <w:tcMar>
                    <w:top w:w="60" w:type="dxa"/>
                    <w:left w:w="60" w:type="dxa"/>
                    <w:right w:w="60" w:type="dxa"/>
                  </w:tcMar>
                  <w:vAlign w:val="center"/>
                </w:tcPr>
                <w:p w14:paraId="6433A7F6">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未被收集的窑车吹扫废气</w:t>
                  </w:r>
                </w:p>
              </w:tc>
              <w:tc>
                <w:tcPr>
                  <w:tcW w:w="263" w:type="pct"/>
                  <w:tcMar>
                    <w:top w:w="60" w:type="dxa"/>
                    <w:left w:w="60" w:type="dxa"/>
                    <w:right w:w="60" w:type="dxa"/>
                  </w:tcMar>
                  <w:vAlign w:val="center"/>
                </w:tcPr>
                <w:p w14:paraId="33701CD0">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无组织</w:t>
                  </w:r>
                </w:p>
              </w:tc>
              <w:tc>
                <w:tcPr>
                  <w:tcW w:w="313" w:type="pct"/>
                  <w:tcMar>
                    <w:top w:w="60" w:type="dxa"/>
                    <w:left w:w="60" w:type="dxa"/>
                    <w:right w:w="60" w:type="dxa"/>
                  </w:tcMar>
                  <w:vAlign w:val="center"/>
                </w:tcPr>
                <w:p w14:paraId="4C986682">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颗粒物</w:t>
                  </w:r>
                </w:p>
              </w:tc>
              <w:tc>
                <w:tcPr>
                  <w:tcW w:w="314" w:type="pct"/>
                  <w:tcMar>
                    <w:top w:w="60" w:type="dxa"/>
                    <w:left w:w="60" w:type="dxa"/>
                    <w:right w:w="60" w:type="dxa"/>
                  </w:tcMar>
                  <w:vAlign w:val="center"/>
                </w:tcPr>
                <w:p w14:paraId="3E8FA88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2B72F717">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4934</w:t>
                  </w:r>
                </w:p>
              </w:tc>
              <w:tc>
                <w:tcPr>
                  <w:tcW w:w="785" w:type="pct"/>
                  <w:tcMar>
                    <w:top w:w="60" w:type="dxa"/>
                    <w:left w:w="60" w:type="dxa"/>
                    <w:right w:w="60" w:type="dxa"/>
                  </w:tcMar>
                  <w:vAlign w:val="center"/>
                </w:tcPr>
                <w:p w14:paraId="4F4CF32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封闭生产车间</w:t>
                  </w:r>
                </w:p>
              </w:tc>
              <w:tc>
                <w:tcPr>
                  <w:tcW w:w="314" w:type="pct"/>
                  <w:tcBorders>
                    <w:top w:val="single" w:color="auto" w:sz="4" w:space="0"/>
                  </w:tcBorders>
                  <w:tcMar>
                    <w:top w:w="60" w:type="dxa"/>
                    <w:left w:w="60" w:type="dxa"/>
                    <w:right w:w="60" w:type="dxa"/>
                  </w:tcMar>
                  <w:vAlign w:val="center"/>
                </w:tcPr>
                <w:p w14:paraId="16ACAB3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1CF5F72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569D08F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99</w:t>
                  </w:r>
                </w:p>
              </w:tc>
              <w:tc>
                <w:tcPr>
                  <w:tcW w:w="263" w:type="pct"/>
                  <w:tcBorders>
                    <w:top w:val="single" w:color="auto" w:sz="4" w:space="0"/>
                  </w:tcBorders>
                  <w:tcMar>
                    <w:top w:w="60" w:type="dxa"/>
                    <w:left w:w="60" w:type="dxa"/>
                    <w:right w:w="60" w:type="dxa"/>
                  </w:tcMar>
                  <w:vAlign w:val="center"/>
                </w:tcPr>
                <w:p w14:paraId="5F81371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00090B3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15B9C394">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w:t>
                  </w:r>
                  <w:r>
                    <w:rPr>
                      <w:rFonts w:hint="eastAsia"/>
                      <w:color w:val="000000" w:themeColor="text1"/>
                      <w:szCs w:val="21"/>
                      <w:highlight w:val="none"/>
                      <w:lang w:val="en-US" w:eastAsia="zh-CN"/>
                      <w14:textFill>
                        <w14:solidFill>
                          <w14:schemeClr w14:val="tx1"/>
                        </w14:solidFill>
                      </w14:textFill>
                    </w:rPr>
                    <w:t>5</w:t>
                  </w:r>
                </w:p>
              </w:tc>
              <w:tc>
                <w:tcPr>
                  <w:tcW w:w="262" w:type="pct"/>
                  <w:vAlign w:val="center"/>
                </w:tcPr>
                <w:p w14:paraId="270353B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528</w:t>
                  </w:r>
                  <w:r>
                    <w:rPr>
                      <w:rFonts w:hint="eastAsia"/>
                      <w:color w:val="000000" w:themeColor="text1"/>
                      <w:szCs w:val="21"/>
                      <w:highlight w:val="none"/>
                      <w14:textFill>
                        <w14:solidFill>
                          <w14:schemeClr w14:val="tx1"/>
                        </w14:solidFill>
                      </w14:textFill>
                    </w:rPr>
                    <w:t>0</w:t>
                  </w:r>
                </w:p>
              </w:tc>
              <w:tc>
                <w:tcPr>
                  <w:tcW w:w="324" w:type="pct"/>
                  <w:vAlign w:val="center"/>
                </w:tcPr>
                <w:p w14:paraId="18FDDD3E">
                  <w:pPr>
                    <w:spacing w:line="260" w:lineRule="exact"/>
                    <w:ind w:left="-63" w:leftChars="-30" w:right="-63" w:rightChars="-3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0.000</w:t>
                  </w:r>
                  <w:r>
                    <w:rPr>
                      <w:rFonts w:hint="eastAsia"/>
                      <w:color w:val="000000" w:themeColor="text1"/>
                      <w:szCs w:val="21"/>
                      <w:highlight w:val="none"/>
                      <w:lang w:val="en-US" w:eastAsia="zh-CN"/>
                      <w14:textFill>
                        <w14:solidFill>
                          <w14:schemeClr w14:val="tx1"/>
                        </w14:solidFill>
                      </w14:textFill>
                    </w:rPr>
                    <w:t>93</w:t>
                  </w:r>
                </w:p>
              </w:tc>
            </w:tr>
            <w:tr w14:paraId="73F9090F">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restart"/>
                  <w:tcMar>
                    <w:top w:w="60" w:type="dxa"/>
                    <w:left w:w="60" w:type="dxa"/>
                    <w:bottom w:w="45" w:type="dxa"/>
                    <w:right w:w="60" w:type="dxa"/>
                  </w:tcMar>
                  <w:vAlign w:val="center"/>
                </w:tcPr>
                <w:p w14:paraId="1F3B74A3">
                  <w:pPr>
                    <w:pStyle w:val="20"/>
                    <w:spacing w:before="0" w:beforeAutospacing="0" w:after="0" w:afterAutospacing="0" w:line="260" w:lineRule="exact"/>
                    <w:ind w:left="-63" w:leftChars="-30" w:right="-63" w:rightChars="-30"/>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工业污泥</w:t>
                  </w:r>
                </w:p>
                <w:p w14:paraId="625265D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储存</w:t>
                  </w:r>
                </w:p>
              </w:tc>
              <w:tc>
                <w:tcPr>
                  <w:tcW w:w="365" w:type="pct"/>
                  <w:vMerge w:val="restart"/>
                  <w:tcMar>
                    <w:top w:w="60" w:type="dxa"/>
                    <w:left w:w="60" w:type="dxa"/>
                    <w:right w:w="60" w:type="dxa"/>
                  </w:tcMar>
                  <w:vAlign w:val="center"/>
                </w:tcPr>
                <w:p w14:paraId="7D2EB3FB">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未被收集的恶臭气体</w:t>
                  </w:r>
                </w:p>
              </w:tc>
              <w:tc>
                <w:tcPr>
                  <w:tcW w:w="263" w:type="pct"/>
                  <w:vMerge w:val="restart"/>
                  <w:tcMar>
                    <w:top w:w="60" w:type="dxa"/>
                    <w:left w:w="60" w:type="dxa"/>
                    <w:right w:w="60" w:type="dxa"/>
                  </w:tcMar>
                  <w:vAlign w:val="center"/>
                </w:tcPr>
                <w:p w14:paraId="2B1264CB">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无组织</w:t>
                  </w:r>
                </w:p>
              </w:tc>
              <w:tc>
                <w:tcPr>
                  <w:tcW w:w="313" w:type="pct"/>
                  <w:tcMar>
                    <w:top w:w="60" w:type="dxa"/>
                    <w:left w:w="60" w:type="dxa"/>
                    <w:right w:w="60" w:type="dxa"/>
                  </w:tcMar>
                  <w:vAlign w:val="center"/>
                </w:tcPr>
                <w:p w14:paraId="4D86626B">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氨</w:t>
                  </w:r>
                </w:p>
              </w:tc>
              <w:tc>
                <w:tcPr>
                  <w:tcW w:w="314" w:type="pct"/>
                  <w:tcMar>
                    <w:top w:w="60" w:type="dxa"/>
                    <w:left w:w="60" w:type="dxa"/>
                    <w:right w:w="60" w:type="dxa"/>
                  </w:tcMar>
                  <w:vAlign w:val="center"/>
                </w:tcPr>
                <w:p w14:paraId="12CBED3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09C87E7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0.00755</w:t>
                  </w:r>
                </w:p>
              </w:tc>
              <w:tc>
                <w:tcPr>
                  <w:tcW w:w="785" w:type="pct"/>
                  <w:vMerge w:val="restart"/>
                  <w:tcMar>
                    <w:top w:w="60" w:type="dxa"/>
                    <w:left w:w="60" w:type="dxa"/>
                    <w:right w:w="60" w:type="dxa"/>
                  </w:tcMar>
                  <w:vAlign w:val="center"/>
                </w:tcPr>
                <w:p w14:paraId="4C24B31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封闭生产车间，封闭污泥库，设自动感应门，</w:t>
                  </w:r>
                  <w:r>
                    <w:rPr>
                      <w:rFonts w:hint="eastAsia"/>
                      <w:bCs/>
                      <w:color w:val="000000" w:themeColor="text1"/>
                      <w:szCs w:val="21"/>
                      <w:highlight w:val="none"/>
                      <w14:textFill>
                        <w14:solidFill>
                          <w14:schemeClr w14:val="tx1"/>
                        </w14:solidFill>
                      </w14:textFill>
                    </w:rPr>
                    <w:t>仅车辆进出时开启</w:t>
                  </w:r>
                </w:p>
              </w:tc>
              <w:tc>
                <w:tcPr>
                  <w:tcW w:w="314" w:type="pct"/>
                  <w:tcBorders>
                    <w:top w:val="single" w:color="auto" w:sz="4" w:space="0"/>
                  </w:tcBorders>
                  <w:tcMar>
                    <w:top w:w="60" w:type="dxa"/>
                    <w:left w:w="60" w:type="dxa"/>
                    <w:right w:w="60" w:type="dxa"/>
                  </w:tcMar>
                  <w:vAlign w:val="center"/>
                </w:tcPr>
                <w:p w14:paraId="48ECEBB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30CA4B2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0D6CAD4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Borders>
                    <w:top w:val="single" w:color="auto" w:sz="4" w:space="0"/>
                  </w:tcBorders>
                  <w:tcMar>
                    <w:top w:w="60" w:type="dxa"/>
                    <w:left w:w="60" w:type="dxa"/>
                    <w:right w:w="60" w:type="dxa"/>
                  </w:tcMar>
                  <w:vAlign w:val="center"/>
                </w:tcPr>
                <w:p w14:paraId="293F723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4AF1971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56F8555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0.00755</w:t>
                  </w:r>
                </w:p>
              </w:tc>
              <w:tc>
                <w:tcPr>
                  <w:tcW w:w="262" w:type="pct"/>
                  <w:vMerge w:val="restart"/>
                  <w:vAlign w:val="center"/>
                </w:tcPr>
                <w:p w14:paraId="18D92B9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7920</w:t>
                  </w:r>
                </w:p>
              </w:tc>
              <w:tc>
                <w:tcPr>
                  <w:tcW w:w="324" w:type="pct"/>
                  <w:vAlign w:val="center"/>
                </w:tcPr>
                <w:p w14:paraId="53F0C96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0.00095</w:t>
                  </w:r>
                </w:p>
              </w:tc>
            </w:tr>
            <w:tr w14:paraId="0E2AF2CB">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779D9F2C">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4D05E57">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5908F8B4">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45F5F017">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硫化氢</w:t>
                  </w:r>
                </w:p>
              </w:tc>
              <w:tc>
                <w:tcPr>
                  <w:tcW w:w="314" w:type="pct"/>
                  <w:tcMar>
                    <w:top w:w="60" w:type="dxa"/>
                    <w:left w:w="60" w:type="dxa"/>
                    <w:right w:w="60" w:type="dxa"/>
                  </w:tcMar>
                  <w:vAlign w:val="center"/>
                </w:tcPr>
                <w:p w14:paraId="699C5E0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42A9FBB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0.00035</w:t>
                  </w:r>
                </w:p>
              </w:tc>
              <w:tc>
                <w:tcPr>
                  <w:tcW w:w="785" w:type="pct"/>
                  <w:vMerge w:val="continue"/>
                  <w:tcMar>
                    <w:top w:w="60" w:type="dxa"/>
                    <w:left w:w="60" w:type="dxa"/>
                    <w:right w:w="60" w:type="dxa"/>
                  </w:tcMar>
                  <w:vAlign w:val="center"/>
                </w:tcPr>
                <w:p w14:paraId="68EEE0ED">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14" w:type="pct"/>
                  <w:tcMar>
                    <w:top w:w="60" w:type="dxa"/>
                    <w:left w:w="60" w:type="dxa"/>
                    <w:right w:w="60" w:type="dxa"/>
                  </w:tcMar>
                  <w:vAlign w:val="center"/>
                </w:tcPr>
                <w:p w14:paraId="10E1E4D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758E29A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311279E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Mar>
                    <w:top w:w="60" w:type="dxa"/>
                    <w:left w:w="60" w:type="dxa"/>
                    <w:right w:w="60" w:type="dxa"/>
                  </w:tcMar>
                  <w:vAlign w:val="center"/>
                </w:tcPr>
                <w:p w14:paraId="5444501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2223BB2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392E1D0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0.00035</w:t>
                  </w:r>
                </w:p>
              </w:tc>
              <w:tc>
                <w:tcPr>
                  <w:tcW w:w="262" w:type="pct"/>
                  <w:vMerge w:val="continue"/>
                  <w:vAlign w:val="center"/>
                </w:tcPr>
                <w:p w14:paraId="4D3174C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513B16F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0.000044</w:t>
                  </w:r>
                </w:p>
              </w:tc>
            </w:tr>
            <w:tr w14:paraId="24FB1DB1">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6FD81AA9">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C34D209">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11A83932">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07D4A279">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臭气浓度（无量纲）</w:t>
                  </w:r>
                </w:p>
              </w:tc>
              <w:tc>
                <w:tcPr>
                  <w:tcW w:w="314" w:type="pct"/>
                  <w:tcMar>
                    <w:top w:w="60" w:type="dxa"/>
                    <w:left w:w="60" w:type="dxa"/>
                    <w:right w:w="60" w:type="dxa"/>
                  </w:tcMar>
                  <w:vAlign w:val="center"/>
                </w:tcPr>
                <w:p w14:paraId="5FBA720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5A1726B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785" w:type="pct"/>
                  <w:vMerge w:val="continue"/>
                  <w:tcMar>
                    <w:top w:w="60" w:type="dxa"/>
                    <w:left w:w="60" w:type="dxa"/>
                    <w:right w:w="60" w:type="dxa"/>
                  </w:tcMar>
                  <w:vAlign w:val="center"/>
                </w:tcPr>
                <w:p w14:paraId="4101615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14" w:type="pct"/>
                  <w:tcMar>
                    <w:top w:w="60" w:type="dxa"/>
                    <w:left w:w="60" w:type="dxa"/>
                    <w:right w:w="60" w:type="dxa"/>
                  </w:tcMar>
                  <w:vAlign w:val="center"/>
                </w:tcPr>
                <w:p w14:paraId="0EBD443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494B66DA">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1612C2F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Mar>
                    <w:top w:w="60" w:type="dxa"/>
                    <w:left w:w="60" w:type="dxa"/>
                    <w:right w:w="60" w:type="dxa"/>
                  </w:tcMar>
                  <w:vAlign w:val="center"/>
                </w:tcPr>
                <w:p w14:paraId="7A8FB3C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56BF7E6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72350FE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vMerge w:val="continue"/>
                  <w:vAlign w:val="center"/>
                </w:tcPr>
                <w:p w14:paraId="111D2CE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6C501798">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1CB78276">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restart"/>
                  <w:tcMar>
                    <w:top w:w="60" w:type="dxa"/>
                    <w:left w:w="60" w:type="dxa"/>
                    <w:bottom w:w="45" w:type="dxa"/>
                    <w:right w:w="60" w:type="dxa"/>
                  </w:tcMar>
                  <w:vAlign w:val="center"/>
                </w:tcPr>
                <w:p w14:paraId="54CBE48D">
                  <w:pPr>
                    <w:pStyle w:val="20"/>
                    <w:spacing w:before="0" w:beforeAutospacing="0" w:after="0" w:afterAutospacing="0" w:line="260" w:lineRule="exact"/>
                    <w:ind w:left="-63" w:leftChars="-30" w:right="-63" w:rightChars="-30"/>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生活污泥</w:t>
                  </w:r>
                </w:p>
                <w:p w14:paraId="6C1B7D32">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储存</w:t>
                  </w:r>
                </w:p>
              </w:tc>
              <w:tc>
                <w:tcPr>
                  <w:tcW w:w="365" w:type="pct"/>
                  <w:vMerge w:val="restart"/>
                  <w:tcMar>
                    <w:top w:w="60" w:type="dxa"/>
                    <w:left w:w="60" w:type="dxa"/>
                    <w:right w:w="60" w:type="dxa"/>
                  </w:tcMar>
                  <w:vAlign w:val="center"/>
                </w:tcPr>
                <w:p w14:paraId="4CC35E76">
                  <w:pPr>
                    <w:pStyle w:val="53"/>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未被收集的恶臭气体</w:t>
                  </w:r>
                </w:p>
              </w:tc>
              <w:tc>
                <w:tcPr>
                  <w:tcW w:w="263" w:type="pct"/>
                  <w:vMerge w:val="restart"/>
                  <w:tcMar>
                    <w:top w:w="60" w:type="dxa"/>
                    <w:left w:w="60" w:type="dxa"/>
                    <w:right w:w="60" w:type="dxa"/>
                  </w:tcMar>
                  <w:vAlign w:val="center"/>
                </w:tcPr>
                <w:p w14:paraId="0970EF43">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无组织</w:t>
                  </w:r>
                </w:p>
              </w:tc>
              <w:tc>
                <w:tcPr>
                  <w:tcW w:w="313" w:type="pct"/>
                  <w:tcMar>
                    <w:top w:w="60" w:type="dxa"/>
                    <w:left w:w="60" w:type="dxa"/>
                    <w:right w:w="60" w:type="dxa"/>
                  </w:tcMar>
                  <w:vAlign w:val="center"/>
                </w:tcPr>
                <w:p w14:paraId="0C2CA266">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氨</w:t>
                  </w:r>
                </w:p>
              </w:tc>
              <w:tc>
                <w:tcPr>
                  <w:tcW w:w="314" w:type="pct"/>
                  <w:tcMar>
                    <w:top w:w="60" w:type="dxa"/>
                    <w:left w:w="60" w:type="dxa"/>
                    <w:right w:w="60" w:type="dxa"/>
                  </w:tcMar>
                  <w:vAlign w:val="center"/>
                </w:tcPr>
                <w:p w14:paraId="659E7C1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6743DC7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0.00755</w:t>
                  </w:r>
                </w:p>
              </w:tc>
              <w:tc>
                <w:tcPr>
                  <w:tcW w:w="785" w:type="pct"/>
                  <w:vMerge w:val="restart"/>
                  <w:tcMar>
                    <w:top w:w="60" w:type="dxa"/>
                    <w:left w:w="60" w:type="dxa"/>
                    <w:right w:w="60" w:type="dxa"/>
                  </w:tcMar>
                  <w:vAlign w:val="center"/>
                </w:tcPr>
                <w:p w14:paraId="1DA8A0B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封闭污泥库，设自动感应门，</w:t>
                  </w:r>
                  <w:r>
                    <w:rPr>
                      <w:rFonts w:hint="eastAsia"/>
                      <w:bCs/>
                      <w:color w:val="000000" w:themeColor="text1"/>
                      <w:szCs w:val="21"/>
                      <w:highlight w:val="none"/>
                      <w14:textFill>
                        <w14:solidFill>
                          <w14:schemeClr w14:val="tx1"/>
                        </w14:solidFill>
                      </w14:textFill>
                    </w:rPr>
                    <w:t>仅车辆进出时开启</w:t>
                  </w:r>
                </w:p>
              </w:tc>
              <w:tc>
                <w:tcPr>
                  <w:tcW w:w="314" w:type="pct"/>
                  <w:tcMar>
                    <w:top w:w="60" w:type="dxa"/>
                    <w:left w:w="60" w:type="dxa"/>
                    <w:right w:w="60" w:type="dxa"/>
                  </w:tcMar>
                  <w:vAlign w:val="center"/>
                </w:tcPr>
                <w:p w14:paraId="1AD55A8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31433A0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40EFBBE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Mar>
                    <w:top w:w="60" w:type="dxa"/>
                    <w:left w:w="60" w:type="dxa"/>
                    <w:right w:w="60" w:type="dxa"/>
                  </w:tcMar>
                  <w:vAlign w:val="center"/>
                </w:tcPr>
                <w:p w14:paraId="078D7260">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187E9E0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577432E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0.00755</w:t>
                  </w:r>
                </w:p>
              </w:tc>
              <w:tc>
                <w:tcPr>
                  <w:tcW w:w="262" w:type="pct"/>
                  <w:vMerge w:val="restart"/>
                  <w:vAlign w:val="center"/>
                </w:tcPr>
                <w:p w14:paraId="59C70BF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7920</w:t>
                  </w:r>
                </w:p>
              </w:tc>
              <w:tc>
                <w:tcPr>
                  <w:tcW w:w="324" w:type="pct"/>
                  <w:vAlign w:val="center"/>
                </w:tcPr>
                <w:p w14:paraId="0DC61A36">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0.00095</w:t>
                  </w:r>
                </w:p>
              </w:tc>
            </w:tr>
            <w:tr w14:paraId="0DCE82B6">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7C455DF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DD89F78">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6BAC0204">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1D6E063C">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硫化氢</w:t>
                  </w:r>
                </w:p>
              </w:tc>
              <w:tc>
                <w:tcPr>
                  <w:tcW w:w="314" w:type="pct"/>
                  <w:tcMar>
                    <w:top w:w="60" w:type="dxa"/>
                    <w:left w:w="60" w:type="dxa"/>
                    <w:right w:w="60" w:type="dxa"/>
                  </w:tcMar>
                  <w:vAlign w:val="center"/>
                </w:tcPr>
                <w:p w14:paraId="6EF4295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669557E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0.00035</w:t>
                  </w:r>
                </w:p>
              </w:tc>
              <w:tc>
                <w:tcPr>
                  <w:tcW w:w="785" w:type="pct"/>
                  <w:vMerge w:val="continue"/>
                  <w:tcMar>
                    <w:top w:w="60" w:type="dxa"/>
                    <w:left w:w="60" w:type="dxa"/>
                    <w:right w:w="60" w:type="dxa"/>
                  </w:tcMar>
                  <w:vAlign w:val="center"/>
                </w:tcPr>
                <w:p w14:paraId="2B1F32D4">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14" w:type="pct"/>
                  <w:tcMar>
                    <w:top w:w="60" w:type="dxa"/>
                    <w:left w:w="60" w:type="dxa"/>
                    <w:right w:w="60" w:type="dxa"/>
                  </w:tcMar>
                  <w:vAlign w:val="center"/>
                </w:tcPr>
                <w:p w14:paraId="2531C74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3507725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58D8522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Mar>
                    <w:top w:w="60" w:type="dxa"/>
                    <w:left w:w="60" w:type="dxa"/>
                    <w:right w:w="60" w:type="dxa"/>
                  </w:tcMar>
                  <w:vAlign w:val="center"/>
                </w:tcPr>
                <w:p w14:paraId="38DC8BD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25DF6B3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4F697902">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0.00035</w:t>
                  </w:r>
                </w:p>
              </w:tc>
              <w:tc>
                <w:tcPr>
                  <w:tcW w:w="262" w:type="pct"/>
                  <w:vMerge w:val="continue"/>
                  <w:vAlign w:val="center"/>
                </w:tcPr>
                <w:p w14:paraId="105A4688">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3FB56BBC">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0.000044</w:t>
                  </w:r>
                </w:p>
              </w:tc>
            </w:tr>
            <w:tr w14:paraId="0A9E0591">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420" w:type="pct"/>
                  <w:vMerge w:val="continue"/>
                  <w:tcMar>
                    <w:top w:w="60" w:type="dxa"/>
                    <w:left w:w="60" w:type="dxa"/>
                    <w:bottom w:w="45" w:type="dxa"/>
                    <w:right w:w="60" w:type="dxa"/>
                  </w:tcMar>
                  <w:vAlign w:val="center"/>
                </w:tcPr>
                <w:p w14:paraId="4836D1AD">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65" w:type="pct"/>
                  <w:vMerge w:val="continue"/>
                  <w:tcMar>
                    <w:top w:w="60" w:type="dxa"/>
                    <w:left w:w="60" w:type="dxa"/>
                    <w:right w:w="60" w:type="dxa"/>
                  </w:tcMar>
                  <w:vAlign w:val="center"/>
                </w:tcPr>
                <w:p w14:paraId="4D6F6B66">
                  <w:pPr>
                    <w:pStyle w:val="53"/>
                    <w:spacing w:line="260" w:lineRule="exact"/>
                    <w:ind w:left="-63" w:leftChars="-30" w:right="-63" w:rightChars="-30"/>
                    <w:jc w:val="center"/>
                    <w:rPr>
                      <w:color w:val="000000" w:themeColor="text1"/>
                      <w:szCs w:val="21"/>
                      <w:highlight w:val="none"/>
                      <w14:textFill>
                        <w14:solidFill>
                          <w14:schemeClr w14:val="tx1"/>
                        </w14:solidFill>
                      </w14:textFill>
                    </w:rPr>
                  </w:pPr>
                </w:p>
              </w:tc>
              <w:tc>
                <w:tcPr>
                  <w:tcW w:w="263" w:type="pct"/>
                  <w:vMerge w:val="continue"/>
                  <w:tcMar>
                    <w:top w:w="60" w:type="dxa"/>
                    <w:left w:w="60" w:type="dxa"/>
                    <w:right w:w="60" w:type="dxa"/>
                  </w:tcMar>
                  <w:vAlign w:val="center"/>
                </w:tcPr>
                <w:p w14:paraId="320A0128">
                  <w:pPr>
                    <w:pStyle w:val="20"/>
                    <w:spacing w:before="0" w:beforeAutospacing="0" w:after="0" w:afterAutospacing="0" w:line="260" w:lineRule="exact"/>
                    <w:ind w:left="-63" w:leftChars="-30" w:right="-63" w:rightChars="-30"/>
                    <w:jc w:val="center"/>
                    <w:rPr>
                      <w:rFonts w:ascii="Times New Roman" w:hAnsi="Times New Roman"/>
                      <w:color w:val="000000" w:themeColor="text1"/>
                      <w:sz w:val="21"/>
                      <w:szCs w:val="21"/>
                      <w:highlight w:val="none"/>
                      <w14:textFill>
                        <w14:solidFill>
                          <w14:schemeClr w14:val="tx1"/>
                        </w14:solidFill>
                      </w14:textFill>
                    </w:rPr>
                  </w:pPr>
                </w:p>
              </w:tc>
              <w:tc>
                <w:tcPr>
                  <w:tcW w:w="313" w:type="pct"/>
                  <w:tcMar>
                    <w:top w:w="60" w:type="dxa"/>
                    <w:left w:w="60" w:type="dxa"/>
                    <w:right w:w="60" w:type="dxa"/>
                  </w:tcMar>
                  <w:vAlign w:val="center"/>
                </w:tcPr>
                <w:p w14:paraId="3DC15AFD">
                  <w:pPr>
                    <w:pStyle w:val="20"/>
                    <w:spacing w:before="0" w:beforeAutospacing="0" w:after="0" w:afterAutospacing="0" w:line="260" w:lineRule="exact"/>
                    <w:ind w:left="-63" w:leftChars="-30" w:right="-63" w:rightChars="-30"/>
                    <w:jc w:val="center"/>
                    <w:rPr>
                      <w:rFonts w:ascii="Times New Roman" w:hAnsi="Times New Roman" w:cs="微软雅黑"/>
                      <w:color w:val="000000" w:themeColor="text1"/>
                      <w:sz w:val="21"/>
                      <w:szCs w:val="21"/>
                      <w:highlight w:val="none"/>
                      <w14:textFill>
                        <w14:solidFill>
                          <w14:schemeClr w14:val="tx1"/>
                        </w14:solidFill>
                      </w14:textFill>
                    </w:rPr>
                  </w:pPr>
                  <w:r>
                    <w:rPr>
                      <w:rFonts w:hint="eastAsia" w:ascii="Times New Roman" w:hAnsi="Times New Roman" w:cs="微软雅黑"/>
                      <w:color w:val="000000" w:themeColor="text1"/>
                      <w:sz w:val="21"/>
                      <w:szCs w:val="21"/>
                      <w:highlight w:val="none"/>
                      <w14:textFill>
                        <w14:solidFill>
                          <w14:schemeClr w14:val="tx1"/>
                        </w14:solidFill>
                      </w14:textFill>
                    </w:rPr>
                    <w:t>臭气浓度（无量纲）</w:t>
                  </w:r>
                </w:p>
              </w:tc>
              <w:tc>
                <w:tcPr>
                  <w:tcW w:w="314" w:type="pct"/>
                  <w:tcMar>
                    <w:top w:w="60" w:type="dxa"/>
                    <w:left w:w="60" w:type="dxa"/>
                    <w:right w:w="60" w:type="dxa"/>
                  </w:tcMar>
                  <w:vAlign w:val="center"/>
                </w:tcPr>
                <w:p w14:paraId="75552329">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14" w:type="pct"/>
                  <w:tcMar>
                    <w:top w:w="60" w:type="dxa"/>
                    <w:left w:w="60" w:type="dxa"/>
                    <w:right w:w="60" w:type="dxa"/>
                  </w:tcMar>
                  <w:vAlign w:val="center"/>
                </w:tcPr>
                <w:p w14:paraId="0C62B96E">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785" w:type="pct"/>
                  <w:vMerge w:val="continue"/>
                  <w:tcMar>
                    <w:top w:w="60" w:type="dxa"/>
                    <w:left w:w="60" w:type="dxa"/>
                    <w:right w:w="60" w:type="dxa"/>
                  </w:tcMar>
                  <w:vAlign w:val="center"/>
                </w:tcPr>
                <w:p w14:paraId="57155E7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14" w:type="pct"/>
                  <w:tcMar>
                    <w:top w:w="60" w:type="dxa"/>
                    <w:left w:w="60" w:type="dxa"/>
                    <w:right w:w="60" w:type="dxa"/>
                  </w:tcMar>
                  <w:vAlign w:val="center"/>
                </w:tcPr>
                <w:p w14:paraId="0A82C5A4">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09" w:type="pct"/>
                  <w:tcMar>
                    <w:top w:w="60" w:type="dxa"/>
                    <w:left w:w="60" w:type="dxa"/>
                    <w:right w:w="60" w:type="dxa"/>
                  </w:tcMar>
                  <w:vAlign w:val="center"/>
                </w:tcPr>
                <w:p w14:paraId="296178D3">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tcMar>
                    <w:top w:w="60" w:type="dxa"/>
                    <w:left w:w="60" w:type="dxa"/>
                    <w:right w:w="60" w:type="dxa"/>
                  </w:tcMar>
                  <w:vAlign w:val="center"/>
                </w:tcPr>
                <w:p w14:paraId="1A97AF87">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3" w:type="pct"/>
                  <w:tcMar>
                    <w:top w:w="60" w:type="dxa"/>
                    <w:left w:w="60" w:type="dxa"/>
                    <w:right w:w="60" w:type="dxa"/>
                  </w:tcMar>
                  <w:vAlign w:val="center"/>
                </w:tcPr>
                <w:p w14:paraId="6F0FE99B">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0" w:type="pct"/>
                  <w:tcMar>
                    <w:top w:w="60" w:type="dxa"/>
                    <w:left w:w="60" w:type="dxa"/>
                    <w:right w:w="60" w:type="dxa"/>
                  </w:tcMar>
                  <w:vAlign w:val="center"/>
                </w:tcPr>
                <w:p w14:paraId="54F7318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324" w:type="pct"/>
                  <w:tcMar>
                    <w:top w:w="60" w:type="dxa"/>
                    <w:left w:w="60" w:type="dxa"/>
                    <w:right w:w="60" w:type="dxa"/>
                  </w:tcMar>
                  <w:vAlign w:val="center"/>
                </w:tcPr>
                <w:p w14:paraId="2B081B31">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262" w:type="pct"/>
                  <w:vMerge w:val="continue"/>
                  <w:vAlign w:val="center"/>
                </w:tcPr>
                <w:p w14:paraId="615A8173">
                  <w:pPr>
                    <w:spacing w:line="260" w:lineRule="exact"/>
                    <w:ind w:left="-63" w:leftChars="-30" w:right="-63" w:rightChars="-30"/>
                    <w:jc w:val="center"/>
                    <w:rPr>
                      <w:color w:val="000000" w:themeColor="text1"/>
                      <w:szCs w:val="21"/>
                      <w:highlight w:val="none"/>
                      <w14:textFill>
                        <w14:solidFill>
                          <w14:schemeClr w14:val="tx1"/>
                        </w14:solidFill>
                      </w14:textFill>
                    </w:rPr>
                  </w:pPr>
                </w:p>
              </w:tc>
              <w:tc>
                <w:tcPr>
                  <w:tcW w:w="324" w:type="pct"/>
                  <w:vAlign w:val="center"/>
                </w:tcPr>
                <w:p w14:paraId="7997A5FF">
                  <w:pPr>
                    <w:spacing w:line="260" w:lineRule="exact"/>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r>
            <w:tr w14:paraId="65A7753D">
              <w:tblPrEx>
                <w:tblBorders>
                  <w:top w:val="single" w:color="000000" w:sz="6" w:space="0"/>
                  <w:left w:val="single" w:color="000000" w:sz="6"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000" w:type="pct"/>
                  <w:gridSpan w:val="15"/>
                  <w:tcMar>
                    <w:top w:w="60" w:type="dxa"/>
                    <w:left w:w="60" w:type="dxa"/>
                    <w:bottom w:w="45" w:type="dxa"/>
                    <w:right w:w="60" w:type="dxa"/>
                  </w:tcMar>
                  <w:vAlign w:val="center"/>
                </w:tcPr>
                <w:p w14:paraId="590CD40B">
                  <w:pPr>
                    <w:spacing w:line="260" w:lineRule="exact"/>
                    <w:ind w:left="-63" w:leftChars="-30" w:right="-63" w:rightChars="-30"/>
                    <w:jc w:val="left"/>
                    <w:rPr>
                      <w:color w:val="000000" w:themeColor="text1"/>
                      <w:szCs w:val="21"/>
                      <w:highlight w:val="none"/>
                      <w14:textFill>
                        <w14:solidFill>
                          <w14:schemeClr w14:val="tx1"/>
                        </w14:solidFill>
                      </w14:textFill>
                    </w:rPr>
                  </w:pPr>
                  <w:r>
                    <w:rPr>
                      <w:rFonts w:hint="eastAsia" w:cs="微软雅黑"/>
                      <w:color w:val="000000" w:themeColor="text1"/>
                      <w:szCs w:val="21"/>
                      <w:highlight w:val="none"/>
                      <w14:textFill>
                        <w14:solidFill>
                          <w14:schemeClr w14:val="tx1"/>
                        </w14:solidFill>
                      </w14:textFill>
                    </w:rPr>
                    <w:t>注：对于新（改、扩）建工程污染源源强核算，应为最大值。</w:t>
                  </w:r>
                </w:p>
              </w:tc>
            </w:tr>
          </w:tbl>
          <w:p w14:paraId="7B9AF292">
            <w:pPr>
              <w:spacing w:line="480" w:lineRule="exact"/>
              <w:ind w:right="-108"/>
              <w:rPr>
                <w:rFonts w:ascii="黑体" w:hAnsi="黑体" w:eastAsia="黑体"/>
                <w:color w:val="000000" w:themeColor="text1"/>
                <w:sz w:val="24"/>
                <w:highlight w:val="green"/>
                <w14:textFill>
                  <w14:solidFill>
                    <w14:schemeClr w14:val="tx1"/>
                  </w14:solidFill>
                </w14:textFill>
              </w:rPr>
            </w:pPr>
          </w:p>
          <w:p w14:paraId="1427C7AE">
            <w:pPr>
              <w:adjustRightInd w:val="0"/>
              <w:snapToGrid w:val="0"/>
              <w:spacing w:line="480" w:lineRule="exact"/>
              <w:ind w:left="-105" w:right="-105"/>
              <w:rPr>
                <w:rFonts w:ascii="黑体" w:hAnsi="黑体" w:eastAsia="黑体"/>
                <w:b/>
                <w:bCs/>
                <w:color w:val="000000" w:themeColor="text1"/>
                <w:sz w:val="28"/>
                <w:szCs w:val="28"/>
                <w:highlight w:val="green"/>
                <w14:textFill>
                  <w14:solidFill>
                    <w14:schemeClr w14:val="tx1"/>
                  </w14:solidFill>
                </w14:textFill>
              </w:rPr>
            </w:pPr>
          </w:p>
        </w:tc>
      </w:tr>
    </w:tbl>
    <w:p w14:paraId="4B68EE36">
      <w:pPr>
        <w:spacing w:line="480" w:lineRule="exact"/>
        <w:ind w:left="-105" w:right="-105" w:firstLine="1440" w:firstLineChars="600"/>
        <w:rPr>
          <w:rFonts w:ascii="黑体" w:hAnsi="黑体" w:eastAsia="黑体"/>
          <w:color w:val="000000" w:themeColor="text1"/>
          <w:sz w:val="24"/>
          <w:highlight w:val="green"/>
          <w14:textFill>
            <w14:solidFill>
              <w14:schemeClr w14:val="tx1"/>
            </w14:solidFill>
          </w14:textFill>
        </w:rPr>
        <w:sectPr>
          <w:pgSz w:w="16840" w:h="11907" w:orient="landscape"/>
          <w:pgMar w:top="1531" w:right="1701" w:bottom="1531" w:left="2126" w:header="851" w:footer="851" w:gutter="0"/>
          <w:pgBorders>
            <w:top w:val="none" w:sz="0" w:space="0"/>
            <w:left w:val="none" w:sz="0" w:space="0"/>
            <w:bottom w:val="none" w:sz="0" w:space="0"/>
            <w:right w:val="none" w:sz="0" w:space="0"/>
          </w:pgBorders>
          <w:cols w:space="720" w:num="1"/>
          <w:docGrid w:linePitch="312" w:charSpace="0"/>
        </w:sectPr>
      </w:pPr>
    </w:p>
    <w:tbl>
      <w:tblPr>
        <w:tblStyle w:val="24"/>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08"/>
      </w:tblGrid>
      <w:tr w14:paraId="618D4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88" w:hRule="atLeast"/>
          <w:jc w:val="center"/>
        </w:trPr>
        <w:tc>
          <w:tcPr>
            <w:tcW w:w="8908" w:type="dxa"/>
            <w:tcMar>
              <w:left w:w="28" w:type="dxa"/>
              <w:right w:w="28" w:type="dxa"/>
            </w:tcMar>
            <w:vAlign w:val="center"/>
          </w:tcPr>
          <w:p w14:paraId="282DFED0">
            <w:pPr>
              <w:spacing w:line="480" w:lineRule="exact"/>
              <w:ind w:firstLine="1440" w:firstLineChars="600"/>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4-5</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废气</w:t>
            </w:r>
            <w:r>
              <w:rPr>
                <w:rFonts w:ascii="黑体" w:hAnsi="黑体" w:eastAsia="黑体"/>
                <w:color w:val="000000" w:themeColor="text1"/>
                <w:sz w:val="24"/>
                <w:highlight w:val="none"/>
                <w14:textFill>
                  <w14:solidFill>
                    <w14:schemeClr w14:val="tx1"/>
                  </w14:solidFill>
                </w14:textFill>
              </w:rPr>
              <w:t>排放口基本情况表</w:t>
            </w:r>
          </w:p>
          <w:tbl>
            <w:tblPr>
              <w:tblStyle w:val="24"/>
              <w:tblW w:w="868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97"/>
              <w:gridCol w:w="918"/>
              <w:gridCol w:w="708"/>
              <w:gridCol w:w="1134"/>
              <w:gridCol w:w="993"/>
              <w:gridCol w:w="708"/>
              <w:gridCol w:w="851"/>
              <w:gridCol w:w="850"/>
              <w:gridCol w:w="1061"/>
              <w:gridCol w:w="969"/>
            </w:tblGrid>
            <w:tr w14:paraId="5D7FBD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497" w:type="dxa"/>
                  <w:vMerge w:val="restart"/>
                  <w:tcBorders>
                    <w:top w:val="single" w:color="auto" w:sz="12" w:space="0"/>
                  </w:tcBorders>
                  <w:vAlign w:val="center"/>
                </w:tcPr>
                <w:p w14:paraId="68AE7FE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918" w:type="dxa"/>
                  <w:vMerge w:val="restart"/>
                  <w:tcBorders>
                    <w:top w:val="single" w:color="auto" w:sz="12" w:space="0"/>
                  </w:tcBorders>
                  <w:vAlign w:val="center"/>
                </w:tcPr>
                <w:p w14:paraId="1681A77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排放口名称</w:t>
                  </w:r>
                </w:p>
              </w:tc>
              <w:tc>
                <w:tcPr>
                  <w:tcW w:w="708" w:type="dxa"/>
                  <w:vMerge w:val="restart"/>
                  <w:tcBorders>
                    <w:top w:val="single" w:color="auto" w:sz="12" w:space="0"/>
                  </w:tcBorders>
                  <w:vAlign w:val="center"/>
                </w:tcPr>
                <w:p w14:paraId="589B2DE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排放口编号</w:t>
                  </w:r>
                </w:p>
              </w:tc>
              <w:tc>
                <w:tcPr>
                  <w:tcW w:w="2127" w:type="dxa"/>
                  <w:gridSpan w:val="2"/>
                  <w:tcBorders>
                    <w:top w:val="single" w:color="auto" w:sz="12" w:space="0"/>
                    <w:bottom w:val="single" w:color="auto" w:sz="2" w:space="0"/>
                  </w:tcBorders>
                  <w:vAlign w:val="center"/>
                </w:tcPr>
                <w:p w14:paraId="0CFCF0F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排放口地理坐标</w:t>
                  </w:r>
                </w:p>
              </w:tc>
              <w:tc>
                <w:tcPr>
                  <w:tcW w:w="708" w:type="dxa"/>
                  <w:vMerge w:val="restart"/>
                  <w:tcBorders>
                    <w:top w:val="single" w:color="auto" w:sz="12" w:space="0"/>
                    <w:right w:val="single" w:color="auto" w:sz="2" w:space="0"/>
                  </w:tcBorders>
                  <w:vAlign w:val="center"/>
                </w:tcPr>
                <w:p w14:paraId="6716982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排放口高度/m</w:t>
                  </w:r>
                </w:p>
              </w:tc>
              <w:tc>
                <w:tcPr>
                  <w:tcW w:w="851" w:type="dxa"/>
                  <w:vMerge w:val="restart"/>
                  <w:tcBorders>
                    <w:top w:val="single" w:color="auto" w:sz="12" w:space="0"/>
                    <w:left w:val="single" w:color="auto" w:sz="2" w:space="0"/>
                    <w:right w:val="single" w:color="auto" w:sz="2" w:space="0"/>
                  </w:tcBorders>
                  <w:vAlign w:val="center"/>
                </w:tcPr>
                <w:p w14:paraId="652FE74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排气筒内径/m</w:t>
                  </w:r>
                </w:p>
              </w:tc>
              <w:tc>
                <w:tcPr>
                  <w:tcW w:w="850" w:type="dxa"/>
                  <w:vMerge w:val="restart"/>
                  <w:tcBorders>
                    <w:top w:val="single" w:color="auto" w:sz="12" w:space="0"/>
                    <w:left w:val="single" w:color="auto" w:sz="2" w:space="0"/>
                    <w:right w:val="single" w:color="auto" w:sz="4" w:space="0"/>
                  </w:tcBorders>
                  <w:vAlign w:val="center"/>
                </w:tcPr>
                <w:p w14:paraId="4D41341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温度/</w:t>
                  </w:r>
                  <w:r>
                    <w:rPr>
                      <w:rFonts w:hAnsi="宋体"/>
                      <w:bCs/>
                      <w:color w:val="000000" w:themeColor="text1"/>
                      <w:szCs w:val="21"/>
                      <w:highlight w:val="none"/>
                      <w14:textFill>
                        <w14:solidFill>
                          <w14:schemeClr w14:val="tx1"/>
                        </w14:solidFill>
                      </w14:textFill>
                    </w:rPr>
                    <w:t>℃</w:t>
                  </w:r>
                </w:p>
              </w:tc>
              <w:tc>
                <w:tcPr>
                  <w:tcW w:w="1061" w:type="dxa"/>
                  <w:vMerge w:val="restart"/>
                  <w:tcBorders>
                    <w:top w:val="single" w:color="auto" w:sz="12" w:space="0"/>
                    <w:left w:val="single" w:color="auto" w:sz="4" w:space="0"/>
                    <w:right w:val="single" w:color="auto" w:sz="4" w:space="0"/>
                  </w:tcBorders>
                  <w:vAlign w:val="center"/>
                </w:tcPr>
                <w:p w14:paraId="00D33E50">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排放口类型</w:t>
                  </w:r>
                </w:p>
              </w:tc>
              <w:tc>
                <w:tcPr>
                  <w:tcW w:w="969" w:type="dxa"/>
                  <w:vMerge w:val="restart"/>
                  <w:tcBorders>
                    <w:top w:val="single" w:color="auto" w:sz="12" w:space="0"/>
                    <w:left w:val="single" w:color="auto" w:sz="4" w:space="0"/>
                  </w:tcBorders>
                  <w:vAlign w:val="center"/>
                </w:tcPr>
                <w:p w14:paraId="689915E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排放口设置是否符合要求</w:t>
                  </w:r>
                </w:p>
              </w:tc>
            </w:tr>
            <w:tr w14:paraId="61D91C1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7" w:hRule="atLeast"/>
                <w:jc w:val="center"/>
              </w:trPr>
              <w:tc>
                <w:tcPr>
                  <w:tcW w:w="497" w:type="dxa"/>
                  <w:vMerge w:val="continue"/>
                  <w:vAlign w:val="center"/>
                </w:tcPr>
                <w:p w14:paraId="523D937E">
                  <w:pPr>
                    <w:ind w:left="-105" w:leftChars="-50" w:right="-105" w:rightChars="-50"/>
                    <w:jc w:val="center"/>
                    <w:rPr>
                      <w:color w:val="000000" w:themeColor="text1"/>
                      <w:szCs w:val="21"/>
                      <w:highlight w:val="none"/>
                      <w14:textFill>
                        <w14:solidFill>
                          <w14:schemeClr w14:val="tx1"/>
                        </w14:solidFill>
                      </w14:textFill>
                    </w:rPr>
                  </w:pPr>
                </w:p>
              </w:tc>
              <w:tc>
                <w:tcPr>
                  <w:tcW w:w="918" w:type="dxa"/>
                  <w:vMerge w:val="continue"/>
                  <w:vAlign w:val="center"/>
                </w:tcPr>
                <w:p w14:paraId="4DBD2C6C">
                  <w:pPr>
                    <w:ind w:left="-105" w:leftChars="-50" w:right="-105" w:rightChars="-50"/>
                    <w:jc w:val="center"/>
                    <w:rPr>
                      <w:color w:val="000000" w:themeColor="text1"/>
                      <w:szCs w:val="21"/>
                      <w:highlight w:val="none"/>
                      <w14:textFill>
                        <w14:solidFill>
                          <w14:schemeClr w14:val="tx1"/>
                        </w14:solidFill>
                      </w14:textFill>
                    </w:rPr>
                  </w:pPr>
                </w:p>
              </w:tc>
              <w:tc>
                <w:tcPr>
                  <w:tcW w:w="708" w:type="dxa"/>
                  <w:vMerge w:val="continue"/>
                  <w:vAlign w:val="center"/>
                </w:tcPr>
                <w:p w14:paraId="3998D187">
                  <w:pPr>
                    <w:ind w:left="-105" w:leftChars="-50" w:right="-105" w:rightChars="-50"/>
                    <w:jc w:val="center"/>
                    <w:rPr>
                      <w:color w:val="000000" w:themeColor="text1"/>
                      <w:szCs w:val="21"/>
                      <w:highlight w:val="none"/>
                      <w14:textFill>
                        <w14:solidFill>
                          <w14:schemeClr w14:val="tx1"/>
                        </w14:solidFill>
                      </w14:textFill>
                    </w:rPr>
                  </w:pPr>
                </w:p>
              </w:tc>
              <w:tc>
                <w:tcPr>
                  <w:tcW w:w="1134" w:type="dxa"/>
                  <w:tcBorders>
                    <w:top w:val="single" w:color="auto" w:sz="2" w:space="0"/>
                  </w:tcBorders>
                  <w:vAlign w:val="center"/>
                </w:tcPr>
                <w:p w14:paraId="7D4C9E0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经度</w:t>
                  </w:r>
                </w:p>
              </w:tc>
              <w:tc>
                <w:tcPr>
                  <w:tcW w:w="993" w:type="dxa"/>
                  <w:tcBorders>
                    <w:top w:val="single" w:color="auto" w:sz="2" w:space="0"/>
                  </w:tcBorders>
                  <w:vAlign w:val="center"/>
                </w:tcPr>
                <w:p w14:paraId="1071ED9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纬度</w:t>
                  </w:r>
                </w:p>
              </w:tc>
              <w:tc>
                <w:tcPr>
                  <w:tcW w:w="708" w:type="dxa"/>
                  <w:vMerge w:val="continue"/>
                  <w:tcBorders>
                    <w:right w:val="single" w:color="auto" w:sz="2" w:space="0"/>
                  </w:tcBorders>
                  <w:vAlign w:val="center"/>
                </w:tcPr>
                <w:p w14:paraId="7CE60044">
                  <w:pPr>
                    <w:ind w:left="-105" w:leftChars="-50" w:right="-105" w:rightChars="-50"/>
                    <w:jc w:val="center"/>
                    <w:rPr>
                      <w:color w:val="000000" w:themeColor="text1"/>
                      <w:szCs w:val="21"/>
                      <w:highlight w:val="none"/>
                      <w14:textFill>
                        <w14:solidFill>
                          <w14:schemeClr w14:val="tx1"/>
                        </w14:solidFill>
                      </w14:textFill>
                    </w:rPr>
                  </w:pPr>
                </w:p>
              </w:tc>
              <w:tc>
                <w:tcPr>
                  <w:tcW w:w="851" w:type="dxa"/>
                  <w:vMerge w:val="continue"/>
                  <w:tcBorders>
                    <w:left w:val="single" w:color="auto" w:sz="2" w:space="0"/>
                    <w:right w:val="single" w:color="auto" w:sz="2" w:space="0"/>
                  </w:tcBorders>
                  <w:vAlign w:val="center"/>
                </w:tcPr>
                <w:p w14:paraId="427BF6C5">
                  <w:pPr>
                    <w:ind w:left="-105" w:leftChars="-50" w:right="-105" w:rightChars="-50"/>
                    <w:jc w:val="center"/>
                    <w:rPr>
                      <w:color w:val="000000" w:themeColor="text1"/>
                      <w:szCs w:val="21"/>
                      <w:highlight w:val="none"/>
                      <w14:textFill>
                        <w14:solidFill>
                          <w14:schemeClr w14:val="tx1"/>
                        </w14:solidFill>
                      </w14:textFill>
                    </w:rPr>
                  </w:pPr>
                </w:p>
              </w:tc>
              <w:tc>
                <w:tcPr>
                  <w:tcW w:w="850" w:type="dxa"/>
                  <w:vMerge w:val="continue"/>
                  <w:tcBorders>
                    <w:left w:val="single" w:color="auto" w:sz="2" w:space="0"/>
                    <w:right w:val="single" w:color="auto" w:sz="4" w:space="0"/>
                  </w:tcBorders>
                  <w:vAlign w:val="center"/>
                </w:tcPr>
                <w:p w14:paraId="6BF1A89A">
                  <w:pPr>
                    <w:ind w:left="-105" w:leftChars="-50" w:right="-105" w:rightChars="-50"/>
                    <w:jc w:val="center"/>
                    <w:rPr>
                      <w:color w:val="000000" w:themeColor="text1"/>
                      <w:szCs w:val="21"/>
                      <w:highlight w:val="none"/>
                      <w14:textFill>
                        <w14:solidFill>
                          <w14:schemeClr w14:val="tx1"/>
                        </w14:solidFill>
                      </w14:textFill>
                    </w:rPr>
                  </w:pPr>
                </w:p>
              </w:tc>
              <w:tc>
                <w:tcPr>
                  <w:tcW w:w="1061" w:type="dxa"/>
                  <w:vMerge w:val="continue"/>
                  <w:tcBorders>
                    <w:left w:val="single" w:color="auto" w:sz="4" w:space="0"/>
                    <w:right w:val="single" w:color="auto" w:sz="4" w:space="0"/>
                  </w:tcBorders>
                  <w:vAlign w:val="center"/>
                </w:tcPr>
                <w:p w14:paraId="51A1AF53">
                  <w:pPr>
                    <w:ind w:left="-105" w:leftChars="-50" w:right="-105" w:rightChars="-50"/>
                    <w:jc w:val="center"/>
                    <w:rPr>
                      <w:color w:val="000000" w:themeColor="text1"/>
                      <w:szCs w:val="21"/>
                      <w:highlight w:val="none"/>
                      <w14:textFill>
                        <w14:solidFill>
                          <w14:schemeClr w14:val="tx1"/>
                        </w14:solidFill>
                      </w14:textFill>
                    </w:rPr>
                  </w:pPr>
                </w:p>
              </w:tc>
              <w:tc>
                <w:tcPr>
                  <w:tcW w:w="969" w:type="dxa"/>
                  <w:vMerge w:val="continue"/>
                  <w:tcBorders>
                    <w:left w:val="single" w:color="auto" w:sz="4" w:space="0"/>
                  </w:tcBorders>
                  <w:vAlign w:val="center"/>
                </w:tcPr>
                <w:p w14:paraId="29927D39">
                  <w:pPr>
                    <w:ind w:left="-105" w:leftChars="-50" w:right="-105" w:rightChars="-50"/>
                    <w:jc w:val="center"/>
                    <w:rPr>
                      <w:color w:val="000000" w:themeColor="text1"/>
                      <w:szCs w:val="21"/>
                      <w:highlight w:val="none"/>
                      <w14:textFill>
                        <w14:solidFill>
                          <w14:schemeClr w14:val="tx1"/>
                        </w14:solidFill>
                      </w14:textFill>
                    </w:rPr>
                  </w:pPr>
                </w:p>
              </w:tc>
            </w:tr>
            <w:tr w14:paraId="5A616A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2C35B73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918" w:type="dxa"/>
                  <w:vAlign w:val="center"/>
                </w:tcPr>
                <w:p w14:paraId="617DDD9B">
                  <w:pPr>
                    <w:widowControl/>
                    <w:ind w:left="-105" w:leftChars="-50" w:right="-105" w:rightChars="-5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页岩给料、破碎、筛分、搅拌工序废气排气筒</w:t>
                  </w:r>
                </w:p>
              </w:tc>
              <w:tc>
                <w:tcPr>
                  <w:tcW w:w="708" w:type="dxa"/>
                  <w:vAlign w:val="center"/>
                </w:tcPr>
                <w:p w14:paraId="44CFCDD7">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1</w:t>
                  </w:r>
                </w:p>
              </w:tc>
              <w:tc>
                <w:tcPr>
                  <w:tcW w:w="1134" w:type="dxa"/>
                  <w:vAlign w:val="center"/>
                </w:tcPr>
                <w:p w14:paraId="6E827C16">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118°44'40.52"</w:t>
                  </w:r>
                </w:p>
              </w:tc>
              <w:tc>
                <w:tcPr>
                  <w:tcW w:w="993" w:type="dxa"/>
                  <w:vAlign w:val="center"/>
                </w:tcPr>
                <w:p w14:paraId="38017ADA">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39°39'52.98"</w:t>
                  </w:r>
                </w:p>
              </w:tc>
              <w:tc>
                <w:tcPr>
                  <w:tcW w:w="708" w:type="dxa"/>
                  <w:vAlign w:val="center"/>
                </w:tcPr>
                <w:p w14:paraId="57DC4E6C">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15</w:t>
                  </w:r>
                </w:p>
              </w:tc>
              <w:tc>
                <w:tcPr>
                  <w:tcW w:w="851" w:type="dxa"/>
                  <w:vAlign w:val="center"/>
                </w:tcPr>
                <w:p w14:paraId="7EB8D3AD">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0.8</w:t>
                  </w:r>
                </w:p>
              </w:tc>
              <w:tc>
                <w:tcPr>
                  <w:tcW w:w="850" w:type="dxa"/>
                  <w:tcBorders>
                    <w:right w:val="single" w:color="auto" w:sz="4" w:space="0"/>
                  </w:tcBorders>
                  <w:vAlign w:val="center"/>
                </w:tcPr>
                <w:p w14:paraId="65D586E5">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常温</w:t>
                  </w:r>
                </w:p>
              </w:tc>
              <w:tc>
                <w:tcPr>
                  <w:tcW w:w="1061" w:type="dxa"/>
                  <w:tcBorders>
                    <w:left w:val="single" w:color="auto" w:sz="4" w:space="0"/>
                    <w:right w:val="single" w:color="auto" w:sz="4" w:space="0"/>
                  </w:tcBorders>
                  <w:vAlign w:val="center"/>
                </w:tcPr>
                <w:p w14:paraId="4F35A26F">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1EFFFD7D">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r w14:paraId="49B5CE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3C10D3B5">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918" w:type="dxa"/>
                  <w:vAlign w:val="center"/>
                </w:tcPr>
                <w:p w14:paraId="6B11D58D">
                  <w:pPr>
                    <w:widowControl/>
                    <w:ind w:left="-105" w:leftChars="-50" w:right="-105" w:rightChars="-5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煤矸石给料、破碎、筛分工序废气排气筒</w:t>
                  </w:r>
                </w:p>
              </w:tc>
              <w:tc>
                <w:tcPr>
                  <w:tcW w:w="708" w:type="dxa"/>
                  <w:vAlign w:val="center"/>
                </w:tcPr>
                <w:p w14:paraId="2356DD8B">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2</w:t>
                  </w:r>
                </w:p>
              </w:tc>
              <w:tc>
                <w:tcPr>
                  <w:tcW w:w="1134" w:type="dxa"/>
                  <w:vAlign w:val="center"/>
                </w:tcPr>
                <w:p w14:paraId="02451FE9">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118°44'42.26"</w:t>
                  </w:r>
                </w:p>
              </w:tc>
              <w:tc>
                <w:tcPr>
                  <w:tcW w:w="993" w:type="dxa"/>
                  <w:vAlign w:val="center"/>
                </w:tcPr>
                <w:p w14:paraId="46478078">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39°39'52.95"</w:t>
                  </w:r>
                </w:p>
              </w:tc>
              <w:tc>
                <w:tcPr>
                  <w:tcW w:w="708" w:type="dxa"/>
                  <w:vAlign w:val="center"/>
                </w:tcPr>
                <w:p w14:paraId="1AC3F651">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15</w:t>
                  </w:r>
                </w:p>
              </w:tc>
              <w:tc>
                <w:tcPr>
                  <w:tcW w:w="851" w:type="dxa"/>
                  <w:vAlign w:val="center"/>
                </w:tcPr>
                <w:p w14:paraId="6B0D7403">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0.8</w:t>
                  </w:r>
                </w:p>
              </w:tc>
              <w:tc>
                <w:tcPr>
                  <w:tcW w:w="850" w:type="dxa"/>
                  <w:tcBorders>
                    <w:right w:val="single" w:color="auto" w:sz="4" w:space="0"/>
                  </w:tcBorders>
                  <w:vAlign w:val="center"/>
                </w:tcPr>
                <w:p w14:paraId="64A5B1EE">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常温</w:t>
                  </w:r>
                </w:p>
              </w:tc>
              <w:tc>
                <w:tcPr>
                  <w:tcW w:w="1061" w:type="dxa"/>
                  <w:tcBorders>
                    <w:left w:val="single" w:color="auto" w:sz="4" w:space="0"/>
                    <w:right w:val="single" w:color="auto" w:sz="4" w:space="0"/>
                  </w:tcBorders>
                  <w:vAlign w:val="center"/>
                </w:tcPr>
                <w:p w14:paraId="2BBA21C0">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6B6CB9B1">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r w14:paraId="67DC38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6933C6C0">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918" w:type="dxa"/>
                  <w:vAlign w:val="center"/>
                </w:tcPr>
                <w:p w14:paraId="6803E98E">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highlight w:val="none"/>
                      <w14:textFill>
                        <w14:solidFill>
                          <w14:schemeClr w14:val="tx1"/>
                        </w14:solidFill>
                      </w14:textFill>
                    </w:rPr>
                    <w:t>1#、2#隧道窑</w:t>
                  </w:r>
                  <w:r>
                    <w:rPr>
                      <w:color w:val="000000" w:themeColor="text1"/>
                      <w:kern w:val="0"/>
                      <w:szCs w:val="21"/>
                      <w:highlight w:val="none"/>
                      <w14:textFill>
                        <w14:solidFill>
                          <w14:schemeClr w14:val="tx1"/>
                        </w14:solidFill>
                      </w14:textFill>
                    </w:rPr>
                    <w:t>排气筒</w:t>
                  </w:r>
                </w:p>
              </w:tc>
              <w:tc>
                <w:tcPr>
                  <w:tcW w:w="708" w:type="dxa"/>
                  <w:vAlign w:val="center"/>
                </w:tcPr>
                <w:p w14:paraId="7EEC7C1A">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3</w:t>
                  </w:r>
                </w:p>
              </w:tc>
              <w:tc>
                <w:tcPr>
                  <w:tcW w:w="1134" w:type="dxa"/>
                  <w:vAlign w:val="center"/>
                </w:tcPr>
                <w:p w14:paraId="22011CEA">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118°44'39.37"</w:t>
                  </w:r>
                </w:p>
              </w:tc>
              <w:tc>
                <w:tcPr>
                  <w:tcW w:w="993" w:type="dxa"/>
                  <w:vAlign w:val="center"/>
                </w:tcPr>
                <w:p w14:paraId="1F1C9837">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39°39'58.06"</w:t>
                  </w:r>
                </w:p>
              </w:tc>
              <w:tc>
                <w:tcPr>
                  <w:tcW w:w="708" w:type="dxa"/>
                  <w:vAlign w:val="center"/>
                </w:tcPr>
                <w:p w14:paraId="5C8A52BB">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38</w:t>
                  </w:r>
                </w:p>
              </w:tc>
              <w:tc>
                <w:tcPr>
                  <w:tcW w:w="851" w:type="dxa"/>
                  <w:vAlign w:val="center"/>
                </w:tcPr>
                <w:p w14:paraId="3E72744C">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850" w:type="dxa"/>
                  <w:tcBorders>
                    <w:right w:val="single" w:color="auto" w:sz="4" w:space="0"/>
                  </w:tcBorders>
                  <w:vAlign w:val="center"/>
                </w:tcPr>
                <w:p w14:paraId="2236F7EC">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55</w:t>
                  </w:r>
                </w:p>
              </w:tc>
              <w:tc>
                <w:tcPr>
                  <w:tcW w:w="1061" w:type="dxa"/>
                  <w:tcBorders>
                    <w:left w:val="single" w:color="auto" w:sz="4" w:space="0"/>
                    <w:right w:val="single" w:color="auto" w:sz="4" w:space="0"/>
                  </w:tcBorders>
                  <w:vAlign w:val="center"/>
                </w:tcPr>
                <w:p w14:paraId="63EE39DE">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6FCB0ABD">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r w14:paraId="1AE4928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3E1FB729">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p>
              </w:tc>
              <w:tc>
                <w:tcPr>
                  <w:tcW w:w="918" w:type="dxa"/>
                  <w:vAlign w:val="center"/>
                </w:tcPr>
                <w:p w14:paraId="6E10DB8E">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highlight w:val="none"/>
                      <w14:textFill>
                        <w14:solidFill>
                          <w14:schemeClr w14:val="tx1"/>
                        </w14:solidFill>
                      </w14:textFill>
                    </w:rPr>
                    <w:t>3#、4#隧道窑</w:t>
                  </w:r>
                  <w:r>
                    <w:rPr>
                      <w:color w:val="000000" w:themeColor="text1"/>
                      <w:kern w:val="0"/>
                      <w:szCs w:val="21"/>
                      <w:highlight w:val="none"/>
                      <w14:textFill>
                        <w14:solidFill>
                          <w14:schemeClr w14:val="tx1"/>
                        </w14:solidFill>
                      </w14:textFill>
                    </w:rPr>
                    <w:t>排气筒</w:t>
                  </w:r>
                </w:p>
              </w:tc>
              <w:tc>
                <w:tcPr>
                  <w:tcW w:w="708" w:type="dxa"/>
                  <w:vAlign w:val="center"/>
                </w:tcPr>
                <w:p w14:paraId="786575ED">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4</w:t>
                  </w:r>
                </w:p>
              </w:tc>
              <w:tc>
                <w:tcPr>
                  <w:tcW w:w="1134" w:type="dxa"/>
                  <w:vAlign w:val="center"/>
                </w:tcPr>
                <w:p w14:paraId="2B346FE3">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118°44'42.28"</w:t>
                  </w:r>
                </w:p>
              </w:tc>
              <w:tc>
                <w:tcPr>
                  <w:tcW w:w="993" w:type="dxa"/>
                  <w:vAlign w:val="center"/>
                </w:tcPr>
                <w:p w14:paraId="0B135380">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39°39'58.18"</w:t>
                  </w:r>
                </w:p>
              </w:tc>
              <w:tc>
                <w:tcPr>
                  <w:tcW w:w="708" w:type="dxa"/>
                  <w:vAlign w:val="center"/>
                </w:tcPr>
                <w:p w14:paraId="2291D10A">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38</w:t>
                  </w:r>
                </w:p>
              </w:tc>
              <w:tc>
                <w:tcPr>
                  <w:tcW w:w="851" w:type="dxa"/>
                  <w:vAlign w:val="center"/>
                </w:tcPr>
                <w:p w14:paraId="786F0DB8">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850" w:type="dxa"/>
                  <w:tcBorders>
                    <w:right w:val="single" w:color="auto" w:sz="4" w:space="0"/>
                  </w:tcBorders>
                  <w:vAlign w:val="center"/>
                </w:tcPr>
                <w:p w14:paraId="1E284CE6">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55</w:t>
                  </w:r>
                </w:p>
              </w:tc>
              <w:tc>
                <w:tcPr>
                  <w:tcW w:w="1061" w:type="dxa"/>
                  <w:tcBorders>
                    <w:left w:val="single" w:color="auto" w:sz="4" w:space="0"/>
                    <w:right w:val="single" w:color="auto" w:sz="4" w:space="0"/>
                  </w:tcBorders>
                  <w:vAlign w:val="center"/>
                </w:tcPr>
                <w:p w14:paraId="49E4BA3E">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2800EC0D">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r w14:paraId="51EB6D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16BCBE54">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p>
              </w:tc>
              <w:tc>
                <w:tcPr>
                  <w:tcW w:w="918" w:type="dxa"/>
                  <w:vAlign w:val="center"/>
                </w:tcPr>
                <w:p w14:paraId="54E77C2D">
                  <w:pPr>
                    <w:widowControl/>
                    <w:ind w:left="-105" w:leftChars="-50" w:right="-105" w:rightChars="-5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1#、2#窑车吹扫</w:t>
                  </w:r>
                  <w:r>
                    <w:rPr>
                      <w:color w:val="000000" w:themeColor="text1"/>
                      <w:kern w:val="0"/>
                      <w:szCs w:val="21"/>
                      <w:highlight w:val="none"/>
                      <w14:textFill>
                        <w14:solidFill>
                          <w14:schemeClr w14:val="tx1"/>
                        </w14:solidFill>
                      </w14:textFill>
                    </w:rPr>
                    <w:t>排气筒</w:t>
                  </w:r>
                </w:p>
              </w:tc>
              <w:tc>
                <w:tcPr>
                  <w:tcW w:w="708" w:type="dxa"/>
                  <w:vAlign w:val="center"/>
                </w:tcPr>
                <w:p w14:paraId="39CE858A">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DA005</w:t>
                  </w:r>
                </w:p>
              </w:tc>
              <w:tc>
                <w:tcPr>
                  <w:tcW w:w="1134" w:type="dxa"/>
                  <w:vAlign w:val="center"/>
                </w:tcPr>
                <w:p w14:paraId="22036780">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118°44'38.83"</w:t>
                  </w:r>
                </w:p>
              </w:tc>
              <w:tc>
                <w:tcPr>
                  <w:tcW w:w="993" w:type="dxa"/>
                  <w:vAlign w:val="center"/>
                </w:tcPr>
                <w:p w14:paraId="26E01F79">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39°39'58.00"</w:t>
                  </w:r>
                </w:p>
              </w:tc>
              <w:tc>
                <w:tcPr>
                  <w:tcW w:w="708" w:type="dxa"/>
                  <w:vAlign w:val="center"/>
                </w:tcPr>
                <w:p w14:paraId="58CD3A40">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15</w:t>
                  </w:r>
                </w:p>
              </w:tc>
              <w:tc>
                <w:tcPr>
                  <w:tcW w:w="851" w:type="dxa"/>
                  <w:vAlign w:val="center"/>
                </w:tcPr>
                <w:p w14:paraId="60FDA2AE">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0.6</w:t>
                  </w:r>
                </w:p>
              </w:tc>
              <w:tc>
                <w:tcPr>
                  <w:tcW w:w="850" w:type="dxa"/>
                  <w:tcBorders>
                    <w:right w:val="single" w:color="auto" w:sz="4" w:space="0"/>
                  </w:tcBorders>
                  <w:vAlign w:val="center"/>
                </w:tcPr>
                <w:p w14:paraId="03F3B610">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常温</w:t>
                  </w:r>
                </w:p>
              </w:tc>
              <w:tc>
                <w:tcPr>
                  <w:tcW w:w="1061" w:type="dxa"/>
                  <w:tcBorders>
                    <w:left w:val="single" w:color="auto" w:sz="4" w:space="0"/>
                    <w:right w:val="single" w:color="auto" w:sz="4" w:space="0"/>
                  </w:tcBorders>
                  <w:vAlign w:val="center"/>
                </w:tcPr>
                <w:p w14:paraId="36F3AF0C">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6CD4C876">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r w14:paraId="2BC127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15C8BCB7">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p>
              </w:tc>
              <w:tc>
                <w:tcPr>
                  <w:tcW w:w="918" w:type="dxa"/>
                  <w:vAlign w:val="center"/>
                </w:tcPr>
                <w:p w14:paraId="397D59E9">
                  <w:pPr>
                    <w:widowControl/>
                    <w:ind w:left="-105" w:leftChars="-50" w:right="-105" w:rightChars="-50"/>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3#、4#窑车吹扫</w:t>
                  </w:r>
                  <w:r>
                    <w:rPr>
                      <w:color w:val="000000" w:themeColor="text1"/>
                      <w:kern w:val="0"/>
                      <w:szCs w:val="21"/>
                      <w:highlight w:val="none"/>
                      <w14:textFill>
                        <w14:solidFill>
                          <w14:schemeClr w14:val="tx1"/>
                        </w14:solidFill>
                      </w14:textFill>
                    </w:rPr>
                    <w:t>排气筒</w:t>
                  </w:r>
                </w:p>
              </w:tc>
              <w:tc>
                <w:tcPr>
                  <w:tcW w:w="708" w:type="dxa"/>
                  <w:vAlign w:val="center"/>
                </w:tcPr>
                <w:p w14:paraId="4B2762BD">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DA006</w:t>
                  </w:r>
                </w:p>
              </w:tc>
              <w:tc>
                <w:tcPr>
                  <w:tcW w:w="1134" w:type="dxa"/>
                  <w:vAlign w:val="center"/>
                </w:tcPr>
                <w:p w14:paraId="5876418F">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118°44'41.87"</w:t>
                  </w:r>
                </w:p>
              </w:tc>
              <w:tc>
                <w:tcPr>
                  <w:tcW w:w="993" w:type="dxa"/>
                  <w:vAlign w:val="center"/>
                </w:tcPr>
                <w:p w14:paraId="029CE736">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39°39'58.12"</w:t>
                  </w:r>
                </w:p>
              </w:tc>
              <w:tc>
                <w:tcPr>
                  <w:tcW w:w="708" w:type="dxa"/>
                  <w:vAlign w:val="center"/>
                </w:tcPr>
                <w:p w14:paraId="782F3C6A">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15</w:t>
                  </w:r>
                </w:p>
              </w:tc>
              <w:tc>
                <w:tcPr>
                  <w:tcW w:w="851" w:type="dxa"/>
                  <w:vAlign w:val="center"/>
                </w:tcPr>
                <w:p w14:paraId="403C85C0">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0.6</w:t>
                  </w:r>
                </w:p>
              </w:tc>
              <w:tc>
                <w:tcPr>
                  <w:tcW w:w="850" w:type="dxa"/>
                  <w:tcBorders>
                    <w:right w:val="single" w:color="auto" w:sz="4" w:space="0"/>
                  </w:tcBorders>
                  <w:vAlign w:val="center"/>
                </w:tcPr>
                <w:p w14:paraId="291FC31E">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常温</w:t>
                  </w:r>
                </w:p>
              </w:tc>
              <w:tc>
                <w:tcPr>
                  <w:tcW w:w="1061" w:type="dxa"/>
                  <w:tcBorders>
                    <w:left w:val="single" w:color="auto" w:sz="4" w:space="0"/>
                    <w:right w:val="single" w:color="auto" w:sz="4" w:space="0"/>
                  </w:tcBorders>
                  <w:vAlign w:val="center"/>
                </w:tcPr>
                <w:p w14:paraId="06904D5C">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1429BD95">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r w14:paraId="1FA9BB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97" w:type="dxa"/>
                  <w:vAlign w:val="center"/>
                </w:tcPr>
                <w:p w14:paraId="70677419">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w:t>
                  </w:r>
                </w:p>
              </w:tc>
              <w:tc>
                <w:tcPr>
                  <w:tcW w:w="918" w:type="dxa"/>
                  <w:vAlign w:val="center"/>
                </w:tcPr>
                <w:p w14:paraId="4C4CF867">
                  <w:pPr>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污泥储存料棚排气筒</w:t>
                  </w:r>
                </w:p>
              </w:tc>
              <w:tc>
                <w:tcPr>
                  <w:tcW w:w="708" w:type="dxa"/>
                  <w:vAlign w:val="center"/>
                </w:tcPr>
                <w:p w14:paraId="5550C30D">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7</w:t>
                  </w:r>
                </w:p>
              </w:tc>
              <w:tc>
                <w:tcPr>
                  <w:tcW w:w="1134" w:type="dxa"/>
                  <w:vAlign w:val="center"/>
                </w:tcPr>
                <w:p w14:paraId="1C3F1E9E">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118°44'43.44"</w:t>
                  </w:r>
                </w:p>
              </w:tc>
              <w:tc>
                <w:tcPr>
                  <w:tcW w:w="993" w:type="dxa"/>
                  <w:vAlign w:val="center"/>
                </w:tcPr>
                <w:p w14:paraId="69DC5115">
                  <w:pPr>
                    <w:widowControl/>
                    <w:jc w:val="center"/>
                    <w:textAlignment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39°39'52.79"</w:t>
                  </w:r>
                </w:p>
              </w:tc>
              <w:tc>
                <w:tcPr>
                  <w:tcW w:w="708" w:type="dxa"/>
                  <w:vAlign w:val="center"/>
                </w:tcPr>
                <w:p w14:paraId="625C9F51">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15</w:t>
                  </w:r>
                </w:p>
              </w:tc>
              <w:tc>
                <w:tcPr>
                  <w:tcW w:w="851" w:type="dxa"/>
                  <w:vAlign w:val="center"/>
                </w:tcPr>
                <w:p w14:paraId="275A37F1">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0.5</w:t>
                  </w:r>
                </w:p>
              </w:tc>
              <w:tc>
                <w:tcPr>
                  <w:tcW w:w="850" w:type="dxa"/>
                  <w:tcBorders>
                    <w:right w:val="single" w:color="auto" w:sz="4" w:space="0"/>
                  </w:tcBorders>
                  <w:vAlign w:val="center"/>
                </w:tcPr>
                <w:p w14:paraId="604EF581">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常温</w:t>
                  </w:r>
                </w:p>
              </w:tc>
              <w:tc>
                <w:tcPr>
                  <w:tcW w:w="1061" w:type="dxa"/>
                  <w:tcBorders>
                    <w:left w:val="single" w:color="auto" w:sz="4" w:space="0"/>
                    <w:right w:val="single" w:color="auto" w:sz="4" w:space="0"/>
                  </w:tcBorders>
                  <w:vAlign w:val="center"/>
                </w:tcPr>
                <w:p w14:paraId="012A2BF3">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一般排放口</w:t>
                  </w:r>
                </w:p>
              </w:tc>
              <w:tc>
                <w:tcPr>
                  <w:tcW w:w="969" w:type="dxa"/>
                  <w:tcBorders>
                    <w:left w:val="single" w:color="auto" w:sz="4" w:space="0"/>
                  </w:tcBorders>
                  <w:vAlign w:val="center"/>
                </w:tcPr>
                <w:p w14:paraId="45C665B6">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是</w:t>
                  </w:r>
                </w:p>
              </w:tc>
            </w:tr>
          </w:tbl>
          <w:p w14:paraId="171EF0D2">
            <w:pPr>
              <w:spacing w:line="460" w:lineRule="exact"/>
              <w:ind w:firstLine="472" w:firstLineChars="196"/>
              <w:jc w:val="lef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1.3废气治理措施可行性</w:t>
            </w:r>
          </w:p>
          <w:p w14:paraId="25A76B6F">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（1）原料给料、破碎、筛分、搅拌、落料、窑车吹扫废气</w:t>
            </w:r>
          </w:p>
          <w:p w14:paraId="3184841E">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拟建项目给料、破碎</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筛分、搅拌、落料、窑车吹扫过程产生的废气</w:t>
            </w:r>
            <w:r>
              <w:rPr>
                <w:rFonts w:hint="eastAsia"/>
                <w:bCs/>
                <w:color w:val="000000" w:themeColor="text1"/>
                <w:sz w:val="24"/>
                <w:highlight w:val="none"/>
                <w14:textFill>
                  <w14:solidFill>
                    <w14:schemeClr w14:val="tx1"/>
                  </w14:solidFill>
                </w14:textFill>
              </w:rPr>
              <w:t>利用</w:t>
            </w:r>
            <w:r>
              <w:rPr>
                <w:bCs/>
                <w:color w:val="000000" w:themeColor="text1"/>
                <w:sz w:val="24"/>
                <w:highlight w:val="none"/>
                <w14:textFill>
                  <w14:solidFill>
                    <w14:schemeClr w14:val="tx1"/>
                  </w14:solidFill>
                </w14:textFill>
              </w:rPr>
              <w:t>现有工程原料给料、破碎、筛分、搅拌、落料、窑车吹扫工序脉冲布袋除尘器进行处理，处理后经15m高排气筒（DA00</w:t>
            </w:r>
            <w:r>
              <w:rPr>
                <w:rFonts w:hint="eastAsia"/>
                <w:bCs/>
                <w:color w:val="000000" w:themeColor="text1"/>
                <w:sz w:val="24"/>
                <w:highlight w:val="none"/>
                <w14:textFill>
                  <w14:solidFill>
                    <w14:schemeClr w14:val="tx1"/>
                  </w14:solidFill>
                </w14:textFill>
              </w:rPr>
              <w:t>1</w:t>
            </w:r>
            <w:r>
              <w:rPr>
                <w:bCs/>
                <w:color w:val="000000" w:themeColor="text1"/>
                <w:sz w:val="24"/>
                <w:highlight w:val="none"/>
                <w14:textFill>
                  <w14:solidFill>
                    <w14:schemeClr w14:val="tx1"/>
                  </w14:solidFill>
                </w14:textFill>
              </w:rPr>
              <w:t>、DA00</w:t>
            </w:r>
            <w:r>
              <w:rPr>
                <w:rFonts w:hint="eastAsia"/>
                <w:bCs/>
                <w:color w:val="000000" w:themeColor="text1"/>
                <w:sz w:val="24"/>
                <w:highlight w:val="none"/>
                <w14:textFill>
                  <w14:solidFill>
                    <w14:schemeClr w14:val="tx1"/>
                  </w14:solidFill>
                </w14:textFill>
              </w:rPr>
              <w:t>2</w:t>
            </w:r>
            <w:r>
              <w:rPr>
                <w:bCs/>
                <w:color w:val="000000" w:themeColor="text1"/>
                <w:sz w:val="24"/>
                <w:highlight w:val="none"/>
                <w14:textFill>
                  <w14:solidFill>
                    <w14:schemeClr w14:val="tx1"/>
                  </w14:solidFill>
                </w14:textFill>
              </w:rPr>
              <w:t>、DA005、DA006）排放。</w:t>
            </w:r>
          </w:p>
          <w:p w14:paraId="6A6F4919">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袋式除尘器是一种干式滤尘装置，它适用于捕集细小、干燥、非纤维性粉尘。滤袋采用纺织的滤布或非纺织的毡制成，利用纤维织物的过滤作用对含尘气体进行过滤。含尘空气从除尘器的进风均流管进入各分室灰斗并在灰斗导流装置的导流下，大颗粒的粉尘被分离直接落入灰斗，而较细粉尘吸附在滤袋的外表面上，干净气体透过滤袋进入上箱体，并经各离线阀和排风管排入大气。随着过滤的进行，滤袋上的粉尘越积越多，当设备阻力达到限定的阻力值时，由清灰控制装置按差压设定值或清灰时间设定值自动关闭一室离线阀后，按设定程序打开电控脉冲阀，进行停风喷吹，使滤袋内压力骤增，将滤袋上的粉尘抖落至灰斗中，由排灰机械排出，经15m排气筒排放。布袋除尘器具有处理气体能力大、性能稳定、操作方便、滤袋寿命长、维修工作量小等优点，净化效率高，被企业广泛使用。</w:t>
            </w:r>
          </w:p>
          <w:p w14:paraId="7C633FA2">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w:t>
            </w:r>
            <w:r>
              <w:rPr>
                <w:bCs/>
                <w:color w:val="000000" w:themeColor="text1"/>
                <w:sz w:val="24"/>
                <w:highlight w:val="none"/>
                <w14:textFill>
                  <w14:solidFill>
                    <w14:schemeClr w14:val="tx1"/>
                  </w14:solidFill>
                </w14:textFill>
              </w:rPr>
              <w:t>给料、破碎、筛分、搅拌、落料、窑车吹扫粉尘废气引入脉冲布袋除尘器处理后经15m高排气筒（DA00</w:t>
            </w:r>
            <w:r>
              <w:rPr>
                <w:rFonts w:hint="eastAsia"/>
                <w:bCs/>
                <w:color w:val="000000" w:themeColor="text1"/>
                <w:sz w:val="24"/>
                <w:highlight w:val="none"/>
                <w14:textFill>
                  <w14:solidFill>
                    <w14:schemeClr w14:val="tx1"/>
                  </w14:solidFill>
                </w14:textFill>
              </w:rPr>
              <w:t>1</w:t>
            </w:r>
            <w:r>
              <w:rPr>
                <w:bCs/>
                <w:color w:val="000000" w:themeColor="text1"/>
                <w:sz w:val="24"/>
                <w:highlight w:val="none"/>
                <w14:textFill>
                  <w14:solidFill>
                    <w14:schemeClr w14:val="tx1"/>
                  </w14:solidFill>
                </w14:textFill>
              </w:rPr>
              <w:t>、DA00</w:t>
            </w:r>
            <w:r>
              <w:rPr>
                <w:rFonts w:hint="eastAsia"/>
                <w:bCs/>
                <w:color w:val="000000" w:themeColor="text1"/>
                <w:sz w:val="24"/>
                <w:highlight w:val="none"/>
                <w14:textFill>
                  <w14:solidFill>
                    <w14:schemeClr w14:val="tx1"/>
                  </w14:solidFill>
                </w14:textFill>
              </w:rPr>
              <w:t>2</w:t>
            </w:r>
            <w:r>
              <w:rPr>
                <w:bCs/>
                <w:color w:val="000000" w:themeColor="text1"/>
                <w:sz w:val="24"/>
                <w:highlight w:val="none"/>
                <w14:textFill>
                  <w14:solidFill>
                    <w14:schemeClr w14:val="tx1"/>
                  </w14:solidFill>
                </w14:textFill>
              </w:rPr>
              <w:t>、DA005、DA006）排放。废气收集效率95%。现有布袋除尘器额定总风量为124000m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/h。</w:t>
            </w:r>
          </w:p>
          <w:p w14:paraId="1AB0E4B2">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根据表4-1风量核算，</w:t>
            </w:r>
            <w:r>
              <w:rPr>
                <w:color w:val="000000" w:themeColor="text1"/>
                <w:sz w:val="24"/>
                <w:highlight w:val="none"/>
                <w14:textFill>
                  <w14:solidFill>
                    <w14:schemeClr w14:val="tx1"/>
                  </w14:solidFill>
                </w14:textFill>
              </w:rPr>
              <w:t>现有给料、破碎、筛分、搅拌、落料、窑车吹扫</w:t>
            </w:r>
            <w:r>
              <w:rPr>
                <w:rFonts w:hint="eastAsia"/>
                <w:color w:val="000000" w:themeColor="text1"/>
                <w:sz w:val="24"/>
                <w:highlight w:val="none"/>
                <w14:textFill>
                  <w14:solidFill>
                    <w14:schemeClr w14:val="tx1"/>
                  </w14:solidFill>
                </w14:textFill>
              </w:rPr>
              <w:t>的4套</w:t>
            </w:r>
            <w:r>
              <w:rPr>
                <w:color w:val="000000" w:themeColor="text1"/>
                <w:sz w:val="24"/>
                <w:highlight w:val="none"/>
                <w14:textFill>
                  <w14:solidFill>
                    <w14:schemeClr w14:val="tx1"/>
                  </w14:solidFill>
                </w14:textFill>
              </w:rPr>
              <w:t>脉冲布袋除尘器风机额定风量</w:t>
            </w:r>
            <w:r>
              <w:rPr>
                <w:rFonts w:hint="eastAsia"/>
                <w:color w:val="000000" w:themeColor="text1"/>
                <w:sz w:val="24"/>
                <w:highlight w:val="none"/>
                <w14:textFill>
                  <w14:solidFill>
                    <w14:schemeClr w14:val="tx1"/>
                  </w14:solidFill>
                </w14:textFill>
              </w:rPr>
              <w:t>均</w:t>
            </w:r>
            <w:r>
              <w:rPr>
                <w:color w:val="000000" w:themeColor="text1"/>
                <w:sz w:val="24"/>
                <w:highlight w:val="none"/>
                <w14:textFill>
                  <w14:solidFill>
                    <w14:schemeClr w14:val="tx1"/>
                  </w14:solidFill>
                </w14:textFill>
              </w:rPr>
              <w:t>可以满足拟建项目完成后</w:t>
            </w:r>
            <w:r>
              <w:rPr>
                <w:rFonts w:hint="eastAsia"/>
                <w:color w:val="000000" w:themeColor="text1"/>
                <w:sz w:val="24"/>
                <w:highlight w:val="none"/>
                <w14:textFill>
                  <w14:solidFill>
                    <w14:schemeClr w14:val="tx1"/>
                  </w14:solidFill>
                </w14:textFill>
              </w:rPr>
              <w:t>各工序</w:t>
            </w:r>
            <w:r>
              <w:rPr>
                <w:color w:val="000000" w:themeColor="text1"/>
                <w:sz w:val="24"/>
                <w:highlight w:val="none"/>
                <w14:textFill>
                  <w14:solidFill>
                    <w14:schemeClr w14:val="tx1"/>
                  </w14:solidFill>
                </w14:textFill>
              </w:rPr>
              <w:t>风量需求。</w:t>
            </w:r>
            <w:r>
              <w:rPr>
                <w:rFonts w:hint="eastAsia"/>
                <w:color w:val="000000" w:themeColor="text1"/>
                <w:sz w:val="24"/>
                <w:highlight w:val="none"/>
                <w14:textFill>
                  <w14:solidFill>
                    <w14:schemeClr w14:val="tx1"/>
                  </w14:solidFill>
                </w14:textFill>
              </w:rPr>
              <w:t>本次改扩建利用现有废气治理设施可行。</w:t>
            </w:r>
            <w:r>
              <w:rPr>
                <w:bCs/>
                <w:color w:val="000000" w:themeColor="text1"/>
                <w:sz w:val="24"/>
                <w:highlight w:val="none"/>
                <w14:textFill>
                  <w14:solidFill>
                    <w14:schemeClr w14:val="tx1"/>
                  </w14:solidFill>
                </w14:textFill>
              </w:rPr>
              <w:t>根据</w:t>
            </w:r>
            <w:r>
              <w:rPr>
                <w:rFonts w:hint="eastAsia"/>
                <w:bCs/>
                <w:color w:val="000000" w:themeColor="text1"/>
                <w:sz w:val="24"/>
                <w:highlight w:val="none"/>
                <w14:textFill>
                  <w14:solidFill>
                    <w14:schemeClr w14:val="tx1"/>
                  </w14:solidFill>
                </w14:textFill>
              </w:rPr>
              <w:t>预测，经废气治理设施处理后，废气排放</w:t>
            </w:r>
            <w:r>
              <w:rPr>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2大气污染物排放限值以及</w:t>
            </w:r>
            <w:r>
              <w:rPr>
                <w:bCs/>
                <w:color w:val="000000" w:themeColor="text1"/>
                <w:sz w:val="24"/>
                <w:highlight w:val="none"/>
                <w14:textFill>
                  <w14:solidFill>
                    <w14:schemeClr w14:val="tx1"/>
                  </w14:solidFill>
                </w14:textFill>
              </w:rPr>
              <w:t>《唐山市生态环境局关于印发独立石灰窑等五个行业工业炉窑烟气达标治理工作方案的通知》（唐环气〔2019〕2号）中附件5《唐山市砖瓦行业烟气达标治理工作方案》中颗粒物排放浓度不大于10mg/m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的限值要求</w:t>
            </w:r>
            <w:r>
              <w:rPr>
                <w:color w:val="000000" w:themeColor="text1"/>
                <w:sz w:val="24"/>
                <w:highlight w:val="none"/>
                <w14:textFill>
                  <w14:solidFill>
                    <w14:schemeClr w14:val="tx1"/>
                  </w14:solidFill>
                </w14:textFill>
              </w:rPr>
              <w:t>。</w:t>
            </w:r>
          </w:p>
          <w:p w14:paraId="48B1CA2F">
            <w:pPr>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除尘器相关参数见下表。</w:t>
            </w:r>
          </w:p>
          <w:p w14:paraId="49575359">
            <w:pPr>
              <w:spacing w:line="480" w:lineRule="exact"/>
              <w:ind w:left="420" w:leftChars="200" w:firstLine="720" w:firstLineChars="300"/>
              <w:rPr>
                <w:rFonts w:ascii="黑体" w:hAnsi="黑体" w:eastAsia="黑体"/>
                <w:bCs/>
                <w:color w:val="000000" w:themeColor="text1"/>
                <w:sz w:val="24"/>
                <w:highlight w:val="none"/>
                <w14:textFill>
                  <w14:solidFill>
                    <w14:schemeClr w14:val="tx1"/>
                  </w14:solidFill>
                </w14:textFill>
              </w:rPr>
            </w:pPr>
            <w:r>
              <w:rPr>
                <w:rFonts w:hint="eastAsia" w:ascii="黑体" w:hAnsi="黑体" w:eastAsia="黑体"/>
                <w:bCs/>
                <w:color w:val="000000" w:themeColor="text1"/>
                <w:sz w:val="24"/>
                <w:highlight w:val="none"/>
                <w14:textFill>
                  <w14:solidFill>
                    <w14:schemeClr w14:val="tx1"/>
                  </w14:solidFill>
                </w14:textFill>
              </w:rPr>
              <w:t xml:space="preserve">表4-6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脉冲布袋除尘器相关参数一览表</w:t>
            </w:r>
          </w:p>
          <w:tbl>
            <w:tblPr>
              <w:tblStyle w:val="24"/>
              <w:tblW w:w="479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94"/>
              <w:gridCol w:w="1984"/>
              <w:gridCol w:w="2836"/>
              <w:gridCol w:w="2566"/>
            </w:tblGrid>
            <w:tr w14:paraId="00A7D48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op w:val="single" w:color="000000" w:sz="12" w:space="0"/>
                    <w:tl2br w:val="nil"/>
                    <w:tr2bl w:val="nil"/>
                  </w:tcBorders>
                  <w:noWrap/>
                  <w:vAlign w:val="center"/>
                </w:tcPr>
                <w:p w14:paraId="745982BA">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1170" w:type="pct"/>
                  <w:tcBorders>
                    <w:top w:val="single" w:color="000000" w:sz="12" w:space="0"/>
                    <w:tl2br w:val="nil"/>
                    <w:tr2bl w:val="nil"/>
                  </w:tcBorders>
                  <w:noWrap/>
                  <w:vAlign w:val="center"/>
                </w:tcPr>
                <w:p w14:paraId="6C64038A">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w:t>
                  </w:r>
                </w:p>
              </w:tc>
              <w:tc>
                <w:tcPr>
                  <w:tcW w:w="3185" w:type="pct"/>
                  <w:gridSpan w:val="2"/>
                  <w:tcBorders>
                    <w:top w:val="single" w:color="000000" w:sz="12" w:space="0"/>
                    <w:tl2br w:val="nil"/>
                    <w:tr2bl w:val="nil"/>
                  </w:tcBorders>
                  <w:noWrap/>
                  <w:vAlign w:val="center"/>
                </w:tcPr>
                <w:p w14:paraId="4CAB9405">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技术参数</w:t>
                  </w:r>
                </w:p>
              </w:tc>
            </w:tr>
            <w:tr w14:paraId="5E44194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l2br w:val="nil"/>
                    <w:tr2bl w:val="nil"/>
                  </w:tcBorders>
                  <w:noWrap/>
                  <w:vAlign w:val="center"/>
                </w:tcPr>
                <w:p w14:paraId="3BC12051">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170" w:type="pct"/>
                  <w:tcBorders>
                    <w:tl2br w:val="nil"/>
                    <w:tr2bl w:val="nil"/>
                  </w:tcBorders>
                  <w:noWrap/>
                  <w:vAlign w:val="center"/>
                </w:tcPr>
                <w:p w14:paraId="6A798E9C">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处理风量</w:t>
                  </w:r>
                </w:p>
              </w:tc>
              <w:tc>
                <w:tcPr>
                  <w:tcW w:w="1672" w:type="pct"/>
                  <w:tcBorders>
                    <w:right w:val="single" w:color="auto" w:sz="4" w:space="0"/>
                    <w:tl2br w:val="nil"/>
                    <w:tr2bl w:val="nil"/>
                  </w:tcBorders>
                  <w:noWrap/>
                  <w:vAlign w:val="center"/>
                </w:tcPr>
                <w:p w14:paraId="4CA05B82">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/h</w:t>
                  </w:r>
                </w:p>
              </w:tc>
              <w:tc>
                <w:tcPr>
                  <w:tcW w:w="1513" w:type="pct"/>
                  <w:tcBorders>
                    <w:left w:val="single" w:color="auto" w:sz="4" w:space="0"/>
                    <w:tl2br w:val="nil"/>
                    <w:tr2bl w:val="nil"/>
                  </w:tcBorders>
                  <w:vAlign w:val="center"/>
                </w:tcPr>
                <w:p w14:paraId="6E8DFE22">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12000</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/h</w:t>
                  </w:r>
                </w:p>
              </w:tc>
            </w:tr>
            <w:tr w14:paraId="09302E9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l2br w:val="nil"/>
                    <w:tr2bl w:val="nil"/>
                  </w:tcBorders>
                  <w:noWrap/>
                  <w:vAlign w:val="center"/>
                </w:tcPr>
                <w:p w14:paraId="20971373">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170" w:type="pct"/>
                  <w:tcBorders>
                    <w:tl2br w:val="nil"/>
                    <w:tr2bl w:val="nil"/>
                  </w:tcBorders>
                  <w:noWrap/>
                  <w:vAlign w:val="center"/>
                </w:tcPr>
                <w:p w14:paraId="463A5880">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过滤面积</w:t>
                  </w:r>
                </w:p>
              </w:tc>
              <w:tc>
                <w:tcPr>
                  <w:tcW w:w="1672" w:type="pct"/>
                  <w:tcBorders>
                    <w:right w:val="single" w:color="auto" w:sz="4" w:space="0"/>
                    <w:tl2br w:val="nil"/>
                    <w:tr2bl w:val="nil"/>
                  </w:tcBorders>
                  <w:noWrap/>
                  <w:vAlign w:val="center"/>
                </w:tcPr>
                <w:p w14:paraId="4348934F">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1050</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p>
              </w:tc>
              <w:tc>
                <w:tcPr>
                  <w:tcW w:w="1513" w:type="pct"/>
                  <w:tcBorders>
                    <w:left w:val="single" w:color="auto" w:sz="4" w:space="0"/>
                    <w:tl2br w:val="nil"/>
                    <w:tr2bl w:val="nil"/>
                  </w:tcBorders>
                  <w:vAlign w:val="center"/>
                </w:tcPr>
                <w:p w14:paraId="23DFD927">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255</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p>
              </w:tc>
            </w:tr>
            <w:tr w14:paraId="6A0EFCE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l2br w:val="nil"/>
                    <w:tr2bl w:val="nil"/>
                  </w:tcBorders>
                  <w:noWrap/>
                  <w:vAlign w:val="center"/>
                </w:tcPr>
                <w:p w14:paraId="332C2460">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170" w:type="pct"/>
                  <w:tcBorders>
                    <w:tl2br w:val="nil"/>
                    <w:tr2bl w:val="nil"/>
                  </w:tcBorders>
                  <w:noWrap/>
                  <w:vAlign w:val="center"/>
                </w:tcPr>
                <w:p w14:paraId="4C21EA08">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喷吹压力</w:t>
                  </w:r>
                </w:p>
              </w:tc>
              <w:tc>
                <w:tcPr>
                  <w:tcW w:w="1672" w:type="pct"/>
                  <w:tcBorders>
                    <w:right w:val="single" w:color="auto" w:sz="4" w:space="0"/>
                    <w:tl2br w:val="nil"/>
                    <w:tr2bl w:val="nil"/>
                  </w:tcBorders>
                  <w:noWrap/>
                  <w:vAlign w:val="center"/>
                </w:tcPr>
                <w:p w14:paraId="514CC10D">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0.25-0.45Mpa</w:t>
                  </w:r>
                </w:p>
              </w:tc>
              <w:tc>
                <w:tcPr>
                  <w:tcW w:w="1513" w:type="pct"/>
                  <w:tcBorders>
                    <w:left w:val="single" w:color="auto" w:sz="4" w:space="0"/>
                    <w:tl2br w:val="nil"/>
                    <w:tr2bl w:val="nil"/>
                  </w:tcBorders>
                  <w:vAlign w:val="center"/>
                </w:tcPr>
                <w:p w14:paraId="64A62BB7">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0.25-0.45Mpa</w:t>
                  </w:r>
                </w:p>
              </w:tc>
            </w:tr>
            <w:tr w14:paraId="75D3121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l2br w:val="nil"/>
                    <w:tr2bl w:val="nil"/>
                  </w:tcBorders>
                  <w:noWrap/>
                  <w:vAlign w:val="center"/>
                </w:tcPr>
                <w:p w14:paraId="501B99D8">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170" w:type="pct"/>
                  <w:tcBorders>
                    <w:tl2br w:val="nil"/>
                    <w:tr2bl w:val="nil"/>
                  </w:tcBorders>
                  <w:noWrap/>
                  <w:vAlign w:val="center"/>
                </w:tcPr>
                <w:p w14:paraId="2896F5C5">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滤袋材质</w:t>
                  </w:r>
                </w:p>
              </w:tc>
              <w:tc>
                <w:tcPr>
                  <w:tcW w:w="1672" w:type="pct"/>
                  <w:tcBorders>
                    <w:right w:val="single" w:color="auto" w:sz="4" w:space="0"/>
                    <w:tl2br w:val="nil"/>
                    <w:tr2bl w:val="nil"/>
                  </w:tcBorders>
                  <w:noWrap/>
                  <w:vAlign w:val="center"/>
                </w:tcPr>
                <w:p w14:paraId="1FD13AB4">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涤纶针刺毡覆膜</w:t>
                  </w:r>
                </w:p>
              </w:tc>
              <w:tc>
                <w:tcPr>
                  <w:tcW w:w="1513" w:type="pct"/>
                  <w:tcBorders>
                    <w:left w:val="single" w:color="auto" w:sz="4" w:space="0"/>
                    <w:tl2br w:val="nil"/>
                    <w:tr2bl w:val="nil"/>
                  </w:tcBorders>
                  <w:vAlign w:val="center"/>
                </w:tcPr>
                <w:p w14:paraId="0A9E4094">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涤纶针刺毡覆膜</w:t>
                  </w:r>
                </w:p>
              </w:tc>
            </w:tr>
            <w:tr w14:paraId="19E088D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l2br w:val="nil"/>
                    <w:tr2bl w:val="nil"/>
                  </w:tcBorders>
                  <w:noWrap/>
                  <w:vAlign w:val="center"/>
                </w:tcPr>
                <w:p w14:paraId="319D08B9">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170" w:type="pct"/>
                  <w:tcBorders>
                    <w:tl2br w:val="nil"/>
                    <w:tr2bl w:val="nil"/>
                  </w:tcBorders>
                  <w:noWrap/>
                  <w:vAlign w:val="center"/>
                </w:tcPr>
                <w:p w14:paraId="79E57F09">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滤袋规格</w:t>
                  </w:r>
                </w:p>
              </w:tc>
              <w:tc>
                <w:tcPr>
                  <w:tcW w:w="1672" w:type="pct"/>
                  <w:tcBorders>
                    <w:right w:val="single" w:color="auto" w:sz="4" w:space="0"/>
                    <w:tl2br w:val="nil"/>
                    <w:tr2bl w:val="nil"/>
                  </w:tcBorders>
                  <w:noWrap/>
                  <w:vAlign w:val="center"/>
                </w:tcPr>
                <w:p w14:paraId="064EE3CA">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Φ130mm×3000mm</w:t>
                  </w:r>
                </w:p>
              </w:tc>
              <w:tc>
                <w:tcPr>
                  <w:tcW w:w="1513" w:type="pct"/>
                  <w:tcBorders>
                    <w:left w:val="single" w:color="auto" w:sz="4" w:space="0"/>
                    <w:tl2br w:val="nil"/>
                    <w:tr2bl w:val="nil"/>
                  </w:tcBorders>
                  <w:vAlign w:val="center"/>
                </w:tcPr>
                <w:p w14:paraId="526FBDAD">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Φ13</w:t>
                  </w: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mm×</w:t>
                  </w: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000mm</w:t>
                  </w:r>
                </w:p>
              </w:tc>
            </w:tr>
            <w:tr w14:paraId="7136C67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tl2br w:val="nil"/>
                    <w:tr2bl w:val="nil"/>
                  </w:tcBorders>
                  <w:noWrap/>
                  <w:vAlign w:val="center"/>
                </w:tcPr>
                <w:p w14:paraId="50376F96">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1170" w:type="pct"/>
                  <w:tcBorders>
                    <w:tl2br w:val="nil"/>
                    <w:tr2bl w:val="nil"/>
                  </w:tcBorders>
                  <w:noWrap/>
                  <w:vAlign w:val="center"/>
                </w:tcPr>
                <w:p w14:paraId="2A91204B">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滤袋总数</w:t>
                  </w:r>
                </w:p>
              </w:tc>
              <w:tc>
                <w:tcPr>
                  <w:tcW w:w="1672" w:type="pct"/>
                  <w:tcBorders>
                    <w:right w:val="single" w:color="auto" w:sz="4" w:space="0"/>
                    <w:tl2br w:val="nil"/>
                    <w:tr2bl w:val="nil"/>
                  </w:tcBorders>
                  <w:noWrap/>
                  <w:vAlign w:val="center"/>
                </w:tcPr>
                <w:p w14:paraId="4C797C56">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857</w:t>
                  </w:r>
                  <w:r>
                    <w:rPr>
                      <w:color w:val="000000" w:themeColor="text1"/>
                      <w:szCs w:val="21"/>
                      <w:highlight w:val="none"/>
                      <w14:textFill>
                        <w14:solidFill>
                          <w14:schemeClr w14:val="tx1"/>
                        </w14:solidFill>
                      </w14:textFill>
                    </w:rPr>
                    <w:t>条</w:t>
                  </w:r>
                </w:p>
              </w:tc>
              <w:tc>
                <w:tcPr>
                  <w:tcW w:w="1513" w:type="pct"/>
                  <w:tcBorders>
                    <w:left w:val="single" w:color="auto" w:sz="4" w:space="0"/>
                    <w:tl2br w:val="nil"/>
                    <w:tr2bl w:val="nil"/>
                  </w:tcBorders>
                  <w:vAlign w:val="center"/>
                </w:tcPr>
                <w:p w14:paraId="364D88D1">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305</w:t>
                  </w:r>
                  <w:r>
                    <w:rPr>
                      <w:color w:val="000000" w:themeColor="text1"/>
                      <w:szCs w:val="21"/>
                      <w:highlight w:val="none"/>
                      <w14:textFill>
                        <w14:solidFill>
                          <w14:schemeClr w14:val="tx1"/>
                        </w14:solidFill>
                      </w14:textFill>
                    </w:rPr>
                    <w:t>条</w:t>
                  </w:r>
                </w:p>
              </w:tc>
            </w:tr>
            <w:tr w14:paraId="1EBE93E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45" w:type="pct"/>
                  <w:tcBorders>
                    <w:bottom w:val="single" w:color="000000" w:sz="12" w:space="0"/>
                    <w:tl2br w:val="nil"/>
                    <w:tr2bl w:val="nil"/>
                  </w:tcBorders>
                  <w:noWrap/>
                  <w:vAlign w:val="center"/>
                </w:tcPr>
                <w:p w14:paraId="77D419BD">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1170" w:type="pct"/>
                  <w:tcBorders>
                    <w:bottom w:val="single" w:color="000000" w:sz="12" w:space="0"/>
                    <w:tl2br w:val="nil"/>
                    <w:tr2bl w:val="nil"/>
                  </w:tcBorders>
                  <w:noWrap/>
                  <w:vAlign w:val="center"/>
                </w:tcPr>
                <w:p w14:paraId="12FAFA4A">
                  <w:pPr>
                    <w:widowControl/>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设计效率</w:t>
                  </w:r>
                </w:p>
              </w:tc>
              <w:tc>
                <w:tcPr>
                  <w:tcW w:w="1672" w:type="pct"/>
                  <w:tcBorders>
                    <w:bottom w:val="single" w:color="000000" w:sz="12" w:space="0"/>
                    <w:right w:val="single" w:color="auto" w:sz="4" w:space="0"/>
                    <w:tl2br w:val="nil"/>
                    <w:tr2bl w:val="nil"/>
                  </w:tcBorders>
                  <w:noWrap/>
                  <w:vAlign w:val="center"/>
                </w:tcPr>
                <w:p w14:paraId="6367966F">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98</w:t>
                  </w:r>
                  <w:r>
                    <w:rPr>
                      <w:color w:val="000000" w:themeColor="text1"/>
                      <w:szCs w:val="21"/>
                      <w:highlight w:val="none"/>
                      <w14:textFill>
                        <w14:solidFill>
                          <w14:schemeClr w14:val="tx1"/>
                        </w14:solidFill>
                      </w14:textFill>
                    </w:rPr>
                    <w:t>%</w:t>
                  </w:r>
                </w:p>
              </w:tc>
              <w:tc>
                <w:tcPr>
                  <w:tcW w:w="1513" w:type="pct"/>
                  <w:tcBorders>
                    <w:left w:val="single" w:color="auto" w:sz="4" w:space="0"/>
                    <w:bottom w:val="single" w:color="000000" w:sz="12" w:space="0"/>
                    <w:tl2br w:val="nil"/>
                    <w:tr2bl w:val="nil"/>
                  </w:tcBorders>
                  <w:vAlign w:val="center"/>
                </w:tcPr>
                <w:p w14:paraId="57138544">
                  <w:pPr>
                    <w:widowControl/>
                    <w:jc w:val="center"/>
                    <w:textAlignment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98</w:t>
                  </w:r>
                  <w:r>
                    <w:rPr>
                      <w:color w:val="000000" w:themeColor="text1"/>
                      <w:szCs w:val="21"/>
                      <w:highlight w:val="none"/>
                      <w14:textFill>
                        <w14:solidFill>
                          <w14:schemeClr w14:val="tx1"/>
                        </w14:solidFill>
                      </w14:textFill>
                    </w:rPr>
                    <w:t>%</w:t>
                  </w:r>
                </w:p>
              </w:tc>
            </w:tr>
          </w:tbl>
          <w:p w14:paraId="28D688F6">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袋式除尘符合《排污许可证申请与核发技术规范 陶瓷砖瓦工业》（HJ954-2018）表29砖瓦工业排污单位废气污染防治可行技术要求。</w:t>
            </w:r>
          </w:p>
          <w:p w14:paraId="6BE14B49">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本项目</w:t>
            </w:r>
            <w:r>
              <w:rPr>
                <w:bCs/>
                <w:color w:val="000000" w:themeColor="text1"/>
                <w:sz w:val="24"/>
                <w:highlight w:val="none"/>
                <w14:textFill>
                  <w14:solidFill>
                    <w14:schemeClr w14:val="tx1"/>
                  </w14:solidFill>
                </w14:textFill>
              </w:rPr>
              <w:t>原料给料、破碎、筛分、搅拌、落料、窑车吹扫工序废气</w:t>
            </w:r>
            <w:r>
              <w:rPr>
                <w:rFonts w:hint="eastAsia"/>
                <w:bCs/>
                <w:color w:val="000000" w:themeColor="text1"/>
                <w:sz w:val="24"/>
                <w:highlight w:val="none"/>
                <w14:textFill>
                  <w14:solidFill>
                    <w14:schemeClr w14:val="tx1"/>
                  </w14:solidFill>
                </w14:textFill>
              </w:rPr>
              <w:t>治理</w:t>
            </w:r>
            <w:r>
              <w:rPr>
                <w:bCs/>
                <w:color w:val="000000" w:themeColor="text1"/>
                <w:sz w:val="24"/>
                <w:highlight w:val="none"/>
                <w14:textFill>
                  <w14:solidFill>
                    <w14:schemeClr w14:val="tx1"/>
                  </w14:solidFill>
                </w14:textFill>
              </w:rPr>
              <w:t>措施可行。</w:t>
            </w:r>
          </w:p>
          <w:p w14:paraId="434EBC11">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（2）隧道窑废气</w:t>
            </w:r>
          </w:p>
          <w:p w14:paraId="444D4590">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隧道窑废气</w:t>
            </w:r>
            <w:r>
              <w:rPr>
                <w:rFonts w:hint="eastAsia"/>
                <w:bCs/>
                <w:color w:val="000000" w:themeColor="text1"/>
                <w:sz w:val="24"/>
                <w:highlight w:val="none"/>
                <w14:textFill>
                  <w14:solidFill>
                    <w14:schemeClr w14:val="tx1"/>
                  </w14:solidFill>
                </w14:textFill>
              </w:rPr>
              <w:t>采用</w:t>
            </w:r>
            <w:r>
              <w:rPr>
                <w:bCs/>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SNCR脱硝+</w:t>
            </w:r>
            <w:r>
              <w:rPr>
                <w:bCs/>
                <w:color w:val="000000" w:themeColor="text1"/>
                <w:sz w:val="24"/>
                <w:highlight w:val="none"/>
                <w14:textFill>
                  <w14:solidFill>
                    <w14:schemeClr w14:val="tx1"/>
                  </w14:solidFill>
                </w14:textFill>
              </w:rPr>
              <w:t>石灰-石膏法+湿式静电除尘”装置进行处理，处理后经38m高排气筒（DA00</w:t>
            </w:r>
            <w:r>
              <w:rPr>
                <w:rFonts w:hint="eastAsia"/>
                <w:bCs/>
                <w:color w:val="000000" w:themeColor="text1"/>
                <w:sz w:val="24"/>
                <w:highlight w:val="none"/>
                <w14:textFill>
                  <w14:solidFill>
                    <w14:schemeClr w14:val="tx1"/>
                  </w14:solidFill>
                </w14:textFill>
              </w:rPr>
              <w:t>3</w:t>
            </w:r>
            <w:r>
              <w:rPr>
                <w:bCs/>
                <w:color w:val="000000" w:themeColor="text1"/>
                <w:sz w:val="24"/>
                <w:highlight w:val="none"/>
                <w14:textFill>
                  <w14:solidFill>
                    <w14:schemeClr w14:val="tx1"/>
                  </w14:solidFill>
                </w14:textFill>
              </w:rPr>
              <w:t>、DA00</w:t>
            </w:r>
            <w:r>
              <w:rPr>
                <w:rFonts w:hint="eastAsia"/>
                <w:bCs/>
                <w:color w:val="000000" w:themeColor="text1"/>
                <w:sz w:val="24"/>
                <w:highlight w:val="none"/>
                <w14:textFill>
                  <w14:solidFill>
                    <w14:schemeClr w14:val="tx1"/>
                  </w14:solidFill>
                </w14:textFill>
              </w:rPr>
              <w:t>4</w:t>
            </w:r>
            <w:r>
              <w:rPr>
                <w:bCs/>
                <w:color w:val="000000" w:themeColor="text1"/>
                <w:sz w:val="24"/>
                <w:highlight w:val="none"/>
                <w14:textFill>
                  <w14:solidFill>
                    <w14:schemeClr w14:val="tx1"/>
                  </w14:solidFill>
                </w14:textFill>
              </w:rPr>
              <w:t>）排放。</w:t>
            </w:r>
          </w:p>
          <w:p w14:paraId="68563DD7">
            <w:pPr>
              <w:spacing w:line="460" w:lineRule="exact"/>
              <w:ind w:firstLine="480" w:firstLineChars="200"/>
              <w:rPr>
                <w:rFonts w:hint="default"/>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14:textFill>
                  <w14:solidFill>
                    <w14:schemeClr w14:val="tx1"/>
                  </w14:solidFill>
                </w14:textFill>
              </w:rPr>
              <w:t>SNCR</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选择性非催化还原</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脱硝技术是一种不用催化剂，在特定温度范围内将含氨基的还原剂</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如氨水、尿素溶液等</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喷入炉内，将烟气中的NOx还原脱除，生成氨气和水的清洁脱硝技术</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其核心原理是在无催化剂的作用下，在适合脱硝反应的温度窗口内(850~1100℃℃)喷入还原剂，将烟气中的氧化物还原为无害的氨气和水</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该技术成熟可靠具有如下优点。</w:t>
            </w:r>
          </w:p>
          <w:p w14:paraId="1884374C">
            <w:pPr>
              <w:spacing w:line="460" w:lineRule="exact"/>
              <w:ind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1、投资省:相比SCR技术，SNCR技术的建设成本和运行成本较低。</w:t>
            </w:r>
          </w:p>
          <w:p w14:paraId="6569FE05">
            <w:pPr>
              <w:spacing w:line="460" w:lineRule="exact"/>
              <w:ind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2.适用于中小型企业，SNCR技术建设周期短、投资少、脱硝效率中等，比较适合于对中小型企业。</w:t>
            </w:r>
          </w:p>
          <w:p w14:paraId="2C8D0D32">
            <w:pPr>
              <w:spacing w:line="460" w:lineRule="exact"/>
              <w:ind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3.操作安全，目前的趋势是用尿素代替氨作为还原剂，使得操作系统更为安全可靠，而不必担心氨泄露而造成新的污染。</w:t>
            </w:r>
          </w:p>
          <w:p w14:paraId="427E6418">
            <w:pPr>
              <w:spacing w:line="460" w:lineRule="exact"/>
              <w:ind w:firstLine="480" w:firstLineChars="200"/>
              <w:rPr>
                <w:rFonts w:hint="eastAsia"/>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4.无SO</w:t>
            </w:r>
            <w:r>
              <w:rPr>
                <w:rFonts w:hint="eastAsia"/>
                <w:bCs/>
                <w:color w:val="000000" w:themeColor="text1"/>
                <w:sz w:val="24"/>
                <w:highlight w:val="none"/>
                <w:vertAlign w:val="subscript"/>
                <w:lang w:val="en-US" w:eastAsia="zh-CN"/>
                <w14:textFill>
                  <w14:solidFill>
                    <w14:schemeClr w14:val="tx1"/>
                  </w14:solidFill>
                </w14:textFill>
              </w:rPr>
              <w:t>2</w:t>
            </w:r>
            <w:r>
              <w:rPr>
                <w:rFonts w:hint="eastAsia"/>
                <w:bCs/>
                <w:color w:val="000000" w:themeColor="text1"/>
                <w:sz w:val="24"/>
                <w:highlight w:val="none"/>
                <w:lang w:val="en-US" w:eastAsia="zh-CN"/>
                <w14:textFill>
                  <w14:solidFill>
                    <w14:schemeClr w14:val="tx1"/>
                  </w14:solidFill>
                </w14:textFill>
              </w:rPr>
              <w:t>转化问题，SNCR技术在没有催化剂的情况下，不会将SO</w:t>
            </w:r>
            <w:r>
              <w:rPr>
                <w:rFonts w:hint="eastAsia"/>
                <w:bCs/>
                <w:color w:val="000000" w:themeColor="text1"/>
                <w:sz w:val="24"/>
                <w:highlight w:val="none"/>
                <w:vertAlign w:val="subscript"/>
                <w:lang w:val="en-US" w:eastAsia="zh-CN"/>
                <w14:textFill>
                  <w14:solidFill>
                    <w14:schemeClr w14:val="tx1"/>
                  </w14:solidFill>
                </w14:textFill>
              </w:rPr>
              <w:t>2</w:t>
            </w:r>
            <w:r>
              <w:rPr>
                <w:rFonts w:hint="eastAsia"/>
                <w:bCs/>
                <w:color w:val="000000" w:themeColor="text1"/>
                <w:sz w:val="24"/>
                <w:highlight w:val="none"/>
                <w:lang w:val="en-US" w:eastAsia="zh-CN"/>
                <w14:textFill>
                  <w14:solidFill>
                    <w14:schemeClr w14:val="tx1"/>
                  </w14:solidFill>
                </w14:textFill>
              </w:rPr>
              <w:t>转化成SO</w:t>
            </w:r>
            <w:r>
              <w:rPr>
                <w:rFonts w:hint="eastAsia"/>
                <w:bCs/>
                <w:color w:val="000000" w:themeColor="text1"/>
                <w:sz w:val="24"/>
                <w:highlight w:val="none"/>
                <w:vertAlign w:val="subscript"/>
                <w:lang w:val="en-US" w:eastAsia="zh-CN"/>
                <w14:textFill>
                  <w14:solidFill>
                    <w14:schemeClr w14:val="tx1"/>
                  </w14:solidFill>
                </w14:textFill>
              </w:rPr>
              <w:t>3</w:t>
            </w:r>
            <w:r>
              <w:rPr>
                <w:rFonts w:hint="eastAsia"/>
                <w:bCs/>
                <w:color w:val="000000" w:themeColor="text1"/>
                <w:sz w:val="24"/>
                <w:highlight w:val="none"/>
                <w:lang w:val="en-US" w:eastAsia="zh-CN"/>
                <w14:textFill>
                  <w14:solidFill>
                    <w14:schemeClr w14:val="tx1"/>
                  </w14:solidFill>
                </w14:textFill>
              </w:rPr>
              <w:t>，而SCR技术存在这个问题。</w:t>
            </w:r>
          </w:p>
          <w:p w14:paraId="546B71C0">
            <w:pPr>
              <w:spacing w:line="460" w:lineRule="exact"/>
              <w:ind w:firstLine="480" w:firstLineChars="200"/>
              <w:rPr>
                <w:rFonts w:hint="default" w:eastAsia="宋体"/>
                <w:bCs/>
                <w:color w:val="000000" w:themeColor="text1"/>
                <w:sz w:val="24"/>
                <w:highlight w:val="none"/>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本项目选用</w:t>
            </w:r>
            <w:r>
              <w:rPr>
                <w:rFonts w:hint="eastAsia"/>
                <w:bCs/>
                <w:color w:val="000000" w:themeColor="text1"/>
                <w:sz w:val="24"/>
                <w:highlight w:val="none"/>
                <w14:textFill>
                  <w14:solidFill>
                    <w14:schemeClr w14:val="tx1"/>
                  </w14:solidFill>
                </w14:textFill>
              </w:rPr>
              <w:t>尿素作为还原剂，其反</w:t>
            </w:r>
            <w:r>
              <w:rPr>
                <w:rFonts w:hint="default" w:ascii="Times New Roman" w:hAnsi="Times New Roman" w:cs="Times New Roman"/>
                <w:bCs/>
                <w:color w:val="000000" w:themeColor="text1"/>
                <w:sz w:val="24"/>
                <w:szCs w:val="24"/>
                <w:highlight w:val="none"/>
                <w14:textFill>
                  <w14:solidFill>
                    <w14:schemeClr w14:val="tx1"/>
                  </w14:solidFill>
                </w14:textFill>
              </w:rPr>
              <w:t>应方程式为:</w:t>
            </w:r>
            <w:r>
              <w:rPr>
                <w:rFonts w:hint="default" w:ascii="Times New Roman" w:hAnsi="Times New Roman" w:cs="Times New Roman"/>
                <w:sz w:val="24"/>
                <w:szCs w:val="24"/>
                <w:highlight w:val="none"/>
                <w:lang w:val="pt-BR"/>
              </w:rPr>
              <w:t>2CO(NH</w:t>
            </w:r>
            <w:r>
              <w:rPr>
                <w:rFonts w:hint="default" w:ascii="Times New Roman" w:hAnsi="Times New Roman" w:cs="Times New Roman"/>
                <w:sz w:val="24"/>
                <w:szCs w:val="24"/>
                <w:highlight w:val="none"/>
                <w:vertAlign w:val="subscript"/>
                <w:lang w:val="pt-BR"/>
              </w:rPr>
              <w:t>2</w:t>
            </w:r>
            <w:r>
              <w:rPr>
                <w:rFonts w:hint="default" w:ascii="Times New Roman" w:hAnsi="Times New Roman" w:cs="Times New Roman"/>
                <w:sz w:val="24"/>
                <w:szCs w:val="24"/>
                <w:highlight w:val="none"/>
                <w:lang w:val="pt-BR"/>
              </w:rPr>
              <w:t>)</w:t>
            </w:r>
            <w:r>
              <w:rPr>
                <w:rFonts w:hint="default" w:ascii="Times New Roman" w:hAnsi="Times New Roman" w:cs="Times New Roman"/>
                <w:sz w:val="24"/>
                <w:szCs w:val="24"/>
                <w:highlight w:val="none"/>
                <w:vertAlign w:val="subscript"/>
                <w:lang w:val="pt-BR"/>
              </w:rPr>
              <w:t>2</w:t>
            </w:r>
            <w:r>
              <w:rPr>
                <w:rFonts w:hint="default" w:ascii="Times New Roman" w:hAnsi="Times New Roman" w:cs="Times New Roman"/>
                <w:sz w:val="24"/>
                <w:szCs w:val="24"/>
                <w:highlight w:val="none"/>
                <w:lang w:val="pt-BR"/>
              </w:rPr>
              <w:t>+4NO+O</w:t>
            </w:r>
            <w:r>
              <w:rPr>
                <w:rFonts w:hint="default" w:ascii="Times New Roman" w:hAnsi="Times New Roman" w:cs="Times New Roman"/>
                <w:sz w:val="24"/>
                <w:szCs w:val="24"/>
                <w:highlight w:val="none"/>
                <w:vertAlign w:val="subscript"/>
                <w:lang w:val="pt-BR"/>
              </w:rPr>
              <w:t>2</w:t>
            </w:r>
            <w:r>
              <w:rPr>
                <w:rFonts w:hint="default" w:ascii="Times New Roman" w:hAnsi="Times New Roman" w:cs="Times New Roman"/>
                <w:sz w:val="24"/>
                <w:szCs w:val="24"/>
                <w:highlight w:val="none"/>
                <w:lang w:val="pt-BR"/>
              </w:rPr>
              <w:t>→4N</w:t>
            </w:r>
            <w:r>
              <w:rPr>
                <w:rFonts w:hint="default" w:ascii="Times New Roman" w:hAnsi="Times New Roman" w:cs="Times New Roman"/>
                <w:sz w:val="24"/>
                <w:szCs w:val="24"/>
                <w:highlight w:val="none"/>
                <w:vertAlign w:val="subscript"/>
                <w:lang w:val="pt-BR"/>
              </w:rPr>
              <w:t>2</w:t>
            </w:r>
            <w:r>
              <w:rPr>
                <w:rFonts w:hint="default" w:ascii="Times New Roman" w:hAnsi="Times New Roman" w:cs="Times New Roman"/>
                <w:sz w:val="24"/>
                <w:szCs w:val="24"/>
                <w:highlight w:val="none"/>
                <w:lang w:val="pt-BR"/>
              </w:rPr>
              <w:t>+2CO</w:t>
            </w:r>
            <w:r>
              <w:rPr>
                <w:rFonts w:hint="default" w:ascii="Times New Roman" w:hAnsi="Times New Roman" w:cs="Times New Roman"/>
                <w:sz w:val="24"/>
                <w:szCs w:val="24"/>
                <w:highlight w:val="none"/>
                <w:vertAlign w:val="subscript"/>
                <w:lang w:val="pt-BR"/>
              </w:rPr>
              <w:t>2</w:t>
            </w:r>
            <w:r>
              <w:rPr>
                <w:rFonts w:hint="default" w:ascii="Times New Roman" w:hAnsi="Times New Roman" w:cs="Times New Roman"/>
                <w:sz w:val="24"/>
                <w:szCs w:val="24"/>
                <w:highlight w:val="none"/>
                <w:lang w:val="pt-BR"/>
              </w:rPr>
              <w:t>+4H</w:t>
            </w:r>
            <w:r>
              <w:rPr>
                <w:rFonts w:hint="default" w:ascii="Times New Roman" w:hAnsi="Times New Roman" w:cs="Times New Roman"/>
                <w:sz w:val="24"/>
                <w:szCs w:val="24"/>
                <w:highlight w:val="none"/>
                <w:vertAlign w:val="subscript"/>
                <w:lang w:val="pt-BR"/>
              </w:rPr>
              <w:t>2</w:t>
            </w:r>
            <w:r>
              <w:rPr>
                <w:rFonts w:hint="default" w:ascii="Times New Roman" w:hAnsi="Times New Roman" w:cs="Times New Roman"/>
                <w:sz w:val="24"/>
                <w:szCs w:val="24"/>
                <w:highlight w:val="none"/>
                <w:lang w:val="pt-BR"/>
              </w:rPr>
              <w:t>O</w:t>
            </w:r>
            <w:r>
              <w:rPr>
                <w:rFonts w:hint="eastAsia" w:ascii="Times New Roman" w:hAnsi="Times New Roman" w:cs="Times New Roman"/>
                <w:sz w:val="24"/>
                <w:szCs w:val="24"/>
                <w:highlight w:val="none"/>
                <w:lang w:val="pt-BR" w:eastAsia="zh-CN"/>
              </w:rPr>
              <w:t>，</w:t>
            </w:r>
            <w:r>
              <w:rPr>
                <w:rFonts w:hint="eastAsia" w:ascii="Times New Roman" w:hAnsi="Times New Roman" w:cs="Times New Roman"/>
                <w:sz w:val="24"/>
                <w:szCs w:val="24"/>
                <w:highlight w:val="none"/>
                <w:lang w:val="en-US" w:eastAsia="zh-CN"/>
              </w:rPr>
              <w:t>脱硝效率可达40%~60%，能够有效降低氮氧化物的排放，</w:t>
            </w:r>
            <w:r>
              <w:rPr>
                <w:bCs/>
                <w:color w:val="000000" w:themeColor="text1"/>
                <w:sz w:val="24"/>
                <w:highlight w:val="none"/>
                <w14:textFill>
                  <w14:solidFill>
                    <w14:schemeClr w14:val="tx1"/>
                  </w14:solidFill>
                </w14:textFill>
              </w:rPr>
              <w:t>氨逃逸相对较小</w:t>
            </w:r>
            <w:r>
              <w:rPr>
                <w:rFonts w:hint="eastAsia"/>
                <w:bCs/>
                <w:color w:val="000000" w:themeColor="text1"/>
                <w:sz w:val="24"/>
                <w:highlight w:val="none"/>
                <w14:textFill>
                  <w14:solidFill>
                    <w14:schemeClr w14:val="tx1"/>
                  </w14:solidFill>
                </w14:textFill>
              </w:rPr>
              <w:t>，可以将NOx排放浓度控制在50mg</w:t>
            </w:r>
            <w:r>
              <w:rPr>
                <w:rFonts w:hint="eastAsia"/>
                <w:bCs/>
                <w:color w:val="000000" w:themeColor="text1"/>
                <w:sz w:val="24"/>
                <w:highlight w:val="none"/>
                <w:lang w:val="en-US"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m</w:t>
            </w:r>
            <w:r>
              <w:rPr>
                <w:rFonts w:hint="eastAsia"/>
                <w:bCs/>
                <w:color w:val="000000" w:themeColor="text1"/>
                <w:sz w:val="24"/>
                <w:highlight w:val="none"/>
                <w:vertAlign w:val="superscript"/>
                <w14:textFill>
                  <w14:solidFill>
                    <w14:schemeClr w14:val="tx1"/>
                  </w14:solidFill>
                </w14:textFill>
              </w:rPr>
              <w:t>3</w:t>
            </w:r>
            <w:r>
              <w:rPr>
                <w:rFonts w:hint="eastAsia"/>
                <w:bCs/>
                <w:color w:val="000000" w:themeColor="text1"/>
                <w:sz w:val="24"/>
                <w:highlight w:val="none"/>
                <w14:textFill>
                  <w14:solidFill>
                    <w14:schemeClr w14:val="tx1"/>
                  </w14:solidFill>
                </w14:textFill>
              </w:rPr>
              <w:t>以下，适用于NOx 排放浓度非常严</w:t>
            </w:r>
            <w:r>
              <w:rPr>
                <w:rFonts w:hint="eastAsia"/>
                <w:bCs/>
                <w:color w:val="000000" w:themeColor="text1"/>
                <w:sz w:val="24"/>
                <w:highlight w:val="none"/>
                <w:lang w:val="en-US" w:eastAsia="zh-CN"/>
                <w14:textFill>
                  <w14:solidFill>
                    <w14:schemeClr w14:val="tx1"/>
                  </w14:solidFill>
                </w14:textFill>
              </w:rPr>
              <w:t>格</w:t>
            </w:r>
            <w:r>
              <w:rPr>
                <w:rFonts w:hint="eastAsia"/>
                <w:bCs/>
                <w:color w:val="000000" w:themeColor="text1"/>
                <w:sz w:val="24"/>
                <w:highlight w:val="none"/>
                <w14:textFill>
                  <w14:solidFill>
                    <w14:schemeClr w14:val="tx1"/>
                  </w14:solidFill>
                </w14:textFill>
              </w:rPr>
              <w:t>的地区</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本项目</w:t>
            </w:r>
            <w:r>
              <w:rPr>
                <w:bCs/>
                <w:color w:val="000000" w:themeColor="text1"/>
                <w:sz w:val="24"/>
                <w:highlight w:val="none"/>
                <w14:textFill>
                  <w14:solidFill>
                    <w14:schemeClr w14:val="tx1"/>
                  </w14:solidFill>
                </w14:textFill>
              </w:rPr>
              <w:t>隧道窑废气</w:t>
            </w:r>
            <w:r>
              <w:rPr>
                <w:rFonts w:hint="eastAsia"/>
                <w:bCs/>
                <w:color w:val="000000" w:themeColor="text1"/>
                <w:sz w:val="24"/>
                <w:highlight w:val="none"/>
                <w:lang w:val="en-US" w:eastAsia="zh-CN"/>
                <w14:textFill>
                  <w14:solidFill>
                    <w14:schemeClr w14:val="tx1"/>
                  </w14:solidFill>
                </w14:textFill>
              </w:rPr>
              <w:t>采用SNCR系统处理后能够达标排放，该措施可行。</w:t>
            </w:r>
          </w:p>
          <w:p w14:paraId="4AA2AB87">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石灰-石膏法脱硫：该工艺采用石灰做脱硫吸收剂，石灰粉经消化处理后加水搅拌制成吸收浆。其主要成分氢氧化钙在吸收塔中与废气中的SO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反应生成亚硫酸钙沉淀，从而达到除硫的目的。烟气从吸收塔下侧进入，对落入吸收塔浆浆池的CaSO</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·1/2H</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O和O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、H</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O再进行氧化反应，得到脱硫副产品二水石膏。吸收塔排出的石膏浆液经脱水装置脱水后回收。脱硫后的烟气经除雾器去水、换热器加热升温后进入烟囱排向大气。项目湿式石灰石膏脱硫塔对烟气中氯化氢也有较好去除效果。</w:t>
            </w:r>
          </w:p>
          <w:p w14:paraId="28B0CE5C">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湿式静电除尘</w:t>
            </w:r>
            <w:r>
              <w:rPr>
                <w:bCs/>
                <w:color w:val="000000" w:themeColor="text1"/>
                <w:sz w:val="24"/>
                <w:highlight w:val="none"/>
                <w14:textFill>
                  <w14:solidFill>
                    <w14:schemeClr w14:val="tx1"/>
                  </w14:solidFill>
                </w14:textFill>
              </w:rPr>
              <w:t>：湿式电除尘器和与干式电除尘器的收尘原理相同，都是靠高压电晕放电使得粉尘荷电，荷电后的粉尘在电场力的作用下到达集尘板/管。湿式电除尘器采用液体冲刷集尘极表面来进行清灰，可有效收集微细颗粒物（PM</w:t>
            </w:r>
            <w:r>
              <w:rPr>
                <w:bCs/>
                <w:color w:val="000000" w:themeColor="text1"/>
                <w:sz w:val="24"/>
                <w:highlight w:val="none"/>
                <w:vertAlign w:val="subscript"/>
                <w14:textFill>
                  <w14:solidFill>
                    <w14:schemeClr w14:val="tx1"/>
                  </w14:solidFill>
                </w14:textFill>
              </w:rPr>
              <w:t>2.5</w:t>
            </w:r>
            <w:r>
              <w:rPr>
                <w:bCs/>
                <w:color w:val="000000" w:themeColor="text1"/>
                <w:sz w:val="24"/>
                <w:highlight w:val="none"/>
                <w14:textFill>
                  <w14:solidFill>
                    <w14:schemeClr w14:val="tx1"/>
                  </w14:solidFill>
                </w14:textFill>
              </w:rPr>
              <w:t>粉尘、SO</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酸雾、气溶胶）、重金属（Hg、As、Se、Pb、Cr）、有机污染物（多环芳烃、二噁英）等。使用湿式电除尘器后含湿烟气中的烟尘排放可达10mg/m</w:t>
            </w:r>
            <w:r>
              <w:rPr>
                <w:bCs/>
                <w:color w:val="000000" w:themeColor="text1"/>
                <w:sz w:val="24"/>
                <w:highlight w:val="none"/>
                <w:vertAlign w:val="superscript"/>
                <w14:textFill>
                  <w14:solidFill>
                    <w14:schemeClr w14:val="tx1"/>
                  </w14:solidFill>
                </w14:textFill>
              </w:rPr>
              <w:t>3</w:t>
            </w:r>
            <w:r>
              <w:rPr>
                <w:bCs/>
                <w:color w:val="000000" w:themeColor="text1"/>
                <w:sz w:val="24"/>
                <w:highlight w:val="none"/>
                <w14:textFill>
                  <w14:solidFill>
                    <w14:schemeClr w14:val="tx1"/>
                  </w14:solidFill>
                </w14:textFill>
              </w:rPr>
              <w:t>甚至5mg/m</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以下，收尘性能与粉尘特性无关，适用于含湿烟气的处理，尤其适用在电厂、钢厂湿法脱硫之后含尘烟气的处理上，湿式电除尘器具有除尘效率高、压力损失小、操作简单、能耗小、无运动部件、无二次扬尘、维护费用低、生产停工期短、可工作于烟气露点温度以下、由于结构紧凑而可与其它烟气治理设备相互结合、设计形式多样化等优点。</w:t>
            </w:r>
          </w:p>
          <w:p w14:paraId="6501D009">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根据</w:t>
            </w:r>
            <w:r>
              <w:rPr>
                <w:rFonts w:hint="eastAsia"/>
                <w:bCs/>
                <w:color w:val="000000" w:themeColor="text1"/>
                <w:sz w:val="24"/>
                <w:highlight w:val="none"/>
                <w14:textFill>
                  <w14:solidFill>
                    <w14:schemeClr w14:val="tx1"/>
                  </w14:solidFill>
                </w14:textFill>
              </w:rPr>
              <w:t>预测，</w:t>
            </w:r>
            <w:r>
              <w:rPr>
                <w:bCs/>
                <w:color w:val="000000" w:themeColor="text1"/>
                <w:sz w:val="24"/>
                <w:highlight w:val="none"/>
                <w14:textFill>
                  <w14:solidFill>
                    <w14:schemeClr w14:val="tx1"/>
                  </w14:solidFill>
                </w14:textFill>
              </w:rPr>
              <w:t>隧道窑</w:t>
            </w:r>
            <w:r>
              <w:rPr>
                <w:rFonts w:hint="eastAsia"/>
                <w:bCs/>
                <w:color w:val="000000" w:themeColor="text1"/>
                <w:sz w:val="24"/>
                <w:highlight w:val="none"/>
                <w14:textFill>
                  <w14:solidFill>
                    <w14:schemeClr w14:val="tx1"/>
                  </w14:solidFill>
                </w14:textFill>
              </w:rPr>
              <w:t>废气</w:t>
            </w:r>
            <w:r>
              <w:rPr>
                <w:bCs/>
                <w:color w:val="000000" w:themeColor="text1"/>
                <w:sz w:val="24"/>
                <w:highlight w:val="none"/>
                <w14:textFill>
                  <w14:solidFill>
                    <w14:schemeClr w14:val="tx1"/>
                  </w14:solidFill>
                </w14:textFill>
              </w:rPr>
              <w:t>中</w:t>
            </w:r>
            <w:r>
              <w:rPr>
                <w:rFonts w:hint="eastAsia"/>
                <w:bCs/>
                <w:color w:val="000000" w:themeColor="text1"/>
                <w:sz w:val="24"/>
                <w:highlight w:val="none"/>
                <w14:textFill>
                  <w14:solidFill>
                    <w14:schemeClr w14:val="tx1"/>
                  </w14:solidFill>
                </w14:textFill>
              </w:rPr>
              <w:t>颗粒物、</w:t>
            </w:r>
            <w:r>
              <w:rPr>
                <w:bCs/>
                <w:color w:val="000000" w:themeColor="text1"/>
                <w:sz w:val="24"/>
                <w:highlight w:val="none"/>
                <w14:textFill>
                  <w14:solidFill>
                    <w14:schemeClr w14:val="tx1"/>
                  </w14:solidFill>
                </w14:textFill>
              </w:rPr>
              <w:t>SO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、NOx、氟化物</w:t>
            </w:r>
            <w:r>
              <w:rPr>
                <w:rFonts w:hint="eastAsia"/>
                <w:bCs/>
                <w:color w:val="000000" w:themeColor="text1"/>
                <w:sz w:val="24"/>
                <w:highlight w:val="none"/>
                <w:lang w:eastAsia="zh-CN"/>
                <w14:textFill>
                  <w14:solidFill>
                    <w14:schemeClr w14:val="tx1"/>
                  </w14:solidFill>
                </w14:textFill>
              </w:rPr>
              <w:t>、</w:t>
            </w:r>
            <w:r>
              <w:rPr>
                <w:bCs/>
                <w:color w:val="000000" w:themeColor="text1"/>
                <w:sz w:val="24"/>
                <w:highlight w:val="none"/>
                <w14:textFill>
                  <w14:solidFill>
                    <w14:schemeClr w14:val="tx1"/>
                  </w14:solidFill>
                </w14:textFill>
              </w:rPr>
              <w:t>氯化氢、二噁英类、重金属排放</w:t>
            </w:r>
            <w:r>
              <w:rPr>
                <w:rFonts w:hint="eastAsia"/>
                <w:bCs/>
                <w:color w:val="000000" w:themeColor="text1"/>
                <w:sz w:val="24"/>
                <w:highlight w:val="none"/>
                <w14:textFill>
                  <w14:solidFill>
                    <w14:schemeClr w14:val="tx1"/>
                  </w14:solidFill>
                </w14:textFill>
              </w:rPr>
              <w:t>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w:t>
            </w:r>
            <w:r>
              <w:rPr>
                <w:bCs/>
                <w:color w:val="000000" w:themeColor="text1"/>
                <w:sz w:val="24"/>
                <w:highlight w:val="none"/>
                <w14:textFill>
                  <w14:solidFill>
                    <w14:schemeClr w14:val="tx1"/>
                  </w14:solidFill>
                </w14:textFill>
              </w:rPr>
              <w:t>《生活垃圾焚烧大气污染控制标准》(DB13/5325-2021)表2污染物排放限值要求，同时满足</w:t>
            </w:r>
            <w:r>
              <w:rPr>
                <w:rFonts w:hint="eastAsia"/>
                <w:color w:val="000000" w:themeColor="text1"/>
                <w:kern w:val="0"/>
                <w:sz w:val="24"/>
                <w:highlight w:val="none"/>
                <w:lang w:val="en-US" w:eastAsia="zh-CN"/>
                <w14:textFill>
                  <w14:solidFill>
                    <w14:schemeClr w14:val="tx1"/>
                  </w14:solidFill>
                </w14:textFill>
              </w:rPr>
              <w:t>企业自愿承诺</w:t>
            </w:r>
            <w:r>
              <w:rPr>
                <w:bCs/>
                <w:color w:val="000000" w:themeColor="text1"/>
                <w:sz w:val="24"/>
                <w:highlight w:val="none"/>
                <w14:textFill>
                  <w14:solidFill>
                    <w14:schemeClr w14:val="tx1"/>
                  </w14:solidFill>
                </w14:textFill>
              </w:rPr>
              <w:t>SO</w:t>
            </w:r>
            <w:r>
              <w:rPr>
                <w:bCs/>
                <w:color w:val="000000" w:themeColor="text1"/>
                <w:sz w:val="24"/>
                <w:highlight w:val="none"/>
                <w:vertAlign w:val="subscript"/>
                <w14:textFill>
                  <w14:solidFill>
                    <w14:schemeClr w14:val="tx1"/>
                  </w14:solidFill>
                </w14:textFill>
              </w:rPr>
              <w:t>2</w:t>
            </w:r>
            <w:r>
              <w:rPr>
                <w:rFonts w:hint="eastAsia"/>
                <w:bCs/>
                <w:color w:val="000000" w:themeColor="text1"/>
                <w:sz w:val="24"/>
                <w:highlight w:val="none"/>
                <w:vertAlign w:val="baseline"/>
                <w:lang w:val="en-US" w:eastAsia="zh-CN"/>
                <w14:textFill>
                  <w14:solidFill>
                    <w14:schemeClr w14:val="tx1"/>
                  </w14:solidFill>
                </w14:textFill>
              </w:rPr>
              <w:t>不超过</w:t>
            </w:r>
            <w:r>
              <w:rPr>
                <w:bCs/>
                <w:color w:val="000000" w:themeColor="text1"/>
                <w:sz w:val="24"/>
                <w:highlight w:val="none"/>
                <w14:textFill>
                  <w14:solidFill>
                    <w14:schemeClr w14:val="tx1"/>
                  </w14:solidFill>
                </w14:textFill>
              </w:rPr>
              <w:t>1</w:t>
            </w:r>
            <w:r>
              <w:rPr>
                <w:rFonts w:hint="eastAsia"/>
                <w:bCs/>
                <w:color w:val="000000" w:themeColor="text1"/>
                <w:sz w:val="24"/>
                <w:highlight w:val="none"/>
                <w:lang w:val="en-US" w:eastAsia="zh-CN"/>
                <w14:textFill>
                  <w14:solidFill>
                    <w14:schemeClr w14:val="tx1"/>
                  </w14:solidFill>
                </w14:textFill>
              </w:rPr>
              <w:t>3</w:t>
            </w:r>
            <w:r>
              <w:rPr>
                <w:bCs/>
                <w:color w:val="000000" w:themeColor="text1"/>
                <w:sz w:val="24"/>
                <w:highlight w:val="none"/>
                <w14:textFill>
                  <w14:solidFill>
                    <w14:schemeClr w14:val="tx1"/>
                  </w14:solidFill>
                </w14:textFill>
              </w:rPr>
              <w:t>mg/m</w:t>
            </w:r>
            <w:r>
              <w:rPr>
                <w:bCs/>
                <w:color w:val="000000" w:themeColor="text1"/>
                <w:sz w:val="24"/>
                <w:highlight w:val="none"/>
                <w:vertAlign w:val="superscript"/>
                <w14:textFill>
                  <w14:solidFill>
                    <w14:schemeClr w14:val="tx1"/>
                  </w14:solidFill>
                </w14:textFill>
              </w:rPr>
              <w:t>3</w:t>
            </w:r>
            <w:r>
              <w:rPr>
                <w:rFonts w:hint="eastAsia"/>
                <w:color w:val="000000" w:themeColor="text1"/>
                <w:kern w:val="0"/>
                <w:sz w:val="24"/>
                <w:highlight w:val="none"/>
                <w14:textFill>
                  <w14:solidFill>
                    <w14:schemeClr w14:val="tx1"/>
                  </w14:solidFill>
                </w14:textFill>
              </w:rPr>
              <w:t>的限值要求</w:t>
            </w:r>
            <w:r>
              <w:rPr>
                <w:bCs/>
                <w:color w:val="000000" w:themeColor="text1"/>
                <w:sz w:val="24"/>
                <w:highlight w:val="none"/>
                <w14:textFill>
                  <w14:solidFill>
                    <w14:schemeClr w14:val="tx1"/>
                  </w14:solidFill>
                </w14:textFill>
              </w:rPr>
              <w:t>。</w:t>
            </w:r>
          </w:p>
          <w:p w14:paraId="79DD6B4C">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湿式电除尘、湿法脱硫技术符合《排污许可证申请与核发技术规范 陶瓷砖瓦工业》（HJ954-2018）表29砖瓦工业排污单位废气污染防治可行技术要求。</w:t>
            </w:r>
          </w:p>
          <w:p w14:paraId="49BD3C2C">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综上所述，</w:t>
            </w:r>
            <w:r>
              <w:rPr>
                <w:rFonts w:hint="eastAsia"/>
                <w:bCs/>
                <w:color w:val="000000" w:themeColor="text1"/>
                <w:sz w:val="24"/>
                <w:highlight w:val="none"/>
                <w14:textFill>
                  <w14:solidFill>
                    <w14:schemeClr w14:val="tx1"/>
                  </w14:solidFill>
                </w14:textFill>
              </w:rPr>
              <w:t>本项目隧道窑烟气治理措施可行。</w:t>
            </w:r>
          </w:p>
          <w:p w14:paraId="41E93C48">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（3）污泥储存恶臭气体</w:t>
            </w:r>
          </w:p>
          <w:p w14:paraId="6014E4DA">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正常生产时将恶臭气体引至1#隧道窑进行高温焙烧处理，随隧道窑废气经</w:t>
            </w:r>
            <w:r>
              <w:rPr>
                <w:rFonts w:hint="eastAsia"/>
                <w:color w:val="000000" w:themeColor="text1"/>
                <w:sz w:val="24"/>
                <w:highlight w:val="none"/>
                <w:lang w:val="en-US" w:eastAsia="zh-CN"/>
                <w14:textFill>
                  <w14:solidFill>
                    <w14:schemeClr w14:val="tx1"/>
                  </w14:solidFill>
                </w14:textFill>
              </w:rPr>
              <w:t>SNCR脱硝+</w:t>
            </w:r>
            <w:r>
              <w:rPr>
                <w:bCs/>
                <w:color w:val="000000" w:themeColor="text1"/>
                <w:sz w:val="24"/>
                <w:highlight w:val="none"/>
                <w14:textFill>
                  <w14:solidFill>
                    <w14:schemeClr w14:val="tx1"/>
                  </w14:solidFill>
                </w14:textFill>
              </w:rPr>
              <w:t>石灰-石膏法脱硫+湿式静电除尘处理后经38m高排气筒</w:t>
            </w:r>
            <w:r>
              <w:rPr>
                <w:rFonts w:hint="eastAsia"/>
                <w:bCs/>
                <w:color w:val="000000" w:themeColor="text1"/>
                <w:sz w:val="24"/>
                <w:highlight w:val="none"/>
                <w14:textFill>
                  <w14:solidFill>
                    <w14:schemeClr w14:val="tx1"/>
                  </w14:solidFill>
                </w14:textFill>
              </w:rPr>
              <w:t>（DA003）</w:t>
            </w:r>
            <w:r>
              <w:rPr>
                <w:bCs/>
                <w:color w:val="000000" w:themeColor="text1"/>
                <w:sz w:val="24"/>
                <w:highlight w:val="none"/>
                <w14:textFill>
                  <w14:solidFill>
                    <w14:schemeClr w14:val="tx1"/>
                  </w14:solidFill>
                </w14:textFill>
              </w:rPr>
              <w:t>排放</w:t>
            </w:r>
            <w:r>
              <w:rPr>
                <w:rFonts w:hint="eastAsia"/>
                <w:bCs/>
                <w:color w:val="000000" w:themeColor="text1"/>
                <w:sz w:val="24"/>
                <w:highlight w:val="none"/>
                <w14:textFill>
                  <w14:solidFill>
                    <w14:schemeClr w14:val="tx1"/>
                  </w14:solidFill>
                </w14:textFill>
              </w:rPr>
              <w:t>。根据预测，</w:t>
            </w:r>
            <w:r>
              <w:rPr>
                <w:bCs/>
                <w:color w:val="000000" w:themeColor="text1"/>
                <w:sz w:val="24"/>
                <w:highlight w:val="none"/>
                <w14:textFill>
                  <w14:solidFill>
                    <w14:schemeClr w14:val="tx1"/>
                  </w14:solidFill>
                </w14:textFill>
              </w:rPr>
              <w:t>恶臭气体硫化氢、臭气浓度排放满足《恶臭污染物排放标准》（GB14554-93）表2中污染物排放限值要求（排气筒高度为40m），即硫化氢≤2.3kg/h、臭气浓度≤20000（无量纲）；</w:t>
            </w:r>
            <w:r>
              <w:rPr>
                <w:rFonts w:hint="eastAsia"/>
                <w:color w:val="000000" w:themeColor="text1"/>
                <w:sz w:val="24"/>
                <w:highlight w:val="none"/>
                <w14:textFill>
                  <w14:solidFill>
                    <w14:schemeClr w14:val="tx1"/>
                  </w14:solidFill>
                </w14:textFill>
              </w:rPr>
              <w:t>氨排放满足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2大气污染物排放限值以及</w:t>
            </w:r>
            <w:r>
              <w:rPr>
                <w:bCs/>
                <w:color w:val="000000" w:themeColor="text1"/>
                <w:sz w:val="24"/>
                <w:highlight w:val="none"/>
                <w14:textFill>
                  <w14:solidFill>
                    <w14:schemeClr w14:val="tx1"/>
                  </w14:solidFill>
                </w14:textFill>
              </w:rPr>
              <w:t>《恶臭污染物排放标准》（GB14554-93）表2恶臭污染物排放限值要求（40m高排气筒）</w:t>
            </w:r>
            <w:r>
              <w:rPr>
                <w:color w:val="000000" w:themeColor="text1"/>
                <w:sz w:val="24"/>
                <w:highlight w:val="none"/>
                <w14:textFill>
                  <w14:solidFill>
                    <w14:schemeClr w14:val="tx1"/>
                  </w14:solidFill>
                </w14:textFill>
              </w:rPr>
              <w:t>，即</w:t>
            </w:r>
            <w:r>
              <w:rPr>
                <w:rFonts w:hint="eastAsia"/>
                <w:color w:val="000000" w:themeColor="text1"/>
                <w:sz w:val="24"/>
                <w:highlight w:val="none"/>
                <w14:textFill>
                  <w14:solidFill>
                    <w14:schemeClr w14:val="tx1"/>
                  </w14:solidFill>
                </w14:textFill>
              </w:rPr>
              <w:t>氨</w:t>
            </w:r>
            <w:r>
              <w:rPr>
                <w:rFonts w:hint="eastAsia"/>
                <w:color w:val="000000" w:themeColor="text1"/>
                <w:sz w:val="24"/>
                <w:highlight w:val="none"/>
                <w:lang w:val="en-US" w:eastAsia="zh-CN"/>
                <w14:textFill>
                  <w14:solidFill>
                    <w14:schemeClr w14:val="tx1"/>
                  </w14:solidFill>
                </w14:textFill>
              </w:rPr>
              <w:t>排放浓度</w:t>
            </w:r>
            <w:r>
              <w:rPr>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8.0</w:t>
            </w:r>
            <w:r>
              <w:rPr>
                <w:color w:val="000000" w:themeColor="text1"/>
                <w:sz w:val="24"/>
                <w:highlight w:val="none"/>
                <w14:textFill>
                  <w14:solidFill>
                    <w14:schemeClr w14:val="tx1"/>
                  </w14:solidFill>
                </w14:textFill>
              </w:rPr>
              <w:t>mg/m</w:t>
            </w:r>
            <w:r>
              <w:rPr>
                <w:color w:val="000000" w:themeColor="text1"/>
                <w:sz w:val="24"/>
                <w:highlight w:val="none"/>
                <w:vertAlign w:val="superscript"/>
                <w14:textFill>
                  <w14:solidFill>
                    <w14:schemeClr w14:val="tx1"/>
                  </w14:solidFill>
                </w14:textFill>
              </w:rPr>
              <w:t>3</w:t>
            </w:r>
            <w:r>
              <w:rPr>
                <w:rFonts w:hint="eastAsia"/>
                <w:color w:val="000000" w:themeColor="text1"/>
                <w:sz w:val="24"/>
                <w:highlight w:val="none"/>
                <w:vertAlign w:val="baseline"/>
                <w:lang w:eastAsia="zh-CN"/>
                <w14:textFill>
                  <w14:solidFill>
                    <w14:schemeClr w14:val="tx1"/>
                  </w14:solidFill>
                </w14:textFill>
              </w:rPr>
              <w:t>，</w:t>
            </w:r>
            <w:r>
              <w:rPr>
                <w:bCs/>
                <w:color w:val="000000" w:themeColor="text1"/>
                <w:sz w:val="24"/>
                <w:highlight w:val="none"/>
                <w14:textFill>
                  <w14:solidFill>
                    <w14:schemeClr w14:val="tx1"/>
                  </w14:solidFill>
                </w14:textFill>
              </w:rPr>
              <w:t>氨</w:t>
            </w:r>
            <w:r>
              <w:rPr>
                <w:rFonts w:hint="eastAsia"/>
                <w:bCs/>
                <w:color w:val="000000" w:themeColor="text1"/>
                <w:sz w:val="24"/>
                <w:highlight w:val="none"/>
                <w:lang w:val="en-US" w:eastAsia="zh-CN"/>
                <w14:textFill>
                  <w14:solidFill>
                    <w14:schemeClr w14:val="tx1"/>
                  </w14:solidFill>
                </w14:textFill>
              </w:rPr>
              <w:t>排放速率</w:t>
            </w:r>
            <w:r>
              <w:rPr>
                <w:bCs/>
                <w:color w:val="000000" w:themeColor="text1"/>
                <w:sz w:val="24"/>
                <w:highlight w:val="none"/>
                <w14:textFill>
                  <w14:solidFill>
                    <w14:schemeClr w14:val="tx1"/>
                  </w14:solidFill>
                </w14:textFill>
              </w:rPr>
              <w:t>≤35kg/h</w:t>
            </w:r>
            <w:r>
              <w:rPr>
                <w:rFonts w:hint="eastAsia"/>
                <w:color w:val="000000" w:themeColor="text1"/>
                <w:sz w:val="24"/>
                <w:highlight w:val="none"/>
                <w14:textFill>
                  <w14:solidFill>
                    <w14:schemeClr w14:val="tx1"/>
                  </w14:solidFill>
                </w14:textFill>
              </w:rPr>
              <w:t>。</w:t>
            </w:r>
          </w:p>
          <w:p w14:paraId="51EF8AB6">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隧道窑停工时将恶臭气体引至两级活性炭吸附装置处理后，经1根15m高排气筒（DA007）排放。</w:t>
            </w:r>
            <w:r>
              <w:rPr>
                <w:rFonts w:hint="eastAsia"/>
                <w:bCs/>
                <w:color w:val="000000" w:themeColor="text1"/>
                <w:sz w:val="24"/>
                <w:highlight w:val="none"/>
                <w14:textFill>
                  <w14:solidFill>
                    <w14:schemeClr w14:val="tx1"/>
                  </w14:solidFill>
                </w14:textFill>
              </w:rPr>
              <w:t>根据预测，</w:t>
            </w:r>
            <w:r>
              <w:rPr>
                <w:bCs/>
                <w:color w:val="000000" w:themeColor="text1"/>
                <w:sz w:val="24"/>
                <w:highlight w:val="none"/>
                <w14:textFill>
                  <w14:solidFill>
                    <w14:schemeClr w14:val="tx1"/>
                  </w14:solidFill>
                </w14:textFill>
              </w:rPr>
              <w:t>恶臭气体氨、硫化氢、臭气浓度排放满足《恶臭污染物排放标准》（GB14554-93）表2中污染物排放限值要求（排气筒高度为15m），即氨≤4.9kg/h、硫化氢≤0.33kg/h、臭气浓度≤2000（无量纲）</w:t>
            </w:r>
            <w:r>
              <w:rPr>
                <w:rFonts w:hint="eastAsia"/>
                <w:bCs/>
                <w:color w:val="000000" w:themeColor="text1"/>
                <w:sz w:val="24"/>
                <w:highlight w:val="none"/>
                <w14:textFill>
                  <w14:solidFill>
                    <w14:schemeClr w14:val="tx1"/>
                  </w14:solidFill>
                </w14:textFill>
              </w:rPr>
              <w:t>。</w:t>
            </w:r>
          </w:p>
          <w:p w14:paraId="4211FC90">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污泥储存恶臭</w:t>
            </w:r>
            <w:r>
              <w:rPr>
                <w:rFonts w:hint="eastAsia"/>
                <w:bCs/>
                <w:color w:val="000000" w:themeColor="text1"/>
                <w:sz w:val="24"/>
                <w:highlight w:val="none"/>
                <w14:textFill>
                  <w14:solidFill>
                    <w14:schemeClr w14:val="tx1"/>
                  </w14:solidFill>
                </w14:textFill>
              </w:rPr>
              <w:t>废气治理措施可行。</w:t>
            </w:r>
          </w:p>
          <w:p w14:paraId="768137E4">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（4）无组织废气</w:t>
            </w:r>
          </w:p>
          <w:p w14:paraId="77F7E917">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污泥等一般</w:t>
            </w:r>
            <w:r>
              <w:rPr>
                <w:rFonts w:hint="eastAsia"/>
                <w:bCs/>
                <w:color w:val="000000" w:themeColor="text1"/>
                <w:sz w:val="24"/>
                <w:highlight w:val="none"/>
                <w14:textFill>
                  <w14:solidFill>
                    <w14:schemeClr w14:val="tx1"/>
                  </w14:solidFill>
                </w14:textFill>
              </w:rPr>
              <w:t>工业固废</w:t>
            </w:r>
            <w:r>
              <w:rPr>
                <w:bCs/>
                <w:color w:val="000000" w:themeColor="text1"/>
                <w:sz w:val="24"/>
                <w:highlight w:val="none"/>
                <w14:textFill>
                  <w14:solidFill>
                    <w14:schemeClr w14:val="tx1"/>
                  </w14:solidFill>
                </w14:textFill>
              </w:rPr>
              <w:t>采用汽车运输进厂，储存于</w:t>
            </w:r>
            <w:r>
              <w:rPr>
                <w:rFonts w:hint="eastAsia"/>
                <w:bCs/>
                <w:color w:val="000000" w:themeColor="text1"/>
                <w:sz w:val="24"/>
                <w:highlight w:val="none"/>
                <w14:textFill>
                  <w14:solidFill>
                    <w14:schemeClr w14:val="tx1"/>
                  </w14:solidFill>
                </w14:textFill>
              </w:rPr>
              <w:t>封闭的工业</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库和生活污泥库</w:t>
            </w:r>
            <w:r>
              <w:rPr>
                <w:bCs/>
                <w:color w:val="000000" w:themeColor="text1"/>
                <w:sz w:val="24"/>
                <w:highlight w:val="none"/>
                <w14:textFill>
                  <w14:solidFill>
                    <w14:schemeClr w14:val="tx1"/>
                  </w14:solidFill>
                </w14:textFill>
              </w:rPr>
              <w:t>内，</w:t>
            </w:r>
            <w:r>
              <w:rPr>
                <w:rFonts w:hint="eastAsia"/>
                <w:bCs/>
                <w:color w:val="000000" w:themeColor="text1"/>
                <w:sz w:val="24"/>
                <w:highlight w:val="none"/>
                <w14:textFill>
                  <w14:solidFill>
                    <w14:schemeClr w14:val="tx1"/>
                  </w14:solidFill>
                </w14:textFill>
              </w:rPr>
              <w:t>工业</w:t>
            </w:r>
            <w:r>
              <w:rPr>
                <w:bCs/>
                <w:color w:val="000000" w:themeColor="text1"/>
                <w:sz w:val="24"/>
                <w:highlight w:val="none"/>
                <w14:textFill>
                  <w14:solidFill>
                    <w14:schemeClr w14:val="tx1"/>
                  </w14:solidFill>
                </w14:textFill>
              </w:rPr>
              <w:t>污泥</w:t>
            </w:r>
            <w:r>
              <w:rPr>
                <w:rFonts w:hint="eastAsia"/>
                <w:bCs/>
                <w:color w:val="000000" w:themeColor="text1"/>
                <w:sz w:val="24"/>
                <w:highlight w:val="none"/>
                <w14:textFill>
                  <w14:solidFill>
                    <w14:schemeClr w14:val="tx1"/>
                  </w14:solidFill>
                </w14:textFill>
              </w:rPr>
              <w:t>库位于封闭的页岩原料库内，生活污泥库位于煤矸石原料库西侧，且2座污泥库均处于</w:t>
            </w:r>
            <w:r>
              <w:rPr>
                <w:bCs/>
                <w:color w:val="000000" w:themeColor="text1"/>
                <w:sz w:val="24"/>
                <w:highlight w:val="none"/>
                <w14:textFill>
                  <w14:solidFill>
                    <w14:schemeClr w14:val="tx1"/>
                  </w14:solidFill>
                </w14:textFill>
              </w:rPr>
              <w:t>封闭</w:t>
            </w:r>
            <w:r>
              <w:rPr>
                <w:rFonts w:hint="eastAsia"/>
                <w:bCs/>
                <w:color w:val="000000" w:themeColor="text1"/>
                <w:sz w:val="24"/>
                <w:highlight w:val="none"/>
                <w14:textFill>
                  <w14:solidFill>
                    <w14:schemeClr w14:val="tx1"/>
                  </w14:solidFill>
                </w14:textFill>
              </w:rPr>
              <w:t>、微负压状态；页岩、煤矸石</w:t>
            </w:r>
            <w:r>
              <w:rPr>
                <w:bCs/>
                <w:color w:val="000000" w:themeColor="text1"/>
                <w:sz w:val="24"/>
                <w:highlight w:val="none"/>
                <w14:textFill>
                  <w14:solidFill>
                    <w14:schemeClr w14:val="tx1"/>
                  </w14:solidFill>
                </w14:textFill>
              </w:rPr>
              <w:t>原料</w:t>
            </w:r>
            <w:r>
              <w:rPr>
                <w:rFonts w:hint="eastAsia"/>
                <w:bCs/>
                <w:color w:val="000000" w:themeColor="text1"/>
                <w:sz w:val="24"/>
                <w:highlight w:val="none"/>
                <w14:textFill>
                  <w14:solidFill>
                    <w14:schemeClr w14:val="tx1"/>
                  </w14:solidFill>
                </w14:textFill>
              </w:rPr>
              <w:t>库、污泥库</w:t>
            </w:r>
            <w:r>
              <w:rPr>
                <w:bCs/>
                <w:color w:val="000000" w:themeColor="text1"/>
                <w:sz w:val="24"/>
                <w:highlight w:val="none"/>
                <w14:textFill>
                  <w14:solidFill>
                    <w14:schemeClr w14:val="tx1"/>
                  </w14:solidFill>
                </w14:textFill>
              </w:rPr>
              <w:t>内设有喷雾抑尘设施；厂区内生产车间、原料</w:t>
            </w:r>
            <w:r>
              <w:rPr>
                <w:rFonts w:hint="eastAsia"/>
                <w:bCs/>
                <w:color w:val="000000" w:themeColor="text1"/>
                <w:sz w:val="24"/>
                <w:highlight w:val="none"/>
                <w14:textFill>
                  <w14:solidFill>
                    <w14:schemeClr w14:val="tx1"/>
                  </w14:solidFill>
                </w14:textFill>
              </w:rPr>
              <w:t>储存场所</w:t>
            </w:r>
            <w:r>
              <w:rPr>
                <w:bCs/>
                <w:color w:val="000000" w:themeColor="text1"/>
                <w:sz w:val="24"/>
                <w:highlight w:val="none"/>
                <w14:textFill>
                  <w14:solidFill>
                    <w14:schemeClr w14:val="tx1"/>
                  </w14:solidFill>
                </w14:textFill>
              </w:rPr>
              <w:t>、厂区地面均采取了防渗措施，厂区大门处设有洗车平台，运输车辆进出厂区对车辆进行清洗，运输过程采用苫布遮盖。</w:t>
            </w:r>
          </w:p>
          <w:p w14:paraId="2FB1498F">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采取上述措施后，</w:t>
            </w:r>
            <w:r>
              <w:rPr>
                <w:rFonts w:hint="eastAsia"/>
                <w:bCs/>
                <w:color w:val="000000" w:themeColor="text1"/>
                <w:sz w:val="24"/>
                <w:highlight w:val="none"/>
                <w14:textFill>
                  <w14:solidFill>
                    <w14:schemeClr w14:val="tx1"/>
                  </w14:solidFill>
                </w14:textFill>
              </w:rPr>
              <w:t>根据预测，</w:t>
            </w:r>
            <w:r>
              <w:rPr>
                <w:bCs/>
                <w:color w:val="000000" w:themeColor="text1"/>
                <w:sz w:val="24"/>
                <w:highlight w:val="none"/>
                <w14:textFill>
                  <w14:solidFill>
                    <w14:schemeClr w14:val="tx1"/>
                  </w14:solidFill>
                </w14:textFill>
              </w:rPr>
              <w:t>无组织</w:t>
            </w:r>
            <w:r>
              <w:rPr>
                <w:rFonts w:hint="eastAsia"/>
                <w:bCs/>
                <w:color w:val="000000" w:themeColor="text1"/>
                <w:sz w:val="24"/>
                <w:highlight w:val="none"/>
                <w14:textFill>
                  <w14:solidFill>
                    <w14:schemeClr w14:val="tx1"/>
                  </w14:solidFill>
                </w14:textFill>
              </w:rPr>
              <w:t>废气</w:t>
            </w:r>
            <w:r>
              <w:rPr>
                <w:bCs/>
                <w:color w:val="000000" w:themeColor="text1"/>
                <w:sz w:val="24"/>
                <w:highlight w:val="none"/>
                <w14:textFill>
                  <w14:solidFill>
                    <w14:schemeClr w14:val="tx1"/>
                  </w14:solidFill>
                </w14:textFill>
              </w:rPr>
              <w:t>排放满足</w:t>
            </w:r>
            <w:r>
              <w:rPr>
                <w:rFonts w:hAnsi="Arial"/>
                <w:color w:val="000000" w:themeColor="text1"/>
                <w:sz w:val="24"/>
                <w:highlight w:val="none"/>
                <w:shd w:val="clear" w:color="auto" w:fill="FFFFFF"/>
                <w14:textFill>
                  <w14:solidFill>
                    <w14:schemeClr w14:val="tx1"/>
                  </w14:solidFill>
                </w14:textFill>
              </w:rPr>
              <w:t>《</w:t>
            </w:r>
            <w:r>
              <w:rPr>
                <w:bCs/>
                <w:color w:val="000000" w:themeColor="text1"/>
                <w:sz w:val="24"/>
                <w:highlight w:val="none"/>
                <w14:textFill>
                  <w14:solidFill>
                    <w14:schemeClr w14:val="tx1"/>
                  </w14:solidFill>
                </w14:textFill>
              </w:rPr>
              <w:t>砖瓦工业大气污染物排放标准</w:t>
            </w:r>
            <w:r>
              <w:rPr>
                <w:rFonts w:hAnsi="Arial"/>
                <w:color w:val="000000" w:themeColor="text1"/>
                <w:sz w:val="24"/>
                <w:highlight w:val="none"/>
                <w:shd w:val="clear" w:color="auto" w:fill="FFFFFF"/>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D</w:t>
            </w:r>
            <w:r>
              <w:rPr>
                <w:bCs/>
                <w:color w:val="000000" w:themeColor="text1"/>
                <w:sz w:val="24"/>
                <w:highlight w:val="none"/>
                <w14:textFill>
                  <w14:solidFill>
                    <w14:schemeClr w14:val="tx1"/>
                  </w14:solidFill>
                </w14:textFill>
              </w:rPr>
              <w:t>B</w:t>
            </w:r>
            <w:r>
              <w:rPr>
                <w:rFonts w:hint="eastAsia"/>
                <w:bCs/>
                <w:color w:val="000000" w:themeColor="text1"/>
                <w:sz w:val="24"/>
                <w:highlight w:val="none"/>
                <w:lang w:val="en-US" w:eastAsia="zh-CN"/>
                <w14:textFill>
                  <w14:solidFill>
                    <w14:schemeClr w14:val="tx1"/>
                  </w14:solidFill>
                </w14:textFill>
              </w:rPr>
              <w:t>13/6185</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25</w:t>
            </w:r>
            <w:r>
              <w:rPr>
                <w:rFonts w:hAnsi="Arial"/>
                <w:color w:val="000000" w:themeColor="text1"/>
                <w:sz w:val="24"/>
                <w:highlight w:val="none"/>
                <w:shd w:val="clear" w:color="auto" w:fill="FFFFFF"/>
                <w14:textFill>
                  <w14:solidFill>
                    <w14:schemeClr w14:val="tx1"/>
                  </w14:solidFill>
                </w14:textFill>
              </w:rPr>
              <w:t>）</w:t>
            </w:r>
            <w:r>
              <w:rPr>
                <w:rFonts w:hint="eastAsia" w:hAnsi="Arial"/>
                <w:color w:val="000000" w:themeColor="text1"/>
                <w:sz w:val="24"/>
                <w:highlight w:val="none"/>
                <w:shd w:val="clear" w:color="auto" w:fill="FFFFFF"/>
                <w14:textFill>
                  <w14:solidFill>
                    <w14:schemeClr w14:val="tx1"/>
                  </w14:solidFill>
                </w14:textFill>
              </w:rPr>
              <w:t>表</w:t>
            </w:r>
            <w:r>
              <w:rPr>
                <w:rFonts w:hint="eastAsia" w:hAnsi="Arial"/>
                <w:color w:val="000000" w:themeColor="text1"/>
                <w:sz w:val="24"/>
                <w:highlight w:val="none"/>
                <w:shd w:val="clear" w:color="auto" w:fill="FFFFFF"/>
                <w:lang w:val="en-US" w:eastAsia="zh-CN"/>
                <w14:textFill>
                  <w14:solidFill>
                    <w14:schemeClr w14:val="tx1"/>
                  </w14:solidFill>
                </w14:textFill>
              </w:rPr>
              <w:t>3厂区内大气污染物排放限值、</w:t>
            </w:r>
            <w:r>
              <w:rPr>
                <w:bCs/>
                <w:color w:val="000000" w:themeColor="text1"/>
                <w:sz w:val="24"/>
                <w:highlight w:val="none"/>
                <w14:textFill>
                  <w14:solidFill>
                    <w14:schemeClr w14:val="tx1"/>
                  </w14:solidFill>
                </w14:textFill>
              </w:rPr>
              <w:t>《砖瓦工业大气污染物排放标准》（GB29620-2013）及其修改单表3企业边界大气污染物浓度限值要求</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《恶臭污染物排放标准》（GB14554-93）表</w:t>
            </w:r>
            <w:r>
              <w:rPr>
                <w:rFonts w:hint="eastAsia"/>
                <w:bCs/>
                <w:color w:val="000000" w:themeColor="text1"/>
                <w:sz w:val="24"/>
                <w:highlight w:val="none"/>
                <w14:textFill>
                  <w14:solidFill>
                    <w14:schemeClr w14:val="tx1"/>
                  </w14:solidFill>
                </w14:textFill>
              </w:rPr>
              <w:t>1要求，</w:t>
            </w:r>
            <w:r>
              <w:rPr>
                <w:bCs/>
                <w:color w:val="000000" w:themeColor="text1"/>
                <w:sz w:val="24"/>
                <w:highlight w:val="none"/>
                <w14:textFill>
                  <w14:solidFill>
                    <w14:schemeClr w14:val="tx1"/>
                  </w14:solidFill>
                </w14:textFill>
              </w:rPr>
              <w:t>同时满足《唐山市生态环境局关于印发独立石灰窑等五个行业工业炉窑烟气达标治理工作方案的通知》（唐环气〔2019〕2号）中附件5《唐山市砖瓦行业烟气达标治理工作方案》相关</w:t>
            </w:r>
            <w:r>
              <w:rPr>
                <w:rFonts w:hint="eastAsia"/>
                <w:bCs/>
                <w:color w:val="000000" w:themeColor="text1"/>
                <w:sz w:val="24"/>
                <w:highlight w:val="none"/>
                <w14:textFill>
                  <w14:solidFill>
                    <w14:schemeClr w14:val="tx1"/>
                  </w14:solidFill>
                </w14:textFill>
              </w:rPr>
              <w:t>限值</w:t>
            </w:r>
            <w:r>
              <w:rPr>
                <w:bCs/>
                <w:color w:val="000000" w:themeColor="text1"/>
                <w:sz w:val="24"/>
                <w:highlight w:val="none"/>
                <w14:textFill>
                  <w14:solidFill>
                    <w14:schemeClr w14:val="tx1"/>
                  </w14:solidFill>
                </w14:textFill>
              </w:rPr>
              <w:t>要求，不会对周围环境空气产生明显影响。</w:t>
            </w:r>
          </w:p>
          <w:p w14:paraId="4A3308CE">
            <w:pPr>
              <w:spacing w:line="46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项目采取的废气治理措施不属于国家污染防治技术指导目录（</w:t>
            </w:r>
            <w:r>
              <w:rPr>
                <w:bCs/>
                <w:color w:val="000000" w:themeColor="text1"/>
                <w:sz w:val="24"/>
                <w:highlight w:val="none"/>
                <w14:textFill>
                  <w14:solidFill>
                    <w14:schemeClr w14:val="tx1"/>
                  </w14:solidFill>
                </w14:textFill>
              </w:rPr>
              <w:t>2024</w:t>
            </w:r>
            <w:r>
              <w:rPr>
                <w:rFonts w:hint="eastAsia"/>
                <w:bCs/>
                <w:color w:val="000000" w:themeColor="text1"/>
                <w:sz w:val="24"/>
                <w:highlight w:val="none"/>
                <w14:textFill>
                  <w14:solidFill>
                    <w14:schemeClr w14:val="tx1"/>
                  </w14:solidFill>
                </w14:textFill>
              </w:rPr>
              <w:t>年，限制类和淘汰类）中的限制类和淘汰类防治技术，满足当前政策要求。</w:t>
            </w:r>
          </w:p>
          <w:p w14:paraId="49670A61">
            <w:pPr>
              <w:spacing w:line="46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综上所述，本项目废气处理措施可行。</w:t>
            </w:r>
          </w:p>
          <w:p w14:paraId="77BB99B3">
            <w:pPr>
              <w:spacing w:line="460" w:lineRule="exact"/>
              <w:ind w:firstLine="466" w:firstLineChars="200"/>
              <w:jc w:val="left"/>
              <w:rPr>
                <w:rFonts w:hAnsi="宋体"/>
                <w:b/>
                <w:color w:val="000000" w:themeColor="text1"/>
                <w:spacing w:val="-4"/>
                <w:sz w:val="24"/>
                <w:highlight w:val="none"/>
                <w14:textFill>
                  <w14:solidFill>
                    <w14:schemeClr w14:val="tx1"/>
                  </w14:solidFill>
                </w14:textFill>
              </w:rPr>
            </w:pPr>
            <w:r>
              <w:rPr>
                <w:rFonts w:hint="eastAsia" w:hAnsi="宋体"/>
                <w:b/>
                <w:color w:val="000000" w:themeColor="text1"/>
                <w:spacing w:val="-4"/>
                <w:sz w:val="24"/>
                <w:highlight w:val="none"/>
                <w14:textFill>
                  <w14:solidFill>
                    <w14:schemeClr w14:val="tx1"/>
                  </w14:solidFill>
                </w14:textFill>
              </w:rPr>
              <w:t>1.4非正常生产状况下废气污染源排放情况分析</w:t>
            </w:r>
          </w:p>
          <w:p w14:paraId="40BD6173">
            <w:pPr>
              <w:spacing w:line="460" w:lineRule="exact"/>
              <w:ind w:firstLine="480" w:firstLineChars="20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非正常排放指生产过程中开停车（工、炉）、设备检修、工艺设备运转异常等非正常工况下的污染物排放，以及污染物排放控制措施达不到应有效率等情况下的排放，如工艺设备和环保设施不能正常运行时污染物的排放等。结合拟建项目实际生产工艺及现场环保设施情况，拟建项目非正常工况为废气治理设施发生故障时，废气污染物直接排放。类比同类企业，废气治理设施发生故障的概率≤1次/年，持续时间≤1h。环保设施发生故障后，立即停产，对故障设施进行检修，待故障设施恢复正常后恢复生产。本项目非正常工况污染物排放情况见表4-7。</w:t>
            </w:r>
          </w:p>
          <w:p w14:paraId="12AE53E8">
            <w:pPr>
              <w:spacing w:line="400" w:lineRule="exact"/>
              <w:ind w:firstLine="1560" w:firstLineChars="650"/>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4-7           非正常排放</w:t>
            </w:r>
            <w:r>
              <w:rPr>
                <w:rFonts w:ascii="黑体" w:hAnsi="黑体" w:eastAsia="黑体"/>
                <w:color w:val="000000" w:themeColor="text1"/>
                <w:sz w:val="24"/>
                <w:highlight w:val="none"/>
                <w14:textFill>
                  <w14:solidFill>
                    <w14:schemeClr w14:val="tx1"/>
                  </w14:solidFill>
                </w14:textFill>
              </w:rPr>
              <w:t>参数</w:t>
            </w:r>
            <w:r>
              <w:rPr>
                <w:rFonts w:hint="eastAsia" w:ascii="黑体" w:hAnsi="黑体" w:eastAsia="黑体"/>
                <w:color w:val="000000" w:themeColor="text1"/>
                <w:sz w:val="24"/>
                <w:highlight w:val="none"/>
                <w14:textFill>
                  <w14:solidFill>
                    <w14:schemeClr w14:val="tx1"/>
                  </w14:solidFill>
                </w14:textFill>
              </w:rPr>
              <w:t>调查</w:t>
            </w:r>
            <w:r>
              <w:rPr>
                <w:rFonts w:ascii="黑体" w:hAnsi="黑体" w:eastAsia="黑体"/>
                <w:color w:val="000000" w:themeColor="text1"/>
                <w:sz w:val="24"/>
                <w:highlight w:val="none"/>
                <w14:textFill>
                  <w14:solidFill>
                    <w14:schemeClr w14:val="tx1"/>
                  </w14:solidFill>
                </w14:textFill>
              </w:rPr>
              <w:t>表</w:t>
            </w:r>
          </w:p>
          <w:tbl>
            <w:tblPr>
              <w:tblStyle w:val="24"/>
              <w:tblW w:w="89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21"/>
              <w:gridCol w:w="1114"/>
              <w:gridCol w:w="1175"/>
              <w:gridCol w:w="1073"/>
              <w:gridCol w:w="1136"/>
              <w:gridCol w:w="851"/>
              <w:gridCol w:w="849"/>
              <w:gridCol w:w="983"/>
            </w:tblGrid>
            <w:tr w14:paraId="06698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Align w:val="center"/>
                </w:tcPr>
                <w:p w14:paraId="43FA8957">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序号</w:t>
                  </w:r>
                </w:p>
              </w:tc>
              <w:tc>
                <w:tcPr>
                  <w:tcW w:w="623" w:type="pct"/>
                  <w:vAlign w:val="center"/>
                </w:tcPr>
                <w:p w14:paraId="23AE7FE5">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污染源</w:t>
                  </w:r>
                </w:p>
              </w:tc>
              <w:tc>
                <w:tcPr>
                  <w:tcW w:w="619" w:type="pct"/>
                  <w:vAlign w:val="center"/>
                </w:tcPr>
                <w:p w14:paraId="748F0912">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非正常排放原因</w:t>
                  </w:r>
                </w:p>
              </w:tc>
              <w:tc>
                <w:tcPr>
                  <w:tcW w:w="653" w:type="pct"/>
                  <w:vAlign w:val="center"/>
                </w:tcPr>
                <w:p w14:paraId="6B1356AB">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污染物</w:t>
                  </w:r>
                </w:p>
              </w:tc>
              <w:tc>
                <w:tcPr>
                  <w:tcW w:w="596" w:type="pct"/>
                  <w:vAlign w:val="center"/>
                </w:tcPr>
                <w:p w14:paraId="1F7B2402">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非正常排放浓度</w:t>
                  </w:r>
                  <w:r>
                    <w:rPr>
                      <w:color w:val="000000" w:themeColor="text1"/>
                      <w:szCs w:val="21"/>
                      <w:highlight w:val="none"/>
                      <w14:textFill>
                        <w14:solidFill>
                          <w14:schemeClr w14:val="tx1"/>
                        </w14:solidFill>
                      </w14:textFill>
                    </w:rPr>
                    <w:t>mg/m</w:t>
                  </w:r>
                  <w:r>
                    <w:rPr>
                      <w:color w:val="000000" w:themeColor="text1"/>
                      <w:szCs w:val="21"/>
                      <w:highlight w:val="none"/>
                      <w:vertAlign w:val="superscript"/>
                      <w14:textFill>
                        <w14:solidFill>
                          <w14:schemeClr w14:val="tx1"/>
                        </w14:solidFill>
                      </w14:textFill>
                    </w:rPr>
                    <w:t>3</w:t>
                  </w:r>
                </w:p>
              </w:tc>
              <w:tc>
                <w:tcPr>
                  <w:tcW w:w="631" w:type="pct"/>
                  <w:vAlign w:val="center"/>
                </w:tcPr>
                <w:p w14:paraId="7811BA04">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非正常排放速率kg/h</w:t>
                  </w:r>
                </w:p>
              </w:tc>
              <w:tc>
                <w:tcPr>
                  <w:tcW w:w="473" w:type="pct"/>
                  <w:vAlign w:val="center"/>
                </w:tcPr>
                <w:p w14:paraId="58A252B7">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单次持续时间(h)</w:t>
                  </w:r>
                </w:p>
              </w:tc>
              <w:tc>
                <w:tcPr>
                  <w:tcW w:w="472" w:type="pct"/>
                  <w:vAlign w:val="center"/>
                </w:tcPr>
                <w:p w14:paraId="652AC47A">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年发生频次（次）</w:t>
                  </w:r>
                </w:p>
              </w:tc>
              <w:tc>
                <w:tcPr>
                  <w:tcW w:w="546" w:type="pct"/>
                  <w:vAlign w:val="center"/>
                </w:tcPr>
                <w:p w14:paraId="3C83B6A2">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应对</w:t>
                  </w:r>
                </w:p>
                <w:p w14:paraId="6F9A3349">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措施</w:t>
                  </w:r>
                </w:p>
              </w:tc>
            </w:tr>
            <w:tr w14:paraId="32C923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Align w:val="center"/>
                </w:tcPr>
                <w:p w14:paraId="2FB28833">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623" w:type="pct"/>
                  <w:vAlign w:val="center"/>
                </w:tcPr>
                <w:p w14:paraId="75C00EA3">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原料给料、破碎、筛分、搅拌工序废气排气筒</w:t>
                  </w: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1</w:t>
                  </w:r>
                </w:p>
              </w:tc>
              <w:tc>
                <w:tcPr>
                  <w:tcW w:w="619" w:type="pct"/>
                  <w:vAlign w:val="center"/>
                </w:tcPr>
                <w:p w14:paraId="1DB557DC">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布袋除尘器发生堵塞，未及时更换，除尘效率从9</w:t>
                  </w:r>
                  <w:r>
                    <w:rPr>
                      <w:rFonts w:hint="eastAsia"/>
                      <w:bCs/>
                      <w:color w:val="000000" w:themeColor="text1"/>
                      <w:szCs w:val="21"/>
                      <w:highlight w:val="none"/>
                      <w14:textFill>
                        <w14:solidFill>
                          <w14:schemeClr w14:val="tx1"/>
                        </w14:solidFill>
                      </w14:textFill>
                    </w:rPr>
                    <w:t>8</w:t>
                  </w:r>
                  <w:r>
                    <w:rPr>
                      <w:bCs/>
                      <w:color w:val="000000" w:themeColor="text1"/>
                      <w:szCs w:val="21"/>
                      <w:highlight w:val="none"/>
                      <w14:textFill>
                        <w14:solidFill>
                          <w14:schemeClr w14:val="tx1"/>
                        </w14:solidFill>
                      </w14:textFill>
                    </w:rPr>
                    <w:t>%降低到0%</w:t>
                  </w:r>
                </w:p>
              </w:tc>
              <w:tc>
                <w:tcPr>
                  <w:tcW w:w="653" w:type="pct"/>
                  <w:vAlign w:val="center"/>
                </w:tcPr>
                <w:p w14:paraId="514939B5">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颗粒物</w:t>
                  </w:r>
                </w:p>
              </w:tc>
              <w:tc>
                <w:tcPr>
                  <w:tcW w:w="596" w:type="pct"/>
                  <w:vAlign w:val="center"/>
                </w:tcPr>
                <w:p w14:paraId="56B30E40">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71.02</w:t>
                  </w:r>
                </w:p>
              </w:tc>
              <w:tc>
                <w:tcPr>
                  <w:tcW w:w="631" w:type="pct"/>
                  <w:vAlign w:val="center"/>
                </w:tcPr>
                <w:p w14:paraId="41F2DD38">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3.551</w:t>
                  </w:r>
                </w:p>
              </w:tc>
              <w:tc>
                <w:tcPr>
                  <w:tcW w:w="473" w:type="pct"/>
                  <w:vAlign w:val="center"/>
                </w:tcPr>
                <w:p w14:paraId="0F51F5CF">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472" w:type="pct"/>
                  <w:vAlign w:val="center"/>
                </w:tcPr>
                <w:p w14:paraId="2BA0E374">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546" w:type="pct"/>
                  <w:vMerge w:val="restart"/>
                  <w:vAlign w:val="center"/>
                </w:tcPr>
                <w:p w14:paraId="7FEC2C95">
                  <w:pPr>
                    <w:ind w:left="-105" w:leftChars="-50" w:right="-105" w:rightChars="-50"/>
                    <w:jc w:val="center"/>
                    <w:rPr>
                      <w:color w:val="000000" w:themeColor="text1"/>
                      <w:kern w:val="0"/>
                      <w:szCs w:val="21"/>
                      <w:highlight w:val="none"/>
                      <w14:textFill>
                        <w14:solidFill>
                          <w14:schemeClr w14:val="tx1"/>
                        </w14:solidFill>
                      </w14:textFill>
                    </w:rPr>
                  </w:pPr>
                  <w:r>
                    <w:rPr>
                      <w:bCs/>
                      <w:color w:val="000000" w:themeColor="text1"/>
                      <w:szCs w:val="21"/>
                      <w:highlight w:val="none"/>
                      <w14:textFill>
                        <w14:solidFill>
                          <w14:schemeClr w14:val="tx1"/>
                        </w14:solidFill>
                      </w14:textFill>
                    </w:rPr>
                    <w:t>立即检查，待废气处理设施检修完毕后再投入使用；加强日常巡检，发现故障及时停运生产设备</w:t>
                  </w:r>
                </w:p>
              </w:tc>
            </w:tr>
            <w:tr w14:paraId="051A75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restart"/>
                  <w:vAlign w:val="center"/>
                </w:tcPr>
                <w:p w14:paraId="74A3FC50">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2</w:t>
                  </w:r>
                </w:p>
              </w:tc>
              <w:tc>
                <w:tcPr>
                  <w:tcW w:w="623" w:type="pct"/>
                  <w:vMerge w:val="restart"/>
                  <w:vAlign w:val="center"/>
                </w:tcPr>
                <w:p w14:paraId="17860989">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隧道窑废气排气筒</w:t>
                  </w:r>
                  <w:r>
                    <w:rPr>
                      <w:color w:val="000000" w:themeColor="text1"/>
                      <w:kern w:val="0"/>
                      <w:szCs w:val="21"/>
                      <w:highlight w:val="none"/>
                      <w14:textFill>
                        <w14:solidFill>
                          <w14:schemeClr w14:val="tx1"/>
                        </w14:solidFill>
                      </w14:textFill>
                    </w:rPr>
                    <w:t>DA00</w:t>
                  </w:r>
                  <w:r>
                    <w:rPr>
                      <w:rFonts w:hint="eastAsia"/>
                      <w:color w:val="000000" w:themeColor="text1"/>
                      <w:kern w:val="0"/>
                      <w:szCs w:val="21"/>
                      <w:highlight w:val="none"/>
                      <w14:textFill>
                        <w14:solidFill>
                          <w14:schemeClr w14:val="tx1"/>
                        </w14:solidFill>
                      </w14:textFill>
                    </w:rPr>
                    <w:t>3</w:t>
                  </w:r>
                </w:p>
              </w:tc>
              <w:tc>
                <w:tcPr>
                  <w:tcW w:w="619" w:type="pct"/>
                  <w:vMerge w:val="restart"/>
                  <w:vAlign w:val="center"/>
                </w:tcPr>
                <w:p w14:paraId="2DB12739">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脱硫剂未及时补充、湿式静电除尘器损坏</w:t>
                  </w:r>
                  <w:r>
                    <w:rPr>
                      <w:rFonts w:hint="eastAsia"/>
                      <w:bCs/>
                      <w:color w:val="000000" w:themeColor="text1"/>
                      <w:szCs w:val="21"/>
                      <w:highlight w:val="none"/>
                      <w:lang w:eastAsia="zh-CN"/>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SNCR停止运行</w:t>
                  </w:r>
                  <w:r>
                    <w:rPr>
                      <w:bCs/>
                      <w:color w:val="000000" w:themeColor="text1"/>
                      <w:szCs w:val="21"/>
                      <w:highlight w:val="none"/>
                      <w14:textFill>
                        <w14:solidFill>
                          <w14:schemeClr w14:val="tx1"/>
                        </w14:solidFill>
                      </w14:textFill>
                    </w:rPr>
                    <w:t>等</w:t>
                  </w:r>
                </w:p>
              </w:tc>
              <w:tc>
                <w:tcPr>
                  <w:tcW w:w="653" w:type="pct"/>
                  <w:vAlign w:val="center"/>
                </w:tcPr>
                <w:p w14:paraId="162E935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1073" w:type="dxa"/>
                  <w:vAlign w:val="center"/>
                </w:tcPr>
                <w:p w14:paraId="35622124">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73.43</w:t>
                  </w:r>
                </w:p>
              </w:tc>
              <w:tc>
                <w:tcPr>
                  <w:tcW w:w="631" w:type="pct"/>
                  <w:vAlign w:val="center"/>
                </w:tcPr>
                <w:p w14:paraId="2B60911D">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12.483</w:t>
                  </w:r>
                </w:p>
              </w:tc>
              <w:tc>
                <w:tcPr>
                  <w:tcW w:w="473" w:type="pct"/>
                  <w:vMerge w:val="restart"/>
                  <w:vAlign w:val="center"/>
                </w:tcPr>
                <w:p w14:paraId="38EAD739">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472" w:type="pct"/>
                  <w:vMerge w:val="restart"/>
                  <w:vAlign w:val="center"/>
                </w:tcPr>
                <w:p w14:paraId="17365B16">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546" w:type="pct"/>
                  <w:vMerge w:val="continue"/>
                  <w:vAlign w:val="center"/>
                </w:tcPr>
                <w:p w14:paraId="6E771897">
                  <w:pPr>
                    <w:ind w:left="-105" w:leftChars="-50" w:right="-105" w:rightChars="-50"/>
                    <w:jc w:val="center"/>
                    <w:rPr>
                      <w:bCs/>
                      <w:color w:val="000000" w:themeColor="text1"/>
                      <w:szCs w:val="21"/>
                      <w:highlight w:val="none"/>
                      <w14:textFill>
                        <w14:solidFill>
                          <w14:schemeClr w14:val="tx1"/>
                        </w14:solidFill>
                      </w14:textFill>
                    </w:rPr>
                  </w:pPr>
                </w:p>
              </w:tc>
            </w:tr>
            <w:tr w14:paraId="3DED2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14AD7C7C">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530970DB">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50B8FA11">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5B6C4EE9">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2</w:t>
                  </w:r>
                </w:p>
              </w:tc>
              <w:tc>
                <w:tcPr>
                  <w:tcW w:w="1073" w:type="dxa"/>
                  <w:vAlign w:val="center"/>
                </w:tcPr>
                <w:p w14:paraId="7FEE4F5B">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229.76</w:t>
                  </w:r>
                </w:p>
              </w:tc>
              <w:tc>
                <w:tcPr>
                  <w:tcW w:w="631" w:type="pct"/>
                  <w:vAlign w:val="center"/>
                </w:tcPr>
                <w:p w14:paraId="25297ACF">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39.06</w:t>
                  </w:r>
                </w:p>
              </w:tc>
              <w:tc>
                <w:tcPr>
                  <w:tcW w:w="473" w:type="pct"/>
                  <w:vMerge w:val="continue"/>
                  <w:vAlign w:val="center"/>
                </w:tcPr>
                <w:p w14:paraId="69D406B1">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32550871">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373F40C2">
                  <w:pPr>
                    <w:ind w:left="-105" w:leftChars="-50" w:right="-105" w:rightChars="-50"/>
                    <w:jc w:val="center"/>
                    <w:rPr>
                      <w:bCs/>
                      <w:color w:val="000000" w:themeColor="text1"/>
                      <w:szCs w:val="21"/>
                      <w:highlight w:val="none"/>
                      <w14:textFill>
                        <w14:solidFill>
                          <w14:schemeClr w14:val="tx1"/>
                        </w14:solidFill>
                      </w14:textFill>
                    </w:rPr>
                  </w:pPr>
                </w:p>
              </w:tc>
            </w:tr>
            <w:tr w14:paraId="10180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2DBFB34B">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66F3CBBE">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3E037C49">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6C4331EF">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NOx</w:t>
                  </w:r>
                </w:p>
              </w:tc>
              <w:tc>
                <w:tcPr>
                  <w:tcW w:w="1073" w:type="dxa"/>
                  <w:vAlign w:val="center"/>
                </w:tcPr>
                <w:p w14:paraId="1DE53388">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25.77</w:t>
                  </w:r>
                </w:p>
              </w:tc>
              <w:tc>
                <w:tcPr>
                  <w:tcW w:w="631" w:type="pct"/>
                  <w:vAlign w:val="center"/>
                </w:tcPr>
                <w:p w14:paraId="70FA83BD">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4.381</w:t>
                  </w:r>
                </w:p>
              </w:tc>
              <w:tc>
                <w:tcPr>
                  <w:tcW w:w="473" w:type="pct"/>
                  <w:vMerge w:val="continue"/>
                  <w:vAlign w:val="center"/>
                </w:tcPr>
                <w:p w14:paraId="43F608F7">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64BD44BD">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033FE06E">
                  <w:pPr>
                    <w:ind w:left="-105" w:leftChars="-50" w:right="-105" w:rightChars="-50"/>
                    <w:jc w:val="center"/>
                    <w:rPr>
                      <w:bCs/>
                      <w:color w:val="000000" w:themeColor="text1"/>
                      <w:szCs w:val="21"/>
                      <w:highlight w:val="none"/>
                      <w14:textFill>
                        <w14:solidFill>
                          <w14:schemeClr w14:val="tx1"/>
                        </w14:solidFill>
                      </w14:textFill>
                    </w:rPr>
                  </w:pPr>
                </w:p>
              </w:tc>
            </w:tr>
            <w:tr w14:paraId="5CB9F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5682654D">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4DD57DF4">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05F83C9A">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6FD4978A">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氟化物</w:t>
                  </w:r>
                </w:p>
              </w:tc>
              <w:tc>
                <w:tcPr>
                  <w:tcW w:w="1073" w:type="dxa"/>
                  <w:vAlign w:val="center"/>
                </w:tcPr>
                <w:p w14:paraId="7860AD3D">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0.594</w:t>
                  </w:r>
                </w:p>
              </w:tc>
              <w:tc>
                <w:tcPr>
                  <w:tcW w:w="631" w:type="pct"/>
                  <w:vAlign w:val="center"/>
                </w:tcPr>
                <w:p w14:paraId="1FF0CD6B">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0.101</w:t>
                  </w:r>
                </w:p>
              </w:tc>
              <w:tc>
                <w:tcPr>
                  <w:tcW w:w="473" w:type="pct"/>
                  <w:vMerge w:val="continue"/>
                  <w:vAlign w:val="center"/>
                </w:tcPr>
                <w:p w14:paraId="656CD91D">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1A6CC7BB">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51537F3A">
                  <w:pPr>
                    <w:ind w:left="-105" w:leftChars="-50" w:right="-105" w:rightChars="-50"/>
                    <w:jc w:val="center"/>
                    <w:rPr>
                      <w:bCs/>
                      <w:color w:val="000000" w:themeColor="text1"/>
                      <w:szCs w:val="21"/>
                      <w:highlight w:val="none"/>
                      <w14:textFill>
                        <w14:solidFill>
                          <w14:schemeClr w14:val="tx1"/>
                        </w14:solidFill>
                      </w14:textFill>
                    </w:rPr>
                  </w:pPr>
                </w:p>
              </w:tc>
            </w:tr>
            <w:tr w14:paraId="54855C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01FC130B">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11207720">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1CF68799">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329497A8">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氯化氢</w:t>
                  </w:r>
                </w:p>
              </w:tc>
              <w:tc>
                <w:tcPr>
                  <w:tcW w:w="1073" w:type="dxa"/>
                  <w:vAlign w:val="center"/>
                </w:tcPr>
                <w:p w14:paraId="27253628">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4</w:t>
                  </w:r>
                </w:p>
              </w:tc>
              <w:tc>
                <w:tcPr>
                  <w:tcW w:w="631" w:type="pct"/>
                  <w:vAlign w:val="center"/>
                </w:tcPr>
                <w:p w14:paraId="362AD267">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14:textFill>
                        <w14:solidFill>
                          <w14:schemeClr w14:val="tx1"/>
                        </w14:solidFill>
                      </w14:textFill>
                    </w:rPr>
                    <w:t>0.</w:t>
                  </w:r>
                  <w:r>
                    <w:rPr>
                      <w:rFonts w:hint="eastAsia"/>
                      <w:color w:val="000000" w:themeColor="text1"/>
                      <w:kern w:val="0"/>
                      <w:szCs w:val="21"/>
                      <w:highlight w:val="none"/>
                      <w:lang w:val="en-US" w:eastAsia="zh-CN"/>
                      <w14:textFill>
                        <w14:solidFill>
                          <w14:schemeClr w14:val="tx1"/>
                        </w14:solidFill>
                      </w14:textFill>
                    </w:rPr>
                    <w:t>068</w:t>
                  </w:r>
                </w:p>
              </w:tc>
              <w:tc>
                <w:tcPr>
                  <w:tcW w:w="473" w:type="pct"/>
                  <w:vMerge w:val="continue"/>
                  <w:vAlign w:val="center"/>
                </w:tcPr>
                <w:p w14:paraId="76777D49">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111658CD">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29448E56">
                  <w:pPr>
                    <w:ind w:left="-105" w:leftChars="-50" w:right="-105" w:rightChars="-50"/>
                    <w:jc w:val="center"/>
                    <w:rPr>
                      <w:bCs/>
                      <w:color w:val="000000" w:themeColor="text1"/>
                      <w:szCs w:val="21"/>
                      <w:highlight w:val="none"/>
                      <w14:textFill>
                        <w14:solidFill>
                          <w14:schemeClr w14:val="tx1"/>
                        </w14:solidFill>
                      </w14:textFill>
                    </w:rPr>
                  </w:pPr>
                </w:p>
              </w:tc>
            </w:tr>
            <w:tr w14:paraId="666CBC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12F9AD89">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5D123866">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56490F9B">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00F82E4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二噁英类</w:t>
                  </w:r>
                </w:p>
              </w:tc>
              <w:tc>
                <w:tcPr>
                  <w:tcW w:w="596" w:type="pct"/>
                  <w:vAlign w:val="center"/>
                </w:tcPr>
                <w:p w14:paraId="4B008D2A">
                  <w:pPr>
                    <w:ind w:left="-105" w:leftChars="-50" w:right="-105" w:rightChars="-50"/>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0.03ngTEQ/m</w:t>
                  </w:r>
                  <w:r>
                    <w:rPr>
                      <w:color w:val="000000" w:themeColor="text1"/>
                      <w:szCs w:val="21"/>
                      <w:highlight w:val="none"/>
                      <w:vertAlign w:val="superscript"/>
                      <w14:textFill>
                        <w14:solidFill>
                          <w14:schemeClr w14:val="tx1"/>
                        </w14:solidFill>
                      </w14:textFill>
                    </w:rPr>
                    <w:t>3</w:t>
                  </w:r>
                </w:p>
              </w:tc>
              <w:tc>
                <w:tcPr>
                  <w:tcW w:w="631" w:type="pct"/>
                  <w:vAlign w:val="center"/>
                </w:tcPr>
                <w:p w14:paraId="35D32B58">
                  <w:pPr>
                    <w:ind w:left="-105" w:leftChars="-50" w:right="-105" w:rightChars="-50"/>
                    <w:jc w:val="center"/>
                    <w:rPr>
                      <w:color w:val="000000" w:themeColor="text1"/>
                      <w:kern w:val="0"/>
                      <w:szCs w:val="21"/>
                      <w:highlight w:val="none"/>
                      <w:vertAlign w:val="superscript"/>
                      <w14:textFill>
                        <w14:solidFill>
                          <w14:schemeClr w14:val="tx1"/>
                        </w14:solidFill>
                      </w14:textFill>
                    </w:rPr>
                  </w:pPr>
                  <w:r>
                    <w:rPr>
                      <w:rFonts w:hint="eastAsia"/>
                      <w:color w:val="000000" w:themeColor="text1"/>
                      <w:kern w:val="0"/>
                      <w:szCs w:val="21"/>
                      <w:highlight w:val="none"/>
                      <w14:textFill>
                        <w14:solidFill>
                          <w14:schemeClr w14:val="tx1"/>
                        </w14:solidFill>
                      </w14:textFill>
                    </w:rPr>
                    <w:t>5.1</w:t>
                  </w:r>
                  <w:r>
                    <w:rPr>
                      <w:color w:val="000000" w:themeColor="text1"/>
                      <w:kern w:val="0"/>
                      <w:szCs w:val="21"/>
                      <w:highlight w:val="none"/>
                      <w14:textFill>
                        <w14:solidFill>
                          <w14:schemeClr w14:val="tx1"/>
                        </w14:solidFill>
                      </w14:textFill>
                    </w:rPr>
                    <w:t>×</w:t>
                  </w:r>
                  <w:r>
                    <w:rPr>
                      <w:rFonts w:hint="eastAsia"/>
                      <w:color w:val="000000" w:themeColor="text1"/>
                      <w:kern w:val="0"/>
                      <w:szCs w:val="21"/>
                      <w:highlight w:val="none"/>
                      <w14:textFill>
                        <w14:solidFill>
                          <w14:schemeClr w14:val="tx1"/>
                        </w14:solidFill>
                      </w14:textFill>
                    </w:rPr>
                    <w:t>10</w:t>
                  </w:r>
                  <w:r>
                    <w:rPr>
                      <w:rFonts w:hint="eastAsia"/>
                      <w:color w:val="000000" w:themeColor="text1"/>
                      <w:kern w:val="0"/>
                      <w:szCs w:val="21"/>
                      <w:highlight w:val="none"/>
                      <w:vertAlign w:val="superscript"/>
                      <w14:textFill>
                        <w14:solidFill>
                          <w14:schemeClr w14:val="tx1"/>
                        </w14:solidFill>
                      </w14:textFill>
                    </w:rPr>
                    <w:t>-9</w:t>
                  </w:r>
                </w:p>
              </w:tc>
              <w:tc>
                <w:tcPr>
                  <w:tcW w:w="473" w:type="pct"/>
                  <w:vMerge w:val="continue"/>
                  <w:vAlign w:val="center"/>
                </w:tcPr>
                <w:p w14:paraId="0776973F">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5C96AA8F">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61FCA61B">
                  <w:pPr>
                    <w:ind w:left="-105" w:leftChars="-50" w:right="-105" w:rightChars="-50"/>
                    <w:jc w:val="center"/>
                    <w:rPr>
                      <w:bCs/>
                      <w:color w:val="000000" w:themeColor="text1"/>
                      <w:szCs w:val="21"/>
                      <w:highlight w:val="none"/>
                      <w14:textFill>
                        <w14:solidFill>
                          <w14:schemeClr w14:val="tx1"/>
                        </w14:solidFill>
                      </w14:textFill>
                    </w:rPr>
                  </w:pPr>
                </w:p>
              </w:tc>
            </w:tr>
            <w:tr w14:paraId="27154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02A49124">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4F685269">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62A201C6">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231CD9C8">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汞及其化合物（以Hg计）</w:t>
                  </w:r>
                </w:p>
              </w:tc>
              <w:tc>
                <w:tcPr>
                  <w:tcW w:w="1073" w:type="dxa"/>
                  <w:vAlign w:val="center"/>
                </w:tcPr>
                <w:p w14:paraId="2ECDC8A3">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336</w:t>
                  </w:r>
                </w:p>
              </w:tc>
              <w:tc>
                <w:tcPr>
                  <w:tcW w:w="631" w:type="pct"/>
                  <w:vAlign w:val="center"/>
                </w:tcPr>
                <w:p w14:paraId="6C259D20">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14:textFill>
                        <w14:solidFill>
                          <w14:schemeClr w14:val="tx1"/>
                        </w14:solidFill>
                      </w14:textFill>
                    </w:rPr>
                    <w:t>0.0</w:t>
                  </w:r>
                  <w:r>
                    <w:rPr>
                      <w:rFonts w:hint="eastAsia"/>
                      <w:color w:val="000000" w:themeColor="text1"/>
                      <w:kern w:val="0"/>
                      <w:szCs w:val="21"/>
                      <w:highlight w:val="none"/>
                      <w:lang w:val="en-US" w:eastAsia="zh-CN"/>
                      <w14:textFill>
                        <w14:solidFill>
                          <w14:schemeClr w14:val="tx1"/>
                        </w14:solidFill>
                      </w14:textFill>
                    </w:rPr>
                    <w:t>57</w:t>
                  </w:r>
                </w:p>
              </w:tc>
              <w:tc>
                <w:tcPr>
                  <w:tcW w:w="473" w:type="pct"/>
                  <w:vMerge w:val="continue"/>
                  <w:vAlign w:val="center"/>
                </w:tcPr>
                <w:p w14:paraId="17FB6145">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603C1D54">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73DF76F5">
                  <w:pPr>
                    <w:ind w:left="-105" w:leftChars="-50" w:right="-105" w:rightChars="-50"/>
                    <w:jc w:val="center"/>
                    <w:rPr>
                      <w:bCs/>
                      <w:color w:val="000000" w:themeColor="text1"/>
                      <w:szCs w:val="21"/>
                      <w:highlight w:val="none"/>
                      <w14:textFill>
                        <w14:solidFill>
                          <w14:schemeClr w14:val="tx1"/>
                        </w14:solidFill>
                      </w14:textFill>
                    </w:rPr>
                  </w:pPr>
                </w:p>
              </w:tc>
            </w:tr>
            <w:tr w14:paraId="77FF2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394DD800">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40A57D2C">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5A9DB1A4">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30046A5D">
                  <w:pPr>
                    <w:widowControl/>
                    <w:adjustRightInd w:val="0"/>
                    <w:snapToGrid w:val="0"/>
                    <w:ind w:left="-105" w:leftChars="-50" w:right="-105" w:rightChars="-50"/>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镉及其化合物（以Cd计）</w:t>
                  </w:r>
                </w:p>
              </w:tc>
              <w:tc>
                <w:tcPr>
                  <w:tcW w:w="1073" w:type="dxa"/>
                  <w:vAlign w:val="center"/>
                </w:tcPr>
                <w:p w14:paraId="4D69A56C">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0.0</w:t>
                  </w:r>
                  <w:r>
                    <w:rPr>
                      <w:rFonts w:hint="eastAsia"/>
                      <w:color w:val="000000" w:themeColor="text1"/>
                      <w:szCs w:val="21"/>
                      <w:highlight w:val="none"/>
                      <w:lang w:val="en-US" w:eastAsia="zh-CN"/>
                      <w14:textFill>
                        <w14:solidFill>
                          <w14:schemeClr w14:val="tx1"/>
                        </w14:solidFill>
                      </w14:textFill>
                    </w:rPr>
                    <w:t>26</w:t>
                  </w:r>
                </w:p>
              </w:tc>
              <w:tc>
                <w:tcPr>
                  <w:tcW w:w="631" w:type="pct"/>
                  <w:vAlign w:val="center"/>
                </w:tcPr>
                <w:p w14:paraId="0CD26143">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14:textFill>
                        <w14:solidFill>
                          <w14:schemeClr w14:val="tx1"/>
                        </w14:solidFill>
                      </w14:textFill>
                    </w:rPr>
                    <w:t>0.0</w:t>
                  </w:r>
                  <w:r>
                    <w:rPr>
                      <w:rFonts w:hint="eastAsia"/>
                      <w:color w:val="000000" w:themeColor="text1"/>
                      <w:kern w:val="0"/>
                      <w:szCs w:val="21"/>
                      <w:highlight w:val="none"/>
                      <w:lang w:val="en-US" w:eastAsia="zh-CN"/>
                      <w14:textFill>
                        <w14:solidFill>
                          <w14:schemeClr w14:val="tx1"/>
                        </w14:solidFill>
                      </w14:textFill>
                    </w:rPr>
                    <w:t>04</w:t>
                  </w:r>
                </w:p>
              </w:tc>
              <w:tc>
                <w:tcPr>
                  <w:tcW w:w="473" w:type="pct"/>
                  <w:vMerge w:val="continue"/>
                  <w:vAlign w:val="center"/>
                </w:tcPr>
                <w:p w14:paraId="201A7171">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4FB1911E">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4434EF53">
                  <w:pPr>
                    <w:ind w:left="-105" w:leftChars="-50" w:right="-105" w:rightChars="-50"/>
                    <w:jc w:val="center"/>
                    <w:rPr>
                      <w:bCs/>
                      <w:color w:val="000000" w:themeColor="text1"/>
                      <w:szCs w:val="21"/>
                      <w:highlight w:val="none"/>
                      <w14:textFill>
                        <w14:solidFill>
                          <w14:schemeClr w14:val="tx1"/>
                        </w14:solidFill>
                      </w14:textFill>
                    </w:rPr>
                  </w:pPr>
                </w:p>
              </w:tc>
            </w:tr>
            <w:tr w14:paraId="366CB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5122A63A">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4AA906BB">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4B5BD3E8">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6891924E">
                  <w:pPr>
                    <w:widowControl/>
                    <w:adjustRightInd w:val="0"/>
                    <w:snapToGrid w:val="0"/>
                    <w:ind w:left="-105" w:leftChars="-50" w:right="-105" w:rightChars="-50"/>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砷、铅、钴、铜、镍及其化合物（As+Pb+Co+Cu+Ni计）</w:t>
                  </w:r>
                </w:p>
              </w:tc>
              <w:tc>
                <w:tcPr>
                  <w:tcW w:w="1073" w:type="dxa"/>
                  <w:vAlign w:val="center"/>
                </w:tcPr>
                <w:p w14:paraId="77D1115C">
                  <w:pPr>
                    <w:spacing w:line="260" w:lineRule="exact"/>
                    <w:ind w:left="-63" w:leftChars="-30" w:right="-63" w:rightChars="-3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1.46</w:t>
                  </w:r>
                </w:p>
              </w:tc>
              <w:tc>
                <w:tcPr>
                  <w:tcW w:w="631" w:type="pct"/>
                  <w:vAlign w:val="center"/>
                </w:tcPr>
                <w:p w14:paraId="0A0FADF1">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0.248</w:t>
                  </w:r>
                </w:p>
              </w:tc>
              <w:tc>
                <w:tcPr>
                  <w:tcW w:w="473" w:type="pct"/>
                  <w:vMerge w:val="continue"/>
                  <w:vAlign w:val="center"/>
                </w:tcPr>
                <w:p w14:paraId="46A95F6E">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14FC9D47">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5BC828FC">
                  <w:pPr>
                    <w:ind w:left="-105" w:leftChars="-50" w:right="-105" w:rightChars="-50"/>
                    <w:jc w:val="center"/>
                    <w:rPr>
                      <w:bCs/>
                      <w:color w:val="000000" w:themeColor="text1"/>
                      <w:szCs w:val="21"/>
                      <w:highlight w:val="none"/>
                      <w14:textFill>
                        <w14:solidFill>
                          <w14:schemeClr w14:val="tx1"/>
                        </w14:solidFill>
                      </w14:textFill>
                    </w:rPr>
                  </w:pPr>
                </w:p>
              </w:tc>
            </w:tr>
            <w:tr w14:paraId="64E9F7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2440A7CB">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4C32E895">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15D2CFE7">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4C39F681">
                  <w:pPr>
                    <w:widowControl/>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氨</w:t>
                  </w:r>
                </w:p>
              </w:tc>
              <w:tc>
                <w:tcPr>
                  <w:tcW w:w="596" w:type="pct"/>
                  <w:vAlign w:val="center"/>
                </w:tcPr>
                <w:p w14:paraId="14A693C2">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14:textFill>
                        <w14:solidFill>
                          <w14:schemeClr w14:val="tx1"/>
                        </w14:solidFill>
                      </w14:textFill>
                    </w:rPr>
                    <w:t>0.</w:t>
                  </w:r>
                  <w:r>
                    <w:rPr>
                      <w:rFonts w:hint="eastAsia"/>
                      <w:color w:val="000000" w:themeColor="text1"/>
                      <w:kern w:val="0"/>
                      <w:szCs w:val="21"/>
                      <w:highlight w:val="none"/>
                      <w:lang w:val="en-US" w:eastAsia="zh-CN"/>
                      <w14:textFill>
                        <w14:solidFill>
                          <w14:schemeClr w14:val="tx1"/>
                        </w14:solidFill>
                      </w14:textFill>
                    </w:rPr>
                    <w:t>22</w:t>
                  </w:r>
                </w:p>
              </w:tc>
              <w:tc>
                <w:tcPr>
                  <w:tcW w:w="631" w:type="pct"/>
                  <w:vAlign w:val="center"/>
                </w:tcPr>
                <w:p w14:paraId="5A8DE838">
                  <w:pPr>
                    <w:ind w:left="-105" w:leftChars="-50" w:right="-105" w:rightChars="-50"/>
                    <w:jc w:val="center"/>
                    <w:rPr>
                      <w:rFonts w:hint="eastAsia" w:eastAsia="宋体"/>
                      <w:color w:val="000000" w:themeColor="text1"/>
                      <w:kern w:val="0"/>
                      <w:szCs w:val="21"/>
                      <w:highlight w:val="none"/>
                      <w:lang w:eastAsia="zh-CN"/>
                      <w14:textFill>
                        <w14:solidFill>
                          <w14:schemeClr w14:val="tx1"/>
                        </w14:solidFill>
                      </w14:textFill>
                    </w:rPr>
                  </w:pPr>
                  <w:r>
                    <w:rPr>
                      <w:rFonts w:hint="eastAsia"/>
                      <w:color w:val="000000" w:themeColor="text1"/>
                      <w:kern w:val="0"/>
                      <w:szCs w:val="21"/>
                      <w:highlight w:val="none"/>
                      <w14:textFill>
                        <w14:solidFill>
                          <w14:schemeClr w14:val="tx1"/>
                        </w14:solidFill>
                      </w14:textFill>
                    </w:rPr>
                    <w:t>0.03</w:t>
                  </w:r>
                  <w:r>
                    <w:rPr>
                      <w:rFonts w:hint="eastAsia"/>
                      <w:color w:val="000000" w:themeColor="text1"/>
                      <w:kern w:val="0"/>
                      <w:szCs w:val="21"/>
                      <w:highlight w:val="none"/>
                      <w:lang w:val="en-US" w:eastAsia="zh-CN"/>
                      <w14:textFill>
                        <w14:solidFill>
                          <w14:schemeClr w14:val="tx1"/>
                        </w14:solidFill>
                      </w14:textFill>
                    </w:rPr>
                    <w:t>8</w:t>
                  </w:r>
                </w:p>
              </w:tc>
              <w:tc>
                <w:tcPr>
                  <w:tcW w:w="473" w:type="pct"/>
                  <w:vMerge w:val="continue"/>
                  <w:vAlign w:val="center"/>
                </w:tcPr>
                <w:p w14:paraId="71C2B4D7">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73258E3E">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535330A4">
                  <w:pPr>
                    <w:ind w:left="-105" w:leftChars="-50" w:right="-105" w:rightChars="-50"/>
                    <w:jc w:val="center"/>
                    <w:rPr>
                      <w:bCs/>
                      <w:color w:val="000000" w:themeColor="text1"/>
                      <w:szCs w:val="21"/>
                      <w:highlight w:val="none"/>
                      <w14:textFill>
                        <w14:solidFill>
                          <w14:schemeClr w14:val="tx1"/>
                        </w14:solidFill>
                      </w14:textFill>
                    </w:rPr>
                  </w:pPr>
                </w:p>
              </w:tc>
            </w:tr>
            <w:tr w14:paraId="1EF3B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21EFE2AB">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345F0327">
                  <w:pPr>
                    <w:widowControl/>
                    <w:ind w:left="-105" w:leftChars="-50" w:right="-105" w:rightChars="-50"/>
                    <w:jc w:val="center"/>
                    <w:textAlignment w:val="center"/>
                    <w:rPr>
                      <w:color w:val="000000" w:themeColor="text1"/>
                      <w:szCs w:val="21"/>
                      <w:highlight w:val="none"/>
                      <w14:textFill>
                        <w14:solidFill>
                          <w14:schemeClr w14:val="tx1"/>
                        </w14:solidFill>
                      </w14:textFill>
                    </w:rPr>
                  </w:pPr>
                </w:p>
              </w:tc>
              <w:tc>
                <w:tcPr>
                  <w:tcW w:w="619" w:type="pct"/>
                  <w:vMerge w:val="continue"/>
                  <w:vAlign w:val="center"/>
                </w:tcPr>
                <w:p w14:paraId="3C0DE48D">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6B58372C">
                  <w:pPr>
                    <w:widowControl/>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硫化氢</w:t>
                  </w:r>
                </w:p>
              </w:tc>
              <w:tc>
                <w:tcPr>
                  <w:tcW w:w="596" w:type="pct"/>
                  <w:vAlign w:val="center"/>
                </w:tcPr>
                <w:p w14:paraId="2C1EE0FC">
                  <w:pPr>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0.005</w:t>
                  </w:r>
                </w:p>
              </w:tc>
              <w:tc>
                <w:tcPr>
                  <w:tcW w:w="631" w:type="pct"/>
                  <w:vAlign w:val="center"/>
                </w:tcPr>
                <w:p w14:paraId="4DBD6226">
                  <w:pPr>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0.00175</w:t>
                  </w:r>
                </w:p>
              </w:tc>
              <w:tc>
                <w:tcPr>
                  <w:tcW w:w="473" w:type="pct"/>
                  <w:vMerge w:val="continue"/>
                  <w:vAlign w:val="center"/>
                </w:tcPr>
                <w:p w14:paraId="6674F0D8">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4E848A6C">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33B26D35">
                  <w:pPr>
                    <w:ind w:left="-105" w:leftChars="-50" w:right="-105" w:rightChars="-50"/>
                    <w:jc w:val="center"/>
                    <w:rPr>
                      <w:bCs/>
                      <w:color w:val="000000" w:themeColor="text1"/>
                      <w:szCs w:val="21"/>
                      <w:highlight w:val="none"/>
                      <w14:textFill>
                        <w14:solidFill>
                          <w14:schemeClr w14:val="tx1"/>
                        </w14:solidFill>
                      </w14:textFill>
                    </w:rPr>
                  </w:pPr>
                </w:p>
              </w:tc>
            </w:tr>
            <w:tr w14:paraId="2FA0C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Align w:val="center"/>
                </w:tcPr>
                <w:p w14:paraId="12E90BBE">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3</w:t>
                  </w:r>
                </w:p>
              </w:tc>
              <w:tc>
                <w:tcPr>
                  <w:tcW w:w="623" w:type="pct"/>
                  <w:vAlign w:val="center"/>
                </w:tcPr>
                <w:p w14:paraId="7F6BFBE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窑车吹扫工序排气筒DA006</w:t>
                  </w:r>
                </w:p>
              </w:tc>
              <w:tc>
                <w:tcPr>
                  <w:tcW w:w="619" w:type="pct"/>
                  <w:vAlign w:val="center"/>
                </w:tcPr>
                <w:p w14:paraId="10CD5194">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布袋除尘器发生堵塞，未及时更换，除尘效率从9</w:t>
                  </w:r>
                  <w:r>
                    <w:rPr>
                      <w:rFonts w:hint="eastAsia"/>
                      <w:bCs/>
                      <w:color w:val="000000" w:themeColor="text1"/>
                      <w:szCs w:val="21"/>
                      <w:highlight w:val="none"/>
                      <w14:textFill>
                        <w14:solidFill>
                          <w14:schemeClr w14:val="tx1"/>
                        </w14:solidFill>
                      </w14:textFill>
                    </w:rPr>
                    <w:t>8</w:t>
                  </w:r>
                  <w:r>
                    <w:rPr>
                      <w:bCs/>
                      <w:color w:val="000000" w:themeColor="text1"/>
                      <w:szCs w:val="21"/>
                      <w:highlight w:val="none"/>
                      <w14:textFill>
                        <w14:solidFill>
                          <w14:schemeClr w14:val="tx1"/>
                        </w14:solidFill>
                      </w14:textFill>
                    </w:rPr>
                    <w:t>%降低到0%</w:t>
                  </w:r>
                </w:p>
              </w:tc>
              <w:tc>
                <w:tcPr>
                  <w:tcW w:w="653" w:type="pct"/>
                  <w:vAlign w:val="center"/>
                </w:tcPr>
                <w:p w14:paraId="0EE01273">
                  <w:pPr>
                    <w:widowControl/>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596" w:type="pct"/>
                  <w:vAlign w:val="center"/>
                </w:tcPr>
                <w:p w14:paraId="5B01B3E6">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73.98</w:t>
                  </w:r>
                </w:p>
              </w:tc>
              <w:tc>
                <w:tcPr>
                  <w:tcW w:w="631" w:type="pct"/>
                  <w:vAlign w:val="center"/>
                </w:tcPr>
                <w:p w14:paraId="1B92F0CD">
                  <w:pPr>
                    <w:ind w:left="-105" w:leftChars="-50" w:right="-105" w:rightChars="-5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0.888</w:t>
                  </w:r>
                </w:p>
              </w:tc>
              <w:tc>
                <w:tcPr>
                  <w:tcW w:w="473" w:type="pct"/>
                  <w:vAlign w:val="center"/>
                </w:tcPr>
                <w:p w14:paraId="1F89C0B9">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472" w:type="pct"/>
                  <w:vAlign w:val="center"/>
                </w:tcPr>
                <w:p w14:paraId="7847DC2F">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546" w:type="pct"/>
                  <w:vMerge w:val="continue"/>
                  <w:vAlign w:val="center"/>
                </w:tcPr>
                <w:p w14:paraId="7B79D6FC">
                  <w:pPr>
                    <w:ind w:left="-105" w:leftChars="-50" w:right="-105" w:rightChars="-50"/>
                    <w:jc w:val="center"/>
                    <w:rPr>
                      <w:bCs/>
                      <w:color w:val="000000" w:themeColor="text1"/>
                      <w:szCs w:val="21"/>
                      <w:highlight w:val="none"/>
                      <w14:textFill>
                        <w14:solidFill>
                          <w14:schemeClr w14:val="tx1"/>
                        </w14:solidFill>
                      </w14:textFill>
                    </w:rPr>
                  </w:pPr>
                </w:p>
              </w:tc>
            </w:tr>
            <w:tr w14:paraId="263DBD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restart"/>
                  <w:vAlign w:val="center"/>
                </w:tcPr>
                <w:p w14:paraId="6CA39987">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4</w:t>
                  </w:r>
                </w:p>
              </w:tc>
              <w:tc>
                <w:tcPr>
                  <w:tcW w:w="623" w:type="pct"/>
                  <w:vMerge w:val="restart"/>
                  <w:vAlign w:val="center"/>
                </w:tcPr>
                <w:p w14:paraId="1DBDB63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污泥储存料棚排气筒DA007</w:t>
                  </w:r>
                </w:p>
              </w:tc>
              <w:tc>
                <w:tcPr>
                  <w:tcW w:w="619" w:type="pct"/>
                  <w:vMerge w:val="restart"/>
                  <w:vAlign w:val="center"/>
                </w:tcPr>
                <w:p w14:paraId="1DA51C84">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隧道窑停产时</w:t>
                  </w:r>
                </w:p>
              </w:tc>
              <w:tc>
                <w:tcPr>
                  <w:tcW w:w="653" w:type="pct"/>
                  <w:vAlign w:val="center"/>
                </w:tcPr>
                <w:p w14:paraId="7FFF91F0">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氨</w:t>
                  </w:r>
                </w:p>
              </w:tc>
              <w:tc>
                <w:tcPr>
                  <w:tcW w:w="596" w:type="pct"/>
                  <w:vAlign w:val="center"/>
                </w:tcPr>
                <w:p w14:paraId="02219875">
                  <w:pPr>
                    <w:ind w:left="-105" w:leftChars="-50" w:right="-105" w:rightChars="-50"/>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0.72</w:t>
                  </w:r>
                </w:p>
              </w:tc>
              <w:tc>
                <w:tcPr>
                  <w:tcW w:w="631" w:type="pct"/>
                  <w:vAlign w:val="center"/>
                </w:tcPr>
                <w:p w14:paraId="1D99D77C">
                  <w:pPr>
                    <w:ind w:left="-105" w:leftChars="-50" w:right="-105" w:rightChars="-50"/>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0.0</w:t>
                  </w:r>
                  <w:r>
                    <w:rPr>
                      <w:rFonts w:hint="eastAsia"/>
                      <w:bCs/>
                      <w:color w:val="000000" w:themeColor="text1"/>
                      <w:szCs w:val="21"/>
                      <w:highlight w:val="none"/>
                      <w:lang w:val="en-US" w:eastAsia="zh-CN"/>
                      <w14:textFill>
                        <w14:solidFill>
                          <w14:schemeClr w14:val="tx1"/>
                        </w14:solidFill>
                      </w14:textFill>
                    </w:rPr>
                    <w:t>145</w:t>
                  </w:r>
                </w:p>
              </w:tc>
              <w:tc>
                <w:tcPr>
                  <w:tcW w:w="473" w:type="pct"/>
                  <w:vMerge w:val="restart"/>
                  <w:vAlign w:val="center"/>
                </w:tcPr>
                <w:p w14:paraId="66D3ADFD">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472" w:type="pct"/>
                  <w:vMerge w:val="restart"/>
                  <w:vAlign w:val="center"/>
                </w:tcPr>
                <w:p w14:paraId="3755C061">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p>
              </w:tc>
              <w:tc>
                <w:tcPr>
                  <w:tcW w:w="546" w:type="pct"/>
                  <w:vMerge w:val="continue"/>
                  <w:vAlign w:val="center"/>
                </w:tcPr>
                <w:p w14:paraId="516CE537">
                  <w:pPr>
                    <w:ind w:left="-105" w:leftChars="-50" w:right="-105" w:rightChars="-50"/>
                    <w:jc w:val="center"/>
                    <w:rPr>
                      <w:bCs/>
                      <w:color w:val="000000" w:themeColor="text1"/>
                      <w:szCs w:val="21"/>
                      <w:highlight w:val="none"/>
                      <w14:textFill>
                        <w14:solidFill>
                          <w14:schemeClr w14:val="tx1"/>
                        </w14:solidFill>
                      </w14:textFill>
                    </w:rPr>
                  </w:pPr>
                </w:p>
              </w:tc>
            </w:tr>
            <w:tr w14:paraId="08F27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68BE581C">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51A9EE46">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p>
              </w:tc>
              <w:tc>
                <w:tcPr>
                  <w:tcW w:w="619" w:type="pct"/>
                  <w:vMerge w:val="continue"/>
                  <w:vAlign w:val="center"/>
                </w:tcPr>
                <w:p w14:paraId="575A5C05">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6E10F3E7">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硫化氢</w:t>
                  </w:r>
                </w:p>
              </w:tc>
              <w:tc>
                <w:tcPr>
                  <w:tcW w:w="596" w:type="pct"/>
                  <w:vAlign w:val="center"/>
                </w:tcPr>
                <w:p w14:paraId="02681CA7">
                  <w:pPr>
                    <w:ind w:left="-105" w:leftChars="-50" w:right="-105" w:rightChars="-50"/>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0.0</w:t>
                  </w:r>
                  <w:r>
                    <w:rPr>
                      <w:rFonts w:hint="eastAsia"/>
                      <w:bCs/>
                      <w:color w:val="000000" w:themeColor="text1"/>
                      <w:szCs w:val="21"/>
                      <w:highlight w:val="none"/>
                      <w:lang w:val="en-US" w:eastAsia="zh-CN"/>
                      <w14:textFill>
                        <w14:solidFill>
                          <w14:schemeClr w14:val="tx1"/>
                        </w14:solidFill>
                      </w14:textFill>
                    </w:rPr>
                    <w:t>33</w:t>
                  </w:r>
                </w:p>
              </w:tc>
              <w:tc>
                <w:tcPr>
                  <w:tcW w:w="631" w:type="pct"/>
                  <w:vAlign w:val="center"/>
                </w:tcPr>
                <w:p w14:paraId="00A5AF39">
                  <w:pPr>
                    <w:ind w:left="-105" w:leftChars="-50" w:right="-105" w:rightChars="-50"/>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0.00</w:t>
                  </w:r>
                  <w:r>
                    <w:rPr>
                      <w:rFonts w:hint="eastAsia"/>
                      <w:bCs/>
                      <w:color w:val="000000" w:themeColor="text1"/>
                      <w:szCs w:val="21"/>
                      <w:highlight w:val="none"/>
                      <w:lang w:val="en-US" w:eastAsia="zh-CN"/>
                      <w14:textFill>
                        <w14:solidFill>
                          <w14:schemeClr w14:val="tx1"/>
                        </w14:solidFill>
                      </w14:textFill>
                    </w:rPr>
                    <w:t>067</w:t>
                  </w:r>
                </w:p>
              </w:tc>
              <w:tc>
                <w:tcPr>
                  <w:tcW w:w="473" w:type="pct"/>
                  <w:vMerge w:val="continue"/>
                  <w:vAlign w:val="center"/>
                </w:tcPr>
                <w:p w14:paraId="3F568CB7">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42CDB787">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625C08C1">
                  <w:pPr>
                    <w:ind w:left="-105" w:leftChars="-50" w:right="-105" w:rightChars="-50"/>
                    <w:jc w:val="center"/>
                    <w:rPr>
                      <w:bCs/>
                      <w:color w:val="000000" w:themeColor="text1"/>
                      <w:szCs w:val="21"/>
                      <w:highlight w:val="none"/>
                      <w14:textFill>
                        <w14:solidFill>
                          <w14:schemeClr w14:val="tx1"/>
                        </w14:solidFill>
                      </w14:textFill>
                    </w:rPr>
                  </w:pPr>
                </w:p>
              </w:tc>
            </w:tr>
            <w:tr w14:paraId="5015D4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87" w:type="pct"/>
                  <w:vMerge w:val="continue"/>
                  <w:vAlign w:val="center"/>
                </w:tcPr>
                <w:p w14:paraId="6CCA9C8E">
                  <w:pPr>
                    <w:ind w:left="-105" w:leftChars="-50" w:right="-105" w:rightChars="-50"/>
                    <w:jc w:val="center"/>
                    <w:rPr>
                      <w:bCs/>
                      <w:color w:val="000000" w:themeColor="text1"/>
                      <w:szCs w:val="21"/>
                      <w:highlight w:val="none"/>
                      <w14:textFill>
                        <w14:solidFill>
                          <w14:schemeClr w14:val="tx1"/>
                        </w14:solidFill>
                      </w14:textFill>
                    </w:rPr>
                  </w:pPr>
                </w:p>
              </w:tc>
              <w:tc>
                <w:tcPr>
                  <w:tcW w:w="623" w:type="pct"/>
                  <w:vMerge w:val="continue"/>
                  <w:vAlign w:val="center"/>
                </w:tcPr>
                <w:p w14:paraId="41C56BC2">
                  <w:pPr>
                    <w:widowControl/>
                    <w:ind w:left="-105" w:leftChars="-50" w:right="-105" w:rightChars="-50"/>
                    <w:jc w:val="center"/>
                    <w:textAlignment w:val="center"/>
                    <w:rPr>
                      <w:color w:val="000000" w:themeColor="text1"/>
                      <w:kern w:val="0"/>
                      <w:szCs w:val="21"/>
                      <w:highlight w:val="none"/>
                      <w14:textFill>
                        <w14:solidFill>
                          <w14:schemeClr w14:val="tx1"/>
                        </w14:solidFill>
                      </w14:textFill>
                    </w:rPr>
                  </w:pPr>
                </w:p>
              </w:tc>
              <w:tc>
                <w:tcPr>
                  <w:tcW w:w="619" w:type="pct"/>
                  <w:vMerge w:val="continue"/>
                  <w:vAlign w:val="center"/>
                </w:tcPr>
                <w:p w14:paraId="48FECD93">
                  <w:pPr>
                    <w:ind w:left="-105" w:leftChars="-50" w:right="-105" w:rightChars="-50"/>
                    <w:jc w:val="center"/>
                    <w:rPr>
                      <w:bCs/>
                      <w:color w:val="000000" w:themeColor="text1"/>
                      <w:szCs w:val="21"/>
                      <w:highlight w:val="none"/>
                      <w14:textFill>
                        <w14:solidFill>
                          <w14:schemeClr w14:val="tx1"/>
                        </w14:solidFill>
                      </w14:textFill>
                    </w:rPr>
                  </w:pPr>
                </w:p>
              </w:tc>
              <w:tc>
                <w:tcPr>
                  <w:tcW w:w="653" w:type="pct"/>
                  <w:vAlign w:val="center"/>
                </w:tcPr>
                <w:p w14:paraId="0903FE6A">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臭气浓度</w:t>
                  </w:r>
                </w:p>
              </w:tc>
              <w:tc>
                <w:tcPr>
                  <w:tcW w:w="596" w:type="pct"/>
                  <w:vAlign w:val="center"/>
                </w:tcPr>
                <w:p w14:paraId="3CA51329">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80（无量纲）</w:t>
                  </w:r>
                </w:p>
              </w:tc>
              <w:tc>
                <w:tcPr>
                  <w:tcW w:w="631" w:type="pct"/>
                  <w:vAlign w:val="center"/>
                </w:tcPr>
                <w:p w14:paraId="57715E58">
                  <w:pPr>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w:t>
                  </w:r>
                </w:p>
              </w:tc>
              <w:tc>
                <w:tcPr>
                  <w:tcW w:w="473" w:type="pct"/>
                  <w:vMerge w:val="continue"/>
                  <w:vAlign w:val="center"/>
                </w:tcPr>
                <w:p w14:paraId="026D8040">
                  <w:pPr>
                    <w:ind w:left="-105" w:leftChars="-50" w:right="-105" w:rightChars="-50"/>
                    <w:jc w:val="center"/>
                    <w:rPr>
                      <w:bCs/>
                      <w:color w:val="000000" w:themeColor="text1"/>
                      <w:szCs w:val="21"/>
                      <w:highlight w:val="none"/>
                      <w14:textFill>
                        <w14:solidFill>
                          <w14:schemeClr w14:val="tx1"/>
                        </w14:solidFill>
                      </w14:textFill>
                    </w:rPr>
                  </w:pPr>
                </w:p>
              </w:tc>
              <w:tc>
                <w:tcPr>
                  <w:tcW w:w="472" w:type="pct"/>
                  <w:vMerge w:val="continue"/>
                  <w:vAlign w:val="center"/>
                </w:tcPr>
                <w:p w14:paraId="56CD230B">
                  <w:pPr>
                    <w:ind w:left="-105" w:leftChars="-50" w:right="-105" w:rightChars="-50"/>
                    <w:jc w:val="center"/>
                    <w:rPr>
                      <w:bCs/>
                      <w:color w:val="000000" w:themeColor="text1"/>
                      <w:szCs w:val="21"/>
                      <w:highlight w:val="none"/>
                      <w14:textFill>
                        <w14:solidFill>
                          <w14:schemeClr w14:val="tx1"/>
                        </w14:solidFill>
                      </w14:textFill>
                    </w:rPr>
                  </w:pPr>
                </w:p>
              </w:tc>
              <w:tc>
                <w:tcPr>
                  <w:tcW w:w="546" w:type="pct"/>
                  <w:vMerge w:val="continue"/>
                  <w:vAlign w:val="center"/>
                </w:tcPr>
                <w:p w14:paraId="0E1128AD">
                  <w:pPr>
                    <w:ind w:left="-105" w:leftChars="-50" w:right="-105" w:rightChars="-50"/>
                    <w:jc w:val="center"/>
                    <w:rPr>
                      <w:bCs/>
                      <w:color w:val="000000" w:themeColor="text1"/>
                      <w:szCs w:val="21"/>
                      <w:highlight w:val="none"/>
                      <w14:textFill>
                        <w14:solidFill>
                          <w14:schemeClr w14:val="tx1"/>
                        </w14:solidFill>
                      </w14:textFill>
                    </w:rPr>
                  </w:pPr>
                </w:p>
              </w:tc>
            </w:tr>
          </w:tbl>
          <w:p w14:paraId="389D216C">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由上表分析可知，相较于正常排放，本项目非正常排放对环境空气影响较大。为防止非正常排放的发生，本项目拟采取加强设备维护，定期进行维修，可较大程度减少故障发生的可能性。</w:t>
            </w:r>
          </w:p>
          <w:p w14:paraId="44B5CC04">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如严格按照上述措施实施，严格操作、严格管理，基本可将非正常排放控制在低水平。</w:t>
            </w:r>
          </w:p>
          <w:p w14:paraId="2CE4AA9C">
            <w:pPr>
              <w:spacing w:line="480" w:lineRule="exact"/>
              <w:ind w:firstLine="466" w:firstLineChars="200"/>
              <w:jc w:val="left"/>
              <w:rPr>
                <w:rFonts w:hAnsi="宋体"/>
                <w:b/>
                <w:color w:val="000000" w:themeColor="text1"/>
                <w:spacing w:val="-4"/>
                <w:sz w:val="24"/>
                <w:highlight w:val="none"/>
                <w14:textFill>
                  <w14:solidFill>
                    <w14:schemeClr w14:val="tx1"/>
                  </w14:solidFill>
                </w14:textFill>
              </w:rPr>
            </w:pPr>
            <w:r>
              <w:rPr>
                <w:rFonts w:hint="eastAsia" w:hAnsi="宋体"/>
                <w:b/>
                <w:color w:val="000000" w:themeColor="text1"/>
                <w:spacing w:val="-4"/>
                <w:sz w:val="24"/>
                <w:highlight w:val="none"/>
                <w14:textFill>
                  <w14:solidFill>
                    <w14:schemeClr w14:val="tx1"/>
                  </w14:solidFill>
                </w14:textFill>
              </w:rPr>
              <w:t>1.5废气排放环境影响分析</w:t>
            </w:r>
          </w:p>
          <w:p w14:paraId="458C2137">
            <w:pPr>
              <w:spacing w:line="480" w:lineRule="exact"/>
              <w:ind w:firstLine="480" w:firstLineChars="200"/>
              <w:jc w:val="left"/>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本项目位于</w:t>
            </w:r>
            <w:r>
              <w:rPr>
                <w:color w:val="000000" w:themeColor="text1"/>
                <w:kern w:val="0"/>
                <w:sz w:val="24"/>
                <w:highlight w:val="none"/>
                <w14:textFill>
                  <w14:solidFill>
                    <w14:schemeClr w14:val="tx1"/>
                  </w14:solidFill>
                </w14:textFill>
              </w:rPr>
              <w:t>河北省唐山市</w:t>
            </w:r>
            <w:r>
              <w:rPr>
                <w:rFonts w:hint="eastAsia"/>
                <w:color w:val="000000" w:themeColor="text1"/>
                <w:kern w:val="0"/>
                <w:sz w:val="24"/>
                <w:highlight w:val="none"/>
                <w14:textFill>
                  <w14:solidFill>
                    <w14:schemeClr w14:val="tx1"/>
                  </w14:solidFill>
                </w14:textFill>
              </w:rPr>
              <w:t>滦州市响嘡街道田疃村西北侧</w:t>
            </w:r>
            <w:r>
              <w:rPr>
                <w:rFonts w:hint="eastAsia"/>
                <w:bCs/>
                <w:color w:val="000000" w:themeColor="text1"/>
                <w:sz w:val="24"/>
                <w:highlight w:val="none"/>
                <w14:textFill>
                  <w14:solidFill>
                    <w14:schemeClr w14:val="tx1"/>
                  </w14:solidFill>
                </w14:textFill>
              </w:rPr>
              <w:t>。项目所在区域环境空气质量不达标。</w:t>
            </w:r>
            <w:r>
              <w:rPr>
                <w:bCs/>
                <w:color w:val="000000" w:themeColor="text1"/>
                <w:sz w:val="24"/>
                <w:highlight w:val="none"/>
                <w14:textFill>
                  <w14:solidFill>
                    <w14:schemeClr w14:val="tx1"/>
                  </w14:solidFill>
                </w14:textFill>
              </w:rPr>
              <w:t>经工程分析及源强核算可知</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各污染物经相应治理措施治理后均能做到</w:t>
            </w:r>
            <w:r>
              <w:rPr>
                <w:rFonts w:hint="eastAsia"/>
                <w:bCs/>
                <w:color w:val="000000" w:themeColor="text1"/>
                <w:sz w:val="24"/>
                <w:highlight w:val="none"/>
                <w14:textFill>
                  <w14:solidFill>
                    <w14:schemeClr w14:val="tx1"/>
                  </w14:solidFill>
                </w14:textFill>
              </w:rPr>
              <w:t>稳定</w:t>
            </w:r>
            <w:r>
              <w:rPr>
                <w:bCs/>
                <w:color w:val="000000" w:themeColor="text1"/>
                <w:sz w:val="24"/>
                <w:highlight w:val="none"/>
                <w14:textFill>
                  <w14:solidFill>
                    <w14:schemeClr w14:val="tx1"/>
                  </w14:solidFill>
                </w14:textFill>
              </w:rPr>
              <w:t>达标排放。</w:t>
            </w:r>
            <w:r>
              <w:rPr>
                <w:rFonts w:hint="eastAsia"/>
                <w:bCs/>
                <w:color w:val="000000" w:themeColor="text1"/>
                <w:sz w:val="24"/>
                <w:highlight w:val="none"/>
                <w14:textFill>
                  <w14:solidFill>
                    <w14:schemeClr w14:val="tx1"/>
                  </w14:solidFill>
                </w14:textFill>
              </w:rPr>
              <w:t>运营</w:t>
            </w:r>
            <w:r>
              <w:rPr>
                <w:bCs/>
                <w:color w:val="000000" w:themeColor="text1"/>
                <w:sz w:val="24"/>
                <w:highlight w:val="none"/>
                <w14:textFill>
                  <w14:solidFill>
                    <w14:schemeClr w14:val="tx1"/>
                  </w14:solidFill>
                </w14:textFill>
              </w:rPr>
              <w:t>期，建设单位在加强各废气处理装置运营维护，确保各装置正常使用的情况下，本项目排放的废气不会对周边空气质量产生明显不利影响</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拟建项目实施后对大气环境产生的影响可接受。</w:t>
            </w:r>
          </w:p>
          <w:p w14:paraId="61AA2C30">
            <w:pPr>
              <w:spacing w:line="480" w:lineRule="exact"/>
              <w:ind w:firstLine="466" w:firstLineChars="200"/>
              <w:jc w:val="left"/>
              <w:rPr>
                <w:rFonts w:hAnsi="宋体"/>
                <w:b/>
                <w:color w:val="000000" w:themeColor="text1"/>
                <w:spacing w:val="-4"/>
                <w:sz w:val="24"/>
                <w:highlight w:val="none"/>
                <w14:textFill>
                  <w14:solidFill>
                    <w14:schemeClr w14:val="tx1"/>
                  </w14:solidFill>
                </w14:textFill>
              </w:rPr>
            </w:pPr>
            <w:r>
              <w:rPr>
                <w:rFonts w:hint="eastAsia" w:hAnsi="宋体"/>
                <w:b/>
                <w:color w:val="000000" w:themeColor="text1"/>
                <w:spacing w:val="-4"/>
                <w:sz w:val="24"/>
                <w:highlight w:val="none"/>
                <w14:textFill>
                  <w14:solidFill>
                    <w14:schemeClr w14:val="tx1"/>
                  </w14:solidFill>
                </w14:textFill>
              </w:rPr>
              <w:t>1.6废气排污口规范化及污染源监测要求</w:t>
            </w:r>
          </w:p>
          <w:p w14:paraId="1AFE051B">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⑴排污口规范化要求</w:t>
            </w:r>
          </w:p>
          <w:p w14:paraId="11E80F24">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排污口要设立标示管理，按照国家标准规定设立标志牌，根据排放口污染物的排放特点，设置提示性或警告性环境保护图形标志牌。一般污染源设置提示性标志牌。建设项目的污染源需设立提示性标志牌。</w:t>
            </w:r>
          </w:p>
          <w:p w14:paraId="703D1ACA">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废气排放口应按照国家有关规定，规范排气筒数量、高度。按照《固定污染源监测质量保证与质量控制技术规范（试行）》（</w:t>
            </w:r>
            <w:r>
              <w:rPr>
                <w:rFonts w:hAnsi="宋体"/>
                <w:color w:val="000000" w:themeColor="text1"/>
                <w:spacing w:val="-4"/>
                <w:sz w:val="24"/>
                <w:highlight w:val="none"/>
                <w14:textFill>
                  <w14:solidFill>
                    <w14:schemeClr w14:val="tx1"/>
                  </w14:solidFill>
                </w14:textFill>
              </w:rPr>
              <w:t>HJ/T373</w:t>
            </w:r>
            <w:r>
              <w:rPr>
                <w:rFonts w:hint="eastAsia" w:hAnsi="宋体"/>
                <w:color w:val="000000" w:themeColor="text1"/>
                <w:spacing w:val="-4"/>
                <w:sz w:val="24"/>
                <w:highlight w:val="none"/>
                <w14:textFill>
                  <w14:solidFill>
                    <w14:schemeClr w14:val="tx1"/>
                  </w14:solidFill>
                </w14:textFill>
              </w:rPr>
              <w:t>－</w:t>
            </w:r>
            <w:r>
              <w:rPr>
                <w:rFonts w:hAnsi="宋体"/>
                <w:color w:val="000000" w:themeColor="text1"/>
                <w:spacing w:val="-4"/>
                <w:sz w:val="24"/>
                <w:highlight w:val="none"/>
                <w14:textFill>
                  <w14:solidFill>
                    <w14:schemeClr w14:val="tx1"/>
                  </w14:solidFill>
                </w14:textFill>
              </w:rPr>
              <w:t>2007</w:t>
            </w:r>
            <w:r>
              <w:rPr>
                <w:rFonts w:hint="eastAsia" w:hAnsi="宋体"/>
                <w:color w:val="000000" w:themeColor="text1"/>
                <w:spacing w:val="-4"/>
                <w:sz w:val="24"/>
                <w:highlight w:val="none"/>
                <w14:textFill>
                  <w14:solidFill>
                    <w14:schemeClr w14:val="tx1"/>
                  </w14:solidFill>
                </w14:textFill>
              </w:rPr>
              <w:t>）及相关污染物监测采样要求，搭设采样监测平台，废气治理措施治理前、后预留监测孔，便于环境管理及监测部门的日常监督、检查及监测。隧道窑排放口已按要求安装在线监测设施。</w:t>
            </w:r>
          </w:p>
          <w:p w14:paraId="147D1FBD">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⑵废气污染源监测要求</w:t>
            </w:r>
          </w:p>
          <w:p w14:paraId="719AE043">
            <w:pPr>
              <w:spacing w:line="480" w:lineRule="exact"/>
              <w:ind w:firstLine="464" w:firstLineChars="200"/>
              <w:rPr>
                <w:rFonts w:hint="eastAsia"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根据《排污单位自行监测技术指南 总则》（HJ819-2017）、《排污单位自行监测技术指南 砖瓦工业》（HJ1254-2022）、《排污许可证申请与核发技术规范 陶瓷砖瓦工业》（HJ954-2018）确定本项目监测计划。本项目废气污染源监测要求见表4-8。</w:t>
            </w:r>
          </w:p>
          <w:p w14:paraId="2320ED6A">
            <w:pPr>
              <w:pStyle w:val="6"/>
              <w:rPr>
                <w:highlight w:val="none"/>
              </w:rPr>
            </w:pPr>
          </w:p>
          <w:p w14:paraId="3325DC56">
            <w:pPr>
              <w:pStyle w:val="18"/>
              <w:spacing w:line="480" w:lineRule="exact"/>
              <w:ind w:firstLine="1176" w:firstLineChars="490"/>
              <w:jc w:val="both"/>
              <w:rPr>
                <w:rFonts w:ascii="黑体" w:hAnsi="黑体" w:eastAsia="黑体"/>
                <w:b w:val="0"/>
                <w:color w:val="000000" w:themeColor="text1"/>
                <w:sz w:val="24"/>
                <w:szCs w:val="24"/>
                <w:highlight w:val="none"/>
                <w14:textFill>
                  <w14:solidFill>
                    <w14:schemeClr w14:val="tx1"/>
                  </w14:solidFill>
                </w14:textFill>
              </w:rPr>
            </w:pPr>
            <w:r>
              <w:rPr>
                <w:rFonts w:ascii="黑体" w:hAnsi="黑体" w:eastAsia="黑体"/>
                <w:b w:val="0"/>
                <w:color w:val="000000" w:themeColor="text1"/>
                <w:sz w:val="24"/>
                <w:szCs w:val="24"/>
                <w:highlight w:val="none"/>
                <w14:textFill>
                  <w14:solidFill>
                    <w14:schemeClr w14:val="tx1"/>
                  </w14:solidFill>
                </w14:textFill>
              </w:rPr>
              <w:t>表</w:t>
            </w:r>
            <w:r>
              <w:rPr>
                <w:rFonts w:hint="eastAsia" w:ascii="黑体" w:hAnsi="黑体" w:eastAsia="黑体"/>
                <w:b w:val="0"/>
                <w:color w:val="000000" w:themeColor="text1"/>
                <w:sz w:val="24"/>
                <w:szCs w:val="24"/>
                <w:highlight w:val="none"/>
                <w14:textFill>
                  <w14:solidFill>
                    <w14:schemeClr w14:val="tx1"/>
                  </w14:solidFill>
                </w14:textFill>
              </w:rPr>
              <w:t xml:space="preserve">4-8 </w:t>
            </w:r>
            <w:r>
              <w:rPr>
                <w:rFonts w:ascii="黑体" w:hAnsi="黑体" w:eastAsia="黑体"/>
                <w:b w:val="0"/>
                <w:color w:val="000000" w:themeColor="text1"/>
                <w:sz w:val="24"/>
                <w:szCs w:val="24"/>
                <w:highlight w:val="none"/>
                <w14:textFill>
                  <w14:solidFill>
                    <w14:schemeClr w14:val="tx1"/>
                  </w14:solidFill>
                </w14:textFill>
              </w:rPr>
              <w:t xml:space="preserve"> </w:t>
            </w:r>
            <w:r>
              <w:rPr>
                <w:rFonts w:hint="eastAsia" w:ascii="黑体" w:hAnsi="黑体" w:eastAsia="黑体"/>
                <w:b w:val="0"/>
                <w:color w:val="000000" w:themeColor="text1"/>
                <w:sz w:val="24"/>
                <w:szCs w:val="24"/>
                <w:highlight w:val="none"/>
                <w14:textFill>
                  <w14:solidFill>
                    <w14:schemeClr w14:val="tx1"/>
                  </w14:solidFill>
                </w14:textFill>
              </w:rPr>
              <w:t xml:space="preserve">        </w:t>
            </w:r>
            <w:r>
              <w:rPr>
                <w:rFonts w:ascii="黑体" w:hAnsi="黑体" w:eastAsia="黑体"/>
                <w:b w:val="0"/>
                <w:color w:val="000000" w:themeColor="text1"/>
                <w:sz w:val="24"/>
                <w:szCs w:val="24"/>
                <w:highlight w:val="none"/>
                <w14:textFill>
                  <w14:solidFill>
                    <w14:schemeClr w14:val="tx1"/>
                  </w14:solidFill>
                </w14:textFill>
              </w:rPr>
              <w:t xml:space="preserve">  </w:t>
            </w:r>
            <w:r>
              <w:rPr>
                <w:rFonts w:hint="eastAsia" w:ascii="黑体" w:hAnsi="黑体" w:eastAsia="黑体"/>
                <w:b w:val="0"/>
                <w:color w:val="000000" w:themeColor="text1"/>
                <w:sz w:val="24"/>
                <w:szCs w:val="24"/>
                <w:highlight w:val="none"/>
                <w14:textFill>
                  <w14:solidFill>
                    <w14:schemeClr w14:val="tx1"/>
                  </w14:solidFill>
                </w14:textFill>
              </w:rPr>
              <w:t>废气污染源</w:t>
            </w:r>
            <w:r>
              <w:rPr>
                <w:rFonts w:ascii="黑体" w:hAnsi="黑体" w:eastAsia="黑体"/>
                <w:b w:val="0"/>
                <w:color w:val="000000" w:themeColor="text1"/>
                <w:sz w:val="24"/>
                <w:szCs w:val="24"/>
                <w:highlight w:val="none"/>
                <w14:textFill>
                  <w14:solidFill>
                    <w14:schemeClr w14:val="tx1"/>
                  </w14:solidFill>
                </w14:textFill>
              </w:rPr>
              <w:t>监测计划一览表</w:t>
            </w:r>
          </w:p>
          <w:tbl>
            <w:tblPr>
              <w:tblStyle w:val="24"/>
              <w:tblW w:w="829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427"/>
              <w:gridCol w:w="3155"/>
              <w:gridCol w:w="1576"/>
              <w:gridCol w:w="1134"/>
            </w:tblGrid>
            <w:tr w14:paraId="3D5BB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Align w:val="center"/>
                </w:tcPr>
                <w:p w14:paraId="540BB14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监测项目</w:t>
                  </w:r>
                </w:p>
              </w:tc>
              <w:tc>
                <w:tcPr>
                  <w:tcW w:w="3155" w:type="dxa"/>
                  <w:vAlign w:val="center"/>
                </w:tcPr>
                <w:p w14:paraId="03DC67F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监测因子</w:t>
                  </w:r>
                </w:p>
              </w:tc>
              <w:tc>
                <w:tcPr>
                  <w:tcW w:w="1576" w:type="dxa"/>
                  <w:vAlign w:val="center"/>
                </w:tcPr>
                <w:p w14:paraId="56E1CB7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取样位置</w:t>
                  </w:r>
                </w:p>
              </w:tc>
              <w:tc>
                <w:tcPr>
                  <w:tcW w:w="1134" w:type="dxa"/>
                  <w:vAlign w:val="center"/>
                </w:tcPr>
                <w:p w14:paraId="2CC78ED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监测频率</w:t>
                  </w:r>
                </w:p>
              </w:tc>
            </w:tr>
            <w:tr w14:paraId="20A88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Align w:val="center"/>
                </w:tcPr>
                <w:p w14:paraId="16BD0C6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给料、破碎、筛分、搅拌工序废气排气筒DA00</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、DA00</w:t>
                  </w:r>
                  <w:r>
                    <w:rPr>
                      <w:rFonts w:hint="eastAsia"/>
                      <w:color w:val="000000" w:themeColor="text1"/>
                      <w:szCs w:val="21"/>
                      <w:highlight w:val="none"/>
                      <w14:textFill>
                        <w14:solidFill>
                          <w14:schemeClr w14:val="tx1"/>
                        </w14:solidFill>
                      </w14:textFill>
                    </w:rPr>
                    <w:t>2</w:t>
                  </w:r>
                </w:p>
              </w:tc>
              <w:tc>
                <w:tcPr>
                  <w:tcW w:w="3155" w:type="dxa"/>
                  <w:vAlign w:val="center"/>
                </w:tcPr>
                <w:p w14:paraId="1723AB08">
                  <w:pPr>
                    <w:widowControl/>
                    <w:adjustRightInd w:val="0"/>
                    <w:snapToGrid w:val="0"/>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1576" w:type="dxa"/>
                  <w:vAlign w:val="center"/>
                </w:tcPr>
                <w:p w14:paraId="292551B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0A90765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21417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restart"/>
                  <w:vAlign w:val="center"/>
                </w:tcPr>
                <w:p w14:paraId="4A18A6C3">
                  <w:pPr>
                    <w:adjustRightInd w:val="0"/>
                    <w:snapToGrid w:val="0"/>
                    <w:jc w:val="center"/>
                    <w:rPr>
                      <w:color w:val="000000" w:themeColor="text1"/>
                      <w:spacing w:val="7"/>
                      <w:szCs w:val="21"/>
                      <w:highlight w:val="none"/>
                      <w14:textFill>
                        <w14:solidFill>
                          <w14:schemeClr w14:val="tx1"/>
                        </w14:solidFill>
                      </w14:textFill>
                    </w:rPr>
                  </w:pPr>
                  <w:r>
                    <w:rPr>
                      <w:color w:val="000000" w:themeColor="text1"/>
                      <w:spacing w:val="7"/>
                      <w:szCs w:val="21"/>
                      <w:highlight w:val="none"/>
                      <w14:textFill>
                        <w14:solidFill>
                          <w14:schemeClr w14:val="tx1"/>
                        </w14:solidFill>
                      </w14:textFill>
                    </w:rPr>
                    <w:t>隧道窑烟气（DA00</w:t>
                  </w:r>
                  <w:r>
                    <w:rPr>
                      <w:rFonts w:hint="eastAsia"/>
                      <w:color w:val="000000" w:themeColor="text1"/>
                      <w:spacing w:val="7"/>
                      <w:szCs w:val="21"/>
                      <w:highlight w:val="none"/>
                      <w14:textFill>
                        <w14:solidFill>
                          <w14:schemeClr w14:val="tx1"/>
                        </w14:solidFill>
                      </w14:textFill>
                    </w:rPr>
                    <w:t>3</w:t>
                  </w:r>
                  <w:r>
                    <w:rPr>
                      <w:color w:val="000000" w:themeColor="text1"/>
                      <w:spacing w:val="7"/>
                      <w:szCs w:val="21"/>
                      <w:highlight w:val="none"/>
                      <w14:textFill>
                        <w14:solidFill>
                          <w14:schemeClr w14:val="tx1"/>
                        </w14:solidFill>
                      </w14:textFill>
                    </w:rPr>
                    <w:t>）</w:t>
                  </w:r>
                </w:p>
              </w:tc>
              <w:tc>
                <w:tcPr>
                  <w:tcW w:w="3155" w:type="dxa"/>
                  <w:vAlign w:val="center"/>
                </w:tcPr>
                <w:p w14:paraId="51677A2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1576" w:type="dxa"/>
                  <w:vAlign w:val="center"/>
                </w:tcPr>
                <w:p w14:paraId="3BAF892E">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08B1332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6226A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58A5E6C2">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122C69BB">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2</w:t>
                  </w:r>
                </w:p>
              </w:tc>
              <w:tc>
                <w:tcPr>
                  <w:tcW w:w="1576" w:type="dxa"/>
                  <w:vAlign w:val="center"/>
                </w:tcPr>
                <w:p w14:paraId="0AD6C50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52D7F3EB">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06D46A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6BEC5714">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7A74A90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NOx</w:t>
                  </w:r>
                </w:p>
              </w:tc>
              <w:tc>
                <w:tcPr>
                  <w:tcW w:w="1576" w:type="dxa"/>
                  <w:vAlign w:val="center"/>
                </w:tcPr>
                <w:p w14:paraId="768ED3F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1EA2112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6384C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0EE9F30E">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4DA841A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氟化物</w:t>
                  </w:r>
                </w:p>
              </w:tc>
              <w:tc>
                <w:tcPr>
                  <w:tcW w:w="1576" w:type="dxa"/>
                  <w:vAlign w:val="center"/>
                </w:tcPr>
                <w:p w14:paraId="0280E67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4E6193EB">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5E6474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1BEB6EF5">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13AF0FE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氯化氢</w:t>
                  </w:r>
                </w:p>
              </w:tc>
              <w:tc>
                <w:tcPr>
                  <w:tcW w:w="1576" w:type="dxa"/>
                  <w:vAlign w:val="center"/>
                </w:tcPr>
                <w:p w14:paraId="56E50A4E">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7D4736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423450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72EFB4FA">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4872B9D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二噁英</w:t>
                  </w:r>
                </w:p>
              </w:tc>
              <w:tc>
                <w:tcPr>
                  <w:tcW w:w="1576" w:type="dxa"/>
                  <w:vAlign w:val="center"/>
                </w:tcPr>
                <w:p w14:paraId="779D1FD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2203371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570F9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7BF7AB06">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21CB1E1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汞及其化合物（以Hg计）</w:t>
                  </w:r>
                </w:p>
              </w:tc>
              <w:tc>
                <w:tcPr>
                  <w:tcW w:w="1576" w:type="dxa"/>
                  <w:vAlign w:val="center"/>
                </w:tcPr>
                <w:p w14:paraId="6E8E591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7A75B8C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5AEA5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6A59FF03">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03C4500D">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镉、铊及其化合物</w:t>
                  </w:r>
                  <w:r>
                    <w:rPr>
                      <w:color w:val="000000" w:themeColor="text1"/>
                      <w:szCs w:val="21"/>
                      <w:highlight w:val="none"/>
                      <w14:textFill>
                        <w14:solidFill>
                          <w14:schemeClr w14:val="tx1"/>
                        </w14:solidFill>
                      </w14:textFill>
                    </w:rPr>
                    <w:t>（以Cd+Tl计）</w:t>
                  </w:r>
                </w:p>
              </w:tc>
              <w:tc>
                <w:tcPr>
                  <w:tcW w:w="1576" w:type="dxa"/>
                  <w:vAlign w:val="center"/>
                </w:tcPr>
                <w:p w14:paraId="4C2EA4D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516D5D5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64310F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443DF7AB">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1AADB6DF">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锑、砷、铅、铬、钴、铜、锰、镍及其化合物</w:t>
                  </w:r>
                  <w:r>
                    <w:rPr>
                      <w:color w:val="000000" w:themeColor="text1"/>
                      <w:szCs w:val="21"/>
                      <w:highlight w:val="none"/>
                      <w14:textFill>
                        <w14:solidFill>
                          <w14:schemeClr w14:val="tx1"/>
                        </w14:solidFill>
                      </w14:textFill>
                    </w:rPr>
                    <w:t>（以Sb+As+Pb+Cr+Co+Cu+Mn+Ni计）</w:t>
                  </w:r>
                </w:p>
              </w:tc>
              <w:tc>
                <w:tcPr>
                  <w:tcW w:w="1576" w:type="dxa"/>
                  <w:vAlign w:val="center"/>
                </w:tcPr>
                <w:p w14:paraId="1AA9F6C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30AB25B">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0313B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0F3009CE">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3F864AC4">
                  <w:pPr>
                    <w:widowControl/>
                    <w:adjustRightInd w:val="0"/>
                    <w:snapToGrid w:val="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氨</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逃逸</w:t>
                  </w:r>
                  <w:r>
                    <w:rPr>
                      <w:rFonts w:hint="eastAsia"/>
                      <w:color w:val="000000" w:themeColor="text1"/>
                      <w:szCs w:val="21"/>
                      <w:highlight w:val="none"/>
                      <w:lang w:eastAsia="zh-CN"/>
                      <w14:textFill>
                        <w14:solidFill>
                          <w14:schemeClr w14:val="tx1"/>
                        </w14:solidFill>
                      </w14:textFill>
                    </w:rPr>
                    <w:t>）</w:t>
                  </w:r>
                </w:p>
              </w:tc>
              <w:tc>
                <w:tcPr>
                  <w:tcW w:w="1576" w:type="dxa"/>
                  <w:vAlign w:val="center"/>
                </w:tcPr>
                <w:p w14:paraId="5622C72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43AA549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4B0637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57216F20">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4C3E53C5">
                  <w:pPr>
                    <w:widowControl/>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硫化氢</w:t>
                  </w:r>
                </w:p>
              </w:tc>
              <w:tc>
                <w:tcPr>
                  <w:tcW w:w="1576" w:type="dxa"/>
                  <w:vAlign w:val="center"/>
                </w:tcPr>
                <w:p w14:paraId="0E009F5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7FB0B3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435CE6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5FB3875C">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6F390D95">
                  <w:pPr>
                    <w:widowControl/>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臭气浓度</w:t>
                  </w:r>
                </w:p>
              </w:tc>
              <w:tc>
                <w:tcPr>
                  <w:tcW w:w="1576" w:type="dxa"/>
                  <w:vAlign w:val="center"/>
                </w:tcPr>
                <w:p w14:paraId="6AB003D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0A7EA12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14A302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restart"/>
                  <w:vAlign w:val="center"/>
                </w:tcPr>
                <w:p w14:paraId="01D6AFB5">
                  <w:pPr>
                    <w:adjustRightInd w:val="0"/>
                    <w:snapToGrid w:val="0"/>
                    <w:jc w:val="center"/>
                    <w:rPr>
                      <w:color w:val="000000" w:themeColor="text1"/>
                      <w:spacing w:val="7"/>
                      <w:szCs w:val="21"/>
                      <w:highlight w:val="none"/>
                      <w14:textFill>
                        <w14:solidFill>
                          <w14:schemeClr w14:val="tx1"/>
                        </w14:solidFill>
                      </w14:textFill>
                    </w:rPr>
                  </w:pPr>
                  <w:r>
                    <w:rPr>
                      <w:color w:val="000000" w:themeColor="text1"/>
                      <w:spacing w:val="7"/>
                      <w:szCs w:val="21"/>
                      <w:highlight w:val="none"/>
                      <w14:textFill>
                        <w14:solidFill>
                          <w14:schemeClr w14:val="tx1"/>
                        </w14:solidFill>
                      </w14:textFill>
                    </w:rPr>
                    <w:t>隧道窑烟气（DA00</w:t>
                  </w:r>
                  <w:r>
                    <w:rPr>
                      <w:rFonts w:hint="eastAsia"/>
                      <w:color w:val="000000" w:themeColor="text1"/>
                      <w:spacing w:val="7"/>
                      <w:szCs w:val="21"/>
                      <w:highlight w:val="none"/>
                      <w14:textFill>
                        <w14:solidFill>
                          <w14:schemeClr w14:val="tx1"/>
                        </w14:solidFill>
                      </w14:textFill>
                    </w:rPr>
                    <w:t>4</w:t>
                  </w:r>
                  <w:r>
                    <w:rPr>
                      <w:color w:val="000000" w:themeColor="text1"/>
                      <w:spacing w:val="7"/>
                      <w:szCs w:val="21"/>
                      <w:highlight w:val="none"/>
                      <w14:textFill>
                        <w14:solidFill>
                          <w14:schemeClr w14:val="tx1"/>
                        </w14:solidFill>
                      </w14:textFill>
                    </w:rPr>
                    <w:t>）</w:t>
                  </w:r>
                </w:p>
              </w:tc>
              <w:tc>
                <w:tcPr>
                  <w:tcW w:w="3155" w:type="dxa"/>
                  <w:vAlign w:val="center"/>
                </w:tcPr>
                <w:p w14:paraId="18F6B52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1576" w:type="dxa"/>
                  <w:vAlign w:val="center"/>
                </w:tcPr>
                <w:p w14:paraId="538B696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25F9DE6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04689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2D374B63">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1CDE730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2</w:t>
                  </w:r>
                </w:p>
              </w:tc>
              <w:tc>
                <w:tcPr>
                  <w:tcW w:w="1576" w:type="dxa"/>
                  <w:vAlign w:val="center"/>
                </w:tcPr>
                <w:p w14:paraId="35DC3AB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3C04522E">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734772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2F0FB5AC">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7DBADBE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NOx</w:t>
                  </w:r>
                </w:p>
              </w:tc>
              <w:tc>
                <w:tcPr>
                  <w:tcW w:w="1576" w:type="dxa"/>
                  <w:vAlign w:val="center"/>
                </w:tcPr>
                <w:p w14:paraId="1888524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081C029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3BB011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6F0C3401">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56CBC583">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氟化物</w:t>
                  </w:r>
                </w:p>
              </w:tc>
              <w:tc>
                <w:tcPr>
                  <w:tcW w:w="1576" w:type="dxa"/>
                  <w:vAlign w:val="center"/>
                </w:tcPr>
                <w:p w14:paraId="2AA7C78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EEF255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2A4A32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4E54669B">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4750384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氯化氢</w:t>
                  </w:r>
                </w:p>
              </w:tc>
              <w:tc>
                <w:tcPr>
                  <w:tcW w:w="1576" w:type="dxa"/>
                  <w:vAlign w:val="center"/>
                </w:tcPr>
                <w:p w14:paraId="3D4C2B5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E430F5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6DC7C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2486614C">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4A57242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二噁英</w:t>
                  </w:r>
                </w:p>
              </w:tc>
              <w:tc>
                <w:tcPr>
                  <w:tcW w:w="1576" w:type="dxa"/>
                  <w:vAlign w:val="center"/>
                </w:tcPr>
                <w:p w14:paraId="639525D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2AF24BC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12C8D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7F353388">
                  <w:pPr>
                    <w:adjustRightInd w:val="0"/>
                    <w:snapToGrid w:val="0"/>
                    <w:jc w:val="center"/>
                    <w:rPr>
                      <w:color w:val="000000" w:themeColor="text1"/>
                      <w:spacing w:val="7"/>
                      <w:szCs w:val="21"/>
                      <w:highlight w:val="none"/>
                      <w14:textFill>
                        <w14:solidFill>
                          <w14:schemeClr w14:val="tx1"/>
                        </w14:solidFill>
                      </w14:textFill>
                    </w:rPr>
                  </w:pPr>
                </w:p>
              </w:tc>
              <w:tc>
                <w:tcPr>
                  <w:tcW w:w="3155" w:type="dxa"/>
                  <w:shd w:val="clear" w:color="auto" w:fill="auto"/>
                  <w:vAlign w:val="center"/>
                </w:tcPr>
                <w:p w14:paraId="7191CD2E">
                  <w:pPr>
                    <w:widowControl/>
                    <w:adjustRightInd w:val="0"/>
                    <w:snapToGrid w:val="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氨</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逃逸</w:t>
                  </w:r>
                  <w:r>
                    <w:rPr>
                      <w:rFonts w:hint="eastAsia"/>
                      <w:color w:val="000000" w:themeColor="text1"/>
                      <w:szCs w:val="21"/>
                      <w:highlight w:val="none"/>
                      <w:lang w:eastAsia="zh-CN"/>
                      <w14:textFill>
                        <w14:solidFill>
                          <w14:schemeClr w14:val="tx1"/>
                        </w14:solidFill>
                      </w14:textFill>
                    </w:rPr>
                    <w:t>）</w:t>
                  </w:r>
                </w:p>
              </w:tc>
              <w:tc>
                <w:tcPr>
                  <w:tcW w:w="1576" w:type="dxa"/>
                  <w:shd w:val="clear" w:color="auto" w:fill="auto"/>
                  <w:vAlign w:val="center"/>
                </w:tcPr>
                <w:p w14:paraId="67D3EE12">
                  <w:pPr>
                    <w:adjustRightInd w:val="0"/>
                    <w:snapToGrid w:val="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shd w:val="clear" w:color="auto" w:fill="auto"/>
                  <w:vAlign w:val="center"/>
                </w:tcPr>
                <w:p w14:paraId="47B8C4B7">
                  <w:pPr>
                    <w:adjustRightInd w:val="0"/>
                    <w:snapToGrid w:val="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在线监测</w:t>
                  </w:r>
                </w:p>
              </w:tc>
            </w:tr>
            <w:tr w14:paraId="5A72D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2AFBAF28">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336B7A5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汞及其化合物（以Hg计）</w:t>
                  </w:r>
                </w:p>
              </w:tc>
              <w:tc>
                <w:tcPr>
                  <w:tcW w:w="1576" w:type="dxa"/>
                  <w:vAlign w:val="center"/>
                </w:tcPr>
                <w:p w14:paraId="67270F1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7C6CD8A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5139F2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7E6D3A1A">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19A0A37F">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镉、铊及其化合物</w:t>
                  </w:r>
                  <w:r>
                    <w:rPr>
                      <w:color w:val="000000" w:themeColor="text1"/>
                      <w:szCs w:val="21"/>
                      <w:highlight w:val="none"/>
                      <w14:textFill>
                        <w14:solidFill>
                          <w14:schemeClr w14:val="tx1"/>
                        </w14:solidFill>
                      </w14:textFill>
                    </w:rPr>
                    <w:t>（以Cd+Tl计）</w:t>
                  </w:r>
                </w:p>
              </w:tc>
              <w:tc>
                <w:tcPr>
                  <w:tcW w:w="1576" w:type="dxa"/>
                  <w:vAlign w:val="center"/>
                </w:tcPr>
                <w:p w14:paraId="1A82BDD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42D581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19A00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47F8139B">
                  <w:pPr>
                    <w:adjustRightInd w:val="0"/>
                    <w:snapToGrid w:val="0"/>
                    <w:jc w:val="center"/>
                    <w:rPr>
                      <w:color w:val="000000" w:themeColor="text1"/>
                      <w:spacing w:val="7"/>
                      <w:szCs w:val="21"/>
                      <w:highlight w:val="none"/>
                      <w14:textFill>
                        <w14:solidFill>
                          <w14:schemeClr w14:val="tx1"/>
                        </w14:solidFill>
                      </w14:textFill>
                    </w:rPr>
                  </w:pPr>
                </w:p>
              </w:tc>
              <w:tc>
                <w:tcPr>
                  <w:tcW w:w="3155" w:type="dxa"/>
                  <w:vAlign w:val="center"/>
                </w:tcPr>
                <w:p w14:paraId="0E85691E">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锑、砷、铅、铬、钴、铜、锰、镍及其化合物</w:t>
                  </w:r>
                  <w:r>
                    <w:rPr>
                      <w:color w:val="000000" w:themeColor="text1"/>
                      <w:szCs w:val="21"/>
                      <w:highlight w:val="none"/>
                      <w14:textFill>
                        <w14:solidFill>
                          <w14:schemeClr w14:val="tx1"/>
                        </w14:solidFill>
                      </w14:textFill>
                    </w:rPr>
                    <w:t>（以Sb+As+Pb+Cr+Co+Cu+Mn+Ni计）</w:t>
                  </w:r>
                </w:p>
              </w:tc>
              <w:tc>
                <w:tcPr>
                  <w:tcW w:w="1576" w:type="dxa"/>
                  <w:vAlign w:val="center"/>
                </w:tcPr>
                <w:p w14:paraId="5F47989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685BE80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4F609B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2" w:hRule="atLeast"/>
                <w:jc w:val="center"/>
              </w:trPr>
              <w:tc>
                <w:tcPr>
                  <w:tcW w:w="2427" w:type="dxa"/>
                  <w:vAlign w:val="center"/>
                </w:tcPr>
                <w:p w14:paraId="6D19436C">
                  <w:pPr>
                    <w:adjustRightInd w:val="0"/>
                    <w:snapToGrid w:val="0"/>
                    <w:jc w:val="center"/>
                    <w:rPr>
                      <w:color w:val="000000" w:themeColor="text1"/>
                      <w:spacing w:val="7"/>
                      <w:szCs w:val="21"/>
                      <w:highlight w:val="none"/>
                      <w14:textFill>
                        <w14:solidFill>
                          <w14:schemeClr w14:val="tx1"/>
                        </w14:solidFill>
                      </w14:textFill>
                    </w:rPr>
                  </w:pPr>
                  <w:r>
                    <w:rPr>
                      <w:color w:val="000000" w:themeColor="text1"/>
                      <w:szCs w:val="21"/>
                      <w:highlight w:val="none"/>
                      <w14:textFill>
                        <w14:solidFill>
                          <w14:schemeClr w14:val="tx1"/>
                        </w14:solidFill>
                      </w14:textFill>
                    </w:rPr>
                    <w:t>窑车吹扫工序废气排气筒DA005、DA006</w:t>
                  </w:r>
                </w:p>
              </w:tc>
              <w:tc>
                <w:tcPr>
                  <w:tcW w:w="3155" w:type="dxa"/>
                  <w:vAlign w:val="center"/>
                </w:tcPr>
                <w:p w14:paraId="7160FACF">
                  <w:pPr>
                    <w:widowControl/>
                    <w:adjustRightInd w:val="0"/>
                    <w:snapToGrid w:val="0"/>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1576" w:type="dxa"/>
                  <w:vAlign w:val="center"/>
                </w:tcPr>
                <w:p w14:paraId="5EADB57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0814ADF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5736B4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restart"/>
                  <w:vAlign w:val="center"/>
                </w:tcPr>
                <w:p w14:paraId="2152DE5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污泥储存料棚恶臭气体排气筒DA007</w:t>
                  </w:r>
                </w:p>
              </w:tc>
              <w:tc>
                <w:tcPr>
                  <w:tcW w:w="3155" w:type="dxa"/>
                  <w:vAlign w:val="center"/>
                </w:tcPr>
                <w:p w14:paraId="6CC00B3D">
                  <w:pPr>
                    <w:widowControl/>
                    <w:adjustRightInd w:val="0"/>
                    <w:snapToGrid w:val="0"/>
                    <w:jc w:val="center"/>
                    <w:rPr>
                      <w:color w:val="000000" w:themeColor="text1"/>
                      <w:szCs w:val="21"/>
                      <w:highlight w:val="none"/>
                      <w:vertAlign w:val="subscript"/>
                      <w14:textFill>
                        <w14:solidFill>
                          <w14:schemeClr w14:val="tx1"/>
                        </w14:solidFill>
                      </w14:textFill>
                    </w:rPr>
                  </w:pPr>
                  <w:r>
                    <w:rPr>
                      <w:color w:val="000000" w:themeColor="text1"/>
                      <w:szCs w:val="21"/>
                      <w:highlight w:val="none"/>
                      <w14:textFill>
                        <w14:solidFill>
                          <w14:schemeClr w14:val="tx1"/>
                        </w14:solidFill>
                      </w14:textFill>
                    </w:rPr>
                    <w:t>NH</w:t>
                  </w:r>
                  <w:r>
                    <w:rPr>
                      <w:color w:val="000000" w:themeColor="text1"/>
                      <w:szCs w:val="21"/>
                      <w:highlight w:val="none"/>
                      <w:vertAlign w:val="subscript"/>
                      <w14:textFill>
                        <w14:solidFill>
                          <w14:schemeClr w14:val="tx1"/>
                        </w14:solidFill>
                      </w14:textFill>
                    </w:rPr>
                    <w:t>3</w:t>
                  </w:r>
                </w:p>
              </w:tc>
              <w:tc>
                <w:tcPr>
                  <w:tcW w:w="1576" w:type="dxa"/>
                  <w:vAlign w:val="center"/>
                </w:tcPr>
                <w:p w14:paraId="6CDADD5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178D0D0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4D32C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065040FE">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359CF6F4">
                  <w:pPr>
                    <w:widowControl/>
                    <w:adjustRightInd w:val="0"/>
                    <w:snapToGrid w:val="0"/>
                    <w:jc w:val="center"/>
                    <w:rPr>
                      <w:color w:val="000000" w:themeColor="text1"/>
                      <w:szCs w:val="21"/>
                      <w:highlight w:val="none"/>
                      <w:vertAlign w:val="subscript"/>
                      <w14:textFill>
                        <w14:solidFill>
                          <w14:schemeClr w14:val="tx1"/>
                        </w14:solidFill>
                      </w14:textFill>
                    </w:rPr>
                  </w:pPr>
                  <w:r>
                    <w:rPr>
                      <w:color w:val="000000" w:themeColor="text1"/>
                      <w:szCs w:val="21"/>
                      <w:highlight w:val="none"/>
                      <w14:textFill>
                        <w14:solidFill>
                          <w14:schemeClr w14:val="tx1"/>
                        </w14:solidFill>
                      </w14:textFill>
                    </w:rPr>
                    <w:t>H</w:t>
                  </w:r>
                  <w:r>
                    <w:rPr>
                      <w:color w:val="000000" w:themeColor="text1"/>
                      <w:szCs w:val="21"/>
                      <w:highlight w:val="none"/>
                      <w:vertAlign w:val="subscript"/>
                      <w14:textFill>
                        <w14:solidFill>
                          <w14:schemeClr w14:val="tx1"/>
                        </w14:solidFill>
                      </w14:textFill>
                    </w:rPr>
                    <w:t>2</w:t>
                  </w:r>
                  <w:r>
                    <w:rPr>
                      <w:color w:val="000000" w:themeColor="text1"/>
                      <w:szCs w:val="21"/>
                      <w:highlight w:val="none"/>
                      <w14:textFill>
                        <w14:solidFill>
                          <w14:schemeClr w14:val="tx1"/>
                        </w14:solidFill>
                      </w14:textFill>
                    </w:rPr>
                    <w:t>S</w:t>
                  </w:r>
                </w:p>
              </w:tc>
              <w:tc>
                <w:tcPr>
                  <w:tcW w:w="1576" w:type="dxa"/>
                  <w:vAlign w:val="center"/>
                </w:tcPr>
                <w:p w14:paraId="127B33A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364209F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2EB40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09DBC35A">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39CFE0C8">
                  <w:pPr>
                    <w:widowControl/>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臭气浓度</w:t>
                  </w:r>
                </w:p>
              </w:tc>
              <w:tc>
                <w:tcPr>
                  <w:tcW w:w="1576" w:type="dxa"/>
                  <w:vAlign w:val="center"/>
                </w:tcPr>
                <w:p w14:paraId="3F4B1F4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排气筒采样口</w:t>
                  </w:r>
                </w:p>
              </w:tc>
              <w:tc>
                <w:tcPr>
                  <w:tcW w:w="1134" w:type="dxa"/>
                  <w:vAlign w:val="center"/>
                </w:tcPr>
                <w:p w14:paraId="7D5C4AE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1次/半年</w:t>
                  </w:r>
                </w:p>
              </w:tc>
            </w:tr>
            <w:tr w14:paraId="7F1093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restart"/>
                  <w:vAlign w:val="center"/>
                </w:tcPr>
                <w:p w14:paraId="1C3DF23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3155" w:type="dxa"/>
                  <w:vAlign w:val="center"/>
                </w:tcPr>
                <w:p w14:paraId="4FFBC08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p>
              </w:tc>
              <w:tc>
                <w:tcPr>
                  <w:tcW w:w="1576" w:type="dxa"/>
                  <w:vAlign w:val="center"/>
                </w:tcPr>
                <w:p w14:paraId="0C0A435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1134" w:type="dxa"/>
                  <w:vAlign w:val="center"/>
                </w:tcPr>
                <w:p w14:paraId="67E6F18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4B355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2BE8C57E">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5BFD40A1">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二氧化硫</w:t>
                  </w:r>
                </w:p>
              </w:tc>
              <w:tc>
                <w:tcPr>
                  <w:tcW w:w="1576" w:type="dxa"/>
                  <w:vAlign w:val="center"/>
                </w:tcPr>
                <w:p w14:paraId="390FCCD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1134" w:type="dxa"/>
                  <w:vAlign w:val="center"/>
                </w:tcPr>
                <w:p w14:paraId="6C5197C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493738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789547CC">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6A47ECA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氟化物</w:t>
                  </w:r>
                </w:p>
              </w:tc>
              <w:tc>
                <w:tcPr>
                  <w:tcW w:w="1576" w:type="dxa"/>
                  <w:vAlign w:val="center"/>
                </w:tcPr>
                <w:p w14:paraId="733F922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1134" w:type="dxa"/>
                  <w:vAlign w:val="center"/>
                </w:tcPr>
                <w:p w14:paraId="7A97A86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480DBB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08AE5C35">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176B5E3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氨</w:t>
                  </w:r>
                </w:p>
              </w:tc>
              <w:tc>
                <w:tcPr>
                  <w:tcW w:w="1576" w:type="dxa"/>
                  <w:vAlign w:val="center"/>
                </w:tcPr>
                <w:p w14:paraId="41C1BA4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1134" w:type="dxa"/>
                  <w:vAlign w:val="center"/>
                </w:tcPr>
                <w:p w14:paraId="2FBBF553">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78754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05DDCA08">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3B60764E">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硫化氢</w:t>
                  </w:r>
                </w:p>
              </w:tc>
              <w:tc>
                <w:tcPr>
                  <w:tcW w:w="1576" w:type="dxa"/>
                  <w:vAlign w:val="center"/>
                </w:tcPr>
                <w:p w14:paraId="53903A18">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1134" w:type="dxa"/>
                  <w:vAlign w:val="center"/>
                </w:tcPr>
                <w:p w14:paraId="36DAEF3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r w14:paraId="48B8D8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2427" w:type="dxa"/>
                  <w:vMerge w:val="continue"/>
                  <w:vAlign w:val="center"/>
                </w:tcPr>
                <w:p w14:paraId="73DF0355">
                  <w:pPr>
                    <w:adjustRightInd w:val="0"/>
                    <w:snapToGrid w:val="0"/>
                    <w:jc w:val="center"/>
                    <w:rPr>
                      <w:color w:val="000000" w:themeColor="text1"/>
                      <w:szCs w:val="21"/>
                      <w:highlight w:val="none"/>
                      <w14:textFill>
                        <w14:solidFill>
                          <w14:schemeClr w14:val="tx1"/>
                        </w14:solidFill>
                      </w14:textFill>
                    </w:rPr>
                  </w:pPr>
                </w:p>
              </w:tc>
              <w:tc>
                <w:tcPr>
                  <w:tcW w:w="3155" w:type="dxa"/>
                  <w:vAlign w:val="center"/>
                </w:tcPr>
                <w:p w14:paraId="4ACAF49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臭气浓度</w:t>
                  </w:r>
                </w:p>
              </w:tc>
              <w:tc>
                <w:tcPr>
                  <w:tcW w:w="1576" w:type="dxa"/>
                  <w:vAlign w:val="center"/>
                </w:tcPr>
                <w:p w14:paraId="4E7B6A3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w:t>
                  </w:r>
                </w:p>
              </w:tc>
              <w:tc>
                <w:tcPr>
                  <w:tcW w:w="1134" w:type="dxa"/>
                  <w:vAlign w:val="center"/>
                </w:tcPr>
                <w:p w14:paraId="4DAB7D9C">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1次/年</w:t>
                  </w:r>
                </w:p>
              </w:tc>
            </w:tr>
          </w:tbl>
          <w:p w14:paraId="46BDF645">
            <w:pPr>
              <w:pStyle w:val="10"/>
              <w:spacing w:line="480" w:lineRule="exact"/>
              <w:ind w:left="0" w:leftChars="0" w:right="0" w:rightChars="0" w:firstLine="464" w:firstLineChars="200"/>
              <w:rPr>
                <w:rFonts w:hint="eastAsia"/>
                <w:color w:val="000000" w:themeColor="text1"/>
                <w:spacing w:val="-4"/>
                <w:sz w:val="24"/>
                <w:highlight w:val="none"/>
                <w14:textFill>
                  <w14:solidFill>
                    <w14:schemeClr w14:val="tx1"/>
                  </w14:solidFill>
                </w14:textFill>
              </w:rPr>
            </w:pPr>
            <w:r>
              <w:rPr>
                <w:rFonts w:hint="eastAsia"/>
                <w:color w:val="000000" w:themeColor="text1"/>
                <w:spacing w:val="-4"/>
                <w:sz w:val="24"/>
                <w:highlight w:val="none"/>
                <w:lang w:val="en-US" w:eastAsia="zh-CN"/>
                <w14:textFill>
                  <w14:solidFill>
                    <w14:schemeClr w14:val="tx1"/>
                  </w14:solidFill>
                </w14:textFill>
              </w:rPr>
              <w:t>污染源自动监控设施的维修、更换，必须在48小时内恢复自动监控设施正常运行。</w:t>
            </w:r>
            <w:r>
              <w:rPr>
                <w:rFonts w:hint="eastAsia"/>
                <w:color w:val="000000" w:themeColor="text1"/>
                <w:spacing w:val="-4"/>
                <w:sz w:val="24"/>
                <w:highlight w:val="none"/>
                <w14:textFill>
                  <w14:solidFill>
                    <w14:schemeClr w14:val="tx1"/>
                  </w14:solidFill>
                </w14:textFill>
              </w:rPr>
              <w:t>设施不能正常运行期间，要采取人工采样监测的方式报送数据，数据报送每天不少于4次，间隔不得超过6小时。</w:t>
            </w:r>
          </w:p>
          <w:p w14:paraId="02FDB88A">
            <w:pPr>
              <w:spacing w:line="480" w:lineRule="exact"/>
              <w:jc w:val="left"/>
              <w:rPr>
                <w:rFonts w:hAnsi="宋体"/>
                <w:b/>
                <w:color w:val="000000" w:themeColor="text1"/>
                <w:spacing w:val="-4"/>
                <w:sz w:val="24"/>
                <w:highlight w:val="none"/>
                <w14:textFill>
                  <w14:solidFill>
                    <w14:schemeClr w14:val="tx1"/>
                  </w14:solidFill>
                </w14:textFill>
              </w:rPr>
            </w:pPr>
            <w:r>
              <w:rPr>
                <w:rFonts w:hint="eastAsia" w:hAnsi="宋体"/>
                <w:b/>
                <w:color w:val="000000" w:themeColor="text1"/>
                <w:spacing w:val="-4"/>
                <w:sz w:val="24"/>
                <w:highlight w:val="none"/>
                <w14:textFill>
                  <w14:solidFill>
                    <w14:schemeClr w14:val="tx1"/>
                  </w14:solidFill>
                </w14:textFill>
              </w:rPr>
              <w:t xml:space="preserve">2 </w:t>
            </w:r>
            <w:r>
              <w:rPr>
                <w:rFonts w:hAnsi="宋体"/>
                <w:b/>
                <w:color w:val="000000" w:themeColor="text1"/>
                <w:spacing w:val="-4"/>
                <w:sz w:val="24"/>
                <w:highlight w:val="none"/>
                <w14:textFill>
                  <w14:solidFill>
                    <w14:schemeClr w14:val="tx1"/>
                  </w14:solidFill>
                </w14:textFill>
              </w:rPr>
              <w:t>废水</w:t>
            </w:r>
          </w:p>
          <w:p w14:paraId="56514B64">
            <w:pPr>
              <w:pStyle w:val="10"/>
              <w:spacing w:line="480" w:lineRule="exact"/>
              <w:ind w:left="0" w:leftChars="0" w:right="0" w:rightChars="0" w:firstLine="466" w:firstLineChars="200"/>
              <w:rPr>
                <w:color w:val="000000" w:themeColor="text1"/>
                <w:spacing w:val="-4"/>
                <w:sz w:val="24"/>
                <w:highlight w:val="none"/>
                <w14:textFill>
                  <w14:solidFill>
                    <w14:schemeClr w14:val="tx1"/>
                  </w14:solidFill>
                </w14:textFill>
              </w:rPr>
            </w:pPr>
            <w:r>
              <w:rPr>
                <w:b/>
                <w:color w:val="000000" w:themeColor="text1"/>
                <w:spacing w:val="-4"/>
                <w:sz w:val="24"/>
                <w:highlight w:val="none"/>
                <w14:textFill>
                  <w14:solidFill>
                    <w14:schemeClr w14:val="tx1"/>
                  </w14:solidFill>
                </w14:textFill>
              </w:rPr>
              <w:t>2.1废水污染物排放信息</w:t>
            </w:r>
          </w:p>
          <w:p w14:paraId="0BA3B271">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根据项目水平衡分析可知，</w:t>
            </w:r>
            <w:r>
              <w:rPr>
                <w:rFonts w:hint="eastAsia"/>
                <w:color w:val="000000" w:themeColor="text1"/>
                <w:spacing w:val="-4"/>
                <w:sz w:val="24"/>
                <w:highlight w:val="none"/>
                <w14:textFill>
                  <w14:solidFill>
                    <w14:schemeClr w14:val="tx1"/>
                  </w14:solidFill>
                </w14:textFill>
              </w:rPr>
              <w:t>改扩建项目</w:t>
            </w:r>
            <w:r>
              <w:rPr>
                <w:color w:val="000000" w:themeColor="text1"/>
                <w:spacing w:val="-4"/>
                <w:sz w:val="24"/>
                <w:highlight w:val="none"/>
                <w14:textFill>
                  <w14:solidFill>
                    <w14:schemeClr w14:val="tx1"/>
                  </w14:solidFill>
                </w14:textFill>
              </w:rPr>
              <w:t>废水主要为生活污水、生产废水。</w:t>
            </w:r>
          </w:p>
          <w:p w14:paraId="402D0D23">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职工生活污水主要为盥洗废水，水质简单，产生量小，全部用于厂区内泼洒抑尘，不外排。</w:t>
            </w:r>
            <w:r>
              <w:rPr>
                <w:rFonts w:hint="eastAsia"/>
                <w:color w:val="000000" w:themeColor="text1"/>
                <w:spacing w:val="-4"/>
                <w:sz w:val="24"/>
                <w:highlight w:val="none"/>
                <w14:textFill>
                  <w14:solidFill>
                    <w14:schemeClr w14:val="tx1"/>
                  </w14:solidFill>
                </w14:textFill>
              </w:rPr>
              <w:t>生产废水主要包括设备清洗废水、洗车平台废水、脱硫废水。</w:t>
            </w:r>
          </w:p>
          <w:p w14:paraId="16CC0E6A">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设备清洗废水经沉淀池沉淀后回用于设备清洗，不外排；</w:t>
            </w:r>
            <w:r>
              <w:rPr>
                <w:rFonts w:hint="eastAsia"/>
                <w:color w:val="000000" w:themeColor="text1"/>
                <w:spacing w:val="-4"/>
                <w:sz w:val="24"/>
                <w:highlight w:val="none"/>
                <w14:textFill>
                  <w14:solidFill>
                    <w14:schemeClr w14:val="tx1"/>
                  </w14:solidFill>
                </w14:textFill>
              </w:rPr>
              <w:t>洗车平台</w:t>
            </w:r>
            <w:r>
              <w:rPr>
                <w:color w:val="000000" w:themeColor="text1"/>
                <w:spacing w:val="-4"/>
                <w:sz w:val="24"/>
                <w:highlight w:val="none"/>
                <w14:textFill>
                  <w14:solidFill>
                    <w14:schemeClr w14:val="tx1"/>
                  </w14:solidFill>
                </w14:textFill>
              </w:rPr>
              <w:t>废水经沉淀池沉淀后</w:t>
            </w:r>
            <w:r>
              <w:rPr>
                <w:rFonts w:hint="eastAsia"/>
                <w:color w:val="000000" w:themeColor="text1"/>
                <w:spacing w:val="-4"/>
                <w:sz w:val="24"/>
                <w:highlight w:val="none"/>
                <w14:textFill>
                  <w14:solidFill>
                    <w14:schemeClr w14:val="tx1"/>
                  </w14:solidFill>
                </w14:textFill>
              </w:rPr>
              <w:t>回用于洗车</w:t>
            </w:r>
            <w:r>
              <w:rPr>
                <w:color w:val="000000" w:themeColor="text1"/>
                <w:spacing w:val="-4"/>
                <w:sz w:val="24"/>
                <w:highlight w:val="none"/>
                <w14:textFill>
                  <w14:solidFill>
                    <w14:schemeClr w14:val="tx1"/>
                  </w14:solidFill>
                </w14:textFill>
              </w:rPr>
              <w:t>，不外排。脱硫废水经脱硫池沉淀后回用于脱硫，不外排。</w:t>
            </w:r>
          </w:p>
          <w:p w14:paraId="09512F7D">
            <w:pPr>
              <w:pStyle w:val="10"/>
              <w:spacing w:line="480" w:lineRule="exact"/>
              <w:ind w:left="0" w:leftChars="0" w:right="0" w:rightChars="0" w:firstLine="466" w:firstLineChars="200"/>
              <w:rPr>
                <w:b/>
                <w:color w:val="000000" w:themeColor="text1"/>
                <w:spacing w:val="-4"/>
                <w:sz w:val="24"/>
                <w:highlight w:val="none"/>
                <w14:textFill>
                  <w14:solidFill>
                    <w14:schemeClr w14:val="tx1"/>
                  </w14:solidFill>
                </w14:textFill>
              </w:rPr>
            </w:pPr>
            <w:r>
              <w:rPr>
                <w:b/>
                <w:color w:val="000000" w:themeColor="text1"/>
                <w:spacing w:val="-4"/>
                <w:sz w:val="24"/>
                <w:highlight w:val="none"/>
                <w14:textFill>
                  <w14:solidFill>
                    <w14:schemeClr w14:val="tx1"/>
                  </w14:solidFill>
                </w14:textFill>
              </w:rPr>
              <w:t>2.2废水排放的环境影响分析</w:t>
            </w:r>
          </w:p>
          <w:p w14:paraId="166188B0">
            <w:pPr>
              <w:pStyle w:val="10"/>
              <w:spacing w:line="480" w:lineRule="exact"/>
              <w:ind w:left="0" w:leftChars="0" w:right="0" w:rightChars="0" w:firstLine="464" w:firstLineChars="200"/>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综上，本项目</w:t>
            </w:r>
            <w:r>
              <w:rPr>
                <w:rFonts w:hint="eastAsia"/>
                <w:color w:val="000000" w:themeColor="text1"/>
                <w:spacing w:val="-4"/>
                <w:sz w:val="24"/>
                <w:highlight w:val="none"/>
                <w14:textFill>
                  <w14:solidFill>
                    <w14:schemeClr w14:val="tx1"/>
                  </w14:solidFill>
                </w14:textFill>
              </w:rPr>
              <w:t>设备清洗废水、</w:t>
            </w:r>
            <w:r>
              <w:rPr>
                <w:color w:val="000000" w:themeColor="text1"/>
                <w:spacing w:val="-4"/>
                <w:sz w:val="24"/>
                <w:highlight w:val="none"/>
                <w14:textFill>
                  <w14:solidFill>
                    <w14:schemeClr w14:val="tx1"/>
                  </w14:solidFill>
                </w14:textFill>
              </w:rPr>
              <w:t>洗车</w:t>
            </w:r>
            <w:r>
              <w:rPr>
                <w:rFonts w:hint="eastAsia"/>
                <w:color w:val="000000" w:themeColor="text1"/>
                <w:spacing w:val="-4"/>
                <w:sz w:val="24"/>
                <w:highlight w:val="none"/>
                <w14:textFill>
                  <w14:solidFill>
                    <w14:schemeClr w14:val="tx1"/>
                  </w14:solidFill>
                </w14:textFill>
              </w:rPr>
              <w:t>平台</w:t>
            </w:r>
            <w:r>
              <w:rPr>
                <w:color w:val="000000" w:themeColor="text1"/>
                <w:spacing w:val="-4"/>
                <w:sz w:val="24"/>
                <w:highlight w:val="none"/>
                <w14:textFill>
                  <w14:solidFill>
                    <w14:schemeClr w14:val="tx1"/>
                  </w14:solidFill>
                </w14:textFill>
              </w:rPr>
              <w:t>废水、</w:t>
            </w:r>
            <w:r>
              <w:rPr>
                <w:rFonts w:hint="eastAsia"/>
                <w:color w:val="000000" w:themeColor="text1"/>
                <w:spacing w:val="-4"/>
                <w:sz w:val="24"/>
                <w:highlight w:val="none"/>
                <w14:textFill>
                  <w14:solidFill>
                    <w14:schemeClr w14:val="tx1"/>
                  </w14:solidFill>
                </w14:textFill>
              </w:rPr>
              <w:t>脱硫</w:t>
            </w:r>
            <w:r>
              <w:rPr>
                <w:color w:val="000000" w:themeColor="text1"/>
                <w:spacing w:val="-4"/>
                <w:sz w:val="24"/>
                <w:highlight w:val="none"/>
                <w14:textFill>
                  <w14:solidFill>
                    <w14:schemeClr w14:val="tx1"/>
                  </w14:solidFill>
                </w14:textFill>
              </w:rPr>
              <w:t>废水全部循环利用，不外排；生活污水全部用于厂区内泼洒抑尘。</w:t>
            </w:r>
            <w:r>
              <w:rPr>
                <w:rFonts w:hint="eastAsia"/>
                <w:color w:val="000000" w:themeColor="text1"/>
                <w:spacing w:val="-4"/>
                <w:sz w:val="24"/>
                <w:highlight w:val="none"/>
                <w14:textFill>
                  <w14:solidFill>
                    <w14:schemeClr w14:val="tx1"/>
                  </w14:solidFill>
                </w14:textFill>
              </w:rPr>
              <w:t>项目建成后，全厂无生产、生活</w:t>
            </w:r>
            <w:r>
              <w:rPr>
                <w:color w:val="000000" w:themeColor="text1"/>
                <w:spacing w:val="-4"/>
                <w:sz w:val="24"/>
                <w:highlight w:val="none"/>
                <w14:textFill>
                  <w14:solidFill>
                    <w14:schemeClr w14:val="tx1"/>
                  </w14:solidFill>
                </w14:textFill>
              </w:rPr>
              <w:t>废水外排环境，不会对地表水环境产生影响。</w:t>
            </w:r>
          </w:p>
          <w:p w14:paraId="5E92B1FC">
            <w:pPr>
              <w:spacing w:line="500" w:lineRule="exac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 噪声</w:t>
            </w:r>
          </w:p>
          <w:p w14:paraId="095C7856">
            <w:pPr>
              <w:spacing w:line="500" w:lineRule="exact"/>
              <w:ind w:firstLine="472" w:firstLineChars="200"/>
              <w:rPr>
                <w:color w:val="000000" w:themeColor="text1"/>
                <w:spacing w:val="-2"/>
                <w:sz w:val="24"/>
                <w:highlight w:val="none"/>
                <w14:textFill>
                  <w14:solidFill>
                    <w14:schemeClr w14:val="tx1"/>
                  </w14:solidFill>
                </w14:textFill>
              </w:rPr>
            </w:pPr>
            <w:r>
              <w:rPr>
                <w:rFonts w:hint="eastAsia"/>
                <w:color w:val="000000" w:themeColor="text1"/>
                <w:spacing w:val="-2"/>
                <w:sz w:val="24"/>
                <w:highlight w:val="none"/>
                <w14:textFill>
                  <w14:solidFill>
                    <w14:schemeClr w14:val="tx1"/>
                  </w14:solidFill>
                </w14:textFill>
              </w:rPr>
              <w:t>本项目将部分生产设备进行更换，提高设备生产能力，利用部分原有设备。本次改扩建项目对全厂主要噪声源进行预测。本项目</w:t>
            </w:r>
            <w:r>
              <w:rPr>
                <w:color w:val="000000" w:themeColor="text1"/>
                <w:spacing w:val="-2"/>
                <w:sz w:val="24"/>
                <w:highlight w:val="none"/>
                <w14:textFill>
                  <w14:solidFill>
                    <w14:schemeClr w14:val="tx1"/>
                  </w14:solidFill>
                </w14:textFill>
              </w:rPr>
              <w:t>噪声主要为</w:t>
            </w:r>
            <w:r>
              <w:rPr>
                <w:rFonts w:hint="eastAsia"/>
                <w:color w:val="000000" w:themeColor="text1"/>
                <w:spacing w:val="-2"/>
                <w:sz w:val="24"/>
                <w:highlight w:val="none"/>
                <w14:textFill>
                  <w14:solidFill>
                    <w14:schemeClr w14:val="tx1"/>
                  </w14:solidFill>
                </w14:textFill>
              </w:rPr>
              <w:t>给料机、颚式破碎机、锤式破碎机、圆滚筛、搅拌机、</w:t>
            </w:r>
            <w:r>
              <w:rPr>
                <w:bCs/>
                <w:color w:val="000000" w:themeColor="text1"/>
                <w:spacing w:val="-2"/>
                <w:sz w:val="24"/>
                <w:highlight w:val="none"/>
                <w14:textFill>
                  <w14:solidFill>
                    <w14:schemeClr w14:val="tx1"/>
                  </w14:solidFill>
                </w14:textFill>
              </w:rPr>
              <w:t>真空挤出机、自动切条切坯机、自动码坯机</w:t>
            </w:r>
            <w:r>
              <w:rPr>
                <w:rFonts w:hint="eastAsia"/>
                <w:bCs/>
                <w:color w:val="000000" w:themeColor="text1"/>
                <w:spacing w:val="-2"/>
                <w:sz w:val="24"/>
                <w:highlight w:val="none"/>
                <w14:textFill>
                  <w14:solidFill>
                    <w14:schemeClr w14:val="tx1"/>
                  </w14:solidFill>
                </w14:textFill>
              </w:rPr>
              <w:t>、风机、空压机</w:t>
            </w:r>
            <w:r>
              <w:rPr>
                <w:rFonts w:hint="eastAsia"/>
                <w:color w:val="000000" w:themeColor="text1"/>
                <w:spacing w:val="-2"/>
                <w:sz w:val="24"/>
                <w:highlight w:val="none"/>
                <w14:textFill>
                  <w14:solidFill>
                    <w14:schemeClr w14:val="tx1"/>
                  </w14:solidFill>
                </w14:textFill>
              </w:rPr>
              <w:t>等设备</w:t>
            </w:r>
            <w:r>
              <w:rPr>
                <w:color w:val="000000" w:themeColor="text1"/>
                <w:spacing w:val="-2"/>
                <w:sz w:val="24"/>
                <w:highlight w:val="none"/>
                <w14:textFill>
                  <w14:solidFill>
                    <w14:schemeClr w14:val="tx1"/>
                  </w14:solidFill>
                </w14:textFill>
              </w:rPr>
              <w:t>运行时的噪声，源强为</w:t>
            </w:r>
            <w:r>
              <w:rPr>
                <w:rFonts w:hint="eastAsia"/>
                <w:color w:val="000000" w:themeColor="text1"/>
                <w:spacing w:val="-2"/>
                <w:sz w:val="24"/>
                <w:highlight w:val="none"/>
                <w14:textFill>
                  <w14:solidFill>
                    <w14:schemeClr w14:val="tx1"/>
                  </w14:solidFill>
                </w14:textFill>
              </w:rPr>
              <w:t>70~95</w:t>
            </w:r>
            <w:r>
              <w:rPr>
                <w:color w:val="000000" w:themeColor="text1"/>
                <w:spacing w:val="-2"/>
                <w:sz w:val="24"/>
                <w:highlight w:val="none"/>
                <w14:textFill>
                  <w14:solidFill>
                    <w14:schemeClr w14:val="tx1"/>
                  </w14:solidFill>
                </w14:textFill>
              </w:rPr>
              <w:t>dB(A)。项目</w:t>
            </w:r>
            <w:r>
              <w:rPr>
                <w:rFonts w:hint="eastAsia"/>
                <w:color w:val="000000" w:themeColor="text1"/>
                <w:spacing w:val="-2"/>
                <w:sz w:val="24"/>
                <w:highlight w:val="none"/>
                <w14:textFill>
                  <w14:solidFill>
                    <w14:schemeClr w14:val="tx1"/>
                  </w14:solidFill>
                </w14:textFill>
              </w:rPr>
              <w:t>优先选用低噪声设备，</w:t>
            </w:r>
            <w:r>
              <w:rPr>
                <w:color w:val="000000" w:themeColor="text1"/>
                <w:spacing w:val="-2"/>
                <w:sz w:val="24"/>
                <w:highlight w:val="none"/>
                <w14:textFill>
                  <w14:solidFill>
                    <w14:schemeClr w14:val="tx1"/>
                  </w14:solidFill>
                </w14:textFill>
              </w:rPr>
              <w:t>将</w:t>
            </w:r>
            <w:r>
              <w:rPr>
                <w:rFonts w:hint="eastAsia"/>
                <w:color w:val="000000" w:themeColor="text1"/>
                <w:spacing w:val="-2"/>
                <w:sz w:val="24"/>
                <w:highlight w:val="none"/>
                <w14:textFill>
                  <w14:solidFill>
                    <w14:schemeClr w14:val="tx1"/>
                  </w14:solidFill>
                </w14:textFill>
              </w:rPr>
              <w:t>主要</w:t>
            </w:r>
            <w:r>
              <w:rPr>
                <w:color w:val="000000" w:themeColor="text1"/>
                <w:spacing w:val="-2"/>
                <w:sz w:val="24"/>
                <w:highlight w:val="none"/>
                <w14:textFill>
                  <w14:solidFill>
                    <w14:schemeClr w14:val="tx1"/>
                  </w14:solidFill>
                </w14:textFill>
              </w:rPr>
              <w:t>设备布置在</w:t>
            </w:r>
            <w:r>
              <w:rPr>
                <w:rFonts w:hint="eastAsia"/>
                <w:color w:val="000000" w:themeColor="text1"/>
                <w:spacing w:val="-2"/>
                <w:sz w:val="24"/>
                <w:highlight w:val="none"/>
                <w14:textFill>
                  <w14:solidFill>
                    <w14:schemeClr w14:val="tx1"/>
                  </w14:solidFill>
                </w14:textFill>
              </w:rPr>
              <w:t>封闭生产车间</w:t>
            </w:r>
            <w:r>
              <w:rPr>
                <w:color w:val="000000" w:themeColor="text1"/>
                <w:spacing w:val="-2"/>
                <w:sz w:val="24"/>
                <w:highlight w:val="none"/>
                <w14:textFill>
                  <w14:solidFill>
                    <w14:schemeClr w14:val="tx1"/>
                  </w14:solidFill>
                </w14:textFill>
              </w:rPr>
              <w:t>内</w:t>
            </w:r>
            <w:r>
              <w:rPr>
                <w:rFonts w:hint="eastAsia"/>
                <w:color w:val="000000" w:themeColor="text1"/>
                <w:spacing w:val="-2"/>
                <w:sz w:val="24"/>
                <w:highlight w:val="none"/>
                <w14:textFill>
                  <w14:solidFill>
                    <w14:schemeClr w14:val="tx1"/>
                  </w14:solidFill>
                </w14:textFill>
              </w:rPr>
              <w:t>。车间为双层彩钢结构，振动</w:t>
            </w:r>
            <w:r>
              <w:rPr>
                <w:color w:val="000000" w:themeColor="text1"/>
                <w:spacing w:val="-2"/>
                <w:sz w:val="24"/>
                <w:highlight w:val="none"/>
                <w14:textFill>
                  <w14:solidFill>
                    <w14:schemeClr w14:val="tx1"/>
                  </w14:solidFill>
                </w14:textFill>
              </w:rPr>
              <w:t>设备加装</w:t>
            </w:r>
            <w:r>
              <w:rPr>
                <w:rFonts w:hint="eastAsia"/>
                <w:color w:val="000000" w:themeColor="text1"/>
                <w:spacing w:val="-2"/>
                <w:sz w:val="24"/>
                <w:highlight w:val="none"/>
                <w14:textFill>
                  <w14:solidFill>
                    <w14:schemeClr w14:val="tx1"/>
                  </w14:solidFill>
                </w14:textFill>
              </w:rPr>
              <w:t>减振</w:t>
            </w:r>
            <w:r>
              <w:rPr>
                <w:color w:val="000000" w:themeColor="text1"/>
                <w:spacing w:val="-2"/>
                <w:sz w:val="24"/>
                <w:highlight w:val="none"/>
                <w14:textFill>
                  <w14:solidFill>
                    <w14:schemeClr w14:val="tx1"/>
                  </w14:solidFill>
                </w14:textFill>
              </w:rPr>
              <w:t>基础</w:t>
            </w:r>
            <w:r>
              <w:rPr>
                <w:rFonts w:hint="eastAsia"/>
                <w:color w:val="000000" w:themeColor="text1"/>
                <w:spacing w:val="-2"/>
                <w:sz w:val="24"/>
                <w:highlight w:val="none"/>
                <w14:textFill>
                  <w14:solidFill>
                    <w14:schemeClr w14:val="tx1"/>
                  </w14:solidFill>
                </w14:textFill>
              </w:rPr>
              <w:t>，可</w:t>
            </w:r>
            <w:r>
              <w:rPr>
                <w:color w:val="000000" w:themeColor="text1"/>
                <w:spacing w:val="-2"/>
                <w:sz w:val="24"/>
                <w:highlight w:val="none"/>
                <w14:textFill>
                  <w14:solidFill>
                    <w14:schemeClr w14:val="tx1"/>
                  </w14:solidFill>
                </w14:textFill>
              </w:rPr>
              <w:t>综合降噪</w:t>
            </w:r>
            <w:r>
              <w:rPr>
                <w:rFonts w:hint="eastAsia"/>
                <w:color w:val="000000" w:themeColor="text1"/>
                <w:spacing w:val="-2"/>
                <w:sz w:val="24"/>
                <w:highlight w:val="none"/>
                <w14:textFill>
                  <w14:solidFill>
                    <w14:schemeClr w14:val="tx1"/>
                  </w14:solidFill>
                </w14:textFill>
              </w:rPr>
              <w:t>20-25</w:t>
            </w:r>
            <w:r>
              <w:rPr>
                <w:color w:val="000000" w:themeColor="text1"/>
                <w:spacing w:val="-2"/>
                <w:sz w:val="24"/>
                <w:highlight w:val="none"/>
                <w14:textFill>
                  <w14:solidFill>
                    <w14:schemeClr w14:val="tx1"/>
                  </w14:solidFill>
                </w14:textFill>
              </w:rPr>
              <w:t>dB(A)</w:t>
            </w:r>
            <w:r>
              <w:rPr>
                <w:rFonts w:hint="eastAsia"/>
                <w:color w:val="000000" w:themeColor="text1"/>
                <w:spacing w:val="-2"/>
                <w:sz w:val="24"/>
                <w:highlight w:val="none"/>
                <w14:textFill>
                  <w14:solidFill>
                    <w14:schemeClr w14:val="tx1"/>
                  </w14:solidFill>
                </w14:textFill>
              </w:rPr>
              <w:t>。项目</w:t>
            </w:r>
            <w:r>
              <w:rPr>
                <w:color w:val="000000" w:themeColor="text1"/>
                <w:spacing w:val="-2"/>
                <w:sz w:val="24"/>
                <w:highlight w:val="none"/>
                <w14:textFill>
                  <w14:solidFill>
                    <w14:schemeClr w14:val="tx1"/>
                  </w14:solidFill>
                </w14:textFill>
              </w:rPr>
              <w:t>噪声源源强</w:t>
            </w:r>
            <w:r>
              <w:rPr>
                <w:rFonts w:hint="eastAsia"/>
                <w:color w:val="000000" w:themeColor="text1"/>
                <w:spacing w:val="-2"/>
                <w:sz w:val="24"/>
                <w:highlight w:val="none"/>
                <w14:textFill>
                  <w14:solidFill>
                    <w14:schemeClr w14:val="tx1"/>
                  </w14:solidFill>
                </w14:textFill>
              </w:rPr>
              <w:t>调查清单</w:t>
            </w:r>
            <w:r>
              <w:rPr>
                <w:color w:val="000000" w:themeColor="text1"/>
                <w:spacing w:val="-2"/>
                <w:sz w:val="24"/>
                <w:highlight w:val="none"/>
                <w14:textFill>
                  <w14:solidFill>
                    <w14:schemeClr w14:val="tx1"/>
                  </w14:solidFill>
                </w14:textFill>
              </w:rPr>
              <w:t>见表</w:t>
            </w:r>
            <w:r>
              <w:rPr>
                <w:rFonts w:hint="eastAsia"/>
                <w:color w:val="000000" w:themeColor="text1"/>
                <w:spacing w:val="-2"/>
                <w:sz w:val="24"/>
                <w:highlight w:val="none"/>
                <w14:textFill>
                  <w14:solidFill>
                    <w14:schemeClr w14:val="tx1"/>
                  </w14:solidFill>
                </w14:textFill>
              </w:rPr>
              <w:t>4-9，产噪单元</w:t>
            </w:r>
            <w:r>
              <w:rPr>
                <w:color w:val="000000" w:themeColor="text1"/>
                <w:spacing w:val="-2"/>
                <w:sz w:val="24"/>
                <w:highlight w:val="none"/>
                <w14:textFill>
                  <w14:solidFill>
                    <w14:schemeClr w14:val="tx1"/>
                  </w14:solidFill>
                </w14:textFill>
              </w:rPr>
              <w:t>距</w:t>
            </w:r>
            <w:r>
              <w:rPr>
                <w:rFonts w:hint="eastAsia"/>
                <w:color w:val="000000" w:themeColor="text1"/>
                <w:spacing w:val="-2"/>
                <w:sz w:val="24"/>
                <w:highlight w:val="none"/>
                <w14:textFill>
                  <w14:solidFill>
                    <w14:schemeClr w14:val="tx1"/>
                  </w14:solidFill>
                </w14:textFill>
              </w:rPr>
              <w:t>各厂界距离</w:t>
            </w:r>
            <w:r>
              <w:rPr>
                <w:color w:val="000000" w:themeColor="text1"/>
                <w:spacing w:val="-2"/>
                <w:sz w:val="24"/>
                <w:highlight w:val="none"/>
                <w14:textFill>
                  <w14:solidFill>
                    <w14:schemeClr w14:val="tx1"/>
                  </w14:solidFill>
                </w14:textFill>
              </w:rPr>
              <w:t>见表</w:t>
            </w:r>
            <w:r>
              <w:rPr>
                <w:rFonts w:hint="eastAsia"/>
                <w:color w:val="000000" w:themeColor="text1"/>
                <w:spacing w:val="-2"/>
                <w:sz w:val="24"/>
                <w:highlight w:val="none"/>
                <w14:textFill>
                  <w14:solidFill>
                    <w14:schemeClr w14:val="tx1"/>
                  </w14:solidFill>
                </w14:textFill>
              </w:rPr>
              <w:t>4-10。</w:t>
            </w:r>
          </w:p>
          <w:p w14:paraId="1382962C">
            <w:pPr>
              <w:spacing w:line="500" w:lineRule="exact"/>
              <w:rPr>
                <w:color w:val="000000" w:themeColor="text1"/>
                <w:spacing w:val="-2"/>
                <w:sz w:val="24"/>
                <w:highlight w:val="none"/>
                <w14:textFill>
                  <w14:solidFill>
                    <w14:schemeClr w14:val="tx1"/>
                  </w14:solidFill>
                </w14:textFill>
              </w:rPr>
            </w:pPr>
          </w:p>
          <w:p w14:paraId="46FDAB96">
            <w:pPr>
              <w:spacing w:line="500" w:lineRule="exact"/>
              <w:ind w:firstLine="472" w:firstLineChars="200"/>
              <w:rPr>
                <w:color w:val="000000" w:themeColor="text1"/>
                <w:spacing w:val="-2"/>
                <w:sz w:val="24"/>
                <w:highlight w:val="none"/>
                <w14:textFill>
                  <w14:solidFill>
                    <w14:schemeClr w14:val="tx1"/>
                  </w14:solidFill>
                </w14:textFill>
              </w:rPr>
            </w:pPr>
          </w:p>
          <w:p w14:paraId="73B92F32">
            <w:pPr>
              <w:spacing w:line="500" w:lineRule="exact"/>
              <w:ind w:firstLine="472" w:firstLineChars="200"/>
              <w:rPr>
                <w:color w:val="000000" w:themeColor="text1"/>
                <w:spacing w:val="-2"/>
                <w:sz w:val="24"/>
                <w:highlight w:val="none"/>
                <w14:textFill>
                  <w14:solidFill>
                    <w14:schemeClr w14:val="tx1"/>
                  </w14:solidFill>
                </w14:textFill>
              </w:rPr>
            </w:pPr>
          </w:p>
          <w:p w14:paraId="4AF2C661">
            <w:pPr>
              <w:spacing w:line="500" w:lineRule="exact"/>
              <w:ind w:firstLine="472" w:firstLineChars="200"/>
              <w:rPr>
                <w:color w:val="000000" w:themeColor="text1"/>
                <w:spacing w:val="-2"/>
                <w:sz w:val="24"/>
                <w:highlight w:val="none"/>
                <w14:textFill>
                  <w14:solidFill>
                    <w14:schemeClr w14:val="tx1"/>
                  </w14:solidFill>
                </w14:textFill>
              </w:rPr>
            </w:pPr>
          </w:p>
          <w:p w14:paraId="1918AF94">
            <w:pPr>
              <w:spacing w:line="500" w:lineRule="exact"/>
              <w:ind w:firstLine="472" w:firstLineChars="200"/>
              <w:rPr>
                <w:color w:val="000000" w:themeColor="text1"/>
                <w:spacing w:val="-2"/>
                <w:sz w:val="24"/>
                <w:highlight w:val="none"/>
                <w14:textFill>
                  <w14:solidFill>
                    <w14:schemeClr w14:val="tx1"/>
                  </w14:solidFill>
                </w14:textFill>
              </w:rPr>
            </w:pPr>
          </w:p>
        </w:tc>
      </w:tr>
    </w:tbl>
    <w:p w14:paraId="6B801176">
      <w:pPr>
        <w:adjustRightInd w:val="0"/>
        <w:snapToGrid w:val="0"/>
        <w:ind w:left="-105" w:right="-105"/>
        <w:jc w:val="center"/>
        <w:rPr>
          <w:rFonts w:ascii="宋体" w:hAnsi="宋体" w:cs="宋体"/>
          <w:bCs/>
          <w:color w:val="000000" w:themeColor="text1"/>
          <w:szCs w:val="21"/>
          <w:highlight w:val="green"/>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4"/>
        <w:tblW w:w="135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72"/>
      </w:tblGrid>
      <w:tr w14:paraId="4F937A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51" w:hRule="atLeast"/>
          <w:jc w:val="center"/>
        </w:trPr>
        <w:tc>
          <w:tcPr>
            <w:tcW w:w="13572" w:type="dxa"/>
            <w:tcMar>
              <w:left w:w="28" w:type="dxa"/>
              <w:right w:w="28" w:type="dxa"/>
            </w:tcMar>
            <w:vAlign w:val="center"/>
          </w:tcPr>
          <w:p w14:paraId="108D5654">
            <w:pPr>
              <w:spacing w:line="480" w:lineRule="exact"/>
              <w:ind w:left="-108" w:right="-108" w:firstLine="2040" w:firstLineChars="850"/>
              <w:jc w:val="left"/>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4-9</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项目</w:t>
            </w:r>
            <w:r>
              <w:rPr>
                <w:rFonts w:ascii="黑体" w:hAnsi="黑体" w:eastAsia="黑体"/>
                <w:color w:val="000000" w:themeColor="text1"/>
                <w:sz w:val="24"/>
                <w:highlight w:val="none"/>
                <w14:textFill>
                  <w14:solidFill>
                    <w14:schemeClr w14:val="tx1"/>
                  </w14:solidFill>
                </w14:textFill>
              </w:rPr>
              <w:t>噪声源</w:t>
            </w:r>
            <w:r>
              <w:rPr>
                <w:rFonts w:hint="eastAsia" w:ascii="黑体" w:hAnsi="黑体" w:eastAsia="黑体"/>
                <w:color w:val="000000" w:themeColor="text1"/>
                <w:sz w:val="24"/>
                <w:highlight w:val="none"/>
                <w14:textFill>
                  <w14:solidFill>
                    <w14:schemeClr w14:val="tx1"/>
                  </w14:solidFill>
                </w14:textFill>
              </w:rPr>
              <w:t>源强调查清单（室内声源）</w:t>
            </w:r>
          </w:p>
          <w:tbl>
            <w:tblPr>
              <w:tblStyle w:val="24"/>
              <w:tblW w:w="490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6"/>
              <w:gridCol w:w="713"/>
              <w:gridCol w:w="992"/>
              <w:gridCol w:w="708"/>
              <w:gridCol w:w="944"/>
              <w:gridCol w:w="989"/>
              <w:gridCol w:w="902"/>
              <w:gridCol w:w="565"/>
              <w:gridCol w:w="520"/>
              <w:gridCol w:w="618"/>
              <w:gridCol w:w="849"/>
              <w:gridCol w:w="570"/>
              <w:gridCol w:w="992"/>
              <w:gridCol w:w="851"/>
              <w:gridCol w:w="851"/>
              <w:gridCol w:w="849"/>
              <w:gridCol w:w="941"/>
            </w:tblGrid>
            <w:tr w14:paraId="1CEB4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E95C9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序号</w:t>
                  </w:r>
                </w:p>
              </w:tc>
              <w:tc>
                <w:tcPr>
                  <w:tcW w:w="269" w:type="pct"/>
                  <w:vMerge w:val="restart"/>
                  <w:vAlign w:val="center"/>
                </w:tcPr>
                <w:p w14:paraId="44B6E7A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建筑物名称</w:t>
                  </w:r>
                </w:p>
              </w:tc>
              <w:tc>
                <w:tcPr>
                  <w:tcW w:w="374" w:type="pct"/>
                  <w:vMerge w:val="restart"/>
                  <w:vAlign w:val="center"/>
                </w:tcPr>
                <w:p w14:paraId="6AF533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声源名称</w:t>
                  </w:r>
                </w:p>
              </w:tc>
              <w:tc>
                <w:tcPr>
                  <w:tcW w:w="267" w:type="pct"/>
                  <w:vMerge w:val="restart"/>
                  <w:vAlign w:val="center"/>
                </w:tcPr>
                <w:p w14:paraId="112D76A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型号</w:t>
                  </w:r>
                </w:p>
              </w:tc>
              <w:tc>
                <w:tcPr>
                  <w:tcW w:w="356" w:type="pct"/>
                  <w:vMerge w:val="restart"/>
                  <w:vAlign w:val="center"/>
                </w:tcPr>
                <w:p w14:paraId="2309FA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声源源强</w:t>
                  </w:r>
                </w:p>
                <w:p w14:paraId="59F935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dB(A)</w:t>
                  </w:r>
                </w:p>
              </w:tc>
              <w:tc>
                <w:tcPr>
                  <w:tcW w:w="373" w:type="pct"/>
                  <w:vMerge w:val="restart"/>
                  <w:vAlign w:val="center"/>
                </w:tcPr>
                <w:p w14:paraId="35CEB8B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声源控制措施</w:t>
                  </w:r>
                </w:p>
              </w:tc>
              <w:tc>
                <w:tcPr>
                  <w:tcW w:w="340" w:type="pct"/>
                  <w:vMerge w:val="restart"/>
                  <w:vAlign w:val="center"/>
                </w:tcPr>
                <w:p w14:paraId="2EB953EF">
                  <w:pPr>
                    <w:pStyle w:val="39"/>
                    <w:adjustRightInd/>
                    <w:snapToGrid/>
                    <w:spacing w:beforeLines="0" w:afterLines="0" w:line="30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降噪效果</w:t>
                  </w:r>
                </w:p>
                <w:p w14:paraId="5CCC9517">
                  <w:pPr>
                    <w:pStyle w:val="39"/>
                    <w:adjustRightInd/>
                    <w:snapToGrid/>
                    <w:spacing w:beforeLines="0" w:afterLines="0" w:line="30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dB</w:t>
                  </w:r>
                  <w:r>
                    <w:rPr>
                      <w:rFonts w:ascii="Times New Roman"/>
                      <w:color w:val="000000" w:themeColor="text1"/>
                      <w:szCs w:val="21"/>
                      <w:highlight w:val="none"/>
                      <w:lang w:bidi="zh-CN"/>
                      <w14:textFill>
                        <w14:solidFill>
                          <w14:schemeClr w14:val="tx1"/>
                        </w14:solidFill>
                      </w14:textFill>
                    </w:rPr>
                    <w:t>(A)</w:t>
                  </w:r>
                </w:p>
              </w:tc>
              <w:tc>
                <w:tcPr>
                  <w:tcW w:w="642" w:type="pct"/>
                  <w:gridSpan w:val="3"/>
                  <w:vAlign w:val="center"/>
                </w:tcPr>
                <w:p w14:paraId="258832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空间相对位置/m</w:t>
                  </w:r>
                </w:p>
              </w:tc>
              <w:tc>
                <w:tcPr>
                  <w:tcW w:w="535" w:type="pct"/>
                  <w:gridSpan w:val="2"/>
                  <w:vMerge w:val="restart"/>
                  <w:vAlign w:val="center"/>
                </w:tcPr>
                <w:p w14:paraId="01042A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距室内边界距离/m</w:t>
                  </w:r>
                </w:p>
              </w:tc>
              <w:tc>
                <w:tcPr>
                  <w:tcW w:w="374" w:type="pct"/>
                  <w:vMerge w:val="restart"/>
                  <w:vAlign w:val="center"/>
                </w:tcPr>
                <w:p w14:paraId="10DB17E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pacing w:val="-5"/>
                      <w:szCs w:val="21"/>
                      <w:highlight w:val="none"/>
                      <w14:textFill>
                        <w14:solidFill>
                          <w14:schemeClr w14:val="tx1"/>
                        </w14:solidFill>
                      </w14:textFill>
                    </w:rPr>
                    <w:t>室内边界</w:t>
                  </w:r>
                  <w:r>
                    <w:rPr>
                      <w:rFonts w:ascii="Times New Roman" w:hAnsi="Times New Roman" w:eastAsia="宋体" w:cs="Times New Roman"/>
                      <w:color w:val="000000" w:themeColor="text1"/>
                      <w:szCs w:val="21"/>
                      <w:highlight w:val="none"/>
                      <w14:textFill>
                        <w14:solidFill>
                          <w14:schemeClr w14:val="tx1"/>
                        </w14:solidFill>
                      </w14:textFill>
                    </w:rPr>
                    <w:t>声级/dB(A)</w:t>
                  </w:r>
                </w:p>
              </w:tc>
              <w:tc>
                <w:tcPr>
                  <w:tcW w:w="321" w:type="pct"/>
                  <w:vMerge w:val="restart"/>
                  <w:vAlign w:val="center"/>
                </w:tcPr>
                <w:p w14:paraId="39C4E9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运行时段</w:t>
                  </w:r>
                </w:p>
              </w:tc>
              <w:tc>
                <w:tcPr>
                  <w:tcW w:w="321" w:type="pct"/>
                  <w:vMerge w:val="restart"/>
                  <w:vAlign w:val="center"/>
                </w:tcPr>
                <w:p w14:paraId="109ECEA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建筑物插入损失/dB(A)</w:t>
                  </w:r>
                </w:p>
              </w:tc>
              <w:tc>
                <w:tcPr>
                  <w:tcW w:w="675" w:type="pct"/>
                  <w:gridSpan w:val="2"/>
                  <w:vAlign w:val="center"/>
                </w:tcPr>
                <w:p w14:paraId="7FF109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建筑物外噪声</w:t>
                  </w:r>
                </w:p>
              </w:tc>
            </w:tr>
            <w:tr w14:paraId="7F09C2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8E12F03">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269" w:type="pct"/>
                  <w:vMerge w:val="continue"/>
                  <w:vAlign w:val="center"/>
                </w:tcPr>
                <w:p w14:paraId="37692997">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74" w:type="pct"/>
                  <w:vMerge w:val="continue"/>
                  <w:vAlign w:val="center"/>
                </w:tcPr>
                <w:p w14:paraId="051A1215">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267" w:type="pct"/>
                  <w:vMerge w:val="continue"/>
                  <w:vAlign w:val="center"/>
                </w:tcPr>
                <w:p w14:paraId="2C2ADC54">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56" w:type="pct"/>
                  <w:vMerge w:val="continue"/>
                  <w:vAlign w:val="center"/>
                </w:tcPr>
                <w:p w14:paraId="7B2BA2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031EC933">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40" w:type="pct"/>
                  <w:vMerge w:val="continue"/>
                  <w:vAlign w:val="center"/>
                </w:tcPr>
                <w:p w14:paraId="0677D691">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213" w:type="pct"/>
                  <w:vAlign w:val="center"/>
                </w:tcPr>
                <w:p w14:paraId="52AEF556">
                  <w:pPr>
                    <w:pStyle w:val="68"/>
                    <w:autoSpaceDE w:val="0"/>
                    <w:autoSpaceDN w:val="0"/>
                    <w:snapToGrid w:val="0"/>
                    <w:spacing w:line="300" w:lineRule="exact"/>
                    <w:jc w:val="center"/>
                    <w:rPr>
                      <w:rFonts w:ascii="Times New Roman" w:hAnsi="Times New Roman" w:eastAsia="宋体" w:cs="Times New Roman"/>
                      <w:iCs/>
                      <w:color w:val="000000" w:themeColor="text1"/>
                      <w:szCs w:val="21"/>
                      <w:highlight w:val="none"/>
                      <w14:textFill>
                        <w14:solidFill>
                          <w14:schemeClr w14:val="tx1"/>
                        </w14:solidFill>
                      </w14:textFill>
                    </w:rPr>
                  </w:pPr>
                  <w:r>
                    <w:rPr>
                      <w:rFonts w:ascii="Times New Roman" w:hAnsi="Times New Roman" w:eastAsia="宋体" w:cs="Times New Roman"/>
                      <w:iCs/>
                      <w:color w:val="000000" w:themeColor="text1"/>
                      <w:szCs w:val="21"/>
                      <w:highlight w:val="none"/>
                      <w14:textFill>
                        <w14:solidFill>
                          <w14:schemeClr w14:val="tx1"/>
                        </w14:solidFill>
                      </w14:textFill>
                    </w:rPr>
                    <w:t>X</w:t>
                  </w:r>
                </w:p>
              </w:tc>
              <w:tc>
                <w:tcPr>
                  <w:tcW w:w="196" w:type="pct"/>
                  <w:vAlign w:val="center"/>
                </w:tcPr>
                <w:p w14:paraId="048C1792">
                  <w:pPr>
                    <w:pStyle w:val="68"/>
                    <w:autoSpaceDE w:val="0"/>
                    <w:autoSpaceDN w:val="0"/>
                    <w:snapToGrid w:val="0"/>
                    <w:spacing w:line="300" w:lineRule="exact"/>
                    <w:jc w:val="center"/>
                    <w:rPr>
                      <w:rFonts w:ascii="Times New Roman" w:hAnsi="Times New Roman" w:eastAsia="宋体" w:cs="Times New Roman"/>
                      <w:iCs/>
                      <w:color w:val="000000" w:themeColor="text1"/>
                      <w:szCs w:val="21"/>
                      <w:highlight w:val="none"/>
                      <w14:textFill>
                        <w14:solidFill>
                          <w14:schemeClr w14:val="tx1"/>
                        </w14:solidFill>
                      </w14:textFill>
                    </w:rPr>
                  </w:pPr>
                  <w:r>
                    <w:rPr>
                      <w:rFonts w:ascii="Times New Roman" w:hAnsi="Times New Roman" w:eastAsia="宋体" w:cs="Times New Roman"/>
                      <w:iCs/>
                      <w:color w:val="000000" w:themeColor="text1"/>
                      <w:szCs w:val="21"/>
                      <w:highlight w:val="none"/>
                      <w14:textFill>
                        <w14:solidFill>
                          <w14:schemeClr w14:val="tx1"/>
                        </w14:solidFill>
                      </w14:textFill>
                    </w:rPr>
                    <w:t>Y</w:t>
                  </w:r>
                </w:p>
              </w:tc>
              <w:tc>
                <w:tcPr>
                  <w:tcW w:w="233" w:type="pct"/>
                  <w:vAlign w:val="center"/>
                </w:tcPr>
                <w:p w14:paraId="610E6345">
                  <w:pPr>
                    <w:pStyle w:val="68"/>
                    <w:autoSpaceDE w:val="0"/>
                    <w:autoSpaceDN w:val="0"/>
                    <w:snapToGrid w:val="0"/>
                    <w:spacing w:line="300" w:lineRule="exact"/>
                    <w:jc w:val="center"/>
                    <w:rPr>
                      <w:rFonts w:ascii="Times New Roman" w:hAnsi="Times New Roman" w:eastAsia="宋体" w:cs="Times New Roman"/>
                      <w:iCs/>
                      <w:color w:val="000000" w:themeColor="text1"/>
                      <w:szCs w:val="21"/>
                      <w:highlight w:val="none"/>
                      <w14:textFill>
                        <w14:solidFill>
                          <w14:schemeClr w14:val="tx1"/>
                        </w14:solidFill>
                      </w14:textFill>
                    </w:rPr>
                  </w:pPr>
                  <w:r>
                    <w:rPr>
                      <w:rFonts w:ascii="Times New Roman" w:hAnsi="Times New Roman" w:eastAsia="宋体" w:cs="Times New Roman"/>
                      <w:iCs/>
                      <w:color w:val="000000" w:themeColor="text1"/>
                      <w:szCs w:val="21"/>
                      <w:highlight w:val="none"/>
                      <w14:textFill>
                        <w14:solidFill>
                          <w14:schemeClr w14:val="tx1"/>
                        </w14:solidFill>
                      </w14:textFill>
                    </w:rPr>
                    <w:t>Z</w:t>
                  </w:r>
                </w:p>
              </w:tc>
              <w:tc>
                <w:tcPr>
                  <w:tcW w:w="535" w:type="pct"/>
                  <w:gridSpan w:val="2"/>
                  <w:vMerge w:val="continue"/>
                  <w:vAlign w:val="center"/>
                </w:tcPr>
                <w:p w14:paraId="045AF5EC">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74" w:type="pct"/>
                  <w:vMerge w:val="continue"/>
                  <w:vAlign w:val="center"/>
                </w:tcPr>
                <w:p w14:paraId="011E0A67">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21" w:type="pct"/>
                  <w:vMerge w:val="continue"/>
                  <w:vAlign w:val="center"/>
                </w:tcPr>
                <w:p w14:paraId="19647822">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21" w:type="pct"/>
                  <w:vMerge w:val="continue"/>
                  <w:vAlign w:val="center"/>
                </w:tcPr>
                <w:p w14:paraId="51786C94">
                  <w:pPr>
                    <w:autoSpaceDE w:val="0"/>
                    <w:autoSpaceDN w:val="0"/>
                    <w:snapToGrid w:val="0"/>
                    <w:spacing w:line="300" w:lineRule="exact"/>
                    <w:jc w:val="center"/>
                    <w:rPr>
                      <w:color w:val="000000" w:themeColor="text1"/>
                      <w:szCs w:val="21"/>
                      <w:highlight w:val="none"/>
                      <w14:textFill>
                        <w14:solidFill>
                          <w14:schemeClr w14:val="tx1"/>
                        </w14:solidFill>
                      </w14:textFill>
                    </w:rPr>
                  </w:pPr>
                </w:p>
              </w:tc>
              <w:tc>
                <w:tcPr>
                  <w:tcW w:w="320" w:type="pct"/>
                  <w:vAlign w:val="center"/>
                </w:tcPr>
                <w:p w14:paraId="5EF08F6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声压级</w:t>
                  </w:r>
                </w:p>
                <w:p w14:paraId="095E81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/dB(A)</w:t>
                  </w:r>
                </w:p>
              </w:tc>
              <w:tc>
                <w:tcPr>
                  <w:tcW w:w="355" w:type="pct"/>
                  <w:vAlign w:val="center"/>
                </w:tcPr>
                <w:p w14:paraId="00C5D9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建筑物外距离/m</w:t>
                  </w:r>
                </w:p>
              </w:tc>
            </w:tr>
            <w:tr w14:paraId="55B1F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103887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1</w:t>
                  </w:r>
                </w:p>
              </w:tc>
              <w:tc>
                <w:tcPr>
                  <w:tcW w:w="269" w:type="pct"/>
                  <w:vMerge w:val="restart"/>
                  <w:vAlign w:val="center"/>
                </w:tcPr>
                <w:p w14:paraId="39D008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破碎车间</w:t>
                  </w:r>
                </w:p>
              </w:tc>
              <w:tc>
                <w:tcPr>
                  <w:tcW w:w="374" w:type="pct"/>
                  <w:vMerge w:val="restart"/>
                  <w:vAlign w:val="center"/>
                </w:tcPr>
                <w:p w14:paraId="23864A5A">
                  <w:pPr>
                    <w:pStyle w:val="72"/>
                    <w:spacing w:line="300" w:lineRule="exact"/>
                    <w:ind w:firstLine="0" w:firstLineChars="0"/>
                    <w:jc w:val="center"/>
                    <w:rPr>
                      <w:rFonts w:ascii="Times New Roman" w:hAnsi="Times New Roman"/>
                      <w:color w:val="000000" w:themeColor="text1"/>
                      <w:kern w:val="0"/>
                      <w:szCs w:val="21"/>
                      <w:highlight w:val="none"/>
                      <w14:textFill>
                        <w14:solidFill>
                          <w14:schemeClr w14:val="tx1"/>
                        </w14:solidFill>
                      </w14:textFill>
                    </w:rPr>
                  </w:pPr>
                  <w:r>
                    <w:rPr>
                      <w:rFonts w:hint="eastAsia" w:ascii="Times New Roman" w:hAnsi="Times New Roman"/>
                      <w:bCs/>
                      <w:color w:val="000000" w:themeColor="text1"/>
                      <w:szCs w:val="21"/>
                      <w:highlight w:val="none"/>
                      <w:lang w:bidi="zh-CN"/>
                      <w14:textFill>
                        <w14:solidFill>
                          <w14:schemeClr w14:val="tx1"/>
                        </w14:solidFill>
                      </w14:textFill>
                    </w:rPr>
                    <w:t>箱式给料机</w:t>
                  </w:r>
                  <w:r>
                    <w:rPr>
                      <w:rFonts w:hint="eastAsia" w:ascii="Times New Roman" w:hAnsi="Times New Roman"/>
                      <w:bCs/>
                      <w:color w:val="000000" w:themeColor="text1"/>
                      <w:szCs w:val="21"/>
                      <w:highlight w:val="none"/>
                      <w14:textFill>
                        <w14:solidFill>
                          <w14:schemeClr w14:val="tx1"/>
                        </w14:solidFill>
                      </w14:textFill>
                    </w:rPr>
                    <w:t>（6台）</w:t>
                  </w:r>
                </w:p>
              </w:tc>
              <w:tc>
                <w:tcPr>
                  <w:tcW w:w="267" w:type="pct"/>
                  <w:vMerge w:val="restart"/>
                  <w:vAlign w:val="center"/>
                </w:tcPr>
                <w:p w14:paraId="72124171">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hint="eastAsia" w:ascii="Times New Roman" w:hAnsi="Times New Roman"/>
                      <w:bCs/>
                      <w:color w:val="000000" w:themeColor="text1"/>
                      <w:szCs w:val="21"/>
                      <w:highlight w:val="none"/>
                      <w14:textFill>
                        <w14:solidFill>
                          <w14:schemeClr w14:val="tx1"/>
                        </w14:solidFill>
                      </w14:textFill>
                    </w:rPr>
                    <w:t>XGD120</w:t>
                  </w:r>
                </w:p>
              </w:tc>
              <w:tc>
                <w:tcPr>
                  <w:tcW w:w="356" w:type="pct"/>
                  <w:vMerge w:val="restart"/>
                  <w:vAlign w:val="center"/>
                </w:tcPr>
                <w:p w14:paraId="7CA640A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08B915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781A78B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649155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14-55</w:t>
                  </w:r>
                </w:p>
              </w:tc>
              <w:tc>
                <w:tcPr>
                  <w:tcW w:w="196" w:type="pct"/>
                  <w:vMerge w:val="restart"/>
                  <w:vAlign w:val="center"/>
                </w:tcPr>
                <w:p w14:paraId="00619C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233" w:type="pct"/>
                  <w:vMerge w:val="restart"/>
                  <w:vAlign w:val="center"/>
                </w:tcPr>
                <w:p w14:paraId="00C90D2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vAlign w:val="center"/>
                </w:tcPr>
                <w:p w14:paraId="03A8C5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7F98E3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vAlign w:val="center"/>
                </w:tcPr>
                <w:p w14:paraId="335F9C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52.0</w:t>
                  </w:r>
                </w:p>
              </w:tc>
              <w:tc>
                <w:tcPr>
                  <w:tcW w:w="321" w:type="pct"/>
                  <w:vMerge w:val="restart"/>
                  <w:vAlign w:val="center"/>
                </w:tcPr>
                <w:p w14:paraId="0015612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43B812C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5E5A0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55" w:type="pct"/>
                  <w:vAlign w:val="center"/>
                </w:tcPr>
                <w:p w14:paraId="00536A9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AA43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5411080">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9" w:type="pct"/>
                  <w:vMerge w:val="continue"/>
                  <w:vAlign w:val="center"/>
                </w:tcPr>
                <w:p w14:paraId="44E60446">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4" w:type="pct"/>
                  <w:vMerge w:val="continue"/>
                  <w:vAlign w:val="center"/>
                </w:tcPr>
                <w:p w14:paraId="021C10BF">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7" w:type="pct"/>
                  <w:vMerge w:val="continue"/>
                  <w:vAlign w:val="center"/>
                </w:tcPr>
                <w:p w14:paraId="05F5D60B">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56" w:type="pct"/>
                  <w:vMerge w:val="continue"/>
                  <w:vAlign w:val="center"/>
                </w:tcPr>
                <w:p w14:paraId="7281C1F4">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3" w:type="pct"/>
                  <w:vMerge w:val="continue"/>
                  <w:vAlign w:val="center"/>
                </w:tcPr>
                <w:p w14:paraId="2F0C451C">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40" w:type="pct"/>
                  <w:vMerge w:val="continue"/>
                  <w:vAlign w:val="center"/>
                </w:tcPr>
                <w:p w14:paraId="2CEAB7DE">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13" w:type="pct"/>
                  <w:vMerge w:val="continue"/>
                  <w:vAlign w:val="center"/>
                </w:tcPr>
                <w:p w14:paraId="4BBE989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10B49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E7D32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00359D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718200E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374" w:type="pct"/>
                  <w:vAlign w:val="center"/>
                </w:tcPr>
                <w:p w14:paraId="4AA6B99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61.9</w:t>
                  </w:r>
                </w:p>
              </w:tc>
              <w:tc>
                <w:tcPr>
                  <w:tcW w:w="321" w:type="pct"/>
                  <w:vMerge w:val="continue"/>
                  <w:vAlign w:val="center"/>
                </w:tcPr>
                <w:p w14:paraId="2AFA8E6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3D2C750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83CECF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41.9</w:t>
                  </w:r>
                </w:p>
              </w:tc>
              <w:tc>
                <w:tcPr>
                  <w:tcW w:w="355" w:type="pct"/>
                  <w:vAlign w:val="center"/>
                </w:tcPr>
                <w:p w14:paraId="5EFC9B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70B1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A5FB43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3FBF13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6926E31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3DE857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0B5EA47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03E9EBA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708A701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5458C39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F1912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4D79C8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37C989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623BD7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w:t>
                  </w:r>
                </w:p>
              </w:tc>
              <w:tc>
                <w:tcPr>
                  <w:tcW w:w="374" w:type="pct"/>
                  <w:vAlign w:val="center"/>
                </w:tcPr>
                <w:p w14:paraId="696F8C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57.0</w:t>
                  </w:r>
                </w:p>
              </w:tc>
              <w:tc>
                <w:tcPr>
                  <w:tcW w:w="321" w:type="pct"/>
                  <w:vMerge w:val="continue"/>
                  <w:vAlign w:val="center"/>
                </w:tcPr>
                <w:p w14:paraId="0A64456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42917F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3D2AF2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w:t>
                  </w:r>
                </w:p>
              </w:tc>
              <w:tc>
                <w:tcPr>
                  <w:tcW w:w="355" w:type="pct"/>
                  <w:vAlign w:val="center"/>
                </w:tcPr>
                <w:p w14:paraId="316B3D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EF73D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07D4F81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590494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B9C34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051BE0D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51F4A3C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65C36A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6046A4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0512DF2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68823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3E40D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36AD32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33B62D1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44</w:t>
                  </w:r>
                </w:p>
              </w:tc>
              <w:tc>
                <w:tcPr>
                  <w:tcW w:w="374" w:type="pct"/>
                  <w:vAlign w:val="center"/>
                </w:tcPr>
                <w:p w14:paraId="3BF7A22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47.1</w:t>
                  </w:r>
                </w:p>
              </w:tc>
              <w:tc>
                <w:tcPr>
                  <w:tcW w:w="321" w:type="pct"/>
                  <w:vMerge w:val="continue"/>
                  <w:tcBorders>
                    <w:bottom w:val="single" w:color="auto" w:sz="6" w:space="0"/>
                  </w:tcBorders>
                  <w:vAlign w:val="center"/>
                </w:tcPr>
                <w:p w14:paraId="1F2378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3D45A19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5CEF06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27.1</w:t>
                  </w:r>
                </w:p>
              </w:tc>
              <w:tc>
                <w:tcPr>
                  <w:tcW w:w="355" w:type="pct"/>
                  <w:vAlign w:val="center"/>
                </w:tcPr>
                <w:p w14:paraId="6DFC556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5199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6141155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2</w:t>
                  </w:r>
                </w:p>
              </w:tc>
              <w:tc>
                <w:tcPr>
                  <w:tcW w:w="269" w:type="pct"/>
                  <w:vMerge w:val="continue"/>
                  <w:vAlign w:val="center"/>
                </w:tcPr>
                <w:p w14:paraId="5C28C91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restart"/>
                  <w:vAlign w:val="center"/>
                </w:tcPr>
                <w:p w14:paraId="127F7E46">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板式给料机（1台）</w:t>
                  </w:r>
                </w:p>
              </w:tc>
              <w:tc>
                <w:tcPr>
                  <w:tcW w:w="267" w:type="pct"/>
                  <w:vMerge w:val="restart"/>
                  <w:vAlign w:val="center"/>
                </w:tcPr>
                <w:p w14:paraId="77987A46">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G</w:t>
                  </w:r>
                  <w:r>
                    <w:rPr>
                      <w:rFonts w:hint="eastAsia" w:ascii="Times New Roman" w:hAnsi="Times New Roman"/>
                      <w:bCs/>
                      <w:color w:val="000000" w:themeColor="text1"/>
                      <w:szCs w:val="21"/>
                      <w:highlight w:val="none"/>
                      <w14:textFill>
                        <w14:solidFill>
                          <w14:schemeClr w14:val="tx1"/>
                        </w14:solidFill>
                      </w14:textFill>
                    </w:rPr>
                    <w:t>B</w:t>
                  </w:r>
                  <w:r>
                    <w:rPr>
                      <w:rFonts w:ascii="Times New Roman" w:hAnsi="Times New Roman"/>
                      <w:bCs/>
                      <w:color w:val="000000" w:themeColor="text1"/>
                      <w:szCs w:val="21"/>
                      <w:highlight w:val="none"/>
                      <w14:textFill>
                        <w14:solidFill>
                          <w14:schemeClr w14:val="tx1"/>
                        </w14:solidFill>
                      </w14:textFill>
                    </w:rPr>
                    <w:t>L</w:t>
                  </w:r>
                  <w:r>
                    <w:rPr>
                      <w:rFonts w:hint="eastAsia" w:ascii="Times New Roman" w:hAnsi="Times New Roman"/>
                      <w:bCs/>
                      <w:color w:val="000000" w:themeColor="text1"/>
                      <w:szCs w:val="21"/>
                      <w:highlight w:val="none"/>
                      <w14:textFill>
                        <w14:solidFill>
                          <w14:schemeClr w14:val="tx1"/>
                        </w14:solidFill>
                      </w14:textFill>
                    </w:rPr>
                    <w:t>1200</w:t>
                  </w:r>
                </w:p>
              </w:tc>
              <w:tc>
                <w:tcPr>
                  <w:tcW w:w="356" w:type="pct"/>
                  <w:vMerge w:val="restart"/>
                  <w:vAlign w:val="center"/>
                </w:tcPr>
                <w:p w14:paraId="58555F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65227B1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2D5309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760A86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w:t>
                  </w:r>
                </w:p>
              </w:tc>
              <w:tc>
                <w:tcPr>
                  <w:tcW w:w="196" w:type="pct"/>
                  <w:vMerge w:val="restart"/>
                  <w:vAlign w:val="center"/>
                </w:tcPr>
                <w:p w14:paraId="1A27D15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233" w:type="pct"/>
                  <w:vMerge w:val="restart"/>
                  <w:vAlign w:val="center"/>
                </w:tcPr>
                <w:p w14:paraId="5A008C2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6B09E1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759243C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w:t>
                  </w:r>
                </w:p>
              </w:tc>
              <w:tc>
                <w:tcPr>
                  <w:tcW w:w="374" w:type="pct"/>
                  <w:tcBorders>
                    <w:bottom w:val="single" w:color="auto" w:sz="4" w:space="0"/>
                  </w:tcBorders>
                  <w:vAlign w:val="center"/>
                </w:tcPr>
                <w:p w14:paraId="05A74C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50.4</w:t>
                  </w:r>
                </w:p>
              </w:tc>
              <w:tc>
                <w:tcPr>
                  <w:tcW w:w="321" w:type="pct"/>
                  <w:vMerge w:val="restart"/>
                  <w:tcBorders>
                    <w:top w:val="single" w:color="auto" w:sz="6" w:space="0"/>
                  </w:tcBorders>
                  <w:vAlign w:val="center"/>
                </w:tcPr>
                <w:p w14:paraId="363520B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6CE206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003F089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30.4</w:t>
                  </w:r>
                </w:p>
              </w:tc>
              <w:tc>
                <w:tcPr>
                  <w:tcW w:w="355" w:type="pct"/>
                  <w:tcBorders>
                    <w:bottom w:val="single" w:color="auto" w:sz="4" w:space="0"/>
                  </w:tcBorders>
                  <w:vAlign w:val="center"/>
                </w:tcPr>
                <w:p w14:paraId="133624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64BF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6C8D6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685616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continue"/>
                  <w:vAlign w:val="center"/>
                </w:tcPr>
                <w:p w14:paraId="76CA7CCE">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p>
              </w:tc>
              <w:tc>
                <w:tcPr>
                  <w:tcW w:w="267" w:type="pct"/>
                  <w:vMerge w:val="continue"/>
                  <w:vAlign w:val="center"/>
                </w:tcPr>
                <w:p w14:paraId="71232C7F">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146321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558AF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C77D86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F60A6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912E35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07AE1FC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2DCB461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635E036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374" w:type="pct"/>
                  <w:tcBorders>
                    <w:top w:val="single" w:color="auto" w:sz="4" w:space="0"/>
                    <w:bottom w:val="single" w:color="auto" w:sz="4" w:space="0"/>
                  </w:tcBorders>
                  <w:vAlign w:val="center"/>
                </w:tcPr>
                <w:p w14:paraId="5579F36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61.9</w:t>
                  </w:r>
                </w:p>
              </w:tc>
              <w:tc>
                <w:tcPr>
                  <w:tcW w:w="321" w:type="pct"/>
                  <w:vMerge w:val="continue"/>
                  <w:vAlign w:val="center"/>
                </w:tcPr>
                <w:p w14:paraId="4923CB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3A2F52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6B1B93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41.9</w:t>
                  </w:r>
                </w:p>
              </w:tc>
              <w:tc>
                <w:tcPr>
                  <w:tcW w:w="355" w:type="pct"/>
                  <w:tcBorders>
                    <w:top w:val="single" w:color="auto" w:sz="4" w:space="0"/>
                    <w:bottom w:val="single" w:color="auto" w:sz="4" w:space="0"/>
                  </w:tcBorders>
                  <w:vAlign w:val="center"/>
                </w:tcPr>
                <w:p w14:paraId="0A3510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364A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03006B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29B86EF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continue"/>
                  <w:vAlign w:val="center"/>
                </w:tcPr>
                <w:p w14:paraId="2B4526B4">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p>
              </w:tc>
              <w:tc>
                <w:tcPr>
                  <w:tcW w:w="267" w:type="pct"/>
                  <w:vMerge w:val="continue"/>
                  <w:vAlign w:val="center"/>
                </w:tcPr>
                <w:p w14:paraId="587B7660">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2DED4BD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FC7066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ADF26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7CD09C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308496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98CAD3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54D68D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3906050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w:t>
                  </w:r>
                </w:p>
              </w:tc>
              <w:tc>
                <w:tcPr>
                  <w:tcW w:w="374" w:type="pct"/>
                  <w:tcBorders>
                    <w:top w:val="single" w:color="auto" w:sz="4" w:space="0"/>
                    <w:bottom w:val="single" w:color="auto" w:sz="4" w:space="0"/>
                  </w:tcBorders>
                  <w:vAlign w:val="center"/>
                </w:tcPr>
                <w:p w14:paraId="254D5EA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46.0</w:t>
                  </w:r>
                </w:p>
              </w:tc>
              <w:tc>
                <w:tcPr>
                  <w:tcW w:w="321" w:type="pct"/>
                  <w:vMerge w:val="continue"/>
                  <w:vAlign w:val="center"/>
                </w:tcPr>
                <w:p w14:paraId="211193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3914D6F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5C113B6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26</w:t>
                  </w:r>
                </w:p>
              </w:tc>
              <w:tc>
                <w:tcPr>
                  <w:tcW w:w="355" w:type="pct"/>
                  <w:tcBorders>
                    <w:top w:val="single" w:color="auto" w:sz="4" w:space="0"/>
                    <w:bottom w:val="single" w:color="auto" w:sz="4" w:space="0"/>
                  </w:tcBorders>
                  <w:vAlign w:val="center"/>
                </w:tcPr>
                <w:p w14:paraId="58ED1E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DC673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9FFF4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22C367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continue"/>
                  <w:vAlign w:val="center"/>
                </w:tcPr>
                <w:p w14:paraId="73C79572">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p>
              </w:tc>
              <w:tc>
                <w:tcPr>
                  <w:tcW w:w="267" w:type="pct"/>
                  <w:vMerge w:val="continue"/>
                  <w:vAlign w:val="center"/>
                </w:tcPr>
                <w:p w14:paraId="3864D372">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2CDB9E8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4FCE21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ECCD9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6D460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CE8483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BCD29D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6D400C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565B638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44</w:t>
                  </w:r>
                </w:p>
              </w:tc>
              <w:tc>
                <w:tcPr>
                  <w:tcW w:w="374" w:type="pct"/>
                  <w:tcBorders>
                    <w:top w:val="single" w:color="auto" w:sz="4" w:space="0"/>
                  </w:tcBorders>
                  <w:vAlign w:val="center"/>
                </w:tcPr>
                <w:p w14:paraId="62EE4C6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47.1</w:t>
                  </w:r>
                </w:p>
              </w:tc>
              <w:tc>
                <w:tcPr>
                  <w:tcW w:w="321" w:type="pct"/>
                  <w:vMerge w:val="continue"/>
                  <w:vAlign w:val="center"/>
                </w:tcPr>
                <w:p w14:paraId="41F6CE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5E27823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57FF5B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27.1</w:t>
                  </w:r>
                </w:p>
              </w:tc>
              <w:tc>
                <w:tcPr>
                  <w:tcW w:w="355" w:type="pct"/>
                  <w:tcBorders>
                    <w:top w:val="single" w:color="auto" w:sz="4" w:space="0"/>
                  </w:tcBorders>
                  <w:vAlign w:val="center"/>
                </w:tcPr>
                <w:p w14:paraId="20C2C3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23CA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7C85D0B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3</w:t>
                  </w:r>
                </w:p>
              </w:tc>
              <w:tc>
                <w:tcPr>
                  <w:tcW w:w="269" w:type="pct"/>
                  <w:vMerge w:val="continue"/>
                  <w:vAlign w:val="center"/>
                </w:tcPr>
                <w:p w14:paraId="50550BC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restart"/>
                  <w:vAlign w:val="center"/>
                </w:tcPr>
                <w:p w14:paraId="2E261346">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r>
                    <w:rPr>
                      <w:rFonts w:hint="eastAsia" w:ascii="Times New Roman" w:hAnsi="Times New Roman"/>
                      <w:bCs/>
                      <w:color w:val="000000" w:themeColor="text1"/>
                      <w:szCs w:val="21"/>
                      <w:highlight w:val="none"/>
                      <w:lang w:bidi="zh-CN"/>
                      <w14:textFill>
                        <w14:solidFill>
                          <w14:schemeClr w14:val="tx1"/>
                        </w14:solidFill>
                      </w14:textFill>
                    </w:rPr>
                    <w:t>皮带输送机</w:t>
                  </w:r>
                  <w:r>
                    <w:rPr>
                      <w:rFonts w:hint="eastAsia" w:ascii="Times New Roman" w:hAnsi="Times New Roman"/>
                      <w:bCs/>
                      <w:color w:val="000000" w:themeColor="text1"/>
                      <w:szCs w:val="21"/>
                      <w:highlight w:val="none"/>
                      <w14:textFill>
                        <w14:solidFill>
                          <w14:schemeClr w14:val="tx1"/>
                        </w14:solidFill>
                      </w14:textFill>
                    </w:rPr>
                    <w:t>（14台）</w:t>
                  </w:r>
                </w:p>
              </w:tc>
              <w:tc>
                <w:tcPr>
                  <w:tcW w:w="267" w:type="pct"/>
                  <w:vMerge w:val="restart"/>
                  <w:vAlign w:val="center"/>
                </w:tcPr>
                <w:p w14:paraId="22C50AB9">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B500</w:t>
                  </w:r>
                </w:p>
              </w:tc>
              <w:tc>
                <w:tcPr>
                  <w:tcW w:w="356" w:type="pct"/>
                  <w:vMerge w:val="restart"/>
                  <w:vAlign w:val="center"/>
                </w:tcPr>
                <w:p w14:paraId="3E2127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70</w:t>
                  </w:r>
                </w:p>
              </w:tc>
              <w:tc>
                <w:tcPr>
                  <w:tcW w:w="373" w:type="pct"/>
                  <w:vMerge w:val="restart"/>
                  <w:vAlign w:val="center"/>
                </w:tcPr>
                <w:p w14:paraId="1F889C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2717BF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1800952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14-57</w:t>
                  </w:r>
                </w:p>
              </w:tc>
              <w:tc>
                <w:tcPr>
                  <w:tcW w:w="196" w:type="pct"/>
                  <w:vMerge w:val="restart"/>
                  <w:vAlign w:val="center"/>
                </w:tcPr>
                <w:p w14:paraId="28D729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8-50</w:t>
                  </w:r>
                </w:p>
              </w:tc>
              <w:tc>
                <w:tcPr>
                  <w:tcW w:w="233" w:type="pct"/>
                  <w:vMerge w:val="restart"/>
                  <w:vAlign w:val="center"/>
                </w:tcPr>
                <w:p w14:paraId="1064F3D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tcBorders>
                    <w:bottom w:val="single" w:color="auto" w:sz="4" w:space="0"/>
                  </w:tcBorders>
                  <w:vAlign w:val="center"/>
                </w:tcPr>
                <w:p w14:paraId="4EEDB9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69DFE01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23</w:t>
                  </w:r>
                </w:p>
              </w:tc>
              <w:tc>
                <w:tcPr>
                  <w:tcW w:w="374" w:type="pct"/>
                  <w:tcBorders>
                    <w:bottom w:val="single" w:color="auto" w:sz="4" w:space="0"/>
                  </w:tcBorders>
                  <w:vAlign w:val="center"/>
                </w:tcPr>
                <w:p w14:paraId="20224DD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42.7</w:t>
                  </w:r>
                </w:p>
              </w:tc>
              <w:tc>
                <w:tcPr>
                  <w:tcW w:w="321" w:type="pct"/>
                  <w:vMerge w:val="restart"/>
                  <w:tcBorders>
                    <w:top w:val="single" w:color="auto" w:sz="6" w:space="0"/>
                  </w:tcBorders>
                  <w:vAlign w:val="center"/>
                </w:tcPr>
                <w:p w14:paraId="05073B0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7D088A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1FAB92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22.7</w:t>
                  </w:r>
                </w:p>
              </w:tc>
              <w:tc>
                <w:tcPr>
                  <w:tcW w:w="355" w:type="pct"/>
                  <w:tcBorders>
                    <w:bottom w:val="single" w:color="auto" w:sz="4" w:space="0"/>
                  </w:tcBorders>
                  <w:vAlign w:val="center"/>
                </w:tcPr>
                <w:p w14:paraId="555A3E7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E79B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FD1D1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65583E6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continue"/>
                  <w:vAlign w:val="center"/>
                </w:tcPr>
                <w:p w14:paraId="1BE9727E">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p>
              </w:tc>
              <w:tc>
                <w:tcPr>
                  <w:tcW w:w="267" w:type="pct"/>
                  <w:vMerge w:val="continue"/>
                  <w:vAlign w:val="center"/>
                </w:tcPr>
                <w:p w14:paraId="33F8123D">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501303D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29AA1A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6CF16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ECCBF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E43525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E141CF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693B8C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3C6E91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374" w:type="pct"/>
                  <w:tcBorders>
                    <w:top w:val="single" w:color="auto" w:sz="4" w:space="0"/>
                    <w:bottom w:val="single" w:color="auto" w:sz="4" w:space="0"/>
                  </w:tcBorders>
                  <w:vAlign w:val="center"/>
                </w:tcPr>
                <w:p w14:paraId="0942127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51.9</w:t>
                  </w:r>
                </w:p>
              </w:tc>
              <w:tc>
                <w:tcPr>
                  <w:tcW w:w="321" w:type="pct"/>
                  <w:vMerge w:val="continue"/>
                  <w:vAlign w:val="center"/>
                </w:tcPr>
                <w:p w14:paraId="1B32A7D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223FC8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4F217A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31.9</w:t>
                  </w:r>
                </w:p>
              </w:tc>
              <w:tc>
                <w:tcPr>
                  <w:tcW w:w="355" w:type="pct"/>
                  <w:tcBorders>
                    <w:top w:val="single" w:color="auto" w:sz="4" w:space="0"/>
                    <w:bottom w:val="single" w:color="auto" w:sz="4" w:space="0"/>
                  </w:tcBorders>
                  <w:vAlign w:val="center"/>
                </w:tcPr>
                <w:p w14:paraId="50F17A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D89C9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27C0C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1CA15DB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continue"/>
                  <w:vAlign w:val="center"/>
                </w:tcPr>
                <w:p w14:paraId="7FE79910">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p>
              </w:tc>
              <w:tc>
                <w:tcPr>
                  <w:tcW w:w="267" w:type="pct"/>
                  <w:vMerge w:val="continue"/>
                  <w:vAlign w:val="center"/>
                </w:tcPr>
                <w:p w14:paraId="1ECBCEF0">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34D5543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2997AA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4BF4027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7C325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40C486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C4BD5B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2E08B5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1AFF3B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w:t>
                  </w:r>
                </w:p>
              </w:tc>
              <w:tc>
                <w:tcPr>
                  <w:tcW w:w="374" w:type="pct"/>
                  <w:tcBorders>
                    <w:top w:val="single" w:color="auto" w:sz="4" w:space="0"/>
                    <w:bottom w:val="single" w:color="auto" w:sz="4" w:space="0"/>
                  </w:tcBorders>
                  <w:vAlign w:val="center"/>
                </w:tcPr>
                <w:p w14:paraId="0FF4E4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47.0</w:t>
                  </w:r>
                </w:p>
              </w:tc>
              <w:tc>
                <w:tcPr>
                  <w:tcW w:w="321" w:type="pct"/>
                  <w:vMerge w:val="continue"/>
                  <w:vAlign w:val="center"/>
                </w:tcPr>
                <w:p w14:paraId="30DAA8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4D45DB2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04DAB78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w:t>
                  </w:r>
                </w:p>
              </w:tc>
              <w:tc>
                <w:tcPr>
                  <w:tcW w:w="355" w:type="pct"/>
                  <w:tcBorders>
                    <w:top w:val="single" w:color="auto" w:sz="4" w:space="0"/>
                    <w:bottom w:val="single" w:color="auto" w:sz="4" w:space="0"/>
                  </w:tcBorders>
                  <w:vAlign w:val="center"/>
                </w:tcPr>
                <w:p w14:paraId="48F27D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87EC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0E950E8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36618F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continue"/>
                  <w:vAlign w:val="center"/>
                </w:tcPr>
                <w:p w14:paraId="68BAC32B">
                  <w:pPr>
                    <w:pStyle w:val="72"/>
                    <w:spacing w:line="300" w:lineRule="exact"/>
                    <w:ind w:firstLine="0" w:firstLineChars="0"/>
                    <w:jc w:val="center"/>
                    <w:rPr>
                      <w:rFonts w:ascii="Times New Roman" w:hAnsi="Times New Roman"/>
                      <w:bCs/>
                      <w:color w:val="000000" w:themeColor="text1"/>
                      <w:szCs w:val="21"/>
                      <w:highlight w:val="none"/>
                      <w:lang w:bidi="zh-CN"/>
                      <w14:textFill>
                        <w14:solidFill>
                          <w14:schemeClr w14:val="tx1"/>
                        </w14:solidFill>
                      </w14:textFill>
                    </w:rPr>
                  </w:pPr>
                </w:p>
              </w:tc>
              <w:tc>
                <w:tcPr>
                  <w:tcW w:w="267" w:type="pct"/>
                  <w:vMerge w:val="continue"/>
                  <w:vAlign w:val="center"/>
                </w:tcPr>
                <w:p w14:paraId="7841CC1C">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23C3C6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EE3FD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274C3B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B63F94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B2B8C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AA443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6332B6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4A8C904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w:t>
                  </w:r>
                </w:p>
              </w:tc>
              <w:tc>
                <w:tcPr>
                  <w:tcW w:w="374" w:type="pct"/>
                  <w:tcBorders>
                    <w:top w:val="single" w:color="auto" w:sz="4" w:space="0"/>
                  </w:tcBorders>
                  <w:vAlign w:val="center"/>
                </w:tcPr>
                <w:p w14:paraId="7BF8D83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63.9</w:t>
                  </w:r>
                </w:p>
              </w:tc>
              <w:tc>
                <w:tcPr>
                  <w:tcW w:w="321" w:type="pct"/>
                  <w:vMerge w:val="continue"/>
                  <w:vAlign w:val="center"/>
                </w:tcPr>
                <w:p w14:paraId="352F71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39B470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0B5287B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43.9</w:t>
                  </w:r>
                </w:p>
              </w:tc>
              <w:tc>
                <w:tcPr>
                  <w:tcW w:w="355" w:type="pct"/>
                  <w:tcBorders>
                    <w:top w:val="single" w:color="auto" w:sz="4" w:space="0"/>
                  </w:tcBorders>
                  <w:vAlign w:val="center"/>
                </w:tcPr>
                <w:p w14:paraId="19A807D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66D9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1899566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4</w:t>
                  </w:r>
                </w:p>
              </w:tc>
              <w:tc>
                <w:tcPr>
                  <w:tcW w:w="269" w:type="pct"/>
                  <w:vMerge w:val="continue"/>
                  <w:vAlign w:val="center"/>
                </w:tcPr>
                <w:p w14:paraId="0ACC9C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restart"/>
                  <w:vAlign w:val="center"/>
                </w:tcPr>
                <w:p w14:paraId="693263E4">
                  <w:pPr>
                    <w:pStyle w:val="72"/>
                    <w:spacing w:line="300" w:lineRule="exact"/>
                    <w:ind w:firstLine="0" w:firstLineChars="0"/>
                    <w:jc w:val="center"/>
                    <w:rPr>
                      <w:rFonts w:ascii="Times New Roman" w:hAnsi="Times New Roman"/>
                      <w:color w:val="000000" w:themeColor="text1"/>
                      <w:kern w:val="0"/>
                      <w:szCs w:val="21"/>
                      <w:highlight w:val="none"/>
                      <w14:textFill>
                        <w14:solidFill>
                          <w14:schemeClr w14:val="tx1"/>
                        </w14:solidFill>
                      </w14:textFill>
                    </w:rPr>
                  </w:pPr>
                  <w:r>
                    <w:rPr>
                      <w:rFonts w:hint="eastAsia" w:ascii="Times New Roman" w:hAnsi="Times New Roman"/>
                      <w:bCs/>
                      <w:color w:val="000000" w:themeColor="text1"/>
                      <w:szCs w:val="21"/>
                      <w:highlight w:val="none"/>
                      <w:lang w:bidi="zh-CN"/>
                      <w14:textFill>
                        <w14:solidFill>
                          <w14:schemeClr w14:val="tx1"/>
                        </w14:solidFill>
                      </w14:textFill>
                    </w:rPr>
                    <w:t>颚式破碎机</w:t>
                  </w:r>
                  <w:r>
                    <w:rPr>
                      <w:rFonts w:hint="eastAsia" w:ascii="Times New Roman" w:hAnsi="Times New Roman"/>
                      <w:bCs/>
                      <w:color w:val="000000" w:themeColor="text1"/>
                      <w:szCs w:val="21"/>
                      <w:highlight w:val="none"/>
                      <w14:textFill>
                        <w14:solidFill>
                          <w14:schemeClr w14:val="tx1"/>
                        </w14:solidFill>
                      </w14:textFill>
                    </w:rPr>
                    <w:t>（2台）</w:t>
                  </w:r>
                </w:p>
              </w:tc>
              <w:tc>
                <w:tcPr>
                  <w:tcW w:w="267" w:type="pct"/>
                  <w:vMerge w:val="restart"/>
                  <w:vAlign w:val="center"/>
                </w:tcPr>
                <w:p w14:paraId="6C2360F6">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PE</w:t>
                  </w:r>
                  <w:r>
                    <w:rPr>
                      <w:rFonts w:hint="eastAsia" w:ascii="Times New Roman" w:hAnsi="Times New Roman"/>
                      <w:bCs/>
                      <w:color w:val="000000" w:themeColor="text1"/>
                      <w:szCs w:val="21"/>
                      <w:highlight w:val="none"/>
                      <w14:textFill>
                        <w14:solidFill>
                          <w14:schemeClr w14:val="tx1"/>
                        </w14:solidFill>
                      </w14:textFill>
                    </w:rPr>
                    <w:t>900</w:t>
                  </w:r>
                  <w:r>
                    <w:rPr>
                      <w:rFonts w:ascii="Times New Roman" w:hAnsi="Times New Roman"/>
                      <w:bCs/>
                      <w:color w:val="000000" w:themeColor="text1"/>
                      <w:szCs w:val="21"/>
                      <w:highlight w:val="none"/>
                      <w14:textFill>
                        <w14:solidFill>
                          <w14:schemeClr w14:val="tx1"/>
                        </w14:solidFill>
                      </w14:textFill>
                    </w:rPr>
                    <w:t>×</w:t>
                  </w:r>
                  <w:r>
                    <w:rPr>
                      <w:rFonts w:hint="eastAsia" w:ascii="Times New Roman" w:hAnsi="Times New Roman"/>
                      <w:bCs/>
                      <w:color w:val="000000" w:themeColor="text1"/>
                      <w:szCs w:val="21"/>
                      <w:highlight w:val="none"/>
                      <w14:textFill>
                        <w14:solidFill>
                          <w14:schemeClr w14:val="tx1"/>
                        </w14:solidFill>
                      </w14:textFill>
                    </w:rPr>
                    <w:t>1200</w:t>
                  </w:r>
                </w:p>
              </w:tc>
              <w:tc>
                <w:tcPr>
                  <w:tcW w:w="356" w:type="pct"/>
                  <w:vMerge w:val="restart"/>
                  <w:vAlign w:val="center"/>
                </w:tcPr>
                <w:p w14:paraId="194156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95</w:t>
                  </w:r>
                </w:p>
              </w:tc>
              <w:tc>
                <w:tcPr>
                  <w:tcW w:w="373" w:type="pct"/>
                  <w:vMerge w:val="restart"/>
                  <w:vAlign w:val="center"/>
                </w:tcPr>
                <w:p w14:paraId="1ACE67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227F86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361C2B6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14-55</w:t>
                  </w:r>
                </w:p>
              </w:tc>
              <w:tc>
                <w:tcPr>
                  <w:tcW w:w="196" w:type="pct"/>
                  <w:vMerge w:val="restart"/>
                  <w:vAlign w:val="center"/>
                </w:tcPr>
                <w:p w14:paraId="673E76E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w:t>
                  </w:r>
                </w:p>
              </w:tc>
              <w:tc>
                <w:tcPr>
                  <w:tcW w:w="233" w:type="pct"/>
                  <w:vMerge w:val="restart"/>
                  <w:vAlign w:val="center"/>
                </w:tcPr>
                <w:p w14:paraId="24334E7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259D0F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4BAF21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vAlign w:val="center"/>
                </w:tcPr>
                <w:p w14:paraId="08C3022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62.0</w:t>
                  </w:r>
                </w:p>
              </w:tc>
              <w:tc>
                <w:tcPr>
                  <w:tcW w:w="321" w:type="pct"/>
                  <w:vMerge w:val="restart"/>
                  <w:tcBorders>
                    <w:top w:val="single" w:color="auto" w:sz="6" w:space="0"/>
                  </w:tcBorders>
                  <w:vAlign w:val="center"/>
                </w:tcPr>
                <w:p w14:paraId="11C7DD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2F62CC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618477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w:t>
                  </w:r>
                </w:p>
              </w:tc>
              <w:tc>
                <w:tcPr>
                  <w:tcW w:w="355" w:type="pct"/>
                  <w:vAlign w:val="center"/>
                </w:tcPr>
                <w:p w14:paraId="56F2B8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6531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259D0D8D">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9" w:type="pct"/>
                  <w:vMerge w:val="continue"/>
                  <w:vAlign w:val="center"/>
                </w:tcPr>
                <w:p w14:paraId="4CEDAFB1">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4" w:type="pct"/>
                  <w:vMerge w:val="continue"/>
                  <w:vAlign w:val="center"/>
                </w:tcPr>
                <w:p w14:paraId="5662DF3E">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7" w:type="pct"/>
                  <w:vMerge w:val="continue"/>
                  <w:vAlign w:val="center"/>
                </w:tcPr>
                <w:p w14:paraId="3B705BC3">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56" w:type="pct"/>
                  <w:vMerge w:val="continue"/>
                  <w:vAlign w:val="center"/>
                </w:tcPr>
                <w:p w14:paraId="1BE5F1E1">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3" w:type="pct"/>
                  <w:vMerge w:val="continue"/>
                  <w:vAlign w:val="center"/>
                </w:tcPr>
                <w:p w14:paraId="7B00C642">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40" w:type="pct"/>
                  <w:vMerge w:val="continue"/>
                  <w:vAlign w:val="center"/>
                </w:tcPr>
                <w:p w14:paraId="29CEB04B">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13" w:type="pct"/>
                  <w:vMerge w:val="continue"/>
                  <w:vAlign w:val="center"/>
                </w:tcPr>
                <w:p w14:paraId="440BAD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B78EC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5D7D0F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668FD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7C3B729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w:t>
                  </w:r>
                </w:p>
              </w:tc>
              <w:tc>
                <w:tcPr>
                  <w:tcW w:w="374" w:type="pct"/>
                  <w:vAlign w:val="center"/>
                </w:tcPr>
                <w:p w14:paraId="1F70112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67.0</w:t>
                  </w:r>
                </w:p>
              </w:tc>
              <w:tc>
                <w:tcPr>
                  <w:tcW w:w="321" w:type="pct"/>
                  <w:vMerge w:val="continue"/>
                  <w:vAlign w:val="center"/>
                </w:tcPr>
                <w:p w14:paraId="756EE83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1A5352D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BA202B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w:t>
                  </w:r>
                </w:p>
              </w:tc>
              <w:tc>
                <w:tcPr>
                  <w:tcW w:w="355" w:type="pct"/>
                  <w:vAlign w:val="center"/>
                </w:tcPr>
                <w:p w14:paraId="70B7D0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DB0B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EAF89C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733FC8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D94FAF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20E952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51975E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5F326AA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2769685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1B61DF6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2E988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0592FCD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630891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5CF7E5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w:t>
                  </w:r>
                </w:p>
              </w:tc>
              <w:tc>
                <w:tcPr>
                  <w:tcW w:w="374" w:type="pct"/>
                  <w:vAlign w:val="center"/>
                </w:tcPr>
                <w:p w14:paraId="1306AC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67.0</w:t>
                  </w:r>
                </w:p>
              </w:tc>
              <w:tc>
                <w:tcPr>
                  <w:tcW w:w="321" w:type="pct"/>
                  <w:vMerge w:val="continue"/>
                  <w:vAlign w:val="center"/>
                </w:tcPr>
                <w:p w14:paraId="021648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69D17C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680BC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w:t>
                  </w:r>
                </w:p>
              </w:tc>
              <w:tc>
                <w:tcPr>
                  <w:tcW w:w="355" w:type="pct"/>
                  <w:vAlign w:val="center"/>
                </w:tcPr>
                <w:p w14:paraId="30239DA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47E4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5306ED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2FE96F6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5B139F5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64A98EA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506685A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1635546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2CCE70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2125FF2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90FC3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004C3F0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2C2DFB8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396B14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38</w:t>
                  </w:r>
                </w:p>
              </w:tc>
              <w:tc>
                <w:tcPr>
                  <w:tcW w:w="374" w:type="pct"/>
                  <w:vAlign w:val="center"/>
                </w:tcPr>
                <w:p w14:paraId="4804892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58.4</w:t>
                  </w:r>
                </w:p>
              </w:tc>
              <w:tc>
                <w:tcPr>
                  <w:tcW w:w="321" w:type="pct"/>
                  <w:vMerge w:val="continue"/>
                  <w:tcBorders>
                    <w:bottom w:val="single" w:color="auto" w:sz="6" w:space="0"/>
                  </w:tcBorders>
                  <w:vAlign w:val="center"/>
                </w:tcPr>
                <w:p w14:paraId="1BDEF47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019F3A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4B88D1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38.4</w:t>
                  </w:r>
                </w:p>
              </w:tc>
              <w:tc>
                <w:tcPr>
                  <w:tcW w:w="355" w:type="pct"/>
                  <w:vAlign w:val="center"/>
                </w:tcPr>
                <w:p w14:paraId="3BD629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B64A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346E1A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5</w:t>
                  </w:r>
                </w:p>
              </w:tc>
              <w:tc>
                <w:tcPr>
                  <w:tcW w:w="269" w:type="pct"/>
                  <w:vMerge w:val="continue"/>
                  <w:vAlign w:val="center"/>
                </w:tcPr>
                <w:p w14:paraId="02B3AF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restart"/>
                  <w:tcBorders>
                    <w:top w:val="single" w:color="auto" w:sz="4" w:space="0"/>
                  </w:tcBorders>
                  <w:vAlign w:val="center"/>
                </w:tcPr>
                <w:p w14:paraId="04259F52">
                  <w:pPr>
                    <w:pStyle w:val="72"/>
                    <w:spacing w:line="300" w:lineRule="exact"/>
                    <w:ind w:firstLine="0" w:firstLineChars="0"/>
                    <w:jc w:val="center"/>
                    <w:rPr>
                      <w:rFonts w:ascii="Times New Roman" w:hAnsi="Times New Roman"/>
                      <w:color w:val="000000" w:themeColor="text1"/>
                      <w:kern w:val="0"/>
                      <w:szCs w:val="21"/>
                      <w:highlight w:val="none"/>
                      <w14:textFill>
                        <w14:solidFill>
                          <w14:schemeClr w14:val="tx1"/>
                        </w14:solidFill>
                      </w14:textFill>
                    </w:rPr>
                  </w:pPr>
                  <w:r>
                    <w:rPr>
                      <w:rFonts w:hint="eastAsia" w:ascii="Times New Roman" w:hAnsi="Times New Roman"/>
                      <w:bCs/>
                      <w:color w:val="000000" w:themeColor="text1"/>
                      <w:szCs w:val="21"/>
                      <w:highlight w:val="none"/>
                      <w:lang w:bidi="zh-CN"/>
                      <w14:textFill>
                        <w14:solidFill>
                          <w14:schemeClr w14:val="tx1"/>
                        </w14:solidFill>
                      </w14:textFill>
                    </w:rPr>
                    <w:t>锤式破碎机</w:t>
                  </w:r>
                  <w:r>
                    <w:rPr>
                      <w:rFonts w:hint="eastAsia" w:ascii="Times New Roman" w:hAnsi="Times New Roman"/>
                      <w:bCs/>
                      <w:color w:val="000000" w:themeColor="text1"/>
                      <w:szCs w:val="21"/>
                      <w:highlight w:val="none"/>
                      <w14:textFill>
                        <w14:solidFill>
                          <w14:schemeClr w14:val="tx1"/>
                        </w14:solidFill>
                      </w14:textFill>
                    </w:rPr>
                    <w:t>（2台）</w:t>
                  </w:r>
                </w:p>
              </w:tc>
              <w:tc>
                <w:tcPr>
                  <w:tcW w:w="267" w:type="pct"/>
                  <w:vMerge w:val="restart"/>
                  <w:vAlign w:val="center"/>
                </w:tcPr>
                <w:p w14:paraId="41A6DE1C">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hint="eastAsia" w:ascii="Times New Roman" w:hAnsi="Times New Roman"/>
                      <w:bCs/>
                      <w:color w:val="000000" w:themeColor="text1"/>
                      <w:szCs w:val="21"/>
                      <w:highlight w:val="none"/>
                      <w14:textFill>
                        <w14:solidFill>
                          <w14:schemeClr w14:val="tx1"/>
                        </w14:solidFill>
                      </w14:textFill>
                    </w:rPr>
                    <w:t>PCZ1612</w:t>
                  </w:r>
                </w:p>
              </w:tc>
              <w:tc>
                <w:tcPr>
                  <w:tcW w:w="356" w:type="pct"/>
                  <w:vMerge w:val="restart"/>
                  <w:vAlign w:val="center"/>
                </w:tcPr>
                <w:p w14:paraId="7E82C5A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95</w:t>
                  </w:r>
                </w:p>
              </w:tc>
              <w:tc>
                <w:tcPr>
                  <w:tcW w:w="373" w:type="pct"/>
                  <w:vMerge w:val="restart"/>
                  <w:vAlign w:val="center"/>
                </w:tcPr>
                <w:p w14:paraId="2812C8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6D7E2B5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01A13A1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14-55</w:t>
                  </w:r>
                </w:p>
              </w:tc>
              <w:tc>
                <w:tcPr>
                  <w:tcW w:w="196" w:type="pct"/>
                  <w:vMerge w:val="restart"/>
                  <w:vAlign w:val="center"/>
                </w:tcPr>
                <w:p w14:paraId="58C1C1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233" w:type="pct"/>
                  <w:vMerge w:val="restart"/>
                  <w:vAlign w:val="center"/>
                </w:tcPr>
                <w:p w14:paraId="0D40BA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16E878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1675AEB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vAlign w:val="center"/>
                </w:tcPr>
                <w:p w14:paraId="58504EB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62.0</w:t>
                  </w:r>
                </w:p>
              </w:tc>
              <w:tc>
                <w:tcPr>
                  <w:tcW w:w="321" w:type="pct"/>
                  <w:vMerge w:val="restart"/>
                  <w:tcBorders>
                    <w:top w:val="single" w:color="auto" w:sz="6" w:space="0"/>
                  </w:tcBorders>
                  <w:vAlign w:val="center"/>
                </w:tcPr>
                <w:p w14:paraId="09A6B1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569F92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A06922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w:t>
                  </w:r>
                </w:p>
              </w:tc>
              <w:tc>
                <w:tcPr>
                  <w:tcW w:w="355" w:type="pct"/>
                  <w:vAlign w:val="center"/>
                </w:tcPr>
                <w:p w14:paraId="2A64706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D89C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8C54D6E">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9" w:type="pct"/>
                  <w:vMerge w:val="continue"/>
                  <w:vAlign w:val="center"/>
                </w:tcPr>
                <w:p w14:paraId="4B4F9C61">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4" w:type="pct"/>
                  <w:vMerge w:val="continue"/>
                  <w:vAlign w:val="center"/>
                </w:tcPr>
                <w:p w14:paraId="3F19C7F1">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7" w:type="pct"/>
                  <w:vMerge w:val="continue"/>
                  <w:vAlign w:val="center"/>
                </w:tcPr>
                <w:p w14:paraId="4FCA7AD1">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56" w:type="pct"/>
                  <w:vMerge w:val="continue"/>
                  <w:vAlign w:val="center"/>
                </w:tcPr>
                <w:p w14:paraId="54A0A32B">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3" w:type="pct"/>
                  <w:vMerge w:val="continue"/>
                  <w:vAlign w:val="center"/>
                </w:tcPr>
                <w:p w14:paraId="7BB9AFC9">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40" w:type="pct"/>
                  <w:vMerge w:val="continue"/>
                  <w:vAlign w:val="center"/>
                </w:tcPr>
                <w:p w14:paraId="33B51C6C">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13" w:type="pct"/>
                  <w:vMerge w:val="continue"/>
                  <w:vAlign w:val="center"/>
                </w:tcPr>
                <w:p w14:paraId="726286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74D657D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93ACB6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BCAABB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02A3B86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74" w:type="pct"/>
                  <w:vAlign w:val="center"/>
                </w:tcPr>
                <w:p w14:paraId="6927914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63.9</w:t>
                  </w:r>
                </w:p>
              </w:tc>
              <w:tc>
                <w:tcPr>
                  <w:tcW w:w="321" w:type="pct"/>
                  <w:vMerge w:val="continue"/>
                  <w:vAlign w:val="center"/>
                </w:tcPr>
                <w:p w14:paraId="6C2A1D7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4E84A77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336D60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43.9</w:t>
                  </w:r>
                </w:p>
              </w:tc>
              <w:tc>
                <w:tcPr>
                  <w:tcW w:w="355" w:type="pct"/>
                  <w:vAlign w:val="center"/>
                </w:tcPr>
                <w:p w14:paraId="4E17A75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A13D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98212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093CF7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572EB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6CD6B5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4F3DB3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7F95E0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608DD63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5A1736B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24F460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0DCAD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15F2E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58FA7CB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w:t>
                  </w:r>
                </w:p>
              </w:tc>
              <w:tc>
                <w:tcPr>
                  <w:tcW w:w="374" w:type="pct"/>
                  <w:vAlign w:val="center"/>
                </w:tcPr>
                <w:p w14:paraId="577182D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67.0</w:t>
                  </w:r>
                </w:p>
              </w:tc>
              <w:tc>
                <w:tcPr>
                  <w:tcW w:w="321" w:type="pct"/>
                  <w:vMerge w:val="continue"/>
                  <w:vAlign w:val="center"/>
                </w:tcPr>
                <w:p w14:paraId="2EC657B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3059940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1484EC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w:t>
                  </w:r>
                </w:p>
              </w:tc>
              <w:tc>
                <w:tcPr>
                  <w:tcW w:w="355" w:type="pct"/>
                  <w:vAlign w:val="center"/>
                </w:tcPr>
                <w:p w14:paraId="3B8A046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541A1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2B5454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38D381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40E4E1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72FA3C3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78212B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3FA661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2C5F7E8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74C9F81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733374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12D14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2FF3C94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650D46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vAlign w:val="center"/>
                </w:tcPr>
                <w:p w14:paraId="199E61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59.8</w:t>
                  </w:r>
                </w:p>
              </w:tc>
              <w:tc>
                <w:tcPr>
                  <w:tcW w:w="321" w:type="pct"/>
                  <w:vMerge w:val="continue"/>
                  <w:tcBorders>
                    <w:bottom w:val="single" w:color="auto" w:sz="6" w:space="0"/>
                  </w:tcBorders>
                  <w:vAlign w:val="center"/>
                </w:tcPr>
                <w:p w14:paraId="0E12570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3013B6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6275E3B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39.8</w:t>
                  </w:r>
                </w:p>
              </w:tc>
              <w:tc>
                <w:tcPr>
                  <w:tcW w:w="355" w:type="pct"/>
                  <w:vAlign w:val="center"/>
                </w:tcPr>
                <w:p w14:paraId="12A019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6E11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46CC91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6</w:t>
                  </w:r>
                </w:p>
              </w:tc>
              <w:tc>
                <w:tcPr>
                  <w:tcW w:w="269" w:type="pct"/>
                  <w:vMerge w:val="continue"/>
                  <w:vAlign w:val="center"/>
                </w:tcPr>
                <w:p w14:paraId="43B551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restart"/>
                  <w:vAlign w:val="center"/>
                </w:tcPr>
                <w:p w14:paraId="591F71CF">
                  <w:pPr>
                    <w:pStyle w:val="72"/>
                    <w:spacing w:line="300" w:lineRule="exact"/>
                    <w:ind w:firstLine="0" w:firstLineChars="0"/>
                    <w:jc w:val="center"/>
                    <w:rPr>
                      <w:rFonts w:ascii="Times New Roman" w:hAnsi="Times New Roman"/>
                      <w:color w:val="000000" w:themeColor="text1"/>
                      <w:kern w:val="0"/>
                      <w:szCs w:val="21"/>
                      <w:highlight w:val="none"/>
                      <w14:textFill>
                        <w14:solidFill>
                          <w14:schemeClr w14:val="tx1"/>
                        </w14:solidFill>
                      </w14:textFill>
                    </w:rPr>
                  </w:pPr>
                  <w:r>
                    <w:rPr>
                      <w:rFonts w:hint="eastAsia" w:ascii="Times New Roman" w:hAnsi="Times New Roman"/>
                      <w:bCs/>
                      <w:color w:val="000000" w:themeColor="text1"/>
                      <w:szCs w:val="21"/>
                      <w:highlight w:val="none"/>
                      <w:lang w:bidi="zh-CN"/>
                      <w14:textFill>
                        <w14:solidFill>
                          <w14:schemeClr w14:val="tx1"/>
                        </w14:solidFill>
                      </w14:textFill>
                    </w:rPr>
                    <w:t>圆滚筛</w:t>
                  </w:r>
                  <w:r>
                    <w:rPr>
                      <w:rFonts w:hint="eastAsia" w:ascii="Times New Roman" w:hAnsi="Times New Roman"/>
                      <w:bCs/>
                      <w:color w:val="000000" w:themeColor="text1"/>
                      <w:szCs w:val="21"/>
                      <w:highlight w:val="none"/>
                      <w14:textFill>
                        <w14:solidFill>
                          <w14:schemeClr w14:val="tx1"/>
                        </w14:solidFill>
                      </w14:textFill>
                    </w:rPr>
                    <w:t>（4台）</w:t>
                  </w:r>
                </w:p>
              </w:tc>
              <w:tc>
                <w:tcPr>
                  <w:tcW w:w="267" w:type="pct"/>
                  <w:vMerge w:val="restart"/>
                  <w:vAlign w:val="center"/>
                </w:tcPr>
                <w:p w14:paraId="23EC267B">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hint="eastAsia" w:ascii="Times New Roman" w:hAnsi="Times New Roman"/>
                      <w:bCs/>
                      <w:color w:val="000000" w:themeColor="text1"/>
                      <w:szCs w:val="21"/>
                      <w:highlight w:val="none"/>
                      <w14:textFill>
                        <w14:solidFill>
                          <w14:schemeClr w14:val="tx1"/>
                        </w14:solidFill>
                      </w14:textFill>
                    </w:rPr>
                    <w:t>GS1830</w:t>
                  </w:r>
                </w:p>
              </w:tc>
              <w:tc>
                <w:tcPr>
                  <w:tcW w:w="356" w:type="pct"/>
                  <w:vMerge w:val="restart"/>
                  <w:vAlign w:val="center"/>
                </w:tcPr>
                <w:p w14:paraId="37F481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0B24F2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5641B9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3D0103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12-58</w:t>
                  </w:r>
                </w:p>
              </w:tc>
              <w:tc>
                <w:tcPr>
                  <w:tcW w:w="196" w:type="pct"/>
                  <w:vMerge w:val="restart"/>
                  <w:vAlign w:val="center"/>
                </w:tcPr>
                <w:p w14:paraId="52B1DA5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233" w:type="pct"/>
                  <w:vMerge w:val="restart"/>
                  <w:vAlign w:val="center"/>
                </w:tcPr>
                <w:p w14:paraId="0E57F0D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1A057A7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624D122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22</w:t>
                  </w:r>
                </w:p>
              </w:tc>
              <w:tc>
                <w:tcPr>
                  <w:tcW w:w="374" w:type="pct"/>
                  <w:vAlign w:val="center"/>
                </w:tcPr>
                <w:p w14:paraId="39B44C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53.1</w:t>
                  </w:r>
                </w:p>
              </w:tc>
              <w:tc>
                <w:tcPr>
                  <w:tcW w:w="321" w:type="pct"/>
                  <w:vMerge w:val="restart"/>
                  <w:tcBorders>
                    <w:top w:val="single" w:color="auto" w:sz="6" w:space="0"/>
                  </w:tcBorders>
                  <w:vAlign w:val="center"/>
                </w:tcPr>
                <w:p w14:paraId="06C548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7FE510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B4575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33.1</w:t>
                  </w:r>
                </w:p>
              </w:tc>
              <w:tc>
                <w:tcPr>
                  <w:tcW w:w="355" w:type="pct"/>
                  <w:vAlign w:val="center"/>
                </w:tcPr>
                <w:p w14:paraId="3B8227D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1D42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C6C99BE">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9" w:type="pct"/>
                  <w:vMerge w:val="continue"/>
                  <w:vAlign w:val="center"/>
                </w:tcPr>
                <w:p w14:paraId="7BD78EEE">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4" w:type="pct"/>
                  <w:vMerge w:val="continue"/>
                  <w:vAlign w:val="center"/>
                </w:tcPr>
                <w:p w14:paraId="3095EF34">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7" w:type="pct"/>
                  <w:vMerge w:val="continue"/>
                  <w:vAlign w:val="center"/>
                </w:tcPr>
                <w:p w14:paraId="6CB95FB2">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56" w:type="pct"/>
                  <w:vMerge w:val="continue"/>
                  <w:vAlign w:val="center"/>
                </w:tcPr>
                <w:p w14:paraId="57EAC1E7">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3" w:type="pct"/>
                  <w:vMerge w:val="continue"/>
                  <w:vAlign w:val="center"/>
                </w:tcPr>
                <w:p w14:paraId="34E2163F">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40" w:type="pct"/>
                  <w:vMerge w:val="continue"/>
                  <w:vAlign w:val="center"/>
                </w:tcPr>
                <w:p w14:paraId="71094514">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13" w:type="pct"/>
                  <w:vMerge w:val="continue"/>
                  <w:vAlign w:val="center"/>
                </w:tcPr>
                <w:p w14:paraId="3F1A71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A3146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1A3ED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026847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49F19C7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25</w:t>
                  </w:r>
                </w:p>
              </w:tc>
              <w:tc>
                <w:tcPr>
                  <w:tcW w:w="374" w:type="pct"/>
                  <w:vAlign w:val="center"/>
                </w:tcPr>
                <w:p w14:paraId="3F70FD8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52.0</w:t>
                  </w:r>
                </w:p>
              </w:tc>
              <w:tc>
                <w:tcPr>
                  <w:tcW w:w="321" w:type="pct"/>
                  <w:vMerge w:val="continue"/>
                  <w:vAlign w:val="center"/>
                </w:tcPr>
                <w:p w14:paraId="12D6CDD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4A4BDF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5C999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55" w:type="pct"/>
                  <w:vAlign w:val="center"/>
                </w:tcPr>
                <w:p w14:paraId="566986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5083A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0DBD6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179DF6E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245CEF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73D2CA6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329CEF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3478BA9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2F6D0F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6039CE2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35BC0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77B1F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4E7E11C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58FAFE07">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12</w:t>
                  </w:r>
                </w:p>
              </w:tc>
              <w:tc>
                <w:tcPr>
                  <w:tcW w:w="374" w:type="pct"/>
                  <w:vAlign w:val="center"/>
                </w:tcPr>
                <w:p w14:paraId="085400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58.4</w:t>
                  </w:r>
                </w:p>
              </w:tc>
              <w:tc>
                <w:tcPr>
                  <w:tcW w:w="321" w:type="pct"/>
                  <w:vMerge w:val="continue"/>
                  <w:vAlign w:val="center"/>
                </w:tcPr>
                <w:p w14:paraId="269E61B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7055B6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F2A366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38.4</w:t>
                  </w:r>
                </w:p>
              </w:tc>
              <w:tc>
                <w:tcPr>
                  <w:tcW w:w="355" w:type="pct"/>
                  <w:vAlign w:val="center"/>
                </w:tcPr>
                <w:p w14:paraId="74F3EF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BF13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318658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269" w:type="pct"/>
                  <w:vMerge w:val="continue"/>
                  <w:vAlign w:val="center"/>
                </w:tcPr>
                <w:p w14:paraId="08EC18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0442F7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267" w:type="pct"/>
                  <w:vMerge w:val="continue"/>
                  <w:vAlign w:val="center"/>
                </w:tcPr>
                <w:p w14:paraId="273465F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56" w:type="pct"/>
                  <w:vMerge w:val="continue"/>
                  <w:vAlign w:val="center"/>
                </w:tcPr>
                <w:p w14:paraId="22B399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3" w:type="pct"/>
                  <w:vMerge w:val="continue"/>
                  <w:vAlign w:val="center"/>
                </w:tcPr>
                <w:p w14:paraId="20758E3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40" w:type="pct"/>
                  <w:vMerge w:val="continue"/>
                  <w:vAlign w:val="center"/>
                </w:tcPr>
                <w:p w14:paraId="10D229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213" w:type="pct"/>
                  <w:vMerge w:val="continue"/>
                  <w:vAlign w:val="center"/>
                </w:tcPr>
                <w:p w14:paraId="496B93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08A7527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06A77E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vAlign w:val="center"/>
                </w:tcPr>
                <w:p w14:paraId="5000ED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6FC5C1A1">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27</w:t>
                  </w:r>
                </w:p>
              </w:tc>
              <w:tc>
                <w:tcPr>
                  <w:tcW w:w="374" w:type="pct"/>
                  <w:vAlign w:val="center"/>
                </w:tcPr>
                <w:p w14:paraId="1BE9DC4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51.3</w:t>
                  </w:r>
                </w:p>
              </w:tc>
              <w:tc>
                <w:tcPr>
                  <w:tcW w:w="321" w:type="pct"/>
                  <w:vMerge w:val="continue"/>
                  <w:tcBorders>
                    <w:bottom w:val="single" w:color="auto" w:sz="6" w:space="0"/>
                  </w:tcBorders>
                  <w:vAlign w:val="center"/>
                </w:tcPr>
                <w:p w14:paraId="78D0986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75EB2F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0CF4166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31.3</w:t>
                  </w:r>
                </w:p>
              </w:tc>
              <w:tc>
                <w:tcPr>
                  <w:tcW w:w="355" w:type="pct"/>
                  <w:vAlign w:val="center"/>
                </w:tcPr>
                <w:p w14:paraId="3B29AE8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3627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21500FD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7</w:t>
                  </w:r>
                </w:p>
              </w:tc>
              <w:tc>
                <w:tcPr>
                  <w:tcW w:w="269" w:type="pct"/>
                  <w:vMerge w:val="continue"/>
                  <w:vAlign w:val="center"/>
                </w:tcPr>
                <w:p w14:paraId="76D0CE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4" w:type="pct"/>
                  <w:vMerge w:val="restart"/>
                  <w:vAlign w:val="center"/>
                </w:tcPr>
                <w:p w14:paraId="3744061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14:textFill>
                        <w14:solidFill>
                          <w14:schemeClr w14:val="tx1"/>
                        </w14:solidFill>
                      </w14:textFill>
                    </w:rPr>
                    <w:t>搅拌机（1台）</w:t>
                  </w:r>
                </w:p>
              </w:tc>
              <w:tc>
                <w:tcPr>
                  <w:tcW w:w="267" w:type="pct"/>
                  <w:vMerge w:val="restart"/>
                  <w:vAlign w:val="center"/>
                </w:tcPr>
                <w:p w14:paraId="706115C8">
                  <w:pPr>
                    <w:pStyle w:val="72"/>
                    <w:spacing w:line="300" w:lineRule="exact"/>
                    <w:ind w:firstLine="0" w:firstLineChars="0"/>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JS4000</w:t>
                  </w:r>
                </w:p>
              </w:tc>
              <w:tc>
                <w:tcPr>
                  <w:tcW w:w="356" w:type="pct"/>
                  <w:vMerge w:val="restart"/>
                  <w:vAlign w:val="center"/>
                </w:tcPr>
                <w:p w14:paraId="666C28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3C3C806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2783DFF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5F740E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51</w:t>
                  </w:r>
                </w:p>
              </w:tc>
              <w:tc>
                <w:tcPr>
                  <w:tcW w:w="196" w:type="pct"/>
                  <w:vMerge w:val="restart"/>
                  <w:vAlign w:val="center"/>
                </w:tcPr>
                <w:p w14:paraId="29474B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w:t>
                  </w:r>
                </w:p>
              </w:tc>
              <w:tc>
                <w:tcPr>
                  <w:tcW w:w="233" w:type="pct"/>
                  <w:vMerge w:val="restart"/>
                  <w:vAlign w:val="center"/>
                </w:tcPr>
                <w:p w14:paraId="7F0DF38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1910C5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401BBD0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29</w:t>
                  </w:r>
                </w:p>
              </w:tc>
              <w:tc>
                <w:tcPr>
                  <w:tcW w:w="374" w:type="pct"/>
                  <w:vAlign w:val="center"/>
                </w:tcPr>
                <w:p w14:paraId="1D90FC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50.7</w:t>
                  </w:r>
                </w:p>
              </w:tc>
              <w:tc>
                <w:tcPr>
                  <w:tcW w:w="321" w:type="pct"/>
                  <w:vMerge w:val="restart"/>
                  <w:tcBorders>
                    <w:top w:val="single" w:color="auto" w:sz="6" w:space="0"/>
                  </w:tcBorders>
                  <w:vAlign w:val="center"/>
                </w:tcPr>
                <w:p w14:paraId="3C5924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11063EF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12C6C8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30.7</w:t>
                  </w:r>
                </w:p>
              </w:tc>
              <w:tc>
                <w:tcPr>
                  <w:tcW w:w="355" w:type="pct"/>
                  <w:vAlign w:val="center"/>
                </w:tcPr>
                <w:p w14:paraId="19548E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11E1A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D2419BF">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9" w:type="pct"/>
                  <w:vMerge w:val="continue"/>
                  <w:vAlign w:val="center"/>
                </w:tcPr>
                <w:p w14:paraId="7A335F81">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4" w:type="pct"/>
                  <w:vMerge w:val="continue"/>
                  <w:vAlign w:val="center"/>
                </w:tcPr>
                <w:p w14:paraId="74B6D660">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67" w:type="pct"/>
                  <w:vMerge w:val="continue"/>
                  <w:vAlign w:val="center"/>
                </w:tcPr>
                <w:p w14:paraId="6EF3A5FF">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56" w:type="pct"/>
                  <w:vMerge w:val="continue"/>
                  <w:vAlign w:val="center"/>
                </w:tcPr>
                <w:p w14:paraId="20B89366">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73" w:type="pct"/>
                  <w:vMerge w:val="continue"/>
                  <w:vAlign w:val="center"/>
                </w:tcPr>
                <w:p w14:paraId="10E80BCD">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340" w:type="pct"/>
                  <w:vMerge w:val="continue"/>
                  <w:vAlign w:val="center"/>
                </w:tcPr>
                <w:p w14:paraId="0F2ACA5C">
                  <w:pPr>
                    <w:pStyle w:val="68"/>
                    <w:autoSpaceDE w:val="0"/>
                    <w:autoSpaceDN w:val="0"/>
                    <w:snapToGrid w:val="0"/>
                    <w:spacing w:line="300" w:lineRule="exact"/>
                    <w:jc w:val="center"/>
                    <w:rPr>
                      <w:rFonts w:ascii="Times New Roman" w:hAnsi="Times New Roman" w:cs="Times New Roman"/>
                      <w:color w:val="000000" w:themeColor="text1"/>
                      <w:szCs w:val="21"/>
                      <w:highlight w:val="none"/>
                      <w14:textFill>
                        <w14:solidFill>
                          <w14:schemeClr w14:val="tx1"/>
                        </w14:solidFill>
                      </w14:textFill>
                    </w:rPr>
                  </w:pPr>
                </w:p>
              </w:tc>
              <w:tc>
                <w:tcPr>
                  <w:tcW w:w="213" w:type="pct"/>
                  <w:vMerge w:val="continue"/>
                  <w:vAlign w:val="center"/>
                </w:tcPr>
                <w:p w14:paraId="6F4A0B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7FFDD4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262A79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34E01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5A7CCDDA">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30</w:t>
                  </w:r>
                </w:p>
              </w:tc>
              <w:tc>
                <w:tcPr>
                  <w:tcW w:w="374" w:type="pct"/>
                  <w:vAlign w:val="center"/>
                </w:tcPr>
                <w:p w14:paraId="0B5DE0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50.4</w:t>
                  </w:r>
                </w:p>
              </w:tc>
              <w:tc>
                <w:tcPr>
                  <w:tcW w:w="321" w:type="pct"/>
                  <w:vMerge w:val="continue"/>
                  <w:vAlign w:val="center"/>
                </w:tcPr>
                <w:p w14:paraId="2FA701D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56A914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5002ECA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30.4</w:t>
                  </w:r>
                </w:p>
              </w:tc>
              <w:tc>
                <w:tcPr>
                  <w:tcW w:w="355" w:type="pct"/>
                  <w:vAlign w:val="center"/>
                </w:tcPr>
                <w:p w14:paraId="07F650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FF24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859404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349A25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CA971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3C669A9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1A924EE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6534BC6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6F9766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24BCDD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74BEC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036883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2379A6E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17C161A7">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51</w:t>
                  </w:r>
                </w:p>
              </w:tc>
              <w:tc>
                <w:tcPr>
                  <w:tcW w:w="374" w:type="pct"/>
                  <w:vAlign w:val="center"/>
                </w:tcPr>
                <w:p w14:paraId="5073DA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45.8</w:t>
                  </w:r>
                </w:p>
              </w:tc>
              <w:tc>
                <w:tcPr>
                  <w:tcW w:w="321" w:type="pct"/>
                  <w:vMerge w:val="continue"/>
                  <w:vAlign w:val="center"/>
                </w:tcPr>
                <w:p w14:paraId="0496584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5C4FAE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1AAC88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25.8</w:t>
                  </w:r>
                </w:p>
              </w:tc>
              <w:tc>
                <w:tcPr>
                  <w:tcW w:w="355" w:type="pct"/>
                  <w:vAlign w:val="center"/>
                </w:tcPr>
                <w:p w14:paraId="4C6DCB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B793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058CEC8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2D3B074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bottom w:val="single" w:color="auto" w:sz="4" w:space="0"/>
                  </w:tcBorders>
                  <w:vAlign w:val="center"/>
                </w:tcPr>
                <w:p w14:paraId="6DAB357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7" w:type="pct"/>
                  <w:vMerge w:val="continue"/>
                  <w:vAlign w:val="center"/>
                </w:tcPr>
                <w:p w14:paraId="492485E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0B1C2AC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30F29E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41A85A4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3C9D382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5AD56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F9F43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9964F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6BEB8F6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22</w:t>
                  </w:r>
                </w:p>
              </w:tc>
              <w:tc>
                <w:tcPr>
                  <w:tcW w:w="374" w:type="pct"/>
                  <w:vAlign w:val="center"/>
                </w:tcPr>
                <w:p w14:paraId="170A3E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53.1</w:t>
                  </w:r>
                </w:p>
              </w:tc>
              <w:tc>
                <w:tcPr>
                  <w:tcW w:w="321" w:type="pct"/>
                  <w:vMerge w:val="continue"/>
                  <w:tcBorders>
                    <w:bottom w:val="single" w:color="auto" w:sz="6" w:space="0"/>
                  </w:tcBorders>
                  <w:vAlign w:val="center"/>
                </w:tcPr>
                <w:p w14:paraId="43DB1AC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4339AB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0B2016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33.1</w:t>
                  </w:r>
                </w:p>
              </w:tc>
              <w:tc>
                <w:tcPr>
                  <w:tcW w:w="355" w:type="pct"/>
                  <w:vAlign w:val="center"/>
                </w:tcPr>
                <w:p w14:paraId="477BB2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D133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9D0EAD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8</w:t>
                  </w:r>
                </w:p>
              </w:tc>
              <w:tc>
                <w:tcPr>
                  <w:tcW w:w="269" w:type="pct"/>
                  <w:vMerge w:val="continue"/>
                  <w:vAlign w:val="center"/>
                </w:tcPr>
                <w:p w14:paraId="27E21F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tcBorders>
                    <w:top w:val="single" w:color="auto" w:sz="4" w:space="0"/>
                  </w:tcBorders>
                  <w:vAlign w:val="center"/>
                </w:tcPr>
                <w:p w14:paraId="690193AC">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14:textFill>
                        <w14:solidFill>
                          <w14:schemeClr w14:val="tx1"/>
                        </w14:solidFill>
                      </w14:textFill>
                    </w:rPr>
                    <w:t>除尘风机（2台）</w:t>
                  </w:r>
                </w:p>
              </w:tc>
              <w:tc>
                <w:tcPr>
                  <w:tcW w:w="267" w:type="pct"/>
                  <w:vMerge w:val="restart"/>
                  <w:vAlign w:val="center"/>
                </w:tcPr>
                <w:p w14:paraId="0617D566">
                  <w:pPr>
                    <w:pStyle w:val="72"/>
                    <w:spacing w:line="300" w:lineRule="exact"/>
                    <w:ind w:firstLine="0" w:firstLineChars="0"/>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PPC-96-6</w:t>
                  </w:r>
                </w:p>
              </w:tc>
              <w:tc>
                <w:tcPr>
                  <w:tcW w:w="356" w:type="pct"/>
                  <w:vMerge w:val="restart"/>
                  <w:vAlign w:val="center"/>
                </w:tcPr>
                <w:p w14:paraId="36F5E81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90</w:t>
                  </w:r>
                </w:p>
              </w:tc>
              <w:tc>
                <w:tcPr>
                  <w:tcW w:w="373" w:type="pct"/>
                  <w:vMerge w:val="restart"/>
                  <w:vAlign w:val="center"/>
                </w:tcPr>
                <w:p w14:paraId="664F908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软连接</w:t>
                  </w:r>
                </w:p>
              </w:tc>
              <w:tc>
                <w:tcPr>
                  <w:tcW w:w="340" w:type="pct"/>
                  <w:vMerge w:val="restart"/>
                  <w:vAlign w:val="center"/>
                </w:tcPr>
                <w:p w14:paraId="73D2AB0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7A12B85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25-56</w:t>
                  </w:r>
                </w:p>
              </w:tc>
              <w:tc>
                <w:tcPr>
                  <w:tcW w:w="196" w:type="pct"/>
                  <w:vMerge w:val="restart"/>
                  <w:vAlign w:val="center"/>
                </w:tcPr>
                <w:p w14:paraId="310917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233" w:type="pct"/>
                  <w:vMerge w:val="restart"/>
                  <w:vAlign w:val="center"/>
                </w:tcPr>
                <w:p w14:paraId="41137C0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6A0E9F4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06E448D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p>
              </w:tc>
              <w:tc>
                <w:tcPr>
                  <w:tcW w:w="374" w:type="pct"/>
                  <w:vAlign w:val="center"/>
                </w:tcPr>
                <w:p w14:paraId="2FBE06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62.3</w:t>
                  </w:r>
                </w:p>
              </w:tc>
              <w:tc>
                <w:tcPr>
                  <w:tcW w:w="321" w:type="pct"/>
                  <w:vMerge w:val="restart"/>
                  <w:tcBorders>
                    <w:top w:val="single" w:color="auto" w:sz="6" w:space="0"/>
                  </w:tcBorders>
                  <w:vAlign w:val="center"/>
                </w:tcPr>
                <w:p w14:paraId="14368F4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59569A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23A92C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42.3</w:t>
                  </w:r>
                </w:p>
              </w:tc>
              <w:tc>
                <w:tcPr>
                  <w:tcW w:w="355" w:type="pct"/>
                  <w:vAlign w:val="center"/>
                </w:tcPr>
                <w:p w14:paraId="30F80B3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556AC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4A498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06371E2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72B069B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336DF24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3B06A2C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64F68E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3172B3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548147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381A1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4093601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1E41AFB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3D6811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vAlign w:val="center"/>
                </w:tcPr>
                <w:p w14:paraId="738112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62.0</w:t>
                  </w:r>
                </w:p>
              </w:tc>
              <w:tc>
                <w:tcPr>
                  <w:tcW w:w="321" w:type="pct"/>
                  <w:vMerge w:val="continue"/>
                  <w:vAlign w:val="center"/>
                </w:tcPr>
                <w:p w14:paraId="46B8806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7DF264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3E5D5E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w:t>
                  </w:r>
                </w:p>
              </w:tc>
              <w:tc>
                <w:tcPr>
                  <w:tcW w:w="355" w:type="pct"/>
                  <w:vAlign w:val="center"/>
                </w:tcPr>
                <w:p w14:paraId="58A319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4075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5CCAD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5B731C4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57675D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4D89A1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683EBB1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47B1E1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562EC52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26DC508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F333A6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8DA2D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66B7915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7E17178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vAlign w:val="center"/>
                </w:tcPr>
                <w:p w14:paraId="7E52C81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62.0</w:t>
                  </w:r>
                </w:p>
              </w:tc>
              <w:tc>
                <w:tcPr>
                  <w:tcW w:w="321" w:type="pct"/>
                  <w:vMerge w:val="continue"/>
                  <w:vAlign w:val="center"/>
                </w:tcPr>
                <w:p w14:paraId="27C532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65F2F31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815AA9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w:t>
                  </w:r>
                </w:p>
              </w:tc>
              <w:tc>
                <w:tcPr>
                  <w:tcW w:w="355" w:type="pct"/>
                  <w:vAlign w:val="center"/>
                </w:tcPr>
                <w:p w14:paraId="5A8B442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9834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1E0B97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69" w:type="pct"/>
                  <w:vMerge w:val="continue"/>
                  <w:vAlign w:val="center"/>
                </w:tcPr>
                <w:p w14:paraId="0733EBB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11A535C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5288165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56" w:type="pct"/>
                  <w:vMerge w:val="continue"/>
                  <w:vAlign w:val="center"/>
                </w:tcPr>
                <w:p w14:paraId="0B4618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3" w:type="pct"/>
                  <w:vMerge w:val="continue"/>
                  <w:vAlign w:val="center"/>
                </w:tcPr>
                <w:p w14:paraId="58ED12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40" w:type="pct"/>
                  <w:vMerge w:val="continue"/>
                  <w:vAlign w:val="center"/>
                </w:tcPr>
                <w:p w14:paraId="444DD8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213" w:type="pct"/>
                  <w:vMerge w:val="continue"/>
                  <w:vAlign w:val="center"/>
                </w:tcPr>
                <w:p w14:paraId="1BDE09F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3FA4E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F3E72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396EF742">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2DA9DB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w:t>
                  </w:r>
                </w:p>
              </w:tc>
              <w:tc>
                <w:tcPr>
                  <w:tcW w:w="374" w:type="pct"/>
                  <w:vAlign w:val="center"/>
                </w:tcPr>
                <w:p w14:paraId="0E1B462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61.3</w:t>
                  </w:r>
                </w:p>
              </w:tc>
              <w:tc>
                <w:tcPr>
                  <w:tcW w:w="321" w:type="pct"/>
                  <w:vMerge w:val="continue"/>
                  <w:tcBorders>
                    <w:bottom w:val="single" w:color="auto" w:sz="6" w:space="0"/>
                  </w:tcBorders>
                  <w:vAlign w:val="center"/>
                </w:tcPr>
                <w:p w14:paraId="4C31D73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6A16CD4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E1D1B2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41.3</w:t>
                  </w:r>
                </w:p>
              </w:tc>
              <w:tc>
                <w:tcPr>
                  <w:tcW w:w="355" w:type="pct"/>
                  <w:vAlign w:val="center"/>
                </w:tcPr>
                <w:p w14:paraId="6BBBA9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5BD5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65C5BB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9</w:t>
                  </w:r>
                </w:p>
              </w:tc>
              <w:tc>
                <w:tcPr>
                  <w:tcW w:w="269" w:type="pct"/>
                  <w:vMerge w:val="continue"/>
                  <w:vAlign w:val="center"/>
                </w:tcPr>
                <w:p w14:paraId="636972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6C3457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空压机（2台）</w:t>
                  </w:r>
                </w:p>
              </w:tc>
              <w:tc>
                <w:tcPr>
                  <w:tcW w:w="267" w:type="pct"/>
                  <w:vMerge w:val="restart"/>
                  <w:vAlign w:val="center"/>
                </w:tcPr>
                <w:p w14:paraId="562BD28F">
                  <w:pPr>
                    <w:pStyle w:val="72"/>
                    <w:spacing w:line="300" w:lineRule="exact"/>
                    <w:ind w:firstLine="0" w:firstLineChars="0"/>
                    <w:jc w:val="center"/>
                    <w:rPr>
                      <w:rFonts w:ascii="Times New Roman" w:hAnsi="宋体"/>
                      <w:bCs/>
                      <w:color w:val="000000" w:themeColor="text1"/>
                      <w:sz w:val="18"/>
                      <w:szCs w:val="18"/>
                      <w:highlight w:val="none"/>
                      <w14:textFill>
                        <w14:solidFill>
                          <w14:schemeClr w14:val="tx1"/>
                        </w14:solidFill>
                      </w14:textFill>
                    </w:rPr>
                  </w:pPr>
                  <w:r>
                    <w:rPr>
                      <w:rFonts w:hint="eastAsia" w:ascii="Times New Roman" w:hAnsi="宋体"/>
                      <w:bCs/>
                      <w:color w:val="000000" w:themeColor="text1"/>
                      <w:sz w:val="18"/>
                      <w:szCs w:val="18"/>
                      <w:highlight w:val="none"/>
                      <w14:textFill>
                        <w14:solidFill>
                          <w14:schemeClr w14:val="tx1"/>
                        </w14:solidFill>
                      </w14:textFill>
                    </w:rPr>
                    <w:t>--</w:t>
                  </w:r>
                </w:p>
              </w:tc>
              <w:tc>
                <w:tcPr>
                  <w:tcW w:w="356" w:type="pct"/>
                  <w:vMerge w:val="restart"/>
                  <w:vAlign w:val="center"/>
                </w:tcPr>
                <w:p w14:paraId="57C1305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5B7DD7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3C1C46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4FE402F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25-57</w:t>
                  </w:r>
                </w:p>
              </w:tc>
              <w:tc>
                <w:tcPr>
                  <w:tcW w:w="196" w:type="pct"/>
                  <w:vMerge w:val="restart"/>
                  <w:vAlign w:val="center"/>
                </w:tcPr>
                <w:p w14:paraId="666A608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w:t>
                  </w:r>
                </w:p>
              </w:tc>
              <w:tc>
                <w:tcPr>
                  <w:tcW w:w="233" w:type="pct"/>
                  <w:vMerge w:val="restart"/>
                  <w:vAlign w:val="center"/>
                </w:tcPr>
                <w:p w14:paraId="56B3EB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42C825D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744C49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23</w:t>
                  </w:r>
                </w:p>
              </w:tc>
              <w:tc>
                <w:tcPr>
                  <w:tcW w:w="374" w:type="pct"/>
                  <w:vAlign w:val="center"/>
                </w:tcPr>
                <w:p w14:paraId="258ED8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57.7</w:t>
                  </w:r>
                </w:p>
              </w:tc>
              <w:tc>
                <w:tcPr>
                  <w:tcW w:w="321" w:type="pct"/>
                  <w:vMerge w:val="restart"/>
                  <w:tcBorders>
                    <w:top w:val="single" w:color="auto" w:sz="6" w:space="0"/>
                  </w:tcBorders>
                  <w:vAlign w:val="center"/>
                </w:tcPr>
                <w:p w14:paraId="5DA7F7F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004E6C2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72BC89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37.7</w:t>
                  </w:r>
                </w:p>
              </w:tc>
              <w:tc>
                <w:tcPr>
                  <w:tcW w:w="355" w:type="pct"/>
                  <w:vAlign w:val="center"/>
                </w:tcPr>
                <w:p w14:paraId="294732B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A514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0F50B490">
                  <w:pPr>
                    <w:pStyle w:val="68"/>
                    <w:numPr>
                      <w:ilvl w:val="0"/>
                      <w:numId w:val="8"/>
                    </w:numPr>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666AD19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DF662D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F3004D6">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5783740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1E2B0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AF7E35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39326F5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9924B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6FF1C6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2856111C">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7AC6BB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w:t>
                  </w:r>
                </w:p>
              </w:tc>
              <w:tc>
                <w:tcPr>
                  <w:tcW w:w="374" w:type="pct"/>
                  <w:vAlign w:val="center"/>
                </w:tcPr>
                <w:p w14:paraId="5F2C236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56.0</w:t>
                  </w:r>
                </w:p>
              </w:tc>
              <w:tc>
                <w:tcPr>
                  <w:tcW w:w="321" w:type="pct"/>
                  <w:vMerge w:val="continue"/>
                  <w:vAlign w:val="center"/>
                </w:tcPr>
                <w:p w14:paraId="1BCBE8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6DB4265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4C3FB9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36</w:t>
                  </w:r>
                </w:p>
              </w:tc>
              <w:tc>
                <w:tcPr>
                  <w:tcW w:w="355" w:type="pct"/>
                  <w:vAlign w:val="center"/>
                </w:tcPr>
                <w:p w14:paraId="6E81ED4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9454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780D5D3">
                  <w:pPr>
                    <w:pStyle w:val="68"/>
                    <w:numPr>
                      <w:ilvl w:val="0"/>
                      <w:numId w:val="8"/>
                    </w:numPr>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BA7705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4EE6E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1705A158">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609F1EC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475600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2B0A7E2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16A77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185A7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305FC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92F49B2">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522DA1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vAlign w:val="center"/>
                </w:tcPr>
                <w:p w14:paraId="0F425D8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57.0</w:t>
                  </w:r>
                </w:p>
              </w:tc>
              <w:tc>
                <w:tcPr>
                  <w:tcW w:w="321" w:type="pct"/>
                  <w:vMerge w:val="continue"/>
                  <w:vAlign w:val="center"/>
                </w:tcPr>
                <w:p w14:paraId="6A2316A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7F176C3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6F61B2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w:t>
                  </w:r>
                </w:p>
              </w:tc>
              <w:tc>
                <w:tcPr>
                  <w:tcW w:w="355" w:type="pct"/>
                  <w:vAlign w:val="center"/>
                </w:tcPr>
                <w:p w14:paraId="5F848D7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EC83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5CF811C">
                  <w:pPr>
                    <w:pStyle w:val="68"/>
                    <w:numPr>
                      <w:ilvl w:val="0"/>
                      <w:numId w:val="8"/>
                    </w:numPr>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40EDA3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bottom w:val="single" w:color="auto" w:sz="4" w:space="0"/>
                  </w:tcBorders>
                  <w:vAlign w:val="center"/>
                </w:tcPr>
                <w:p w14:paraId="63CCD8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F0FD4D7">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6E037C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408C2C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2FFDFF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60C1EB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D1AF9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4E2B32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D99DEF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39DDF92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p>
              </w:tc>
              <w:tc>
                <w:tcPr>
                  <w:tcW w:w="374" w:type="pct"/>
                  <w:vAlign w:val="center"/>
                </w:tcPr>
                <w:p w14:paraId="355023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57.3</w:t>
                  </w:r>
                </w:p>
              </w:tc>
              <w:tc>
                <w:tcPr>
                  <w:tcW w:w="321" w:type="pct"/>
                  <w:vMerge w:val="continue"/>
                  <w:vAlign w:val="center"/>
                </w:tcPr>
                <w:p w14:paraId="32823FE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0B3ADA5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07A2044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37.3</w:t>
                  </w:r>
                </w:p>
              </w:tc>
              <w:tc>
                <w:tcPr>
                  <w:tcW w:w="355" w:type="pct"/>
                  <w:vAlign w:val="center"/>
                </w:tcPr>
                <w:p w14:paraId="135D27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E1E6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51AF59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10</w:t>
                  </w:r>
                </w:p>
              </w:tc>
              <w:tc>
                <w:tcPr>
                  <w:tcW w:w="269" w:type="pct"/>
                  <w:vMerge w:val="continue"/>
                  <w:vAlign w:val="center"/>
                </w:tcPr>
                <w:p w14:paraId="680DE76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tcBorders>
                    <w:top w:val="single" w:color="auto" w:sz="4" w:space="0"/>
                  </w:tcBorders>
                  <w:vAlign w:val="center"/>
                </w:tcPr>
                <w:p w14:paraId="371A87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装载机（2台）</w:t>
                  </w:r>
                </w:p>
              </w:tc>
              <w:tc>
                <w:tcPr>
                  <w:tcW w:w="267" w:type="pct"/>
                  <w:vMerge w:val="restart"/>
                  <w:vAlign w:val="center"/>
                </w:tcPr>
                <w:p w14:paraId="081647BA">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SEM655D</w:t>
                  </w:r>
                  <w:r>
                    <w:rPr>
                      <w:rFonts w:hint="eastAsia" w:ascii="Times New Roman" w:hAnsi="Times New Roman"/>
                      <w:bCs/>
                      <w:color w:val="000000" w:themeColor="text1"/>
                      <w:szCs w:val="21"/>
                      <w:highlight w:val="none"/>
                      <w14:textFill>
                        <w14:solidFill>
                          <w14:schemeClr w14:val="tx1"/>
                        </w14:solidFill>
                      </w14:textFill>
                    </w:rPr>
                    <w:t>、</w:t>
                  </w:r>
                  <w:r>
                    <w:rPr>
                      <w:rFonts w:ascii="Times New Roman" w:hAnsi="Times New Roman"/>
                      <w:bCs/>
                      <w:color w:val="000000" w:themeColor="text1"/>
                      <w:szCs w:val="21"/>
                      <w:highlight w:val="none"/>
                      <w14:textFill>
                        <w14:solidFill>
                          <w14:schemeClr w14:val="tx1"/>
                        </w14:solidFill>
                      </w14:textFill>
                    </w:rPr>
                    <w:t>SEM632D</w:t>
                  </w:r>
                </w:p>
              </w:tc>
              <w:tc>
                <w:tcPr>
                  <w:tcW w:w="356" w:type="pct"/>
                  <w:vMerge w:val="restart"/>
                  <w:vAlign w:val="center"/>
                </w:tcPr>
                <w:p w14:paraId="40F6863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80</w:t>
                  </w:r>
                </w:p>
              </w:tc>
              <w:tc>
                <w:tcPr>
                  <w:tcW w:w="373" w:type="pct"/>
                  <w:vMerge w:val="restart"/>
                  <w:vAlign w:val="center"/>
                </w:tcPr>
                <w:p w14:paraId="1CC9BF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4B9D550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7C2FFFF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196" w:type="pct"/>
                  <w:vMerge w:val="restart"/>
                  <w:vAlign w:val="center"/>
                </w:tcPr>
                <w:p w14:paraId="1B74F3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233" w:type="pct"/>
                  <w:vMerge w:val="restart"/>
                  <w:vAlign w:val="center"/>
                </w:tcPr>
                <w:p w14:paraId="10094BB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5B7441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06BC2B7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55</w:t>
                  </w:r>
                </w:p>
              </w:tc>
              <w:tc>
                <w:tcPr>
                  <w:tcW w:w="374" w:type="pct"/>
                  <w:tcBorders>
                    <w:bottom w:val="single" w:color="auto" w:sz="4" w:space="0"/>
                  </w:tcBorders>
                  <w:vAlign w:val="center"/>
                </w:tcPr>
                <w:p w14:paraId="705639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45.1</w:t>
                  </w:r>
                </w:p>
              </w:tc>
              <w:tc>
                <w:tcPr>
                  <w:tcW w:w="321" w:type="pct"/>
                  <w:vMerge w:val="restart"/>
                  <w:vAlign w:val="center"/>
                </w:tcPr>
                <w:p w14:paraId="453C5E5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5F9D80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21D972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25.1</w:t>
                  </w:r>
                </w:p>
              </w:tc>
              <w:tc>
                <w:tcPr>
                  <w:tcW w:w="355" w:type="pct"/>
                  <w:tcBorders>
                    <w:bottom w:val="single" w:color="auto" w:sz="4" w:space="0"/>
                  </w:tcBorders>
                  <w:vAlign w:val="center"/>
                </w:tcPr>
                <w:p w14:paraId="1C2C2C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8BAE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606471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1FD3D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4E041A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2EC6E48">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485244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EBDCD1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92B2D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21B0048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3E539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6D468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2D5956F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77E44DB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374" w:type="pct"/>
                  <w:tcBorders>
                    <w:top w:val="single" w:color="auto" w:sz="4" w:space="0"/>
                    <w:bottom w:val="single" w:color="auto" w:sz="4" w:space="0"/>
                  </w:tcBorders>
                  <w:vAlign w:val="center"/>
                </w:tcPr>
                <w:p w14:paraId="3A51772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61.9</w:t>
                  </w:r>
                </w:p>
              </w:tc>
              <w:tc>
                <w:tcPr>
                  <w:tcW w:w="321" w:type="pct"/>
                  <w:vMerge w:val="continue"/>
                  <w:vAlign w:val="center"/>
                </w:tcPr>
                <w:p w14:paraId="768A7DE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031DA8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5969F21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41.9</w:t>
                  </w:r>
                </w:p>
              </w:tc>
              <w:tc>
                <w:tcPr>
                  <w:tcW w:w="355" w:type="pct"/>
                  <w:tcBorders>
                    <w:top w:val="single" w:color="auto" w:sz="4" w:space="0"/>
                    <w:bottom w:val="single" w:color="auto" w:sz="4" w:space="0"/>
                  </w:tcBorders>
                  <w:vAlign w:val="center"/>
                </w:tcPr>
                <w:p w14:paraId="758C27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0EBA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30DBA7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319E118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798D71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5D2E9766">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68048A9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633BA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03A910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44B23E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09515A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4D0AB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400C3431">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2E55A33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w:t>
                  </w:r>
                </w:p>
              </w:tc>
              <w:tc>
                <w:tcPr>
                  <w:tcW w:w="374" w:type="pct"/>
                  <w:tcBorders>
                    <w:top w:val="single" w:color="auto" w:sz="4" w:space="0"/>
                    <w:bottom w:val="single" w:color="auto" w:sz="4" w:space="0"/>
                  </w:tcBorders>
                  <w:vAlign w:val="center"/>
                </w:tcPr>
                <w:p w14:paraId="2AE633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52.0</w:t>
                  </w:r>
                </w:p>
              </w:tc>
              <w:tc>
                <w:tcPr>
                  <w:tcW w:w="321" w:type="pct"/>
                  <w:vMerge w:val="continue"/>
                  <w:vAlign w:val="center"/>
                </w:tcPr>
                <w:p w14:paraId="473D52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4776E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1CF7BCB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55" w:type="pct"/>
                  <w:tcBorders>
                    <w:top w:val="single" w:color="auto" w:sz="4" w:space="0"/>
                    <w:bottom w:val="single" w:color="auto" w:sz="4" w:space="0"/>
                  </w:tcBorders>
                  <w:vAlign w:val="center"/>
                </w:tcPr>
                <w:p w14:paraId="3A30F6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5757A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D1BB9C7">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tcBorders>
                    <w:bottom w:val="single" w:color="auto" w:sz="4" w:space="0"/>
                  </w:tcBorders>
                  <w:vAlign w:val="center"/>
                </w:tcPr>
                <w:p w14:paraId="0689DDC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bottom w:val="single" w:color="auto" w:sz="4" w:space="0"/>
                  </w:tcBorders>
                  <w:vAlign w:val="center"/>
                </w:tcPr>
                <w:p w14:paraId="6B72AAB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7BD0A6EA">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356" w:type="pct"/>
                  <w:vMerge w:val="continue"/>
                  <w:vAlign w:val="center"/>
                </w:tcPr>
                <w:p w14:paraId="0046792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BCB9B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2C19B9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5EE7A8A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A9952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B475B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78A8E2D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21445E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44</w:t>
                  </w:r>
                </w:p>
              </w:tc>
              <w:tc>
                <w:tcPr>
                  <w:tcW w:w="374" w:type="pct"/>
                  <w:tcBorders>
                    <w:top w:val="single" w:color="auto" w:sz="4" w:space="0"/>
                  </w:tcBorders>
                  <w:vAlign w:val="center"/>
                </w:tcPr>
                <w:p w14:paraId="3C6D5B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47.1</w:t>
                  </w:r>
                </w:p>
              </w:tc>
              <w:tc>
                <w:tcPr>
                  <w:tcW w:w="321" w:type="pct"/>
                  <w:vMerge w:val="continue"/>
                  <w:vAlign w:val="center"/>
                </w:tcPr>
                <w:p w14:paraId="384BA85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319290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463E945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27.1</w:t>
                  </w:r>
                </w:p>
              </w:tc>
              <w:tc>
                <w:tcPr>
                  <w:tcW w:w="355" w:type="pct"/>
                  <w:tcBorders>
                    <w:top w:val="single" w:color="auto" w:sz="4" w:space="0"/>
                  </w:tcBorders>
                  <w:vAlign w:val="center"/>
                </w:tcPr>
                <w:p w14:paraId="2351605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1652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71299BD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11</w:t>
                  </w:r>
                </w:p>
              </w:tc>
              <w:tc>
                <w:tcPr>
                  <w:tcW w:w="269" w:type="pct"/>
                  <w:vMerge w:val="restart"/>
                  <w:tcBorders>
                    <w:top w:val="single" w:color="auto" w:sz="4" w:space="0"/>
                  </w:tcBorders>
                  <w:vAlign w:val="center"/>
                </w:tcPr>
                <w:p w14:paraId="475B626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陈化库</w:t>
                  </w:r>
                </w:p>
              </w:tc>
              <w:tc>
                <w:tcPr>
                  <w:tcW w:w="374" w:type="pct"/>
                  <w:vMerge w:val="restart"/>
                  <w:tcBorders>
                    <w:top w:val="single" w:color="auto" w:sz="4" w:space="0"/>
                  </w:tcBorders>
                  <w:vAlign w:val="center"/>
                </w:tcPr>
                <w:p w14:paraId="1B53A4B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布料机（2台）</w:t>
                  </w:r>
                </w:p>
              </w:tc>
              <w:tc>
                <w:tcPr>
                  <w:tcW w:w="267" w:type="pct"/>
                  <w:vMerge w:val="restart"/>
                  <w:vAlign w:val="center"/>
                </w:tcPr>
                <w:p w14:paraId="17F21661">
                  <w:pPr>
                    <w:pStyle w:val="72"/>
                    <w:spacing w:line="300" w:lineRule="exact"/>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KNP</w:t>
                  </w:r>
                  <w:r>
                    <w:rPr>
                      <w:rFonts w:hint="eastAsia" w:ascii="Times New Roman" w:hAnsi="Times New Roman"/>
                      <w:bCs/>
                      <w:color w:val="000000" w:themeColor="text1"/>
                      <w:szCs w:val="21"/>
                      <w:highlight w:val="none"/>
                      <w14:textFill>
                        <w14:solidFill>
                          <w14:schemeClr w14:val="tx1"/>
                        </w14:solidFill>
                      </w14:textFill>
                    </w:rPr>
                    <w:t>800</w:t>
                  </w:r>
                  <w:r>
                    <w:rPr>
                      <w:rFonts w:ascii="Times New Roman" w:hAnsi="Times New Roman"/>
                      <w:bCs/>
                      <w:color w:val="000000" w:themeColor="text1"/>
                      <w:szCs w:val="21"/>
                      <w:highlight w:val="none"/>
                      <w14:textFill>
                        <w14:solidFill>
                          <w14:schemeClr w14:val="tx1"/>
                        </w14:solidFill>
                      </w14:textFill>
                    </w:rPr>
                    <w:t>*26M</w:t>
                  </w:r>
                </w:p>
              </w:tc>
              <w:tc>
                <w:tcPr>
                  <w:tcW w:w="356" w:type="pct"/>
                  <w:vMerge w:val="restart"/>
                  <w:vAlign w:val="center"/>
                </w:tcPr>
                <w:p w14:paraId="6BE0972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80</w:t>
                  </w:r>
                </w:p>
              </w:tc>
              <w:tc>
                <w:tcPr>
                  <w:tcW w:w="373" w:type="pct"/>
                  <w:vMerge w:val="restart"/>
                  <w:vAlign w:val="center"/>
                </w:tcPr>
                <w:p w14:paraId="6C88817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376180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1F15B4A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19-57</w:t>
                  </w:r>
                </w:p>
              </w:tc>
              <w:tc>
                <w:tcPr>
                  <w:tcW w:w="196" w:type="pct"/>
                  <w:vMerge w:val="restart"/>
                  <w:vAlign w:val="center"/>
                </w:tcPr>
                <w:p w14:paraId="0CB614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33" w:type="pct"/>
                  <w:vMerge w:val="restart"/>
                  <w:vAlign w:val="center"/>
                </w:tcPr>
                <w:p w14:paraId="692D45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16E70AF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5FFBA0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w:t>
                  </w:r>
                </w:p>
              </w:tc>
              <w:tc>
                <w:tcPr>
                  <w:tcW w:w="374" w:type="pct"/>
                  <w:vAlign w:val="center"/>
                </w:tcPr>
                <w:p w14:paraId="572D74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46.3</w:t>
                  </w:r>
                </w:p>
              </w:tc>
              <w:tc>
                <w:tcPr>
                  <w:tcW w:w="321" w:type="pct"/>
                  <w:vMerge w:val="restart"/>
                  <w:vAlign w:val="center"/>
                </w:tcPr>
                <w:p w14:paraId="25E3B4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6DE1CCD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385330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26.3</w:t>
                  </w:r>
                </w:p>
              </w:tc>
              <w:tc>
                <w:tcPr>
                  <w:tcW w:w="355" w:type="pct"/>
                  <w:vAlign w:val="center"/>
                </w:tcPr>
                <w:p w14:paraId="3F25FD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C66C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1E79FCB">
                  <w:pPr>
                    <w:pStyle w:val="68"/>
                    <w:numPr>
                      <w:ilvl w:val="0"/>
                      <w:numId w:val="8"/>
                    </w:numPr>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3C9F8A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03DB6B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0CBEECF">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430650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60BD113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4DCC46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2DA09C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7B1FCF2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E270F5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B9DEC67">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2DA565A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374" w:type="pct"/>
                  <w:vAlign w:val="center"/>
                </w:tcPr>
                <w:p w14:paraId="78ED1A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61.0</w:t>
                  </w:r>
                </w:p>
              </w:tc>
              <w:tc>
                <w:tcPr>
                  <w:tcW w:w="321" w:type="pct"/>
                  <w:vMerge w:val="continue"/>
                  <w:vAlign w:val="center"/>
                </w:tcPr>
                <w:p w14:paraId="187B515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2A69574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D9E835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55" w:type="pct"/>
                  <w:vAlign w:val="center"/>
                </w:tcPr>
                <w:p w14:paraId="2D92AC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019C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2193CB4">
                  <w:pPr>
                    <w:pStyle w:val="68"/>
                    <w:numPr>
                      <w:ilvl w:val="0"/>
                      <w:numId w:val="8"/>
                    </w:numPr>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75C107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20B39C2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2DBD404F">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65492D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2AB6DC7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4EEA50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32AA0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F772FB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93358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4E9C4B7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34FF98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19</w:t>
                  </w:r>
                </w:p>
              </w:tc>
              <w:tc>
                <w:tcPr>
                  <w:tcW w:w="374" w:type="pct"/>
                  <w:vAlign w:val="center"/>
                </w:tcPr>
                <w:p w14:paraId="720CE8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49.4</w:t>
                  </w:r>
                </w:p>
              </w:tc>
              <w:tc>
                <w:tcPr>
                  <w:tcW w:w="321" w:type="pct"/>
                  <w:vMerge w:val="continue"/>
                  <w:vAlign w:val="center"/>
                </w:tcPr>
                <w:p w14:paraId="2A86C7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1D9027A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59B664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29.4</w:t>
                  </w:r>
                </w:p>
              </w:tc>
              <w:tc>
                <w:tcPr>
                  <w:tcW w:w="355" w:type="pct"/>
                  <w:vAlign w:val="center"/>
                </w:tcPr>
                <w:p w14:paraId="56D4ED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65E7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626D521">
                  <w:pPr>
                    <w:pStyle w:val="68"/>
                    <w:numPr>
                      <w:ilvl w:val="0"/>
                      <w:numId w:val="8"/>
                    </w:numPr>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tcBorders>
                    <w:bottom w:val="single" w:color="auto" w:sz="4" w:space="0"/>
                  </w:tcBorders>
                  <w:vAlign w:val="center"/>
                </w:tcPr>
                <w:p w14:paraId="3D55FE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bottom w:val="single" w:color="auto" w:sz="4" w:space="0"/>
                  </w:tcBorders>
                  <w:vAlign w:val="center"/>
                </w:tcPr>
                <w:p w14:paraId="30010DB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14851C76">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214650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611439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6C6F42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513311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6B752E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FBCC1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03141B1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7807B7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w:t>
                  </w:r>
                </w:p>
              </w:tc>
              <w:tc>
                <w:tcPr>
                  <w:tcW w:w="374" w:type="pct"/>
                  <w:vAlign w:val="center"/>
                </w:tcPr>
                <w:p w14:paraId="32A7FF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45.4</w:t>
                  </w:r>
                </w:p>
              </w:tc>
              <w:tc>
                <w:tcPr>
                  <w:tcW w:w="321" w:type="pct"/>
                  <w:vMerge w:val="continue"/>
                  <w:vAlign w:val="center"/>
                </w:tcPr>
                <w:p w14:paraId="05C8A0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02D4D8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50D80B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25.4</w:t>
                  </w:r>
                </w:p>
              </w:tc>
              <w:tc>
                <w:tcPr>
                  <w:tcW w:w="355" w:type="pct"/>
                  <w:vAlign w:val="center"/>
                </w:tcPr>
                <w:p w14:paraId="22B3816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5060B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7F49C263">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12</w:t>
                  </w:r>
                </w:p>
              </w:tc>
              <w:tc>
                <w:tcPr>
                  <w:tcW w:w="269" w:type="pct"/>
                  <w:vMerge w:val="restart"/>
                  <w:tcBorders>
                    <w:top w:val="single" w:color="auto" w:sz="4" w:space="0"/>
                  </w:tcBorders>
                  <w:vAlign w:val="center"/>
                </w:tcPr>
                <w:p w14:paraId="6398385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制坯车间</w:t>
                  </w:r>
                </w:p>
              </w:tc>
              <w:tc>
                <w:tcPr>
                  <w:tcW w:w="374" w:type="pct"/>
                  <w:vMerge w:val="restart"/>
                  <w:tcBorders>
                    <w:top w:val="single" w:color="auto" w:sz="4" w:space="0"/>
                  </w:tcBorders>
                  <w:vAlign w:val="center"/>
                </w:tcPr>
                <w:p w14:paraId="7B5DF8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14:textFill>
                        <w14:solidFill>
                          <w14:schemeClr w14:val="tx1"/>
                        </w14:solidFill>
                      </w14:textFill>
                    </w:rPr>
                    <w:t>多斗挖土机（2台）</w:t>
                  </w:r>
                </w:p>
              </w:tc>
              <w:tc>
                <w:tcPr>
                  <w:tcW w:w="267" w:type="pct"/>
                  <w:vMerge w:val="restart"/>
                  <w:vAlign w:val="center"/>
                </w:tcPr>
                <w:p w14:paraId="25BC57D5">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ascii="Times New Roman" w:hAnsi="宋体"/>
                      <w:bCs/>
                      <w:color w:val="000000" w:themeColor="text1"/>
                      <w:szCs w:val="21"/>
                      <w:highlight w:val="none"/>
                      <w14:textFill>
                        <w14:solidFill>
                          <w14:schemeClr w14:val="tx1"/>
                        </w14:solidFill>
                      </w14:textFill>
                    </w:rPr>
                    <w:t>DWY</w:t>
                  </w:r>
                  <w:r>
                    <w:rPr>
                      <w:rFonts w:hint="eastAsia" w:ascii="Times New Roman" w:hAnsi="宋体"/>
                      <w:bCs/>
                      <w:color w:val="000000" w:themeColor="text1"/>
                      <w:szCs w:val="21"/>
                      <w:highlight w:val="none"/>
                      <w14:textFill>
                        <w14:solidFill>
                          <w14:schemeClr w14:val="tx1"/>
                        </w14:solidFill>
                      </w14:textFill>
                    </w:rPr>
                    <w:t>60-980</w:t>
                  </w:r>
                </w:p>
              </w:tc>
              <w:tc>
                <w:tcPr>
                  <w:tcW w:w="356" w:type="pct"/>
                  <w:vMerge w:val="restart"/>
                  <w:vAlign w:val="center"/>
                </w:tcPr>
                <w:p w14:paraId="0C8ED75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cs="Times New Roman"/>
                      <w:color w:val="000000" w:themeColor="text1"/>
                      <w:kern w:val="0"/>
                      <w:szCs w:val="21"/>
                      <w:highlight w:val="none"/>
                      <w:lang w:val="en-US"/>
                      <w14:textFill>
                        <w14:solidFill>
                          <w14:schemeClr w14:val="tx1"/>
                        </w14:solidFill>
                      </w14:textFill>
                    </w:rPr>
                    <w:t>80</w:t>
                  </w:r>
                </w:p>
              </w:tc>
              <w:tc>
                <w:tcPr>
                  <w:tcW w:w="373" w:type="pct"/>
                  <w:vMerge w:val="restart"/>
                  <w:vAlign w:val="center"/>
                </w:tcPr>
                <w:p w14:paraId="77A934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4A0E421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6E21A0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2C61C21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w:t>
                  </w:r>
                </w:p>
              </w:tc>
              <w:tc>
                <w:tcPr>
                  <w:tcW w:w="233" w:type="pct"/>
                  <w:vMerge w:val="restart"/>
                  <w:vAlign w:val="center"/>
                </w:tcPr>
                <w:p w14:paraId="4DDA379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vAlign w:val="center"/>
                </w:tcPr>
                <w:p w14:paraId="63F3F97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397C66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vAlign w:val="center"/>
                </w:tcPr>
                <w:p w14:paraId="28CCBE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42.7</w:t>
                  </w:r>
                </w:p>
              </w:tc>
              <w:tc>
                <w:tcPr>
                  <w:tcW w:w="321" w:type="pct"/>
                  <w:vMerge w:val="restart"/>
                  <w:vAlign w:val="center"/>
                </w:tcPr>
                <w:p w14:paraId="63670A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2A0946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A192C3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22.7</w:t>
                  </w:r>
                </w:p>
              </w:tc>
              <w:tc>
                <w:tcPr>
                  <w:tcW w:w="355" w:type="pct"/>
                  <w:vAlign w:val="center"/>
                </w:tcPr>
                <w:p w14:paraId="5FE0F41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43E2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764F9C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4A6F61C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731D05E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1F5B88F4">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4E769A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96A8B8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37DAC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27EB819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115F7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2702AC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A80CB7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176EAE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w:t>
                  </w:r>
                </w:p>
              </w:tc>
              <w:tc>
                <w:tcPr>
                  <w:tcW w:w="374" w:type="pct"/>
                  <w:vAlign w:val="center"/>
                </w:tcPr>
                <w:p w14:paraId="65BDD3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65.4</w:t>
                  </w:r>
                </w:p>
              </w:tc>
              <w:tc>
                <w:tcPr>
                  <w:tcW w:w="321" w:type="pct"/>
                  <w:vMerge w:val="continue"/>
                  <w:vAlign w:val="center"/>
                </w:tcPr>
                <w:p w14:paraId="58AEFA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01C19D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536569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45.4</w:t>
                  </w:r>
                </w:p>
              </w:tc>
              <w:tc>
                <w:tcPr>
                  <w:tcW w:w="355" w:type="pct"/>
                  <w:vAlign w:val="center"/>
                </w:tcPr>
                <w:p w14:paraId="03D8D0C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E138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524D92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603858C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296803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4F541EE3">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311C62B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438C24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381883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D8D22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8C44E8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7236DA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C1045E2">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0FDC49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vAlign w:val="center"/>
                </w:tcPr>
                <w:p w14:paraId="68D60E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44.8</w:t>
                  </w:r>
                </w:p>
              </w:tc>
              <w:tc>
                <w:tcPr>
                  <w:tcW w:w="321" w:type="pct"/>
                  <w:vMerge w:val="continue"/>
                  <w:vAlign w:val="center"/>
                </w:tcPr>
                <w:p w14:paraId="3F54594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58E641D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573FE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24.8</w:t>
                  </w:r>
                </w:p>
              </w:tc>
              <w:tc>
                <w:tcPr>
                  <w:tcW w:w="355" w:type="pct"/>
                  <w:vAlign w:val="center"/>
                </w:tcPr>
                <w:p w14:paraId="32A9A27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B04B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F02277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EE9AC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tcBorders>
                    <w:top w:val="single" w:color="auto" w:sz="4" w:space="0"/>
                  </w:tcBorders>
                  <w:vAlign w:val="center"/>
                </w:tcPr>
                <w:p w14:paraId="1DCF61D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3B24FE0D">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3269A0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1BF622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6906073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70E7A74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5AB04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0F970ED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ABEA7A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413CFE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51</w:t>
                  </w:r>
                </w:p>
              </w:tc>
              <w:tc>
                <w:tcPr>
                  <w:tcW w:w="374" w:type="pct"/>
                  <w:vAlign w:val="center"/>
                </w:tcPr>
                <w:p w14:paraId="133CE6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40.8</w:t>
                  </w:r>
                </w:p>
              </w:tc>
              <w:tc>
                <w:tcPr>
                  <w:tcW w:w="321" w:type="pct"/>
                  <w:vMerge w:val="continue"/>
                  <w:vAlign w:val="center"/>
                </w:tcPr>
                <w:p w14:paraId="20362C1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48CEB8D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6CD7FA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20.8</w:t>
                  </w:r>
                </w:p>
              </w:tc>
              <w:tc>
                <w:tcPr>
                  <w:tcW w:w="355" w:type="pct"/>
                  <w:vAlign w:val="center"/>
                </w:tcPr>
                <w:p w14:paraId="69E173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A924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5C7A8F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13</w:t>
                  </w:r>
                </w:p>
              </w:tc>
              <w:tc>
                <w:tcPr>
                  <w:tcW w:w="269" w:type="pct"/>
                  <w:vMerge w:val="continue"/>
                  <w:vAlign w:val="center"/>
                </w:tcPr>
                <w:p w14:paraId="4740C8E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0CCC8D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箱式给料机（2台）</w:t>
                  </w:r>
                </w:p>
              </w:tc>
              <w:tc>
                <w:tcPr>
                  <w:tcW w:w="267" w:type="pct"/>
                  <w:vMerge w:val="restart"/>
                  <w:vAlign w:val="center"/>
                </w:tcPr>
                <w:p w14:paraId="262F40DF">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hint="eastAsia" w:ascii="Times New Roman" w:hAnsi="宋体"/>
                      <w:bCs/>
                      <w:color w:val="000000" w:themeColor="text1"/>
                      <w:szCs w:val="21"/>
                      <w:highlight w:val="none"/>
                      <w14:textFill>
                        <w14:solidFill>
                          <w14:schemeClr w14:val="tx1"/>
                        </w14:solidFill>
                      </w14:textFill>
                    </w:rPr>
                    <w:t>XGD120</w:t>
                  </w:r>
                </w:p>
              </w:tc>
              <w:tc>
                <w:tcPr>
                  <w:tcW w:w="356" w:type="pct"/>
                  <w:vMerge w:val="restart"/>
                  <w:vAlign w:val="center"/>
                </w:tcPr>
                <w:p w14:paraId="0EDF242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60C592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23150B5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157D81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5C5B82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33" w:type="pct"/>
                  <w:vMerge w:val="restart"/>
                  <w:vAlign w:val="center"/>
                </w:tcPr>
                <w:p w14:paraId="079F946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6BBC36B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6D3C3BF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vAlign w:val="center"/>
                </w:tcPr>
                <w:p w14:paraId="7BD8665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47.7</w:t>
                  </w:r>
                </w:p>
              </w:tc>
              <w:tc>
                <w:tcPr>
                  <w:tcW w:w="321" w:type="pct"/>
                  <w:vMerge w:val="restart"/>
                  <w:vAlign w:val="center"/>
                </w:tcPr>
                <w:p w14:paraId="41BF0D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500B6E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805E9A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27.7</w:t>
                  </w:r>
                </w:p>
              </w:tc>
              <w:tc>
                <w:tcPr>
                  <w:tcW w:w="355" w:type="pct"/>
                  <w:vAlign w:val="center"/>
                </w:tcPr>
                <w:p w14:paraId="44A0EF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B8BC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B444DA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785104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63C2E1D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25081B27">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75BA29F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6EEB12A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92974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61A3B23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468C4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45F09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741BC8B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1B282C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374" w:type="pct"/>
                  <w:vAlign w:val="center"/>
                </w:tcPr>
                <w:p w14:paraId="0AF4CF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66.0</w:t>
                  </w:r>
                </w:p>
              </w:tc>
              <w:tc>
                <w:tcPr>
                  <w:tcW w:w="321" w:type="pct"/>
                  <w:vMerge w:val="continue"/>
                  <w:vAlign w:val="center"/>
                </w:tcPr>
                <w:p w14:paraId="7DCBD2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476A39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6FBC739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w:t>
                  </w:r>
                </w:p>
              </w:tc>
              <w:tc>
                <w:tcPr>
                  <w:tcW w:w="355" w:type="pct"/>
                  <w:vAlign w:val="center"/>
                </w:tcPr>
                <w:p w14:paraId="5976E6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718E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634A28C">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63D10E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420A2A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68789AF">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7C70F61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2635ED7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2E3AE87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413C794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72F37AC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BA153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571DC1E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2CAE70B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vAlign w:val="center"/>
                </w:tcPr>
                <w:p w14:paraId="55EFDAC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49.8</w:t>
                  </w:r>
                </w:p>
              </w:tc>
              <w:tc>
                <w:tcPr>
                  <w:tcW w:w="321" w:type="pct"/>
                  <w:vMerge w:val="continue"/>
                  <w:vAlign w:val="center"/>
                </w:tcPr>
                <w:p w14:paraId="3F6D57B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6DFCE6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5FF0EFA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29.8</w:t>
                  </w:r>
                </w:p>
              </w:tc>
              <w:tc>
                <w:tcPr>
                  <w:tcW w:w="355" w:type="pct"/>
                  <w:vAlign w:val="center"/>
                </w:tcPr>
                <w:p w14:paraId="085285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4D3E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2AFB3CE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5B5C546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350FA98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6E2CE1DB">
                  <w:pPr>
                    <w:pStyle w:val="72"/>
                    <w:spacing w:line="300" w:lineRule="exact"/>
                    <w:ind w:firstLine="0" w:firstLineChars="0"/>
                    <w:jc w:val="center"/>
                    <w:rPr>
                      <w:rFonts w:ascii="Times New Roman" w:hAnsi="宋体"/>
                      <w:bCs/>
                      <w:color w:val="000000" w:themeColor="text1"/>
                      <w:szCs w:val="21"/>
                      <w:highlight w:val="green"/>
                      <w14:textFill>
                        <w14:solidFill>
                          <w14:schemeClr w14:val="tx1"/>
                        </w14:solidFill>
                      </w14:textFill>
                    </w:rPr>
                  </w:pPr>
                </w:p>
              </w:tc>
              <w:tc>
                <w:tcPr>
                  <w:tcW w:w="356" w:type="pct"/>
                  <w:vMerge w:val="continue"/>
                  <w:vAlign w:val="center"/>
                </w:tcPr>
                <w:p w14:paraId="4CC70E6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18F116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1A597A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520E5A1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433A28B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7D25B1D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vAlign w:val="center"/>
                </w:tcPr>
                <w:p w14:paraId="43B010E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2EDC4C1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49</w:t>
                  </w:r>
                </w:p>
              </w:tc>
              <w:tc>
                <w:tcPr>
                  <w:tcW w:w="374" w:type="pct"/>
                  <w:vAlign w:val="center"/>
                </w:tcPr>
                <w:p w14:paraId="396CA1B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46.1</w:t>
                  </w:r>
                </w:p>
              </w:tc>
              <w:tc>
                <w:tcPr>
                  <w:tcW w:w="321" w:type="pct"/>
                  <w:vMerge w:val="continue"/>
                  <w:vAlign w:val="center"/>
                </w:tcPr>
                <w:p w14:paraId="38F66A3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5AC94C3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5B76A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26.1</w:t>
                  </w:r>
                </w:p>
              </w:tc>
              <w:tc>
                <w:tcPr>
                  <w:tcW w:w="355" w:type="pct"/>
                  <w:vAlign w:val="center"/>
                </w:tcPr>
                <w:p w14:paraId="4D801A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5AECA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6AC381E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14</w:t>
                  </w:r>
                </w:p>
              </w:tc>
              <w:tc>
                <w:tcPr>
                  <w:tcW w:w="269" w:type="pct"/>
                  <w:vMerge w:val="continue"/>
                  <w:vAlign w:val="center"/>
                </w:tcPr>
                <w:p w14:paraId="73A230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6AF17A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搅拌机</w:t>
                  </w:r>
                  <w:r>
                    <w:rPr>
                      <w:rFonts w:hint="eastAsia" w:ascii="Times New Roman" w:hAnsi="Times New Roman" w:eastAsia="宋体" w:cs="Times New Roman"/>
                      <w:bCs/>
                      <w:color w:val="000000" w:themeColor="text1"/>
                      <w:szCs w:val="21"/>
                      <w:highlight w:val="none"/>
                      <w:lang w:val="en-US"/>
                      <w14:textFill>
                        <w14:solidFill>
                          <w14:schemeClr w14:val="tx1"/>
                        </w14:solidFill>
                      </w14:textFill>
                    </w:rPr>
                    <w:t>（2台）</w:t>
                  </w:r>
                </w:p>
              </w:tc>
              <w:tc>
                <w:tcPr>
                  <w:tcW w:w="267" w:type="pct"/>
                  <w:vMerge w:val="restart"/>
                  <w:vAlign w:val="center"/>
                </w:tcPr>
                <w:p w14:paraId="45C7D667">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hint="eastAsia" w:ascii="Times New Roman" w:hAnsi="宋体"/>
                      <w:bCs/>
                      <w:color w:val="000000" w:themeColor="text1"/>
                      <w:szCs w:val="21"/>
                      <w:highlight w:val="none"/>
                      <w14:textFill>
                        <w14:solidFill>
                          <w14:schemeClr w14:val="tx1"/>
                        </w14:solidFill>
                      </w14:textFill>
                    </w:rPr>
                    <w:t>JS4000</w:t>
                  </w:r>
                </w:p>
              </w:tc>
              <w:tc>
                <w:tcPr>
                  <w:tcW w:w="356" w:type="pct"/>
                  <w:vMerge w:val="restart"/>
                  <w:vAlign w:val="center"/>
                </w:tcPr>
                <w:p w14:paraId="26CDCF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116C57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559B66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24F0FB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7D3111E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w:t>
                  </w:r>
                </w:p>
              </w:tc>
              <w:tc>
                <w:tcPr>
                  <w:tcW w:w="233" w:type="pct"/>
                  <w:vMerge w:val="restart"/>
                  <w:vAlign w:val="center"/>
                </w:tcPr>
                <w:p w14:paraId="6B2F4D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tcBorders>
                    <w:bottom w:val="single" w:color="auto" w:sz="4" w:space="0"/>
                  </w:tcBorders>
                  <w:vAlign w:val="center"/>
                </w:tcPr>
                <w:p w14:paraId="312135D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29EB7B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tcBorders>
                    <w:bottom w:val="single" w:color="auto" w:sz="4" w:space="0"/>
                  </w:tcBorders>
                  <w:vAlign w:val="center"/>
                </w:tcPr>
                <w:p w14:paraId="7CD2CB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47.7</w:t>
                  </w:r>
                </w:p>
              </w:tc>
              <w:tc>
                <w:tcPr>
                  <w:tcW w:w="321" w:type="pct"/>
                  <w:vMerge w:val="restart"/>
                  <w:vAlign w:val="center"/>
                </w:tcPr>
                <w:p w14:paraId="5B06E2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5EAD3D5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4D9E935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27.7</w:t>
                  </w:r>
                </w:p>
              </w:tc>
              <w:tc>
                <w:tcPr>
                  <w:tcW w:w="355" w:type="pct"/>
                  <w:tcBorders>
                    <w:bottom w:val="single" w:color="auto" w:sz="4" w:space="0"/>
                  </w:tcBorders>
                  <w:vAlign w:val="center"/>
                </w:tcPr>
                <w:p w14:paraId="3A505D7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33538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0E591E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73164A5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05020B1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4A56D947">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22D1B88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DCC639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4DBDF4A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2C16D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3C1AA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5EC46D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369F21D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3B30B1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w:t>
                  </w:r>
                </w:p>
              </w:tc>
              <w:tc>
                <w:tcPr>
                  <w:tcW w:w="374" w:type="pct"/>
                  <w:tcBorders>
                    <w:top w:val="single" w:color="auto" w:sz="4" w:space="0"/>
                    <w:bottom w:val="single" w:color="auto" w:sz="4" w:space="0"/>
                  </w:tcBorders>
                  <w:vAlign w:val="center"/>
                </w:tcPr>
                <w:p w14:paraId="19C006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58.4</w:t>
                  </w:r>
                </w:p>
              </w:tc>
              <w:tc>
                <w:tcPr>
                  <w:tcW w:w="321" w:type="pct"/>
                  <w:vMerge w:val="continue"/>
                  <w:vAlign w:val="center"/>
                </w:tcPr>
                <w:p w14:paraId="67FD64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21A7E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44F4B1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38.4</w:t>
                  </w:r>
                </w:p>
              </w:tc>
              <w:tc>
                <w:tcPr>
                  <w:tcW w:w="355" w:type="pct"/>
                  <w:tcBorders>
                    <w:top w:val="single" w:color="auto" w:sz="4" w:space="0"/>
                    <w:bottom w:val="single" w:color="auto" w:sz="4" w:space="0"/>
                  </w:tcBorders>
                  <w:vAlign w:val="center"/>
                </w:tcPr>
                <w:p w14:paraId="2BAE06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2025C2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94346EA">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51E6E0C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BC5D2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7E9E6C8F">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54F587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B93086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2026E11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6687257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A7833C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43D6FC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1BE85C88">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580E48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tcBorders>
                    <w:top w:val="single" w:color="auto" w:sz="4" w:space="0"/>
                    <w:bottom w:val="single" w:color="auto" w:sz="4" w:space="0"/>
                  </w:tcBorders>
                  <w:vAlign w:val="center"/>
                </w:tcPr>
                <w:p w14:paraId="071DC0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49.8</w:t>
                  </w:r>
                </w:p>
              </w:tc>
              <w:tc>
                <w:tcPr>
                  <w:tcW w:w="321" w:type="pct"/>
                  <w:vMerge w:val="continue"/>
                  <w:vAlign w:val="center"/>
                </w:tcPr>
                <w:p w14:paraId="3178094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04988F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5097307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29.8</w:t>
                  </w:r>
                </w:p>
              </w:tc>
              <w:tc>
                <w:tcPr>
                  <w:tcW w:w="355" w:type="pct"/>
                  <w:tcBorders>
                    <w:top w:val="single" w:color="auto" w:sz="4" w:space="0"/>
                    <w:bottom w:val="single" w:color="auto" w:sz="4" w:space="0"/>
                  </w:tcBorders>
                  <w:vAlign w:val="center"/>
                </w:tcPr>
                <w:p w14:paraId="5FF677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5929B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88064F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436256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7E460D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3F675AC2">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2AF0B4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976593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EB0DB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3DF846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1FEC6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3DDC30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4FFAEEA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19B28E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w:t>
                  </w:r>
                </w:p>
              </w:tc>
              <w:tc>
                <w:tcPr>
                  <w:tcW w:w="374" w:type="pct"/>
                  <w:tcBorders>
                    <w:top w:val="single" w:color="auto" w:sz="4" w:space="0"/>
                  </w:tcBorders>
                  <w:vAlign w:val="center"/>
                </w:tcPr>
                <w:p w14:paraId="1B41A7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47.5</w:t>
                  </w:r>
                </w:p>
              </w:tc>
              <w:tc>
                <w:tcPr>
                  <w:tcW w:w="321" w:type="pct"/>
                  <w:vMerge w:val="continue"/>
                  <w:vAlign w:val="center"/>
                </w:tcPr>
                <w:p w14:paraId="10750D3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29EBB6C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4D5A9E1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27.5</w:t>
                  </w:r>
                </w:p>
              </w:tc>
              <w:tc>
                <w:tcPr>
                  <w:tcW w:w="355" w:type="pct"/>
                  <w:tcBorders>
                    <w:top w:val="single" w:color="auto" w:sz="4" w:space="0"/>
                  </w:tcBorders>
                  <w:vAlign w:val="center"/>
                </w:tcPr>
                <w:p w14:paraId="089B72C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546DB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57D183E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15</w:t>
                  </w:r>
                </w:p>
              </w:tc>
              <w:tc>
                <w:tcPr>
                  <w:tcW w:w="269" w:type="pct"/>
                  <w:vMerge w:val="continue"/>
                  <w:vAlign w:val="center"/>
                </w:tcPr>
                <w:p w14:paraId="095A594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3F1528B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真空挤出机</w:t>
                  </w:r>
                  <w:r>
                    <w:rPr>
                      <w:rFonts w:hint="eastAsia" w:ascii="Times New Roman" w:hAnsi="Times New Roman" w:eastAsia="宋体" w:cs="Times New Roman"/>
                      <w:bCs/>
                      <w:color w:val="000000" w:themeColor="text1"/>
                      <w:szCs w:val="21"/>
                      <w:highlight w:val="none"/>
                      <w:lang w:val="en-US"/>
                      <w14:textFill>
                        <w14:solidFill>
                          <w14:schemeClr w14:val="tx1"/>
                        </w14:solidFill>
                      </w14:textFill>
                    </w:rPr>
                    <w:t>（2台）</w:t>
                  </w:r>
                </w:p>
              </w:tc>
              <w:tc>
                <w:tcPr>
                  <w:tcW w:w="267" w:type="pct"/>
                  <w:vMerge w:val="restart"/>
                  <w:vAlign w:val="center"/>
                </w:tcPr>
                <w:p w14:paraId="4B4BA560">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ascii="Times New Roman" w:hAnsi="宋体"/>
                      <w:bCs/>
                      <w:color w:val="000000" w:themeColor="text1"/>
                      <w:szCs w:val="21"/>
                      <w:highlight w:val="none"/>
                      <w14:textFill>
                        <w14:solidFill>
                          <w14:schemeClr w14:val="tx1"/>
                        </w14:solidFill>
                      </w14:textFill>
                    </w:rPr>
                    <w:t>JKY</w:t>
                  </w:r>
                  <w:r>
                    <w:rPr>
                      <w:rFonts w:hint="eastAsia" w:ascii="Times New Roman" w:hAnsi="宋体"/>
                      <w:bCs/>
                      <w:color w:val="000000" w:themeColor="text1"/>
                      <w:szCs w:val="21"/>
                      <w:highlight w:val="none"/>
                      <w14:textFill>
                        <w14:solidFill>
                          <w14:schemeClr w14:val="tx1"/>
                        </w14:solidFill>
                      </w14:textFill>
                    </w:rPr>
                    <w:t>90</w:t>
                  </w:r>
                </w:p>
              </w:tc>
              <w:tc>
                <w:tcPr>
                  <w:tcW w:w="356" w:type="pct"/>
                  <w:vMerge w:val="restart"/>
                  <w:vAlign w:val="center"/>
                </w:tcPr>
                <w:p w14:paraId="5BE21FB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80</w:t>
                  </w:r>
                </w:p>
              </w:tc>
              <w:tc>
                <w:tcPr>
                  <w:tcW w:w="373" w:type="pct"/>
                  <w:vMerge w:val="restart"/>
                  <w:vAlign w:val="center"/>
                </w:tcPr>
                <w:p w14:paraId="2189B0F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712FE0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008301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73B2DB9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18</w:t>
                  </w:r>
                </w:p>
              </w:tc>
              <w:tc>
                <w:tcPr>
                  <w:tcW w:w="233" w:type="pct"/>
                  <w:vMerge w:val="restart"/>
                  <w:vAlign w:val="center"/>
                </w:tcPr>
                <w:p w14:paraId="35D4ED0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vAlign w:val="center"/>
                </w:tcPr>
                <w:p w14:paraId="62BF7D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vAlign w:val="center"/>
                </w:tcPr>
                <w:p w14:paraId="6F15FD1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vAlign w:val="center"/>
                </w:tcPr>
                <w:p w14:paraId="2DD5F77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42.7</w:t>
                  </w:r>
                </w:p>
              </w:tc>
              <w:tc>
                <w:tcPr>
                  <w:tcW w:w="321" w:type="pct"/>
                  <w:vMerge w:val="restart"/>
                  <w:vAlign w:val="center"/>
                </w:tcPr>
                <w:p w14:paraId="24FA34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vAlign w:val="center"/>
                </w:tcPr>
                <w:p w14:paraId="50DF736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EED8A9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22.7</w:t>
                  </w:r>
                </w:p>
              </w:tc>
              <w:tc>
                <w:tcPr>
                  <w:tcW w:w="355" w:type="pct"/>
                  <w:vAlign w:val="center"/>
                </w:tcPr>
                <w:p w14:paraId="160F216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25A1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5D06BF3">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C723C2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1A767E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1B6FF28">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5BDF60C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89493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6679D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F07F21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F6EE8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89053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4DA091F8">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vAlign w:val="center"/>
                </w:tcPr>
                <w:p w14:paraId="699A728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18</w:t>
                  </w:r>
                </w:p>
              </w:tc>
              <w:tc>
                <w:tcPr>
                  <w:tcW w:w="374" w:type="pct"/>
                  <w:vAlign w:val="center"/>
                </w:tcPr>
                <w:p w14:paraId="1A63F1B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49.8</w:t>
                  </w:r>
                </w:p>
              </w:tc>
              <w:tc>
                <w:tcPr>
                  <w:tcW w:w="321" w:type="pct"/>
                  <w:vMerge w:val="continue"/>
                  <w:vAlign w:val="center"/>
                </w:tcPr>
                <w:p w14:paraId="2FCD5F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1C38C6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3ADD128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29.8</w:t>
                  </w:r>
                </w:p>
              </w:tc>
              <w:tc>
                <w:tcPr>
                  <w:tcW w:w="355" w:type="pct"/>
                  <w:vAlign w:val="center"/>
                </w:tcPr>
                <w:p w14:paraId="00650A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5DA8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F03306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18C370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6EEF71E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5F9CE5F9">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3CB2991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1EEFE13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4DBF4B8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5DDCEC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14597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B21DDB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6939656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vAlign w:val="center"/>
                </w:tcPr>
                <w:p w14:paraId="745F38A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vAlign w:val="center"/>
                </w:tcPr>
                <w:p w14:paraId="7538622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44.8</w:t>
                  </w:r>
                </w:p>
              </w:tc>
              <w:tc>
                <w:tcPr>
                  <w:tcW w:w="321" w:type="pct"/>
                  <w:vMerge w:val="continue"/>
                  <w:vAlign w:val="center"/>
                </w:tcPr>
                <w:p w14:paraId="4C0B13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183096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75DBFC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24.8</w:t>
                  </w:r>
                </w:p>
              </w:tc>
              <w:tc>
                <w:tcPr>
                  <w:tcW w:w="355" w:type="pct"/>
                  <w:vAlign w:val="center"/>
                </w:tcPr>
                <w:p w14:paraId="419BA5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BE75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60F3F9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2F16026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4D71CF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2120CC96">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6A50F2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6720864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4A22E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797393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C3839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4A9286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vAlign w:val="center"/>
                </w:tcPr>
                <w:p w14:paraId="3B2C18CC">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vAlign w:val="center"/>
                </w:tcPr>
                <w:p w14:paraId="55FE3D9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36</w:t>
                  </w:r>
                </w:p>
              </w:tc>
              <w:tc>
                <w:tcPr>
                  <w:tcW w:w="374" w:type="pct"/>
                  <w:vAlign w:val="center"/>
                </w:tcPr>
                <w:p w14:paraId="004FB7B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46.7</w:t>
                  </w:r>
                </w:p>
              </w:tc>
              <w:tc>
                <w:tcPr>
                  <w:tcW w:w="321" w:type="pct"/>
                  <w:vMerge w:val="continue"/>
                  <w:vAlign w:val="center"/>
                </w:tcPr>
                <w:p w14:paraId="72F5BDB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vAlign w:val="center"/>
                </w:tcPr>
                <w:p w14:paraId="2246C60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vAlign w:val="center"/>
                </w:tcPr>
                <w:p w14:paraId="2569D61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26.7</w:t>
                  </w:r>
                </w:p>
              </w:tc>
              <w:tc>
                <w:tcPr>
                  <w:tcW w:w="355" w:type="pct"/>
                  <w:vAlign w:val="center"/>
                </w:tcPr>
                <w:p w14:paraId="5088F0E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208E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5043E558">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16</w:t>
                  </w:r>
                </w:p>
              </w:tc>
              <w:tc>
                <w:tcPr>
                  <w:tcW w:w="269" w:type="pct"/>
                  <w:vMerge w:val="continue"/>
                  <w:vAlign w:val="center"/>
                </w:tcPr>
                <w:p w14:paraId="3B0314C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0B08092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自动切条切坯机</w:t>
                  </w:r>
                  <w:r>
                    <w:rPr>
                      <w:rFonts w:hint="eastAsia" w:ascii="Times New Roman" w:hAnsi="Times New Roman" w:eastAsia="宋体" w:cs="Times New Roman"/>
                      <w:bCs/>
                      <w:color w:val="000000" w:themeColor="text1"/>
                      <w:szCs w:val="21"/>
                      <w:highlight w:val="none"/>
                      <w:lang w:val="en-US"/>
                      <w14:textFill>
                        <w14:solidFill>
                          <w14:schemeClr w14:val="tx1"/>
                        </w14:solidFill>
                      </w14:textFill>
                    </w:rPr>
                    <w:t>（2台）</w:t>
                  </w:r>
                </w:p>
              </w:tc>
              <w:tc>
                <w:tcPr>
                  <w:tcW w:w="267" w:type="pct"/>
                  <w:vMerge w:val="restart"/>
                  <w:vAlign w:val="center"/>
                </w:tcPr>
                <w:p w14:paraId="3339D15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Z</w:t>
                  </w:r>
                  <w:r>
                    <w:rPr>
                      <w:rFonts w:hint="eastAsia" w:ascii="Times New Roman" w:hAnsi="Times New Roman" w:eastAsia="宋体" w:cs="Times New Roman"/>
                      <w:color w:val="000000" w:themeColor="text1"/>
                      <w:szCs w:val="21"/>
                      <w:highlight w:val="none"/>
                      <w:lang w:val="en-US"/>
                      <w14:textFill>
                        <w14:solidFill>
                          <w14:schemeClr w14:val="tx1"/>
                        </w14:solidFill>
                      </w14:textFill>
                    </w:rPr>
                    <w:t>D</w:t>
                  </w:r>
                  <w:r>
                    <w:rPr>
                      <w:rFonts w:ascii="Times New Roman" w:hAnsi="Times New Roman" w:eastAsia="宋体" w:cs="Times New Roman"/>
                      <w:color w:val="000000" w:themeColor="text1"/>
                      <w:szCs w:val="21"/>
                      <w:highlight w:val="none"/>
                      <w:lang w:val="en-US"/>
                      <w14:textFill>
                        <w14:solidFill>
                          <w14:schemeClr w14:val="tx1"/>
                        </w14:solidFill>
                      </w14:textFill>
                    </w:rPr>
                    <w:t>PT</w:t>
                  </w:r>
                </w:p>
              </w:tc>
              <w:tc>
                <w:tcPr>
                  <w:tcW w:w="356" w:type="pct"/>
                  <w:vMerge w:val="restart"/>
                  <w:vAlign w:val="center"/>
                </w:tcPr>
                <w:p w14:paraId="7AA0D5D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75</w:t>
                  </w:r>
                </w:p>
              </w:tc>
              <w:tc>
                <w:tcPr>
                  <w:tcW w:w="373" w:type="pct"/>
                  <w:vMerge w:val="restart"/>
                  <w:vAlign w:val="center"/>
                </w:tcPr>
                <w:p w14:paraId="3C1628E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7EBA367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7910EB2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29E4F79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p>
              </w:tc>
              <w:tc>
                <w:tcPr>
                  <w:tcW w:w="233" w:type="pct"/>
                  <w:vMerge w:val="restart"/>
                  <w:vAlign w:val="center"/>
                </w:tcPr>
                <w:p w14:paraId="509C433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tcBorders>
                    <w:bottom w:val="single" w:color="auto" w:sz="4" w:space="0"/>
                  </w:tcBorders>
                  <w:vAlign w:val="center"/>
                </w:tcPr>
                <w:p w14:paraId="6DCDA46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136E7AF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tcBorders>
                    <w:bottom w:val="single" w:color="auto" w:sz="4" w:space="0"/>
                  </w:tcBorders>
                  <w:vAlign w:val="center"/>
                </w:tcPr>
                <w:p w14:paraId="0E9ED48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37.7</w:t>
                  </w:r>
                </w:p>
              </w:tc>
              <w:tc>
                <w:tcPr>
                  <w:tcW w:w="321" w:type="pct"/>
                  <w:vMerge w:val="restart"/>
                  <w:vAlign w:val="center"/>
                </w:tcPr>
                <w:p w14:paraId="79F0B6F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302DBE4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13EE42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17.7</w:t>
                  </w:r>
                </w:p>
              </w:tc>
              <w:tc>
                <w:tcPr>
                  <w:tcW w:w="355" w:type="pct"/>
                  <w:tcBorders>
                    <w:bottom w:val="single" w:color="auto" w:sz="4" w:space="0"/>
                  </w:tcBorders>
                  <w:vAlign w:val="center"/>
                </w:tcPr>
                <w:p w14:paraId="453E94E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60F42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25E47F0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2B15B4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4D47BE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45126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5F501B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4A8713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643020B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E7D04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FAFD0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97DB2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5E1BAB3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04F2F4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p>
              </w:tc>
              <w:tc>
                <w:tcPr>
                  <w:tcW w:w="374" w:type="pct"/>
                  <w:tcBorders>
                    <w:top w:val="single" w:color="auto" w:sz="4" w:space="0"/>
                    <w:bottom w:val="single" w:color="auto" w:sz="4" w:space="0"/>
                  </w:tcBorders>
                  <w:vAlign w:val="center"/>
                </w:tcPr>
                <w:p w14:paraId="62EC1F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42.3</w:t>
                  </w:r>
                </w:p>
              </w:tc>
              <w:tc>
                <w:tcPr>
                  <w:tcW w:w="321" w:type="pct"/>
                  <w:vMerge w:val="continue"/>
                  <w:vAlign w:val="center"/>
                </w:tcPr>
                <w:p w14:paraId="5CEBE4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21D754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72AFEC5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22.3</w:t>
                  </w:r>
                </w:p>
              </w:tc>
              <w:tc>
                <w:tcPr>
                  <w:tcW w:w="355" w:type="pct"/>
                  <w:tcBorders>
                    <w:top w:val="single" w:color="auto" w:sz="4" w:space="0"/>
                    <w:bottom w:val="single" w:color="auto" w:sz="4" w:space="0"/>
                  </w:tcBorders>
                  <w:vAlign w:val="center"/>
                </w:tcPr>
                <w:p w14:paraId="0440D6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68A32F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A857BBA">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2E5DA9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3EECEA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6BC0F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543ECC7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136281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9901FD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2E16B4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39721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DAE943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0611949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6B16E07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tcBorders>
                    <w:top w:val="single" w:color="auto" w:sz="4" w:space="0"/>
                    <w:bottom w:val="single" w:color="auto" w:sz="4" w:space="0"/>
                  </w:tcBorders>
                  <w:vAlign w:val="center"/>
                </w:tcPr>
                <w:p w14:paraId="37D6AD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39.8</w:t>
                  </w:r>
                </w:p>
              </w:tc>
              <w:tc>
                <w:tcPr>
                  <w:tcW w:w="321" w:type="pct"/>
                  <w:vMerge w:val="continue"/>
                  <w:vAlign w:val="center"/>
                </w:tcPr>
                <w:p w14:paraId="53BB1BE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2E01C1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1412B89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19.8</w:t>
                  </w:r>
                </w:p>
              </w:tc>
              <w:tc>
                <w:tcPr>
                  <w:tcW w:w="355" w:type="pct"/>
                  <w:tcBorders>
                    <w:top w:val="single" w:color="auto" w:sz="4" w:space="0"/>
                    <w:bottom w:val="single" w:color="auto" w:sz="4" w:space="0"/>
                  </w:tcBorders>
                  <w:vAlign w:val="center"/>
                </w:tcPr>
                <w:p w14:paraId="72CF9C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4D55D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8BF87D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263A11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02CEE71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1D38680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6F690D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B2E2E5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DA3DA1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7A3EAF1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4F5F6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70B6A7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10057C0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bottom w:val="single" w:color="auto" w:sz="4" w:space="0"/>
                  </w:tcBorders>
                  <w:vAlign w:val="center"/>
                </w:tcPr>
                <w:p w14:paraId="50180BA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w:t>
                  </w:r>
                </w:p>
              </w:tc>
              <w:tc>
                <w:tcPr>
                  <w:tcW w:w="374" w:type="pct"/>
                  <w:tcBorders>
                    <w:top w:val="single" w:color="auto" w:sz="4" w:space="0"/>
                    <w:bottom w:val="single" w:color="auto" w:sz="4" w:space="0"/>
                  </w:tcBorders>
                  <w:vAlign w:val="center"/>
                </w:tcPr>
                <w:p w14:paraId="7731DA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40.4</w:t>
                  </w:r>
                </w:p>
              </w:tc>
              <w:tc>
                <w:tcPr>
                  <w:tcW w:w="321" w:type="pct"/>
                  <w:vMerge w:val="continue"/>
                  <w:vAlign w:val="center"/>
                </w:tcPr>
                <w:p w14:paraId="71C0893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43083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62CB54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20.4</w:t>
                  </w:r>
                </w:p>
              </w:tc>
              <w:tc>
                <w:tcPr>
                  <w:tcW w:w="355" w:type="pct"/>
                  <w:tcBorders>
                    <w:top w:val="single" w:color="auto" w:sz="4" w:space="0"/>
                    <w:bottom w:val="single" w:color="auto" w:sz="4" w:space="0"/>
                  </w:tcBorders>
                  <w:vAlign w:val="center"/>
                </w:tcPr>
                <w:p w14:paraId="37A6431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04DDA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6E2F554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16</w:t>
                  </w:r>
                </w:p>
              </w:tc>
              <w:tc>
                <w:tcPr>
                  <w:tcW w:w="269" w:type="pct"/>
                  <w:vMerge w:val="continue"/>
                  <w:vAlign w:val="center"/>
                </w:tcPr>
                <w:p w14:paraId="6559B0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6B97AD3A">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14:textFill>
                        <w14:solidFill>
                          <w14:schemeClr w14:val="tx1"/>
                        </w14:solidFill>
                      </w14:textFill>
                    </w:rPr>
                    <w:t>皮带输送机（10台）</w:t>
                  </w:r>
                </w:p>
              </w:tc>
              <w:tc>
                <w:tcPr>
                  <w:tcW w:w="267" w:type="pct"/>
                  <w:vMerge w:val="restart"/>
                  <w:vAlign w:val="center"/>
                </w:tcPr>
                <w:p w14:paraId="60234D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B500</w:t>
                  </w:r>
                </w:p>
              </w:tc>
              <w:tc>
                <w:tcPr>
                  <w:tcW w:w="356" w:type="pct"/>
                  <w:vMerge w:val="restart"/>
                  <w:vAlign w:val="center"/>
                </w:tcPr>
                <w:p w14:paraId="31AF6B8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70</w:t>
                  </w:r>
                </w:p>
              </w:tc>
              <w:tc>
                <w:tcPr>
                  <w:tcW w:w="373" w:type="pct"/>
                  <w:vMerge w:val="restart"/>
                  <w:vAlign w:val="center"/>
                </w:tcPr>
                <w:p w14:paraId="38E080D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76B65F9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6654A75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48619F0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6-17</w:t>
                  </w:r>
                </w:p>
              </w:tc>
              <w:tc>
                <w:tcPr>
                  <w:tcW w:w="233" w:type="pct"/>
                  <w:vMerge w:val="restart"/>
                  <w:vAlign w:val="center"/>
                </w:tcPr>
                <w:p w14:paraId="2CBD779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tcBorders>
                    <w:bottom w:val="single" w:color="auto" w:sz="4" w:space="0"/>
                  </w:tcBorders>
                  <w:vAlign w:val="center"/>
                </w:tcPr>
                <w:p w14:paraId="473BE5B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089A82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tcBorders>
                    <w:bottom w:val="single" w:color="auto" w:sz="4" w:space="0"/>
                  </w:tcBorders>
                  <w:vAlign w:val="center"/>
                </w:tcPr>
                <w:p w14:paraId="05BD8CC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37.7</w:t>
                  </w:r>
                </w:p>
              </w:tc>
              <w:tc>
                <w:tcPr>
                  <w:tcW w:w="321" w:type="pct"/>
                  <w:vMerge w:val="restart"/>
                  <w:vAlign w:val="center"/>
                </w:tcPr>
                <w:p w14:paraId="4AB28C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0485C6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1B74684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17.7</w:t>
                  </w:r>
                </w:p>
              </w:tc>
              <w:tc>
                <w:tcPr>
                  <w:tcW w:w="355" w:type="pct"/>
                  <w:tcBorders>
                    <w:bottom w:val="single" w:color="auto" w:sz="4" w:space="0"/>
                  </w:tcBorders>
                  <w:vAlign w:val="center"/>
                </w:tcPr>
                <w:p w14:paraId="74B319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CDE3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DF6F10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30581D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2DE7B6F2">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267" w:type="pct"/>
                  <w:vMerge w:val="continue"/>
                  <w:vAlign w:val="center"/>
                </w:tcPr>
                <w:p w14:paraId="0E36D1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4C1FE5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42A8DD4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2277D1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2D4626D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7068E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5276A1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09A0279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508ED5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w:t>
                  </w:r>
                </w:p>
              </w:tc>
              <w:tc>
                <w:tcPr>
                  <w:tcW w:w="374" w:type="pct"/>
                  <w:tcBorders>
                    <w:top w:val="single" w:color="auto" w:sz="4" w:space="0"/>
                    <w:bottom w:val="single" w:color="auto" w:sz="4" w:space="0"/>
                  </w:tcBorders>
                  <w:vAlign w:val="center"/>
                </w:tcPr>
                <w:p w14:paraId="7F97E1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54.4</w:t>
                  </w:r>
                </w:p>
              </w:tc>
              <w:tc>
                <w:tcPr>
                  <w:tcW w:w="321" w:type="pct"/>
                  <w:vMerge w:val="continue"/>
                  <w:vAlign w:val="center"/>
                </w:tcPr>
                <w:p w14:paraId="6FBB48A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00DF3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27D3E0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34.4</w:t>
                  </w:r>
                </w:p>
              </w:tc>
              <w:tc>
                <w:tcPr>
                  <w:tcW w:w="355" w:type="pct"/>
                  <w:tcBorders>
                    <w:top w:val="single" w:color="auto" w:sz="4" w:space="0"/>
                    <w:bottom w:val="single" w:color="auto" w:sz="4" w:space="0"/>
                  </w:tcBorders>
                  <w:vAlign w:val="center"/>
                </w:tcPr>
                <w:p w14:paraId="18F9A4C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DB2B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62A65D3">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7B6527A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277024B2">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267" w:type="pct"/>
                  <w:vMerge w:val="continue"/>
                  <w:vAlign w:val="center"/>
                </w:tcPr>
                <w:p w14:paraId="2671F61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48CD88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DF8E7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F38D4F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8BB81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FE9C7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4AC0F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7AD171A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48CFCC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tcBorders>
                    <w:top w:val="single" w:color="auto" w:sz="4" w:space="0"/>
                    <w:bottom w:val="single" w:color="auto" w:sz="4" w:space="0"/>
                  </w:tcBorders>
                  <w:vAlign w:val="center"/>
                </w:tcPr>
                <w:p w14:paraId="2C19D80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39.8</w:t>
                  </w:r>
                </w:p>
              </w:tc>
              <w:tc>
                <w:tcPr>
                  <w:tcW w:w="321" w:type="pct"/>
                  <w:vMerge w:val="continue"/>
                  <w:vAlign w:val="center"/>
                </w:tcPr>
                <w:p w14:paraId="171B27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1D069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46A7FFD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19.8</w:t>
                  </w:r>
                </w:p>
              </w:tc>
              <w:tc>
                <w:tcPr>
                  <w:tcW w:w="355" w:type="pct"/>
                  <w:tcBorders>
                    <w:top w:val="single" w:color="auto" w:sz="4" w:space="0"/>
                    <w:bottom w:val="single" w:color="auto" w:sz="4" w:space="0"/>
                  </w:tcBorders>
                  <w:vAlign w:val="center"/>
                </w:tcPr>
                <w:p w14:paraId="1852C4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11480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62AE84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AC0006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17311D09">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267" w:type="pct"/>
                  <w:vMerge w:val="continue"/>
                  <w:vAlign w:val="center"/>
                </w:tcPr>
                <w:p w14:paraId="5C7FF6E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38AC54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2D7C5A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2D109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22D8DEE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76907D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BF283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6891DB6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bottom w:val="single" w:color="auto" w:sz="4" w:space="0"/>
                  </w:tcBorders>
                  <w:vAlign w:val="center"/>
                </w:tcPr>
                <w:p w14:paraId="128496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w:t>
                  </w:r>
                </w:p>
              </w:tc>
              <w:tc>
                <w:tcPr>
                  <w:tcW w:w="374" w:type="pct"/>
                  <w:tcBorders>
                    <w:top w:val="single" w:color="auto" w:sz="4" w:space="0"/>
                    <w:bottom w:val="single" w:color="auto" w:sz="4" w:space="0"/>
                  </w:tcBorders>
                  <w:vAlign w:val="center"/>
                </w:tcPr>
                <w:p w14:paraId="7971522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38.6</w:t>
                  </w:r>
                </w:p>
              </w:tc>
              <w:tc>
                <w:tcPr>
                  <w:tcW w:w="321" w:type="pct"/>
                  <w:vMerge w:val="continue"/>
                  <w:vAlign w:val="center"/>
                </w:tcPr>
                <w:p w14:paraId="3DFC3EB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ABB4CD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27C204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18.6</w:t>
                  </w:r>
                </w:p>
              </w:tc>
              <w:tc>
                <w:tcPr>
                  <w:tcW w:w="355" w:type="pct"/>
                  <w:tcBorders>
                    <w:top w:val="single" w:color="auto" w:sz="4" w:space="0"/>
                    <w:bottom w:val="single" w:color="auto" w:sz="4" w:space="0"/>
                  </w:tcBorders>
                  <w:vAlign w:val="center"/>
                </w:tcPr>
                <w:p w14:paraId="76F2E9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92436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9C8362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17</w:t>
                  </w:r>
                </w:p>
              </w:tc>
              <w:tc>
                <w:tcPr>
                  <w:tcW w:w="269" w:type="pct"/>
                  <w:vMerge w:val="continue"/>
                  <w:vAlign w:val="center"/>
                </w:tcPr>
                <w:p w14:paraId="29102DB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309ABE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bCs/>
                      <w:color w:val="000000" w:themeColor="text1"/>
                      <w:szCs w:val="21"/>
                      <w:highlight w:val="none"/>
                      <w:lang w:val="en-US"/>
                      <w14:textFill>
                        <w14:solidFill>
                          <w14:schemeClr w14:val="tx1"/>
                        </w14:solidFill>
                      </w14:textFill>
                    </w:rPr>
                    <w:t>自动码坯机</w:t>
                  </w:r>
                  <w:r>
                    <w:rPr>
                      <w:rFonts w:hint="eastAsia" w:ascii="Times New Roman" w:hAnsi="Times New Roman" w:eastAsia="宋体" w:cs="Times New Roman"/>
                      <w:bCs/>
                      <w:color w:val="000000" w:themeColor="text1"/>
                      <w:szCs w:val="21"/>
                      <w:highlight w:val="none"/>
                      <w:lang w:val="en-US"/>
                      <w14:textFill>
                        <w14:solidFill>
                          <w14:schemeClr w14:val="tx1"/>
                        </w14:solidFill>
                      </w14:textFill>
                    </w:rPr>
                    <w:t>（2台）</w:t>
                  </w:r>
                </w:p>
              </w:tc>
              <w:tc>
                <w:tcPr>
                  <w:tcW w:w="267" w:type="pct"/>
                  <w:vMerge w:val="restart"/>
                  <w:vAlign w:val="center"/>
                </w:tcPr>
                <w:p w14:paraId="536B63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JMZMP-1</w:t>
                  </w:r>
                </w:p>
              </w:tc>
              <w:tc>
                <w:tcPr>
                  <w:tcW w:w="356" w:type="pct"/>
                  <w:vMerge w:val="restart"/>
                  <w:vAlign w:val="center"/>
                </w:tcPr>
                <w:p w14:paraId="24DA9AB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70</w:t>
                  </w:r>
                </w:p>
              </w:tc>
              <w:tc>
                <w:tcPr>
                  <w:tcW w:w="373" w:type="pct"/>
                  <w:vMerge w:val="restart"/>
                  <w:vAlign w:val="center"/>
                </w:tcPr>
                <w:p w14:paraId="28AFBED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选用低噪声设备</w:t>
                  </w:r>
                </w:p>
              </w:tc>
              <w:tc>
                <w:tcPr>
                  <w:tcW w:w="340" w:type="pct"/>
                  <w:vMerge w:val="restart"/>
                  <w:vAlign w:val="center"/>
                </w:tcPr>
                <w:p w14:paraId="777147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w:t>
                  </w:r>
                </w:p>
              </w:tc>
              <w:tc>
                <w:tcPr>
                  <w:tcW w:w="213" w:type="pct"/>
                  <w:vMerge w:val="restart"/>
                  <w:vAlign w:val="center"/>
                </w:tcPr>
                <w:p w14:paraId="4E9DD6D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32-75</w:t>
                  </w:r>
                </w:p>
              </w:tc>
              <w:tc>
                <w:tcPr>
                  <w:tcW w:w="196" w:type="pct"/>
                  <w:vMerge w:val="restart"/>
                  <w:vAlign w:val="center"/>
                </w:tcPr>
                <w:p w14:paraId="384A7EB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w:t>
                  </w:r>
                </w:p>
              </w:tc>
              <w:tc>
                <w:tcPr>
                  <w:tcW w:w="233" w:type="pct"/>
                  <w:vMerge w:val="restart"/>
                  <w:vAlign w:val="center"/>
                </w:tcPr>
                <w:p w14:paraId="558855A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c>
                <w:tcPr>
                  <w:tcW w:w="320" w:type="pct"/>
                  <w:tcBorders>
                    <w:bottom w:val="single" w:color="auto" w:sz="4" w:space="0"/>
                  </w:tcBorders>
                  <w:vAlign w:val="center"/>
                </w:tcPr>
                <w:p w14:paraId="740AF90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2978AB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74" w:type="pct"/>
                  <w:tcBorders>
                    <w:bottom w:val="single" w:color="auto" w:sz="4" w:space="0"/>
                  </w:tcBorders>
                  <w:vAlign w:val="center"/>
                </w:tcPr>
                <w:p w14:paraId="71FE731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32.7</w:t>
                  </w:r>
                </w:p>
              </w:tc>
              <w:tc>
                <w:tcPr>
                  <w:tcW w:w="321" w:type="pct"/>
                  <w:vMerge w:val="restart"/>
                  <w:vAlign w:val="center"/>
                </w:tcPr>
                <w:p w14:paraId="7DBDAA6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6D2E61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21A4524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12.7</w:t>
                  </w:r>
                </w:p>
              </w:tc>
              <w:tc>
                <w:tcPr>
                  <w:tcW w:w="355" w:type="pct"/>
                  <w:tcBorders>
                    <w:bottom w:val="single" w:color="auto" w:sz="4" w:space="0"/>
                  </w:tcBorders>
                  <w:vAlign w:val="center"/>
                </w:tcPr>
                <w:p w14:paraId="60C43F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735C3C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6D7572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5FBBFD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7D58AF4">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267" w:type="pct"/>
                  <w:vMerge w:val="continue"/>
                  <w:vAlign w:val="center"/>
                </w:tcPr>
                <w:p w14:paraId="1A64045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6AD1705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775343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FEEBFE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3C26BFB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327E7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2C863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5424029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7DAC6D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w:t>
                  </w:r>
                </w:p>
              </w:tc>
              <w:tc>
                <w:tcPr>
                  <w:tcW w:w="374" w:type="pct"/>
                  <w:tcBorders>
                    <w:top w:val="single" w:color="auto" w:sz="4" w:space="0"/>
                    <w:bottom w:val="single" w:color="auto" w:sz="4" w:space="0"/>
                  </w:tcBorders>
                  <w:vAlign w:val="center"/>
                </w:tcPr>
                <w:p w14:paraId="0BC89D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36.0</w:t>
                  </w:r>
                </w:p>
              </w:tc>
              <w:tc>
                <w:tcPr>
                  <w:tcW w:w="321" w:type="pct"/>
                  <w:vMerge w:val="continue"/>
                  <w:vAlign w:val="center"/>
                </w:tcPr>
                <w:p w14:paraId="110EDB2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AADED5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5F7539C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16</w:t>
                  </w:r>
                </w:p>
              </w:tc>
              <w:tc>
                <w:tcPr>
                  <w:tcW w:w="355" w:type="pct"/>
                  <w:tcBorders>
                    <w:top w:val="single" w:color="auto" w:sz="4" w:space="0"/>
                    <w:bottom w:val="single" w:color="auto" w:sz="4" w:space="0"/>
                  </w:tcBorders>
                  <w:vAlign w:val="center"/>
                </w:tcPr>
                <w:p w14:paraId="7480882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3BE5B0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25F5492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FADC8A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1BEDC76E">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267" w:type="pct"/>
                  <w:vMerge w:val="continue"/>
                  <w:vAlign w:val="center"/>
                </w:tcPr>
                <w:p w14:paraId="35C76E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28D7F9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6DEE7E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DB8D6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526FAF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710D71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0F1F212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3EF2550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5C8464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w:t>
                  </w:r>
                </w:p>
              </w:tc>
              <w:tc>
                <w:tcPr>
                  <w:tcW w:w="374" w:type="pct"/>
                  <w:tcBorders>
                    <w:top w:val="single" w:color="auto" w:sz="4" w:space="0"/>
                    <w:bottom w:val="single" w:color="auto" w:sz="4" w:space="0"/>
                  </w:tcBorders>
                  <w:vAlign w:val="center"/>
                </w:tcPr>
                <w:p w14:paraId="0E7E847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34.8</w:t>
                  </w:r>
                </w:p>
              </w:tc>
              <w:tc>
                <w:tcPr>
                  <w:tcW w:w="321" w:type="pct"/>
                  <w:vMerge w:val="continue"/>
                  <w:vAlign w:val="center"/>
                </w:tcPr>
                <w:p w14:paraId="0B9ECB3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46D3E5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03063A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14.8</w:t>
                  </w:r>
                </w:p>
              </w:tc>
              <w:tc>
                <w:tcPr>
                  <w:tcW w:w="355" w:type="pct"/>
                  <w:tcBorders>
                    <w:top w:val="single" w:color="auto" w:sz="4" w:space="0"/>
                    <w:bottom w:val="single" w:color="auto" w:sz="4" w:space="0"/>
                  </w:tcBorders>
                  <w:vAlign w:val="center"/>
                </w:tcPr>
                <w:p w14:paraId="3DBCB91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32706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FB5048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62B57C3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5E7CD0F9">
                  <w:pPr>
                    <w:pStyle w:val="68"/>
                    <w:autoSpaceDE w:val="0"/>
                    <w:autoSpaceDN w:val="0"/>
                    <w:snapToGrid w:val="0"/>
                    <w:spacing w:line="300" w:lineRule="exact"/>
                    <w:jc w:val="center"/>
                    <w:rPr>
                      <w:rFonts w:ascii="Times New Roman" w:hAnsi="Times New Roman" w:eastAsia="宋体" w:cs="Times New Roman"/>
                      <w:bCs/>
                      <w:color w:val="000000" w:themeColor="text1"/>
                      <w:szCs w:val="21"/>
                      <w:highlight w:val="none"/>
                      <w:lang w:val="en-US"/>
                      <w14:textFill>
                        <w14:solidFill>
                          <w14:schemeClr w14:val="tx1"/>
                        </w14:solidFill>
                      </w14:textFill>
                    </w:rPr>
                  </w:pPr>
                </w:p>
              </w:tc>
              <w:tc>
                <w:tcPr>
                  <w:tcW w:w="267" w:type="pct"/>
                  <w:vMerge w:val="continue"/>
                  <w:vAlign w:val="center"/>
                </w:tcPr>
                <w:p w14:paraId="46C555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049DE5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40FDDD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A525FD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51E1A3A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DC2E8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424776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62A97BC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bottom w:val="single" w:color="auto" w:sz="4" w:space="0"/>
                  </w:tcBorders>
                  <w:vAlign w:val="center"/>
                </w:tcPr>
                <w:p w14:paraId="14C4F2D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26</w:t>
                  </w:r>
                </w:p>
              </w:tc>
              <w:tc>
                <w:tcPr>
                  <w:tcW w:w="374" w:type="pct"/>
                  <w:tcBorders>
                    <w:top w:val="single" w:color="auto" w:sz="4" w:space="0"/>
                    <w:bottom w:val="single" w:color="auto" w:sz="4" w:space="0"/>
                  </w:tcBorders>
                  <w:vAlign w:val="center"/>
                </w:tcPr>
                <w:p w14:paraId="00137B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36.7</w:t>
                  </w:r>
                </w:p>
              </w:tc>
              <w:tc>
                <w:tcPr>
                  <w:tcW w:w="321" w:type="pct"/>
                  <w:vMerge w:val="continue"/>
                  <w:vAlign w:val="center"/>
                </w:tcPr>
                <w:p w14:paraId="72FAE1B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61F1C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511205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16.7</w:t>
                  </w:r>
                </w:p>
              </w:tc>
              <w:tc>
                <w:tcPr>
                  <w:tcW w:w="355" w:type="pct"/>
                  <w:tcBorders>
                    <w:top w:val="single" w:color="auto" w:sz="4" w:space="0"/>
                    <w:bottom w:val="single" w:color="auto" w:sz="4" w:space="0"/>
                  </w:tcBorders>
                  <w:vAlign w:val="center"/>
                </w:tcPr>
                <w:p w14:paraId="773F2C8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2E168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52B74F9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18</w:t>
                  </w:r>
                </w:p>
              </w:tc>
              <w:tc>
                <w:tcPr>
                  <w:tcW w:w="269" w:type="pct"/>
                  <w:vMerge w:val="restart"/>
                  <w:vAlign w:val="center"/>
                </w:tcPr>
                <w:p w14:paraId="512B112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焙烧烘干车间</w:t>
                  </w:r>
                </w:p>
              </w:tc>
              <w:tc>
                <w:tcPr>
                  <w:tcW w:w="374" w:type="pct"/>
                  <w:vMerge w:val="restart"/>
                  <w:vAlign w:val="center"/>
                </w:tcPr>
                <w:p w14:paraId="47AA28A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风机（4台）</w:t>
                  </w:r>
                </w:p>
              </w:tc>
              <w:tc>
                <w:tcPr>
                  <w:tcW w:w="267" w:type="pct"/>
                  <w:vMerge w:val="restart"/>
                  <w:vAlign w:val="center"/>
                </w:tcPr>
                <w:p w14:paraId="58518A9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90kW</w:t>
                  </w:r>
                </w:p>
              </w:tc>
              <w:tc>
                <w:tcPr>
                  <w:tcW w:w="356" w:type="pct"/>
                  <w:vMerge w:val="restart"/>
                  <w:vAlign w:val="center"/>
                </w:tcPr>
                <w:p w14:paraId="5D58FDE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90</w:t>
                  </w:r>
                </w:p>
              </w:tc>
              <w:tc>
                <w:tcPr>
                  <w:tcW w:w="373" w:type="pct"/>
                  <w:vMerge w:val="restart"/>
                  <w:vAlign w:val="center"/>
                </w:tcPr>
                <w:p w14:paraId="1C1821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1D410FB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560BB6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28-80</w:t>
                  </w:r>
                </w:p>
              </w:tc>
              <w:tc>
                <w:tcPr>
                  <w:tcW w:w="196" w:type="pct"/>
                  <w:vMerge w:val="restart"/>
                  <w:vAlign w:val="center"/>
                </w:tcPr>
                <w:p w14:paraId="2F97D1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52-75</w:t>
                  </w:r>
                </w:p>
              </w:tc>
              <w:tc>
                <w:tcPr>
                  <w:tcW w:w="233" w:type="pct"/>
                  <w:vMerge w:val="restart"/>
                  <w:vAlign w:val="center"/>
                </w:tcPr>
                <w:p w14:paraId="6C6C54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33754D2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01C76B8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74" w:type="pct"/>
                  <w:tcBorders>
                    <w:bottom w:val="single" w:color="auto" w:sz="4" w:space="0"/>
                  </w:tcBorders>
                  <w:vAlign w:val="center"/>
                </w:tcPr>
                <w:p w14:paraId="6EBF585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57.9</w:t>
                  </w:r>
                </w:p>
              </w:tc>
              <w:tc>
                <w:tcPr>
                  <w:tcW w:w="321" w:type="pct"/>
                  <w:vMerge w:val="restart"/>
                  <w:vAlign w:val="center"/>
                </w:tcPr>
                <w:p w14:paraId="77C5F8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w:t>
                  </w:r>
                  <w:r>
                    <w:rPr>
                      <w:rFonts w:hint="eastAsia" w:ascii="Times New Roman" w:hAnsi="Times New Roman" w:eastAsia="宋体" w:cs="Times New Roman"/>
                      <w:color w:val="000000" w:themeColor="text1"/>
                      <w:szCs w:val="21"/>
                      <w:highlight w:val="none"/>
                      <w:lang w:val="en-US"/>
                      <w14:textFill>
                        <w14:solidFill>
                          <w14:schemeClr w14:val="tx1"/>
                        </w14:solidFill>
                      </w14:textFill>
                    </w:rPr>
                    <w:t>0</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6E80AB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708C767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37.9</w:t>
                  </w:r>
                </w:p>
              </w:tc>
              <w:tc>
                <w:tcPr>
                  <w:tcW w:w="355" w:type="pct"/>
                  <w:tcBorders>
                    <w:bottom w:val="single" w:color="auto" w:sz="4" w:space="0"/>
                  </w:tcBorders>
                  <w:vAlign w:val="center"/>
                </w:tcPr>
                <w:p w14:paraId="42A0CE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3814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2F71365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631759C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54011B1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397373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3785DF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D24A5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51566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419D481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60845F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369DD2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1C78C58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56BD76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w:t>
                  </w:r>
                </w:p>
              </w:tc>
              <w:tc>
                <w:tcPr>
                  <w:tcW w:w="374" w:type="pct"/>
                  <w:tcBorders>
                    <w:top w:val="single" w:color="auto" w:sz="4" w:space="0"/>
                    <w:bottom w:val="single" w:color="auto" w:sz="4" w:space="0"/>
                  </w:tcBorders>
                  <w:vAlign w:val="center"/>
                </w:tcPr>
                <w:p w14:paraId="343E574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55.6</w:t>
                  </w:r>
                </w:p>
              </w:tc>
              <w:tc>
                <w:tcPr>
                  <w:tcW w:w="321" w:type="pct"/>
                  <w:vMerge w:val="continue"/>
                  <w:vAlign w:val="center"/>
                </w:tcPr>
                <w:p w14:paraId="39674F8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1A39A4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04FF43A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35.6</w:t>
                  </w:r>
                </w:p>
              </w:tc>
              <w:tc>
                <w:tcPr>
                  <w:tcW w:w="355" w:type="pct"/>
                  <w:tcBorders>
                    <w:top w:val="single" w:color="auto" w:sz="4" w:space="0"/>
                    <w:bottom w:val="single" w:color="auto" w:sz="4" w:space="0"/>
                  </w:tcBorders>
                  <w:vAlign w:val="center"/>
                </w:tcPr>
                <w:p w14:paraId="10F5D6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200D7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5E96E3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04E980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1AF0E8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45949B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3B6F161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AFD863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E6A81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FC0BD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3846B4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3453F0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14E5DEA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37DAE52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w:t>
                  </w:r>
                </w:p>
              </w:tc>
              <w:tc>
                <w:tcPr>
                  <w:tcW w:w="374" w:type="pct"/>
                  <w:tcBorders>
                    <w:top w:val="single" w:color="auto" w:sz="4" w:space="0"/>
                    <w:bottom w:val="single" w:color="auto" w:sz="4" w:space="0"/>
                  </w:tcBorders>
                  <w:vAlign w:val="center"/>
                </w:tcPr>
                <w:p w14:paraId="419B17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61.0</w:t>
                  </w:r>
                </w:p>
              </w:tc>
              <w:tc>
                <w:tcPr>
                  <w:tcW w:w="321" w:type="pct"/>
                  <w:vMerge w:val="continue"/>
                  <w:vAlign w:val="center"/>
                </w:tcPr>
                <w:p w14:paraId="002EA19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341AA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0DBDEB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w:t>
                  </w:r>
                </w:p>
              </w:tc>
              <w:tc>
                <w:tcPr>
                  <w:tcW w:w="355" w:type="pct"/>
                  <w:tcBorders>
                    <w:top w:val="single" w:color="auto" w:sz="4" w:space="0"/>
                    <w:bottom w:val="single" w:color="auto" w:sz="4" w:space="0"/>
                  </w:tcBorders>
                  <w:vAlign w:val="center"/>
                </w:tcPr>
                <w:p w14:paraId="5AD5317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BBF8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A9E3C3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5D8608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03821E6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F3C67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5268A6E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4405E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52B50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45581A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9C3073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665C6A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4F08BDA3">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bottom w:val="single" w:color="auto" w:sz="4" w:space="0"/>
                  </w:tcBorders>
                  <w:vAlign w:val="center"/>
                </w:tcPr>
                <w:p w14:paraId="4838E1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w:t>
                  </w:r>
                </w:p>
              </w:tc>
              <w:tc>
                <w:tcPr>
                  <w:tcW w:w="374" w:type="pct"/>
                  <w:tcBorders>
                    <w:top w:val="single" w:color="auto" w:sz="4" w:space="0"/>
                    <w:bottom w:val="single" w:color="auto" w:sz="4" w:space="0"/>
                  </w:tcBorders>
                  <w:vAlign w:val="center"/>
                </w:tcPr>
                <w:p w14:paraId="62C68FD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56.9</w:t>
                  </w:r>
                </w:p>
              </w:tc>
              <w:tc>
                <w:tcPr>
                  <w:tcW w:w="321" w:type="pct"/>
                  <w:vMerge w:val="continue"/>
                  <w:vAlign w:val="center"/>
                </w:tcPr>
                <w:p w14:paraId="187934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6CFDB5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2F35CEF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36.9</w:t>
                  </w:r>
                </w:p>
              </w:tc>
              <w:tc>
                <w:tcPr>
                  <w:tcW w:w="355" w:type="pct"/>
                  <w:tcBorders>
                    <w:top w:val="single" w:color="auto" w:sz="4" w:space="0"/>
                    <w:bottom w:val="single" w:color="auto" w:sz="4" w:space="0"/>
                  </w:tcBorders>
                  <w:vAlign w:val="center"/>
                </w:tcPr>
                <w:p w14:paraId="35FFB5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CA64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0074EF2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19</w:t>
                  </w:r>
                </w:p>
              </w:tc>
              <w:tc>
                <w:tcPr>
                  <w:tcW w:w="269" w:type="pct"/>
                  <w:vMerge w:val="continue"/>
                  <w:vAlign w:val="center"/>
                </w:tcPr>
                <w:p w14:paraId="291826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0B94C1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风机（4台）</w:t>
                  </w:r>
                </w:p>
              </w:tc>
              <w:tc>
                <w:tcPr>
                  <w:tcW w:w="267" w:type="pct"/>
                  <w:vMerge w:val="restart"/>
                  <w:vAlign w:val="center"/>
                </w:tcPr>
                <w:p w14:paraId="388E12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165kW</w:t>
                  </w:r>
                </w:p>
              </w:tc>
              <w:tc>
                <w:tcPr>
                  <w:tcW w:w="356" w:type="pct"/>
                  <w:vMerge w:val="restart"/>
                  <w:vAlign w:val="center"/>
                </w:tcPr>
                <w:p w14:paraId="21CF59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95</w:t>
                  </w:r>
                </w:p>
              </w:tc>
              <w:tc>
                <w:tcPr>
                  <w:tcW w:w="373" w:type="pct"/>
                  <w:vMerge w:val="restart"/>
                  <w:vAlign w:val="center"/>
                </w:tcPr>
                <w:p w14:paraId="5532BA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3B53FE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2B9FB9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28-80</w:t>
                  </w:r>
                </w:p>
              </w:tc>
              <w:tc>
                <w:tcPr>
                  <w:tcW w:w="196" w:type="pct"/>
                  <w:vMerge w:val="restart"/>
                  <w:vAlign w:val="center"/>
                </w:tcPr>
                <w:p w14:paraId="76F068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52-75</w:t>
                  </w:r>
                </w:p>
              </w:tc>
              <w:tc>
                <w:tcPr>
                  <w:tcW w:w="233" w:type="pct"/>
                  <w:vMerge w:val="restart"/>
                  <w:vAlign w:val="center"/>
                </w:tcPr>
                <w:p w14:paraId="54E5FE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531ACF0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4B7853E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74" w:type="pct"/>
                  <w:tcBorders>
                    <w:bottom w:val="single" w:color="auto" w:sz="4" w:space="0"/>
                  </w:tcBorders>
                  <w:vAlign w:val="center"/>
                </w:tcPr>
                <w:p w14:paraId="158A813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62.9</w:t>
                  </w:r>
                </w:p>
              </w:tc>
              <w:tc>
                <w:tcPr>
                  <w:tcW w:w="321" w:type="pct"/>
                  <w:vMerge w:val="restart"/>
                  <w:vAlign w:val="center"/>
                </w:tcPr>
                <w:p w14:paraId="6B57A74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w:t>
                  </w:r>
                  <w:r>
                    <w:rPr>
                      <w:rFonts w:hint="eastAsia" w:ascii="Times New Roman" w:hAnsi="Times New Roman" w:eastAsia="宋体" w:cs="Times New Roman"/>
                      <w:color w:val="000000" w:themeColor="text1"/>
                      <w:szCs w:val="21"/>
                      <w:highlight w:val="none"/>
                      <w:lang w:val="en-US"/>
                      <w14:textFill>
                        <w14:solidFill>
                          <w14:schemeClr w14:val="tx1"/>
                        </w14:solidFill>
                      </w14:textFill>
                    </w:rPr>
                    <w:t>0</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10A03F7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1FB077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42.9</w:t>
                  </w:r>
                </w:p>
              </w:tc>
              <w:tc>
                <w:tcPr>
                  <w:tcW w:w="355" w:type="pct"/>
                  <w:tcBorders>
                    <w:bottom w:val="single" w:color="auto" w:sz="4" w:space="0"/>
                  </w:tcBorders>
                  <w:vAlign w:val="center"/>
                </w:tcPr>
                <w:p w14:paraId="1FA7256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571FD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C6DE7D7">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4C01412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740EF0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77E6459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56" w:type="pct"/>
                  <w:vMerge w:val="continue"/>
                  <w:vAlign w:val="center"/>
                </w:tcPr>
                <w:p w14:paraId="77D4A3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61D25C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6AED9B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579B23B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4EE1B1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401B91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tcBorders>
                    <w:top w:val="single" w:color="auto" w:sz="4" w:space="0"/>
                    <w:bottom w:val="single" w:color="auto" w:sz="4" w:space="0"/>
                  </w:tcBorders>
                  <w:vAlign w:val="center"/>
                </w:tcPr>
                <w:p w14:paraId="1431570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245A91A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w:t>
                  </w:r>
                </w:p>
              </w:tc>
              <w:tc>
                <w:tcPr>
                  <w:tcW w:w="374" w:type="pct"/>
                  <w:tcBorders>
                    <w:top w:val="single" w:color="auto" w:sz="4" w:space="0"/>
                    <w:bottom w:val="single" w:color="auto" w:sz="4" w:space="0"/>
                  </w:tcBorders>
                  <w:vAlign w:val="center"/>
                </w:tcPr>
                <w:p w14:paraId="746FB7E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60.6</w:t>
                  </w:r>
                </w:p>
              </w:tc>
              <w:tc>
                <w:tcPr>
                  <w:tcW w:w="321" w:type="pct"/>
                  <w:vMerge w:val="continue"/>
                  <w:vAlign w:val="center"/>
                </w:tcPr>
                <w:p w14:paraId="7455953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5F23AA8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3DAA37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40.6</w:t>
                  </w:r>
                </w:p>
              </w:tc>
              <w:tc>
                <w:tcPr>
                  <w:tcW w:w="355" w:type="pct"/>
                  <w:tcBorders>
                    <w:top w:val="single" w:color="auto" w:sz="4" w:space="0"/>
                    <w:bottom w:val="single" w:color="auto" w:sz="4" w:space="0"/>
                  </w:tcBorders>
                  <w:vAlign w:val="center"/>
                </w:tcPr>
                <w:p w14:paraId="3337972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3CBB0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D8E212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415E0C6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07A3F0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3E5112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56" w:type="pct"/>
                  <w:vMerge w:val="continue"/>
                  <w:vAlign w:val="center"/>
                </w:tcPr>
                <w:p w14:paraId="19B843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46D4CF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3DA973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1A55BF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270FDF0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25F8253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tcBorders>
                    <w:top w:val="single" w:color="auto" w:sz="4" w:space="0"/>
                    <w:bottom w:val="single" w:color="auto" w:sz="4" w:space="0"/>
                  </w:tcBorders>
                  <w:vAlign w:val="center"/>
                </w:tcPr>
                <w:p w14:paraId="1EAB422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585C62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w:t>
                  </w:r>
                </w:p>
              </w:tc>
              <w:tc>
                <w:tcPr>
                  <w:tcW w:w="374" w:type="pct"/>
                  <w:tcBorders>
                    <w:top w:val="single" w:color="auto" w:sz="4" w:space="0"/>
                    <w:bottom w:val="single" w:color="auto" w:sz="4" w:space="0"/>
                  </w:tcBorders>
                  <w:vAlign w:val="center"/>
                </w:tcPr>
                <w:p w14:paraId="3D33CF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66.0</w:t>
                  </w:r>
                </w:p>
              </w:tc>
              <w:tc>
                <w:tcPr>
                  <w:tcW w:w="321" w:type="pct"/>
                  <w:vMerge w:val="continue"/>
                  <w:vAlign w:val="center"/>
                </w:tcPr>
                <w:p w14:paraId="19F0176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0B62009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29CF89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w:t>
                  </w:r>
                </w:p>
              </w:tc>
              <w:tc>
                <w:tcPr>
                  <w:tcW w:w="355" w:type="pct"/>
                  <w:tcBorders>
                    <w:top w:val="single" w:color="auto" w:sz="4" w:space="0"/>
                    <w:bottom w:val="single" w:color="auto" w:sz="4" w:space="0"/>
                  </w:tcBorders>
                  <w:vAlign w:val="center"/>
                </w:tcPr>
                <w:p w14:paraId="1DDB13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4EE50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6785F2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12EA31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47AD1ED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3F296E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56" w:type="pct"/>
                  <w:vMerge w:val="continue"/>
                  <w:vAlign w:val="center"/>
                </w:tcPr>
                <w:p w14:paraId="53AC6A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5640BE5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369893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110B11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2B6EA9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1CC010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tcBorders>
                    <w:top w:val="single" w:color="auto" w:sz="4" w:space="0"/>
                    <w:bottom w:val="single" w:color="auto" w:sz="4" w:space="0"/>
                  </w:tcBorders>
                  <w:vAlign w:val="center"/>
                </w:tcPr>
                <w:p w14:paraId="6C1EC73A">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bottom w:val="single" w:color="auto" w:sz="4" w:space="0"/>
                  </w:tcBorders>
                  <w:vAlign w:val="center"/>
                </w:tcPr>
                <w:p w14:paraId="599095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w:t>
                  </w:r>
                </w:p>
              </w:tc>
              <w:tc>
                <w:tcPr>
                  <w:tcW w:w="374" w:type="pct"/>
                  <w:tcBorders>
                    <w:top w:val="single" w:color="auto" w:sz="4" w:space="0"/>
                    <w:bottom w:val="single" w:color="auto" w:sz="4" w:space="0"/>
                  </w:tcBorders>
                  <w:vAlign w:val="center"/>
                </w:tcPr>
                <w:p w14:paraId="7F4EA8B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61.9</w:t>
                  </w:r>
                </w:p>
              </w:tc>
              <w:tc>
                <w:tcPr>
                  <w:tcW w:w="321" w:type="pct"/>
                  <w:vMerge w:val="continue"/>
                  <w:vAlign w:val="center"/>
                </w:tcPr>
                <w:p w14:paraId="0348A8B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4582C6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7E41A88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41.9</w:t>
                  </w:r>
                </w:p>
              </w:tc>
              <w:tc>
                <w:tcPr>
                  <w:tcW w:w="355" w:type="pct"/>
                  <w:tcBorders>
                    <w:top w:val="single" w:color="auto" w:sz="4" w:space="0"/>
                    <w:bottom w:val="single" w:color="auto" w:sz="4" w:space="0"/>
                  </w:tcBorders>
                  <w:vAlign w:val="center"/>
                </w:tcPr>
                <w:p w14:paraId="2BA5D2A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w:t>
                  </w:r>
                </w:p>
              </w:tc>
            </w:tr>
            <w:tr w14:paraId="52D3C6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32269D1A">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20</w:t>
                  </w:r>
                </w:p>
              </w:tc>
              <w:tc>
                <w:tcPr>
                  <w:tcW w:w="269" w:type="pct"/>
                  <w:vMerge w:val="continue"/>
                  <w:vAlign w:val="center"/>
                </w:tcPr>
                <w:p w14:paraId="6DB0F4B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6352C38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除臭风机（1台）</w:t>
                  </w:r>
                </w:p>
              </w:tc>
              <w:tc>
                <w:tcPr>
                  <w:tcW w:w="267" w:type="pct"/>
                  <w:vMerge w:val="restart"/>
                  <w:vAlign w:val="center"/>
                </w:tcPr>
                <w:p w14:paraId="690263D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56" w:type="pct"/>
                  <w:vMerge w:val="restart"/>
                  <w:vAlign w:val="center"/>
                </w:tcPr>
                <w:p w14:paraId="3CD35A5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75</w:t>
                  </w:r>
                </w:p>
              </w:tc>
              <w:tc>
                <w:tcPr>
                  <w:tcW w:w="373" w:type="pct"/>
                  <w:vMerge w:val="restart"/>
                  <w:vAlign w:val="center"/>
                </w:tcPr>
                <w:p w14:paraId="5F3A700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软连接</w:t>
                  </w:r>
                </w:p>
              </w:tc>
              <w:tc>
                <w:tcPr>
                  <w:tcW w:w="340" w:type="pct"/>
                  <w:vMerge w:val="restart"/>
                  <w:vAlign w:val="center"/>
                </w:tcPr>
                <w:p w14:paraId="161748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66F363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100</w:t>
                  </w:r>
                </w:p>
              </w:tc>
              <w:tc>
                <w:tcPr>
                  <w:tcW w:w="196" w:type="pct"/>
                  <w:vMerge w:val="restart"/>
                  <w:vAlign w:val="center"/>
                </w:tcPr>
                <w:p w14:paraId="51E666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43</w:t>
                  </w:r>
                </w:p>
              </w:tc>
              <w:tc>
                <w:tcPr>
                  <w:tcW w:w="233" w:type="pct"/>
                  <w:vMerge w:val="restart"/>
                  <w:vAlign w:val="center"/>
                </w:tcPr>
                <w:p w14:paraId="7E431D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67ED3B4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532CAAF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74" w:type="pct"/>
                  <w:tcBorders>
                    <w:bottom w:val="single" w:color="auto" w:sz="4" w:space="0"/>
                  </w:tcBorders>
                  <w:vAlign w:val="center"/>
                </w:tcPr>
                <w:p w14:paraId="0BFF668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48.9</w:t>
                  </w:r>
                </w:p>
              </w:tc>
              <w:tc>
                <w:tcPr>
                  <w:tcW w:w="321" w:type="pct"/>
                  <w:vMerge w:val="restart"/>
                  <w:vAlign w:val="center"/>
                </w:tcPr>
                <w:p w14:paraId="6C42A25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w:t>
                  </w:r>
                  <w:r>
                    <w:rPr>
                      <w:rFonts w:hint="eastAsia" w:ascii="Times New Roman" w:hAnsi="Times New Roman" w:eastAsia="宋体" w:cs="Times New Roman"/>
                      <w:color w:val="000000" w:themeColor="text1"/>
                      <w:szCs w:val="21"/>
                      <w:highlight w:val="none"/>
                      <w:lang w:val="en-US"/>
                      <w14:textFill>
                        <w14:solidFill>
                          <w14:schemeClr w14:val="tx1"/>
                        </w14:solidFill>
                      </w14:textFill>
                    </w:rPr>
                    <w:t>0</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59F771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084C75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28.9</w:t>
                  </w:r>
                </w:p>
              </w:tc>
              <w:tc>
                <w:tcPr>
                  <w:tcW w:w="355" w:type="pct"/>
                  <w:tcBorders>
                    <w:bottom w:val="single" w:color="auto" w:sz="4" w:space="0"/>
                  </w:tcBorders>
                  <w:vAlign w:val="center"/>
                </w:tcPr>
                <w:p w14:paraId="7781DE1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463D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26798D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419A3F9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57523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404A89B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47AB6E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5F7D78C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DED5D3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2BBD1DA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5AB0DC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E1382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6B04372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06D5CE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43</w:t>
                  </w:r>
                </w:p>
              </w:tc>
              <w:tc>
                <w:tcPr>
                  <w:tcW w:w="374" w:type="pct"/>
                  <w:tcBorders>
                    <w:top w:val="single" w:color="auto" w:sz="4" w:space="0"/>
                    <w:bottom w:val="single" w:color="auto" w:sz="4" w:space="0"/>
                  </w:tcBorders>
                  <w:vAlign w:val="center"/>
                </w:tcPr>
                <w:p w14:paraId="3A60751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42.3</w:t>
                  </w:r>
                </w:p>
              </w:tc>
              <w:tc>
                <w:tcPr>
                  <w:tcW w:w="321" w:type="pct"/>
                  <w:vMerge w:val="continue"/>
                  <w:vAlign w:val="center"/>
                </w:tcPr>
                <w:p w14:paraId="513998D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F5982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6890004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22.3</w:t>
                  </w:r>
                </w:p>
              </w:tc>
              <w:tc>
                <w:tcPr>
                  <w:tcW w:w="355" w:type="pct"/>
                  <w:tcBorders>
                    <w:top w:val="single" w:color="auto" w:sz="4" w:space="0"/>
                    <w:bottom w:val="single" w:color="auto" w:sz="4" w:space="0"/>
                  </w:tcBorders>
                  <w:vAlign w:val="center"/>
                </w:tcPr>
                <w:p w14:paraId="16710A6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41806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C30CA80">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3881B5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550AB8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22446E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748EC1B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6FE032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57B6710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461D83C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5D36C16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77AB1A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279DA92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36807A6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100</w:t>
                  </w:r>
                </w:p>
              </w:tc>
              <w:tc>
                <w:tcPr>
                  <w:tcW w:w="374" w:type="pct"/>
                  <w:tcBorders>
                    <w:top w:val="single" w:color="auto" w:sz="4" w:space="0"/>
                    <w:bottom w:val="single" w:color="auto" w:sz="4" w:space="0"/>
                  </w:tcBorders>
                  <w:vAlign w:val="center"/>
                </w:tcPr>
                <w:p w14:paraId="0BB1EC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35</w:t>
                  </w:r>
                </w:p>
              </w:tc>
              <w:tc>
                <w:tcPr>
                  <w:tcW w:w="321" w:type="pct"/>
                  <w:vMerge w:val="continue"/>
                  <w:vAlign w:val="center"/>
                </w:tcPr>
                <w:p w14:paraId="683E39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1098FF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343D05E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15</w:t>
                  </w:r>
                </w:p>
              </w:tc>
              <w:tc>
                <w:tcPr>
                  <w:tcW w:w="355" w:type="pct"/>
                  <w:tcBorders>
                    <w:top w:val="single" w:color="auto" w:sz="4" w:space="0"/>
                    <w:bottom w:val="single" w:color="auto" w:sz="4" w:space="0"/>
                  </w:tcBorders>
                  <w:vAlign w:val="center"/>
                </w:tcPr>
                <w:p w14:paraId="4D249F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124C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66BEB7D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238945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2D84678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429F972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56" w:type="pct"/>
                  <w:vMerge w:val="continue"/>
                  <w:vAlign w:val="center"/>
                </w:tcPr>
                <w:p w14:paraId="0BF6F1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6232703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984304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55898F9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2EE7AB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77361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1A0B1DC1">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bottom w:val="single" w:color="auto" w:sz="4" w:space="0"/>
                  </w:tcBorders>
                  <w:vAlign w:val="center"/>
                </w:tcPr>
                <w:p w14:paraId="3F3E7AE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77</w:t>
                  </w:r>
                </w:p>
              </w:tc>
              <w:tc>
                <w:tcPr>
                  <w:tcW w:w="374" w:type="pct"/>
                  <w:tcBorders>
                    <w:top w:val="single" w:color="auto" w:sz="4" w:space="0"/>
                    <w:bottom w:val="single" w:color="auto" w:sz="4" w:space="0"/>
                  </w:tcBorders>
                  <w:vAlign w:val="center"/>
                </w:tcPr>
                <w:p w14:paraId="15F6AA4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37.2</w:t>
                  </w:r>
                </w:p>
              </w:tc>
              <w:tc>
                <w:tcPr>
                  <w:tcW w:w="321" w:type="pct"/>
                  <w:vMerge w:val="continue"/>
                  <w:vAlign w:val="center"/>
                </w:tcPr>
                <w:p w14:paraId="141D1B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54DAE68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6BAD921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17.2</w:t>
                  </w:r>
                </w:p>
              </w:tc>
              <w:tc>
                <w:tcPr>
                  <w:tcW w:w="355" w:type="pct"/>
                  <w:tcBorders>
                    <w:top w:val="single" w:color="auto" w:sz="4" w:space="0"/>
                    <w:bottom w:val="single" w:color="auto" w:sz="4" w:space="0"/>
                  </w:tcBorders>
                  <w:vAlign w:val="center"/>
                </w:tcPr>
                <w:p w14:paraId="338EF47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6933A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6602130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21</w:t>
                  </w:r>
                </w:p>
              </w:tc>
              <w:tc>
                <w:tcPr>
                  <w:tcW w:w="269" w:type="pct"/>
                  <w:vMerge w:val="continue"/>
                  <w:vAlign w:val="center"/>
                </w:tcPr>
                <w:p w14:paraId="07EB4C6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485EDDC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除尘风机（2台）</w:t>
                  </w:r>
                </w:p>
              </w:tc>
              <w:tc>
                <w:tcPr>
                  <w:tcW w:w="267" w:type="pct"/>
                  <w:vMerge w:val="restart"/>
                  <w:vAlign w:val="center"/>
                </w:tcPr>
                <w:p w14:paraId="5974A7A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PPC-96-6</w:t>
                  </w:r>
                </w:p>
              </w:tc>
              <w:tc>
                <w:tcPr>
                  <w:tcW w:w="356" w:type="pct"/>
                  <w:vMerge w:val="restart"/>
                  <w:vAlign w:val="center"/>
                </w:tcPr>
                <w:p w14:paraId="5FF232A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80</w:t>
                  </w:r>
                </w:p>
              </w:tc>
              <w:tc>
                <w:tcPr>
                  <w:tcW w:w="373" w:type="pct"/>
                  <w:vMerge w:val="restart"/>
                  <w:vAlign w:val="center"/>
                </w:tcPr>
                <w:p w14:paraId="744464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软连接</w:t>
                  </w:r>
                </w:p>
              </w:tc>
              <w:tc>
                <w:tcPr>
                  <w:tcW w:w="340" w:type="pct"/>
                  <w:vMerge w:val="restart"/>
                  <w:vAlign w:val="center"/>
                </w:tcPr>
                <w:p w14:paraId="04142B2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6F52080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10-110</w:t>
                  </w:r>
                </w:p>
              </w:tc>
              <w:tc>
                <w:tcPr>
                  <w:tcW w:w="196" w:type="pct"/>
                  <w:vMerge w:val="restart"/>
                  <w:vAlign w:val="center"/>
                </w:tcPr>
                <w:p w14:paraId="78F728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w:t>
                  </w:r>
                </w:p>
              </w:tc>
              <w:tc>
                <w:tcPr>
                  <w:tcW w:w="233" w:type="pct"/>
                  <w:vMerge w:val="restart"/>
                  <w:vAlign w:val="center"/>
                </w:tcPr>
                <w:p w14:paraId="348E49E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488B5EF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772CE4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374" w:type="pct"/>
                  <w:tcBorders>
                    <w:bottom w:val="single" w:color="auto" w:sz="4" w:space="0"/>
                  </w:tcBorders>
                  <w:vAlign w:val="center"/>
                </w:tcPr>
                <w:p w14:paraId="5F1B895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60</w:t>
                  </w:r>
                </w:p>
              </w:tc>
              <w:tc>
                <w:tcPr>
                  <w:tcW w:w="321" w:type="pct"/>
                  <w:vMerge w:val="restart"/>
                  <w:vAlign w:val="center"/>
                </w:tcPr>
                <w:p w14:paraId="6765C9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42F4BA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4CCEEE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55" w:type="pct"/>
                  <w:tcBorders>
                    <w:bottom w:val="single" w:color="auto" w:sz="4" w:space="0"/>
                  </w:tcBorders>
                  <w:vAlign w:val="center"/>
                </w:tcPr>
                <w:p w14:paraId="15D8C46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6692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315E83A">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3A50C14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88B69D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077AAF1B">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78A076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5AF213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5BD69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57B54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23DA76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FD5A17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73EFF368">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7EFEC9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w:t>
                  </w:r>
                </w:p>
              </w:tc>
              <w:tc>
                <w:tcPr>
                  <w:tcW w:w="374" w:type="pct"/>
                  <w:tcBorders>
                    <w:top w:val="single" w:color="auto" w:sz="4" w:space="0"/>
                    <w:bottom w:val="single" w:color="auto" w:sz="4" w:space="0"/>
                  </w:tcBorders>
                  <w:vAlign w:val="center"/>
                </w:tcPr>
                <w:p w14:paraId="33BE93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46.0</w:t>
                  </w:r>
                </w:p>
              </w:tc>
              <w:tc>
                <w:tcPr>
                  <w:tcW w:w="321" w:type="pct"/>
                  <w:vMerge w:val="continue"/>
                  <w:vAlign w:val="center"/>
                </w:tcPr>
                <w:p w14:paraId="28F4F6F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013FA2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6F4F612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26</w:t>
                  </w:r>
                </w:p>
              </w:tc>
              <w:tc>
                <w:tcPr>
                  <w:tcW w:w="355" w:type="pct"/>
                  <w:tcBorders>
                    <w:top w:val="single" w:color="auto" w:sz="4" w:space="0"/>
                    <w:bottom w:val="single" w:color="auto" w:sz="4" w:space="0"/>
                  </w:tcBorders>
                  <w:vAlign w:val="center"/>
                </w:tcPr>
                <w:p w14:paraId="1F9B32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F1AB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18C230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5A830E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05E6579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39536F1">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1F215F9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15CC317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3E613B6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542880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2EACD5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B92F6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2A98463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003F3B0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374" w:type="pct"/>
                  <w:tcBorders>
                    <w:top w:val="single" w:color="auto" w:sz="4" w:space="0"/>
                    <w:bottom w:val="single" w:color="auto" w:sz="4" w:space="0"/>
                  </w:tcBorders>
                  <w:vAlign w:val="center"/>
                </w:tcPr>
                <w:p w14:paraId="4300623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60</w:t>
                  </w:r>
                </w:p>
              </w:tc>
              <w:tc>
                <w:tcPr>
                  <w:tcW w:w="321" w:type="pct"/>
                  <w:vMerge w:val="continue"/>
                  <w:vAlign w:val="center"/>
                </w:tcPr>
                <w:p w14:paraId="6BE1A41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E9897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3F9E83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55" w:type="pct"/>
                  <w:tcBorders>
                    <w:top w:val="single" w:color="auto" w:sz="4" w:space="0"/>
                    <w:bottom w:val="single" w:color="auto" w:sz="4" w:space="0"/>
                  </w:tcBorders>
                  <w:vAlign w:val="center"/>
                </w:tcPr>
                <w:p w14:paraId="23F767D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E89C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359ED98">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7C9AA03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12920C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25775222">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3574EA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0BE685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2109F76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F65B74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7F1D5D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B2858B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1D260012">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1968298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70</w:t>
                  </w:r>
                </w:p>
              </w:tc>
              <w:tc>
                <w:tcPr>
                  <w:tcW w:w="374" w:type="pct"/>
                  <w:tcBorders>
                    <w:top w:val="single" w:color="auto" w:sz="4" w:space="0"/>
                  </w:tcBorders>
                  <w:vAlign w:val="center"/>
                </w:tcPr>
                <w:p w14:paraId="07D8F26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43.0</w:t>
                  </w:r>
                </w:p>
              </w:tc>
              <w:tc>
                <w:tcPr>
                  <w:tcW w:w="321" w:type="pct"/>
                  <w:vMerge w:val="continue"/>
                  <w:vAlign w:val="center"/>
                </w:tcPr>
                <w:p w14:paraId="4BDF89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5A3360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51E1CB1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23</w:t>
                  </w:r>
                </w:p>
              </w:tc>
              <w:tc>
                <w:tcPr>
                  <w:tcW w:w="355" w:type="pct"/>
                  <w:tcBorders>
                    <w:top w:val="single" w:color="auto" w:sz="4" w:space="0"/>
                  </w:tcBorders>
                  <w:vAlign w:val="center"/>
                </w:tcPr>
                <w:p w14:paraId="06A6847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9431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7F096A5F">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22</w:t>
                  </w:r>
                </w:p>
              </w:tc>
              <w:tc>
                <w:tcPr>
                  <w:tcW w:w="269" w:type="pct"/>
                  <w:vMerge w:val="continue"/>
                  <w:vAlign w:val="center"/>
                </w:tcPr>
                <w:p w14:paraId="6BC9444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18E73C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空压机（2台）</w:t>
                  </w:r>
                </w:p>
              </w:tc>
              <w:tc>
                <w:tcPr>
                  <w:tcW w:w="267" w:type="pct"/>
                  <w:vMerge w:val="restart"/>
                  <w:vAlign w:val="center"/>
                </w:tcPr>
                <w:p w14:paraId="47770F64">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hint="eastAsia" w:ascii="Times New Roman" w:hAnsi="宋体"/>
                      <w:bCs/>
                      <w:color w:val="000000" w:themeColor="text1"/>
                      <w:szCs w:val="21"/>
                      <w:highlight w:val="none"/>
                      <w14:textFill>
                        <w14:solidFill>
                          <w14:schemeClr w14:val="tx1"/>
                        </w14:solidFill>
                      </w14:textFill>
                    </w:rPr>
                    <w:t>--</w:t>
                  </w:r>
                </w:p>
              </w:tc>
              <w:tc>
                <w:tcPr>
                  <w:tcW w:w="356" w:type="pct"/>
                  <w:vMerge w:val="restart"/>
                  <w:vAlign w:val="center"/>
                </w:tcPr>
                <w:p w14:paraId="552FF2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85</w:t>
                  </w:r>
                </w:p>
              </w:tc>
              <w:tc>
                <w:tcPr>
                  <w:tcW w:w="373" w:type="pct"/>
                  <w:vMerge w:val="restart"/>
                  <w:vAlign w:val="center"/>
                </w:tcPr>
                <w:p w14:paraId="7463742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1386A4A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510C2F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10-110</w:t>
                  </w:r>
                </w:p>
              </w:tc>
              <w:tc>
                <w:tcPr>
                  <w:tcW w:w="196" w:type="pct"/>
                  <w:vMerge w:val="restart"/>
                  <w:vAlign w:val="center"/>
                </w:tcPr>
                <w:p w14:paraId="270706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w:t>
                  </w:r>
                </w:p>
              </w:tc>
              <w:tc>
                <w:tcPr>
                  <w:tcW w:w="233" w:type="pct"/>
                  <w:vMerge w:val="restart"/>
                  <w:vAlign w:val="center"/>
                </w:tcPr>
                <w:p w14:paraId="145C61C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top w:val="single" w:color="auto" w:sz="4" w:space="0"/>
                    <w:bottom w:val="single" w:color="auto" w:sz="4" w:space="0"/>
                  </w:tcBorders>
                  <w:vAlign w:val="center"/>
                </w:tcPr>
                <w:p w14:paraId="4D2824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top w:val="single" w:color="auto" w:sz="4" w:space="0"/>
                    <w:bottom w:val="single" w:color="auto" w:sz="4" w:space="0"/>
                  </w:tcBorders>
                  <w:vAlign w:val="center"/>
                </w:tcPr>
                <w:p w14:paraId="50CE85A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374" w:type="pct"/>
                  <w:tcBorders>
                    <w:top w:val="single" w:color="auto" w:sz="4" w:space="0"/>
                    <w:bottom w:val="single" w:color="auto" w:sz="4" w:space="0"/>
                  </w:tcBorders>
                  <w:vAlign w:val="center"/>
                </w:tcPr>
                <w:p w14:paraId="2588AC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65</w:t>
                  </w:r>
                </w:p>
              </w:tc>
              <w:tc>
                <w:tcPr>
                  <w:tcW w:w="321" w:type="pct"/>
                  <w:vMerge w:val="restart"/>
                  <w:vAlign w:val="center"/>
                </w:tcPr>
                <w:p w14:paraId="1709B0F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08</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17</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top w:val="single" w:color="auto" w:sz="4" w:space="0"/>
                    <w:bottom w:val="single" w:color="auto" w:sz="4" w:space="0"/>
                  </w:tcBorders>
                  <w:vAlign w:val="center"/>
                </w:tcPr>
                <w:p w14:paraId="6AEA5AD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3722C59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w:t>
                  </w:r>
                </w:p>
              </w:tc>
              <w:tc>
                <w:tcPr>
                  <w:tcW w:w="355" w:type="pct"/>
                  <w:tcBorders>
                    <w:top w:val="single" w:color="auto" w:sz="4" w:space="0"/>
                    <w:bottom w:val="single" w:color="auto" w:sz="4" w:space="0"/>
                  </w:tcBorders>
                  <w:vAlign w:val="center"/>
                </w:tcPr>
                <w:p w14:paraId="27C6870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6006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12FF5F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63EC37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276660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29B8B3CB">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5EC3F9A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7928E5A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1F4CAB9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155226A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431F79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2C4F51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0533FFD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2B1FBF2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w:t>
                  </w:r>
                </w:p>
              </w:tc>
              <w:tc>
                <w:tcPr>
                  <w:tcW w:w="374" w:type="pct"/>
                  <w:tcBorders>
                    <w:top w:val="single" w:color="auto" w:sz="4" w:space="0"/>
                    <w:bottom w:val="single" w:color="auto" w:sz="4" w:space="0"/>
                  </w:tcBorders>
                  <w:vAlign w:val="center"/>
                </w:tcPr>
                <w:p w14:paraId="01D96F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50.6</w:t>
                  </w:r>
                </w:p>
              </w:tc>
              <w:tc>
                <w:tcPr>
                  <w:tcW w:w="321" w:type="pct"/>
                  <w:vMerge w:val="continue"/>
                  <w:vAlign w:val="center"/>
                </w:tcPr>
                <w:p w14:paraId="4FEE5D7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AD689F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44D5AB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30.6</w:t>
                  </w:r>
                </w:p>
              </w:tc>
              <w:tc>
                <w:tcPr>
                  <w:tcW w:w="355" w:type="pct"/>
                  <w:tcBorders>
                    <w:top w:val="single" w:color="auto" w:sz="4" w:space="0"/>
                    <w:bottom w:val="single" w:color="auto" w:sz="4" w:space="0"/>
                  </w:tcBorders>
                  <w:vAlign w:val="center"/>
                </w:tcPr>
                <w:p w14:paraId="272AA5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ADA18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41CA9C5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4FBA7D8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764C1DE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71F4BFD1">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153BEE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254CAE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68ED06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3B5ED2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7FA5D7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15E7943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1CD004A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4ABBC28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374" w:type="pct"/>
                  <w:tcBorders>
                    <w:top w:val="single" w:color="auto" w:sz="4" w:space="0"/>
                    <w:bottom w:val="single" w:color="auto" w:sz="4" w:space="0"/>
                  </w:tcBorders>
                  <w:vAlign w:val="center"/>
                </w:tcPr>
                <w:p w14:paraId="2AC0F0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65</w:t>
                  </w:r>
                </w:p>
              </w:tc>
              <w:tc>
                <w:tcPr>
                  <w:tcW w:w="321" w:type="pct"/>
                  <w:vMerge w:val="continue"/>
                  <w:vAlign w:val="center"/>
                </w:tcPr>
                <w:p w14:paraId="045BC6F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78E0D5A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11F4DF7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45</w:t>
                  </w:r>
                </w:p>
              </w:tc>
              <w:tc>
                <w:tcPr>
                  <w:tcW w:w="355" w:type="pct"/>
                  <w:tcBorders>
                    <w:top w:val="single" w:color="auto" w:sz="4" w:space="0"/>
                    <w:bottom w:val="single" w:color="auto" w:sz="4" w:space="0"/>
                  </w:tcBorders>
                  <w:vAlign w:val="center"/>
                </w:tcPr>
                <w:p w14:paraId="1BDC71E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9201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207FB0D">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491328D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262920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4C30CB74">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0598B2B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4C514F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4B67090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7928614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195AB88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6E62B58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5B4BF27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31EB55F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68</w:t>
                  </w:r>
                </w:p>
              </w:tc>
              <w:tc>
                <w:tcPr>
                  <w:tcW w:w="374" w:type="pct"/>
                  <w:tcBorders>
                    <w:top w:val="single" w:color="auto" w:sz="4" w:space="0"/>
                  </w:tcBorders>
                  <w:vAlign w:val="center"/>
                </w:tcPr>
                <w:p w14:paraId="1DFECBC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48.3</w:t>
                  </w:r>
                </w:p>
              </w:tc>
              <w:tc>
                <w:tcPr>
                  <w:tcW w:w="321" w:type="pct"/>
                  <w:vMerge w:val="continue"/>
                  <w:vAlign w:val="center"/>
                </w:tcPr>
                <w:p w14:paraId="5570E5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12A902D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0AAFDD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28.3</w:t>
                  </w:r>
                </w:p>
              </w:tc>
              <w:tc>
                <w:tcPr>
                  <w:tcW w:w="355" w:type="pct"/>
                  <w:tcBorders>
                    <w:top w:val="single" w:color="auto" w:sz="4" w:space="0"/>
                  </w:tcBorders>
                  <w:vAlign w:val="center"/>
                </w:tcPr>
                <w:p w14:paraId="104E33B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1D83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736178C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23</w:t>
                  </w:r>
                </w:p>
              </w:tc>
              <w:tc>
                <w:tcPr>
                  <w:tcW w:w="269" w:type="pct"/>
                  <w:vMerge w:val="restart"/>
                  <w:vAlign w:val="center"/>
                </w:tcPr>
                <w:p w14:paraId="7F8055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14:textFill>
                        <w14:solidFill>
                          <w14:schemeClr w14:val="tx1"/>
                        </w14:solidFill>
                      </w14:textFill>
                    </w:rPr>
                    <w:t>脱硫车间</w:t>
                  </w:r>
                </w:p>
              </w:tc>
              <w:tc>
                <w:tcPr>
                  <w:tcW w:w="374" w:type="pct"/>
                  <w:vMerge w:val="restart"/>
                  <w:vAlign w:val="center"/>
                </w:tcPr>
                <w:p w14:paraId="16E62E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风机（2台）</w:t>
                  </w:r>
                </w:p>
              </w:tc>
              <w:tc>
                <w:tcPr>
                  <w:tcW w:w="267" w:type="pct"/>
                  <w:vMerge w:val="restart"/>
                  <w:vAlign w:val="center"/>
                </w:tcPr>
                <w:p w14:paraId="1CDD09C8">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hint="eastAsia" w:ascii="Times New Roman" w:hAnsi="宋体"/>
                      <w:bCs/>
                      <w:color w:val="000000" w:themeColor="text1"/>
                      <w:szCs w:val="21"/>
                      <w:highlight w:val="none"/>
                      <w14:textFill>
                        <w14:solidFill>
                          <w14:schemeClr w14:val="tx1"/>
                        </w14:solidFill>
                      </w14:textFill>
                    </w:rPr>
                    <w:t>--</w:t>
                  </w:r>
                </w:p>
              </w:tc>
              <w:tc>
                <w:tcPr>
                  <w:tcW w:w="356" w:type="pct"/>
                  <w:vMerge w:val="restart"/>
                  <w:vAlign w:val="center"/>
                </w:tcPr>
                <w:p w14:paraId="2E499C4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90</w:t>
                  </w:r>
                </w:p>
              </w:tc>
              <w:tc>
                <w:tcPr>
                  <w:tcW w:w="373" w:type="pct"/>
                  <w:vMerge w:val="restart"/>
                  <w:vAlign w:val="center"/>
                </w:tcPr>
                <w:p w14:paraId="2FE3987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67376BE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3C19057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12-54</w:t>
                  </w:r>
                </w:p>
              </w:tc>
              <w:tc>
                <w:tcPr>
                  <w:tcW w:w="196" w:type="pct"/>
                  <w:vMerge w:val="restart"/>
                  <w:vAlign w:val="center"/>
                </w:tcPr>
                <w:p w14:paraId="1B7871E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w:t>
                  </w:r>
                </w:p>
              </w:tc>
              <w:tc>
                <w:tcPr>
                  <w:tcW w:w="233" w:type="pct"/>
                  <w:vMerge w:val="restart"/>
                  <w:vAlign w:val="center"/>
                </w:tcPr>
                <w:p w14:paraId="07E46F0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4CD3C8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1253230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74" w:type="pct"/>
                  <w:tcBorders>
                    <w:bottom w:val="single" w:color="auto" w:sz="4" w:space="0"/>
                  </w:tcBorders>
                  <w:vAlign w:val="center"/>
                </w:tcPr>
                <w:p w14:paraId="44C189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63.9</w:t>
                  </w:r>
                </w:p>
              </w:tc>
              <w:tc>
                <w:tcPr>
                  <w:tcW w:w="321" w:type="pct"/>
                  <w:vMerge w:val="restart"/>
                  <w:vAlign w:val="center"/>
                </w:tcPr>
                <w:p w14:paraId="103829D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w:t>
                  </w:r>
                  <w:r>
                    <w:rPr>
                      <w:rFonts w:hint="eastAsia" w:ascii="Times New Roman" w:hAnsi="Times New Roman" w:eastAsia="宋体" w:cs="Times New Roman"/>
                      <w:color w:val="000000" w:themeColor="text1"/>
                      <w:szCs w:val="21"/>
                      <w:highlight w:val="none"/>
                      <w:lang w:val="en-US"/>
                      <w14:textFill>
                        <w14:solidFill>
                          <w14:schemeClr w14:val="tx1"/>
                        </w14:solidFill>
                      </w14:textFill>
                    </w:rPr>
                    <w:t>0</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7F0740A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5FB9ADF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43.9</w:t>
                  </w:r>
                </w:p>
              </w:tc>
              <w:tc>
                <w:tcPr>
                  <w:tcW w:w="355" w:type="pct"/>
                  <w:tcBorders>
                    <w:bottom w:val="single" w:color="auto" w:sz="4" w:space="0"/>
                  </w:tcBorders>
                  <w:vAlign w:val="center"/>
                </w:tcPr>
                <w:p w14:paraId="31C19B3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0063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0359AD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7E01072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52D7134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5EB148B7">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0301479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BBE728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6603B9A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31AD948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37E699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5045C3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539924C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7504DB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w:t>
                  </w:r>
                </w:p>
              </w:tc>
              <w:tc>
                <w:tcPr>
                  <w:tcW w:w="374" w:type="pct"/>
                  <w:tcBorders>
                    <w:top w:val="single" w:color="auto" w:sz="4" w:space="0"/>
                    <w:bottom w:val="single" w:color="auto" w:sz="4" w:space="0"/>
                  </w:tcBorders>
                  <w:vAlign w:val="center"/>
                </w:tcPr>
                <w:p w14:paraId="424DBE1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68.4</w:t>
                  </w:r>
                </w:p>
              </w:tc>
              <w:tc>
                <w:tcPr>
                  <w:tcW w:w="321" w:type="pct"/>
                  <w:vMerge w:val="continue"/>
                  <w:vAlign w:val="center"/>
                </w:tcPr>
                <w:p w14:paraId="510A0C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63E95ED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0B83C40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48.4</w:t>
                  </w:r>
                </w:p>
              </w:tc>
              <w:tc>
                <w:tcPr>
                  <w:tcW w:w="355" w:type="pct"/>
                  <w:tcBorders>
                    <w:top w:val="single" w:color="auto" w:sz="4" w:space="0"/>
                    <w:bottom w:val="single" w:color="auto" w:sz="4" w:space="0"/>
                  </w:tcBorders>
                  <w:vAlign w:val="center"/>
                </w:tcPr>
                <w:p w14:paraId="2607C6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7131F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667BC6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1448E3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389A9DA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85DA6BD">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10422C9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17DF223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64CC9AE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07EF6C5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696A725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3775A4B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bottom w:val="single" w:color="auto" w:sz="4" w:space="0"/>
                  </w:tcBorders>
                  <w:vAlign w:val="center"/>
                </w:tcPr>
                <w:p w14:paraId="70666E9E">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213BBE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12</w:t>
                  </w:r>
                </w:p>
              </w:tc>
              <w:tc>
                <w:tcPr>
                  <w:tcW w:w="374" w:type="pct"/>
                  <w:tcBorders>
                    <w:top w:val="single" w:color="auto" w:sz="4" w:space="0"/>
                    <w:bottom w:val="single" w:color="auto" w:sz="4" w:space="0"/>
                  </w:tcBorders>
                  <w:vAlign w:val="center"/>
                </w:tcPr>
                <w:p w14:paraId="63BEFA7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68.4</w:t>
                  </w:r>
                </w:p>
              </w:tc>
              <w:tc>
                <w:tcPr>
                  <w:tcW w:w="321" w:type="pct"/>
                  <w:vMerge w:val="continue"/>
                  <w:vAlign w:val="center"/>
                </w:tcPr>
                <w:p w14:paraId="51C7E5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0782255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7467E70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48.4</w:t>
                  </w:r>
                </w:p>
              </w:tc>
              <w:tc>
                <w:tcPr>
                  <w:tcW w:w="355" w:type="pct"/>
                  <w:tcBorders>
                    <w:top w:val="single" w:color="auto" w:sz="4" w:space="0"/>
                    <w:bottom w:val="single" w:color="auto" w:sz="4" w:space="0"/>
                  </w:tcBorders>
                  <w:vAlign w:val="center"/>
                </w:tcPr>
                <w:p w14:paraId="2561BD8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29341D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33B5E1A2">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p>
              </w:tc>
              <w:tc>
                <w:tcPr>
                  <w:tcW w:w="269" w:type="pct"/>
                  <w:vMerge w:val="continue"/>
                  <w:vAlign w:val="center"/>
                </w:tcPr>
                <w:p w14:paraId="76D5EFE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continue"/>
                  <w:vAlign w:val="center"/>
                </w:tcPr>
                <w:p w14:paraId="584CAB2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67" w:type="pct"/>
                  <w:vMerge w:val="continue"/>
                  <w:vAlign w:val="center"/>
                </w:tcPr>
                <w:p w14:paraId="67D61336">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p>
              </w:tc>
              <w:tc>
                <w:tcPr>
                  <w:tcW w:w="356" w:type="pct"/>
                  <w:vMerge w:val="continue"/>
                  <w:vAlign w:val="center"/>
                </w:tcPr>
                <w:p w14:paraId="7D20392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73" w:type="pct"/>
                  <w:vMerge w:val="continue"/>
                  <w:vAlign w:val="center"/>
                </w:tcPr>
                <w:p w14:paraId="3443ADE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40" w:type="pct"/>
                  <w:vMerge w:val="continue"/>
                  <w:vAlign w:val="center"/>
                </w:tcPr>
                <w:p w14:paraId="7628484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13" w:type="pct"/>
                  <w:vMerge w:val="continue"/>
                  <w:vAlign w:val="center"/>
                </w:tcPr>
                <w:p w14:paraId="6DB84D4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196" w:type="pct"/>
                  <w:vMerge w:val="continue"/>
                  <w:vAlign w:val="center"/>
                </w:tcPr>
                <w:p w14:paraId="0F943E5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233" w:type="pct"/>
                  <w:vMerge w:val="continue"/>
                  <w:vAlign w:val="center"/>
                </w:tcPr>
                <w:p w14:paraId="2F635C5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0" w:type="pct"/>
                  <w:tcBorders>
                    <w:top w:val="single" w:color="auto" w:sz="4" w:space="0"/>
                  </w:tcBorders>
                  <w:vAlign w:val="center"/>
                </w:tcPr>
                <w:p w14:paraId="16C56DD6">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0A30086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w:t>
                  </w:r>
                </w:p>
              </w:tc>
              <w:tc>
                <w:tcPr>
                  <w:tcW w:w="374" w:type="pct"/>
                  <w:tcBorders>
                    <w:top w:val="single" w:color="auto" w:sz="4" w:space="0"/>
                  </w:tcBorders>
                  <w:vAlign w:val="center"/>
                </w:tcPr>
                <w:p w14:paraId="0908640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71.9</w:t>
                  </w:r>
                </w:p>
              </w:tc>
              <w:tc>
                <w:tcPr>
                  <w:tcW w:w="321" w:type="pct"/>
                  <w:vMerge w:val="continue"/>
                  <w:vAlign w:val="center"/>
                </w:tcPr>
                <w:p w14:paraId="402E155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7BE637A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6902041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51.9</w:t>
                  </w:r>
                </w:p>
              </w:tc>
              <w:tc>
                <w:tcPr>
                  <w:tcW w:w="355" w:type="pct"/>
                  <w:tcBorders>
                    <w:top w:val="single" w:color="auto" w:sz="4" w:space="0"/>
                  </w:tcBorders>
                  <w:vAlign w:val="center"/>
                </w:tcPr>
                <w:p w14:paraId="7EA0F85E">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3B3F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restart"/>
                  <w:vAlign w:val="center"/>
                </w:tcPr>
                <w:p w14:paraId="235FC5D9">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bidi="ar-SA"/>
                      <w14:textFill>
                        <w14:solidFill>
                          <w14:schemeClr w14:val="tx1"/>
                        </w14:solidFill>
                      </w14:textFill>
                    </w:rPr>
                    <w:t>24</w:t>
                  </w:r>
                </w:p>
              </w:tc>
              <w:tc>
                <w:tcPr>
                  <w:tcW w:w="269" w:type="pct"/>
                  <w:vMerge w:val="continue"/>
                  <w:vAlign w:val="center"/>
                </w:tcPr>
                <w:p w14:paraId="0A432D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374" w:type="pct"/>
                  <w:vMerge w:val="restart"/>
                  <w:vAlign w:val="center"/>
                </w:tcPr>
                <w:p w14:paraId="3CC2327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泵（2台）</w:t>
                  </w:r>
                </w:p>
              </w:tc>
              <w:tc>
                <w:tcPr>
                  <w:tcW w:w="267" w:type="pct"/>
                  <w:vMerge w:val="restart"/>
                  <w:vAlign w:val="center"/>
                </w:tcPr>
                <w:p w14:paraId="118F3C1D">
                  <w:pPr>
                    <w:pStyle w:val="72"/>
                    <w:spacing w:line="300" w:lineRule="exact"/>
                    <w:ind w:firstLine="0" w:firstLineChars="0"/>
                    <w:jc w:val="center"/>
                    <w:rPr>
                      <w:rFonts w:ascii="Times New Roman" w:hAnsi="宋体"/>
                      <w:bCs/>
                      <w:color w:val="000000" w:themeColor="text1"/>
                      <w:szCs w:val="21"/>
                      <w:highlight w:val="none"/>
                      <w14:textFill>
                        <w14:solidFill>
                          <w14:schemeClr w14:val="tx1"/>
                        </w14:solidFill>
                      </w14:textFill>
                    </w:rPr>
                  </w:pPr>
                  <w:r>
                    <w:rPr>
                      <w:rFonts w:ascii="Times New Roman" w:hAnsi="宋体"/>
                      <w:bCs/>
                      <w:color w:val="000000" w:themeColor="text1"/>
                      <w:szCs w:val="21"/>
                      <w:highlight w:val="none"/>
                      <w14:textFill>
                        <w14:solidFill>
                          <w14:schemeClr w14:val="tx1"/>
                        </w14:solidFill>
                      </w14:textFill>
                    </w:rPr>
                    <w:t>250UHB-ZK-DL-600</w:t>
                  </w:r>
                </w:p>
              </w:tc>
              <w:tc>
                <w:tcPr>
                  <w:tcW w:w="356" w:type="pct"/>
                  <w:vMerge w:val="restart"/>
                  <w:vAlign w:val="center"/>
                </w:tcPr>
                <w:p w14:paraId="0EB4AD3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80</w:t>
                  </w:r>
                </w:p>
              </w:tc>
              <w:tc>
                <w:tcPr>
                  <w:tcW w:w="373" w:type="pct"/>
                  <w:vMerge w:val="restart"/>
                  <w:vAlign w:val="center"/>
                </w:tcPr>
                <w:p w14:paraId="243473C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340" w:type="pct"/>
                  <w:vMerge w:val="restart"/>
                  <w:vAlign w:val="center"/>
                </w:tcPr>
                <w:p w14:paraId="7ECC47F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w:t>
                  </w:r>
                </w:p>
              </w:tc>
              <w:tc>
                <w:tcPr>
                  <w:tcW w:w="213" w:type="pct"/>
                  <w:vMerge w:val="restart"/>
                  <w:vAlign w:val="center"/>
                </w:tcPr>
                <w:p w14:paraId="491E32D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40-50</w:t>
                  </w:r>
                </w:p>
              </w:tc>
              <w:tc>
                <w:tcPr>
                  <w:tcW w:w="196" w:type="pct"/>
                  <w:vMerge w:val="restart"/>
                  <w:vAlign w:val="center"/>
                </w:tcPr>
                <w:p w14:paraId="487B8F3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233" w:type="pct"/>
                  <w:vMerge w:val="restart"/>
                  <w:vAlign w:val="center"/>
                </w:tcPr>
                <w:p w14:paraId="7C5E0C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0.5</w:t>
                  </w:r>
                </w:p>
              </w:tc>
              <w:tc>
                <w:tcPr>
                  <w:tcW w:w="320" w:type="pct"/>
                  <w:tcBorders>
                    <w:bottom w:val="single" w:color="auto" w:sz="4" w:space="0"/>
                  </w:tcBorders>
                  <w:vAlign w:val="center"/>
                </w:tcPr>
                <w:p w14:paraId="3B4FD1A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东边界</w:t>
                  </w:r>
                </w:p>
              </w:tc>
              <w:tc>
                <w:tcPr>
                  <w:tcW w:w="215" w:type="pct"/>
                  <w:tcBorders>
                    <w:bottom w:val="single" w:color="auto" w:sz="4" w:space="0"/>
                  </w:tcBorders>
                  <w:vAlign w:val="center"/>
                </w:tcPr>
                <w:p w14:paraId="36587EF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p>
              </w:tc>
              <w:tc>
                <w:tcPr>
                  <w:tcW w:w="374" w:type="pct"/>
                  <w:tcBorders>
                    <w:bottom w:val="single" w:color="auto" w:sz="4" w:space="0"/>
                  </w:tcBorders>
                  <w:vAlign w:val="center"/>
                </w:tcPr>
                <w:p w14:paraId="38B9B3B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52.3</w:t>
                  </w:r>
                </w:p>
              </w:tc>
              <w:tc>
                <w:tcPr>
                  <w:tcW w:w="321" w:type="pct"/>
                  <w:vMerge w:val="restart"/>
                  <w:vAlign w:val="center"/>
                </w:tcPr>
                <w:p w14:paraId="3C0FFB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0</w:t>
                  </w:r>
                  <w:r>
                    <w:rPr>
                      <w:rFonts w:hint="eastAsia" w:ascii="Times New Roman" w:hAnsi="Times New Roman" w:eastAsia="宋体" w:cs="Times New Roman"/>
                      <w:color w:val="000000" w:themeColor="text1"/>
                      <w:szCs w:val="21"/>
                      <w:highlight w:val="none"/>
                      <w:lang w:val="en-US"/>
                      <w14:textFill>
                        <w14:solidFill>
                          <w14:schemeClr w14:val="tx1"/>
                        </w14:solidFill>
                      </w14:textFill>
                    </w:rPr>
                    <w:t>0</w:t>
                  </w:r>
                  <w:r>
                    <w:rPr>
                      <w:rFonts w:ascii="Times New Roman" w:hAnsi="Times New Roman" w:eastAsia="宋体" w:cs="Times New Roman"/>
                      <w:color w:val="000000" w:themeColor="text1"/>
                      <w:szCs w:val="21"/>
                      <w:highlight w:val="none"/>
                      <w:lang w:val="en-US"/>
                      <w14:textFill>
                        <w14:solidFill>
                          <w14:schemeClr w14:val="tx1"/>
                        </w14:solidFill>
                      </w14:textFill>
                    </w:rPr>
                    <w:t>:00</w:t>
                  </w:r>
                  <w:r>
                    <w:rPr>
                      <w:rFonts w:ascii="Times New Roman" w:eastAsia="宋体" w:cs="Times New Roman"/>
                      <w:color w:val="000000" w:themeColor="text1"/>
                      <w:szCs w:val="21"/>
                      <w:highlight w:val="none"/>
                      <w:lang w:val="en-US"/>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14:textFill>
                        <w14:solidFill>
                          <w14:schemeClr w14:val="tx1"/>
                        </w14:solidFill>
                      </w14:textFill>
                    </w:rPr>
                    <w:t>24</w:t>
                  </w:r>
                  <w:r>
                    <w:rPr>
                      <w:rFonts w:ascii="Times New Roman" w:hAnsi="Times New Roman" w:eastAsia="宋体" w:cs="Times New Roman"/>
                      <w:color w:val="000000" w:themeColor="text1"/>
                      <w:szCs w:val="21"/>
                      <w:highlight w:val="none"/>
                      <w:lang w:val="en-US"/>
                      <w14:textFill>
                        <w14:solidFill>
                          <w14:schemeClr w14:val="tx1"/>
                        </w14:solidFill>
                      </w14:textFill>
                    </w:rPr>
                    <w:t>:00</w:t>
                  </w:r>
                </w:p>
              </w:tc>
              <w:tc>
                <w:tcPr>
                  <w:tcW w:w="321" w:type="pct"/>
                  <w:tcBorders>
                    <w:bottom w:val="single" w:color="auto" w:sz="4" w:space="0"/>
                  </w:tcBorders>
                  <w:vAlign w:val="center"/>
                </w:tcPr>
                <w:p w14:paraId="5CB37B0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bottom w:val="single" w:color="auto" w:sz="4" w:space="0"/>
                  </w:tcBorders>
                  <w:vAlign w:val="center"/>
                </w:tcPr>
                <w:p w14:paraId="32B26E9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32.3</w:t>
                  </w:r>
                </w:p>
              </w:tc>
              <w:tc>
                <w:tcPr>
                  <w:tcW w:w="355" w:type="pct"/>
                  <w:tcBorders>
                    <w:bottom w:val="single" w:color="auto" w:sz="4" w:space="0"/>
                  </w:tcBorders>
                  <w:vAlign w:val="center"/>
                </w:tcPr>
                <w:p w14:paraId="1071D2D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0EF69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5A6C6CB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7BF85F4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6B97D53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49BEB23C">
                  <w:pPr>
                    <w:pStyle w:val="72"/>
                    <w:spacing w:line="300" w:lineRule="exact"/>
                    <w:ind w:firstLine="0" w:firstLineChars="0"/>
                    <w:jc w:val="center"/>
                    <w:rPr>
                      <w:rFonts w:ascii="Times New Roman" w:hAnsi="宋体"/>
                      <w:bCs/>
                      <w:color w:val="000000" w:themeColor="text1"/>
                      <w:szCs w:val="21"/>
                      <w:highlight w:val="green"/>
                      <w14:textFill>
                        <w14:solidFill>
                          <w14:schemeClr w14:val="tx1"/>
                        </w14:solidFill>
                      </w14:textFill>
                    </w:rPr>
                  </w:pPr>
                </w:p>
              </w:tc>
              <w:tc>
                <w:tcPr>
                  <w:tcW w:w="356" w:type="pct"/>
                  <w:vMerge w:val="continue"/>
                  <w:vAlign w:val="center"/>
                </w:tcPr>
                <w:p w14:paraId="7A64B2E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7D7BC14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5A6048E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410B7D6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2338A30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666C820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tcBorders>
                    <w:top w:val="single" w:color="auto" w:sz="4" w:space="0"/>
                    <w:bottom w:val="single" w:color="auto" w:sz="4" w:space="0"/>
                  </w:tcBorders>
                  <w:vAlign w:val="center"/>
                </w:tcPr>
                <w:p w14:paraId="04640344">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南边界</w:t>
                  </w:r>
                </w:p>
              </w:tc>
              <w:tc>
                <w:tcPr>
                  <w:tcW w:w="215" w:type="pct"/>
                  <w:tcBorders>
                    <w:top w:val="single" w:color="auto" w:sz="4" w:space="0"/>
                    <w:bottom w:val="single" w:color="auto" w:sz="4" w:space="0"/>
                  </w:tcBorders>
                  <w:vAlign w:val="center"/>
                </w:tcPr>
                <w:p w14:paraId="0E848D1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374" w:type="pct"/>
                  <w:tcBorders>
                    <w:top w:val="single" w:color="auto" w:sz="4" w:space="0"/>
                    <w:bottom w:val="single" w:color="auto" w:sz="4" w:space="0"/>
                  </w:tcBorders>
                  <w:vAlign w:val="center"/>
                </w:tcPr>
                <w:p w14:paraId="06101CC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60</w:t>
                  </w:r>
                </w:p>
              </w:tc>
              <w:tc>
                <w:tcPr>
                  <w:tcW w:w="321" w:type="pct"/>
                  <w:vMerge w:val="continue"/>
                  <w:vAlign w:val="center"/>
                </w:tcPr>
                <w:p w14:paraId="25D331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15A474A">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4F9F6F9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55" w:type="pct"/>
                  <w:tcBorders>
                    <w:top w:val="single" w:color="auto" w:sz="4" w:space="0"/>
                    <w:bottom w:val="single" w:color="auto" w:sz="4" w:space="0"/>
                  </w:tcBorders>
                  <w:vAlign w:val="center"/>
                </w:tcPr>
                <w:p w14:paraId="06FC7FC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394CF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16453743">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65D86CE6">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2D7FF00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16F3166C">
                  <w:pPr>
                    <w:pStyle w:val="72"/>
                    <w:spacing w:line="300" w:lineRule="exact"/>
                    <w:ind w:firstLine="0" w:firstLineChars="0"/>
                    <w:jc w:val="center"/>
                    <w:rPr>
                      <w:rFonts w:ascii="Times New Roman" w:hAnsi="宋体"/>
                      <w:bCs/>
                      <w:color w:val="000000" w:themeColor="text1"/>
                      <w:szCs w:val="21"/>
                      <w:highlight w:val="green"/>
                      <w14:textFill>
                        <w14:solidFill>
                          <w14:schemeClr w14:val="tx1"/>
                        </w14:solidFill>
                      </w14:textFill>
                    </w:rPr>
                  </w:pPr>
                </w:p>
              </w:tc>
              <w:tc>
                <w:tcPr>
                  <w:tcW w:w="356" w:type="pct"/>
                  <w:vMerge w:val="continue"/>
                  <w:vAlign w:val="center"/>
                </w:tcPr>
                <w:p w14:paraId="5C56611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5C92886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2EEA70EC">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286A3C2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4C93E9C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75728BC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tcBorders>
                    <w:top w:val="single" w:color="auto" w:sz="4" w:space="0"/>
                    <w:bottom w:val="single" w:color="auto" w:sz="4" w:space="0"/>
                  </w:tcBorders>
                  <w:vAlign w:val="center"/>
                </w:tcPr>
                <w:p w14:paraId="3BCDE5EC">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西边界</w:t>
                  </w:r>
                </w:p>
              </w:tc>
              <w:tc>
                <w:tcPr>
                  <w:tcW w:w="215" w:type="pct"/>
                  <w:tcBorders>
                    <w:top w:val="single" w:color="auto" w:sz="4" w:space="0"/>
                    <w:bottom w:val="single" w:color="auto" w:sz="4" w:space="0"/>
                  </w:tcBorders>
                  <w:vAlign w:val="center"/>
                </w:tcPr>
                <w:p w14:paraId="174E2B0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74" w:type="pct"/>
                  <w:tcBorders>
                    <w:top w:val="single" w:color="auto" w:sz="4" w:space="0"/>
                    <w:bottom w:val="single" w:color="auto" w:sz="4" w:space="0"/>
                  </w:tcBorders>
                  <w:vAlign w:val="center"/>
                </w:tcPr>
                <w:p w14:paraId="272D5AB9">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47.9</w:t>
                  </w:r>
                </w:p>
              </w:tc>
              <w:tc>
                <w:tcPr>
                  <w:tcW w:w="321" w:type="pct"/>
                  <w:vMerge w:val="continue"/>
                  <w:vAlign w:val="center"/>
                </w:tcPr>
                <w:p w14:paraId="11A0443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bottom w:val="single" w:color="auto" w:sz="4" w:space="0"/>
                  </w:tcBorders>
                  <w:vAlign w:val="center"/>
                </w:tcPr>
                <w:p w14:paraId="1BC6FC3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bottom w:val="single" w:color="auto" w:sz="4" w:space="0"/>
                  </w:tcBorders>
                  <w:vAlign w:val="center"/>
                </w:tcPr>
                <w:p w14:paraId="271B7B7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27.9</w:t>
                  </w:r>
                </w:p>
              </w:tc>
              <w:tc>
                <w:tcPr>
                  <w:tcW w:w="355" w:type="pct"/>
                  <w:tcBorders>
                    <w:top w:val="single" w:color="auto" w:sz="4" w:space="0"/>
                    <w:bottom w:val="single" w:color="auto" w:sz="4" w:space="0"/>
                  </w:tcBorders>
                  <w:vAlign w:val="center"/>
                </w:tcPr>
                <w:p w14:paraId="0FF1327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E23A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153" w:type="pct"/>
                  <w:vMerge w:val="continue"/>
                  <w:vAlign w:val="center"/>
                </w:tcPr>
                <w:p w14:paraId="783A31DB">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green"/>
                      <w:lang w:val="en-US" w:bidi="ar-SA"/>
                      <w14:textFill>
                        <w14:solidFill>
                          <w14:schemeClr w14:val="tx1"/>
                        </w14:solidFill>
                      </w14:textFill>
                    </w:rPr>
                  </w:pPr>
                </w:p>
              </w:tc>
              <w:tc>
                <w:tcPr>
                  <w:tcW w:w="269" w:type="pct"/>
                  <w:vMerge w:val="continue"/>
                  <w:vAlign w:val="center"/>
                </w:tcPr>
                <w:p w14:paraId="0DA5DBA0">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14:textFill>
                        <w14:solidFill>
                          <w14:schemeClr w14:val="tx1"/>
                        </w14:solidFill>
                      </w14:textFill>
                    </w:rPr>
                  </w:pPr>
                </w:p>
              </w:tc>
              <w:tc>
                <w:tcPr>
                  <w:tcW w:w="374" w:type="pct"/>
                  <w:vMerge w:val="continue"/>
                  <w:vAlign w:val="center"/>
                </w:tcPr>
                <w:p w14:paraId="1C0B4235">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67" w:type="pct"/>
                  <w:vMerge w:val="continue"/>
                  <w:vAlign w:val="center"/>
                </w:tcPr>
                <w:p w14:paraId="39AA0646">
                  <w:pPr>
                    <w:pStyle w:val="72"/>
                    <w:spacing w:line="300" w:lineRule="exact"/>
                    <w:ind w:firstLine="0" w:firstLineChars="0"/>
                    <w:jc w:val="center"/>
                    <w:rPr>
                      <w:rFonts w:ascii="Times New Roman" w:hAnsi="宋体"/>
                      <w:bCs/>
                      <w:color w:val="000000" w:themeColor="text1"/>
                      <w:szCs w:val="21"/>
                      <w:highlight w:val="green"/>
                      <w14:textFill>
                        <w14:solidFill>
                          <w14:schemeClr w14:val="tx1"/>
                        </w14:solidFill>
                      </w14:textFill>
                    </w:rPr>
                  </w:pPr>
                </w:p>
              </w:tc>
              <w:tc>
                <w:tcPr>
                  <w:tcW w:w="356" w:type="pct"/>
                  <w:vMerge w:val="continue"/>
                  <w:vAlign w:val="center"/>
                </w:tcPr>
                <w:p w14:paraId="68BF3E4D">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73" w:type="pct"/>
                  <w:vMerge w:val="continue"/>
                  <w:vAlign w:val="center"/>
                </w:tcPr>
                <w:p w14:paraId="45D040CF">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40" w:type="pct"/>
                  <w:vMerge w:val="continue"/>
                  <w:vAlign w:val="center"/>
                </w:tcPr>
                <w:p w14:paraId="561FC412">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13" w:type="pct"/>
                  <w:vMerge w:val="continue"/>
                  <w:vAlign w:val="center"/>
                </w:tcPr>
                <w:p w14:paraId="0265FDF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196" w:type="pct"/>
                  <w:vMerge w:val="continue"/>
                  <w:vAlign w:val="center"/>
                </w:tcPr>
                <w:p w14:paraId="408CCA8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233" w:type="pct"/>
                  <w:vMerge w:val="continue"/>
                  <w:vAlign w:val="center"/>
                </w:tcPr>
                <w:p w14:paraId="1247CD8B">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p>
              </w:tc>
              <w:tc>
                <w:tcPr>
                  <w:tcW w:w="320" w:type="pct"/>
                  <w:tcBorders>
                    <w:top w:val="single" w:color="auto" w:sz="4" w:space="0"/>
                  </w:tcBorders>
                  <w:vAlign w:val="center"/>
                </w:tcPr>
                <w:p w14:paraId="2409AAF5">
                  <w:pPr>
                    <w:pStyle w:val="68"/>
                    <w:autoSpaceDE w:val="0"/>
                    <w:autoSpaceDN w:val="0"/>
                    <w:snapToGrid w:val="0"/>
                    <w:spacing w:line="300" w:lineRule="exact"/>
                    <w:jc w:val="center"/>
                    <w:rPr>
                      <w:rFonts w:ascii="Times New Roman" w:hAnsi="Times New Roman" w:eastAsia="宋体" w:cs="Times New Roman"/>
                      <w:color w:val="000000" w:themeColor="text1"/>
                      <w:kern w:val="0"/>
                      <w:szCs w:val="21"/>
                      <w:highlight w:val="none"/>
                      <w:lang w:val="en-US" w:bidi="ar-SA"/>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北边界</w:t>
                  </w:r>
                </w:p>
              </w:tc>
              <w:tc>
                <w:tcPr>
                  <w:tcW w:w="215" w:type="pct"/>
                  <w:tcBorders>
                    <w:top w:val="single" w:color="auto" w:sz="4" w:space="0"/>
                  </w:tcBorders>
                  <w:vAlign w:val="center"/>
                </w:tcPr>
                <w:p w14:paraId="07B65727">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10</w:t>
                  </w:r>
                </w:p>
              </w:tc>
              <w:tc>
                <w:tcPr>
                  <w:tcW w:w="374" w:type="pct"/>
                  <w:tcBorders>
                    <w:top w:val="single" w:color="auto" w:sz="4" w:space="0"/>
                  </w:tcBorders>
                  <w:vAlign w:val="center"/>
                </w:tcPr>
                <w:p w14:paraId="3F5C3D28">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60</w:t>
                  </w:r>
                </w:p>
              </w:tc>
              <w:tc>
                <w:tcPr>
                  <w:tcW w:w="321" w:type="pct"/>
                  <w:vMerge w:val="continue"/>
                  <w:vAlign w:val="center"/>
                </w:tcPr>
                <w:p w14:paraId="7FCF719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p>
              </w:tc>
              <w:tc>
                <w:tcPr>
                  <w:tcW w:w="321" w:type="pct"/>
                  <w:tcBorders>
                    <w:top w:val="single" w:color="auto" w:sz="4" w:space="0"/>
                  </w:tcBorders>
                  <w:vAlign w:val="center"/>
                </w:tcPr>
                <w:p w14:paraId="7F90918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20</w:t>
                  </w:r>
                </w:p>
              </w:tc>
              <w:tc>
                <w:tcPr>
                  <w:tcW w:w="320" w:type="pct"/>
                  <w:tcBorders>
                    <w:top w:val="single" w:color="auto" w:sz="4" w:space="0"/>
                  </w:tcBorders>
                  <w:vAlign w:val="center"/>
                </w:tcPr>
                <w:p w14:paraId="304D59B3">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14:textFill>
                        <w14:solidFill>
                          <w14:schemeClr w14:val="tx1"/>
                        </w14:solidFill>
                      </w14:textFill>
                    </w:rPr>
                    <w:t>40</w:t>
                  </w:r>
                </w:p>
              </w:tc>
              <w:tc>
                <w:tcPr>
                  <w:tcW w:w="355" w:type="pct"/>
                  <w:tcBorders>
                    <w:top w:val="single" w:color="auto" w:sz="4" w:space="0"/>
                  </w:tcBorders>
                  <w:vAlign w:val="center"/>
                </w:tcPr>
                <w:p w14:paraId="16C69241">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none"/>
                      <w:lang w:val="en-US"/>
                      <w14:textFill>
                        <w14:solidFill>
                          <w14:schemeClr w14:val="tx1"/>
                        </w14:solidFill>
                      </w14:textFill>
                    </w:rPr>
                  </w:pPr>
                  <w:r>
                    <w:rPr>
                      <w:rFonts w:ascii="Times New Roman" w:hAnsi="Times New Roman" w:eastAsia="宋体" w:cs="Times New Roman"/>
                      <w:color w:val="000000" w:themeColor="text1"/>
                      <w:szCs w:val="21"/>
                      <w:highlight w:val="none"/>
                      <w:lang w:val="en-US"/>
                      <w14:textFill>
                        <w14:solidFill>
                          <w14:schemeClr w14:val="tx1"/>
                        </w14:solidFill>
                      </w14:textFill>
                    </w:rPr>
                    <w:t>1</w:t>
                  </w:r>
                </w:p>
              </w:tc>
            </w:tr>
            <w:tr w14:paraId="469A05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jc w:val="center"/>
              </w:trPr>
              <w:tc>
                <w:tcPr>
                  <w:tcW w:w="5000" w:type="pct"/>
                  <w:gridSpan w:val="17"/>
                  <w:vAlign w:val="center"/>
                </w:tcPr>
                <w:p w14:paraId="5848E804">
                  <w:pPr>
                    <w:pStyle w:val="68"/>
                    <w:autoSpaceDE w:val="0"/>
                    <w:autoSpaceDN w:val="0"/>
                    <w:snapToGrid w:val="0"/>
                    <w:spacing w:line="300" w:lineRule="exact"/>
                    <w:jc w:val="center"/>
                    <w:rPr>
                      <w:rFonts w:ascii="Times New Roman" w:hAnsi="Times New Roman" w:eastAsia="宋体" w:cs="Times New Roman"/>
                      <w:color w:val="000000" w:themeColor="text1"/>
                      <w:szCs w:val="21"/>
                      <w:highlight w:val="green"/>
                      <w:lang w:val="en-US"/>
                      <w14:textFill>
                        <w14:solidFill>
                          <w14:schemeClr w14:val="tx1"/>
                        </w14:solidFill>
                      </w14:textFill>
                    </w:rPr>
                  </w:pPr>
                  <w:r>
                    <w:rPr>
                      <w:rFonts w:ascii="Times New Roman" w:hAnsi="Times New Roman" w:eastAsia="宋体" w:cs="Times New Roman"/>
                      <w:b/>
                      <w:color w:val="000000" w:themeColor="text1"/>
                      <w:highlight w:val="none"/>
                      <w:lang w:val="en-US"/>
                      <w14:textFill>
                        <w14:solidFill>
                          <w14:schemeClr w14:val="tx1"/>
                        </w14:solidFill>
                      </w14:textFill>
                    </w:rPr>
                    <w:t>注：生产车间西南角坐标为（0,0,0）</w:t>
                  </w:r>
                </w:p>
              </w:tc>
            </w:tr>
          </w:tbl>
          <w:p w14:paraId="2BFE4D36">
            <w:pPr>
              <w:spacing w:line="480" w:lineRule="exact"/>
              <w:ind w:left="-105" w:right="-105"/>
              <w:jc w:val="center"/>
              <w:rPr>
                <w:rFonts w:ascii="宋体" w:hAnsi="宋体" w:cs="宋体"/>
                <w:bCs/>
                <w:color w:val="000000" w:themeColor="text1"/>
                <w:spacing w:val="-10"/>
                <w:szCs w:val="21"/>
                <w:highlight w:val="green"/>
                <w14:textFill>
                  <w14:solidFill>
                    <w14:schemeClr w14:val="tx1"/>
                  </w14:solidFill>
                </w14:textFill>
              </w:rPr>
            </w:pPr>
          </w:p>
        </w:tc>
      </w:tr>
    </w:tbl>
    <w:p w14:paraId="0F8144B4">
      <w:pPr>
        <w:adjustRightInd w:val="0"/>
        <w:snapToGrid w:val="0"/>
        <w:ind w:left="-105" w:right="-105"/>
        <w:jc w:val="center"/>
        <w:rPr>
          <w:rFonts w:ascii="宋体" w:hAnsi="宋体" w:cs="宋体"/>
          <w:bCs/>
          <w:color w:val="000000" w:themeColor="text1"/>
          <w:szCs w:val="21"/>
          <w:highlight w:val="green"/>
          <w14:textFill>
            <w14:solidFill>
              <w14:schemeClr w14:val="tx1"/>
            </w14:solidFill>
          </w14:textFill>
        </w:rPr>
        <w:sectPr>
          <w:pgSz w:w="16840" w:h="11907" w:orient="landscape"/>
          <w:pgMar w:top="1531" w:right="1701" w:bottom="1531" w:left="2126" w:header="851" w:footer="851" w:gutter="0"/>
          <w:pgBorders>
            <w:top w:val="none" w:sz="0" w:space="0"/>
            <w:left w:val="none" w:sz="0" w:space="0"/>
            <w:bottom w:val="none" w:sz="0" w:space="0"/>
            <w:right w:val="none" w:sz="0" w:space="0"/>
          </w:pgBorders>
          <w:cols w:space="720" w:num="1"/>
          <w:docGrid w:linePitch="312" w:charSpace="0"/>
        </w:sectPr>
      </w:pPr>
    </w:p>
    <w:tbl>
      <w:tblPr>
        <w:tblStyle w:val="24"/>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08"/>
      </w:tblGrid>
      <w:tr w14:paraId="56D87F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8908" w:type="dxa"/>
            <w:tcMar>
              <w:left w:w="28" w:type="dxa"/>
              <w:right w:w="28" w:type="dxa"/>
            </w:tcMar>
            <w:vAlign w:val="center"/>
          </w:tcPr>
          <w:p w14:paraId="18DF17E6">
            <w:pPr>
              <w:spacing w:line="480" w:lineRule="exact"/>
              <w:ind w:firstLine="1176" w:firstLineChars="490"/>
              <w:rPr>
                <w:rFonts w:ascii="黑体" w:hAnsi="黑体" w:eastAsia="黑体"/>
                <w:bCs/>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4-10</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产噪单元</w:t>
            </w:r>
            <w:r>
              <w:rPr>
                <w:rFonts w:ascii="黑体" w:hAnsi="黑体" w:eastAsia="黑体"/>
                <w:bCs/>
                <w:color w:val="000000" w:themeColor="text1"/>
                <w:sz w:val="24"/>
                <w:highlight w:val="none"/>
                <w14:textFill>
                  <w14:solidFill>
                    <w14:schemeClr w14:val="tx1"/>
                  </w14:solidFill>
                </w14:textFill>
              </w:rPr>
              <w:t>距</w:t>
            </w:r>
            <w:r>
              <w:rPr>
                <w:rFonts w:hint="eastAsia" w:ascii="黑体" w:hAnsi="黑体" w:eastAsia="黑体"/>
                <w:bCs/>
                <w:color w:val="000000" w:themeColor="text1"/>
                <w:sz w:val="24"/>
                <w:highlight w:val="none"/>
                <w14:textFill>
                  <w14:solidFill>
                    <w14:schemeClr w14:val="tx1"/>
                  </w14:solidFill>
                </w14:textFill>
              </w:rPr>
              <w:t>各厂界最近</w:t>
            </w:r>
            <w:r>
              <w:rPr>
                <w:rFonts w:ascii="黑体" w:hAnsi="黑体" w:eastAsia="黑体"/>
                <w:bCs/>
                <w:color w:val="000000" w:themeColor="text1"/>
                <w:sz w:val="24"/>
                <w:highlight w:val="none"/>
                <w14:textFill>
                  <w14:solidFill>
                    <w14:schemeClr w14:val="tx1"/>
                  </w14:solidFill>
                </w14:textFill>
              </w:rPr>
              <w:t>距离</w:t>
            </w:r>
            <w:r>
              <w:rPr>
                <w:rFonts w:ascii="黑体" w:hAnsi="黑体" w:eastAsia="黑体"/>
                <w:color w:val="000000" w:themeColor="text1"/>
                <w:sz w:val="24"/>
                <w:highlight w:val="none"/>
                <w14:textFill>
                  <w14:solidFill>
                    <w14:schemeClr w14:val="tx1"/>
                  </w14:solidFill>
                </w14:textFill>
              </w:rPr>
              <w:t xml:space="preserve">            单位：(m)</w:t>
            </w:r>
          </w:p>
          <w:tbl>
            <w:tblPr>
              <w:tblStyle w:val="24"/>
              <w:tblW w:w="0" w:type="auto"/>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2241"/>
              <w:gridCol w:w="1701"/>
              <w:gridCol w:w="1559"/>
              <w:gridCol w:w="1560"/>
              <w:gridCol w:w="1444"/>
            </w:tblGrid>
            <w:tr w14:paraId="74C4CF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exact"/>
                <w:jc w:val="center"/>
              </w:trPr>
              <w:tc>
                <w:tcPr>
                  <w:tcW w:w="2241" w:type="dxa"/>
                  <w:vAlign w:val="center"/>
                </w:tcPr>
                <w:p w14:paraId="26B21A7A">
                  <w:pPr>
                    <w:jc w:val="center"/>
                    <w:rPr>
                      <w:bC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产噪单元</w:t>
                  </w:r>
                </w:p>
              </w:tc>
              <w:tc>
                <w:tcPr>
                  <w:tcW w:w="1701" w:type="dxa"/>
                  <w:vAlign w:val="center"/>
                </w:tcPr>
                <w:p w14:paraId="5C985027">
                  <w:pPr>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东</w:t>
                  </w:r>
                  <w:r>
                    <w:rPr>
                      <w:rFonts w:hint="eastAsia"/>
                      <w:bCs/>
                      <w:color w:val="000000" w:themeColor="text1"/>
                      <w:szCs w:val="21"/>
                      <w:highlight w:val="none"/>
                      <w14:textFill>
                        <w14:solidFill>
                          <w14:schemeClr w14:val="tx1"/>
                        </w14:solidFill>
                      </w14:textFill>
                    </w:rPr>
                    <w:t>厂界</w:t>
                  </w:r>
                </w:p>
              </w:tc>
              <w:tc>
                <w:tcPr>
                  <w:tcW w:w="1559" w:type="dxa"/>
                  <w:vAlign w:val="center"/>
                </w:tcPr>
                <w:p w14:paraId="0D3631DC">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南</w:t>
                  </w:r>
                  <w:r>
                    <w:rPr>
                      <w:rFonts w:hint="eastAsia"/>
                      <w:bCs/>
                      <w:color w:val="000000" w:themeColor="text1"/>
                      <w:szCs w:val="21"/>
                      <w:highlight w:val="none"/>
                      <w14:textFill>
                        <w14:solidFill>
                          <w14:schemeClr w14:val="tx1"/>
                        </w14:solidFill>
                      </w14:textFill>
                    </w:rPr>
                    <w:t>厂界</w:t>
                  </w:r>
                </w:p>
              </w:tc>
              <w:tc>
                <w:tcPr>
                  <w:tcW w:w="1560" w:type="dxa"/>
                  <w:vAlign w:val="center"/>
                </w:tcPr>
                <w:p w14:paraId="083D7D4A">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西</w:t>
                  </w:r>
                  <w:r>
                    <w:rPr>
                      <w:rFonts w:hint="eastAsia"/>
                      <w:bCs/>
                      <w:color w:val="000000" w:themeColor="text1"/>
                      <w:szCs w:val="21"/>
                      <w:highlight w:val="none"/>
                      <w14:textFill>
                        <w14:solidFill>
                          <w14:schemeClr w14:val="tx1"/>
                        </w14:solidFill>
                      </w14:textFill>
                    </w:rPr>
                    <w:t>厂界</w:t>
                  </w:r>
                </w:p>
              </w:tc>
              <w:tc>
                <w:tcPr>
                  <w:tcW w:w="1444" w:type="dxa"/>
                  <w:vAlign w:val="center"/>
                </w:tcPr>
                <w:p w14:paraId="40888E27">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北</w:t>
                  </w:r>
                  <w:r>
                    <w:rPr>
                      <w:rFonts w:hint="eastAsia"/>
                      <w:bCs/>
                      <w:color w:val="000000" w:themeColor="text1"/>
                      <w:szCs w:val="21"/>
                      <w:highlight w:val="none"/>
                      <w14:textFill>
                        <w14:solidFill>
                          <w14:schemeClr w14:val="tx1"/>
                        </w14:solidFill>
                      </w14:textFill>
                    </w:rPr>
                    <w:t>厂界</w:t>
                  </w:r>
                </w:p>
              </w:tc>
            </w:tr>
            <w:tr w14:paraId="448A6BF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exact"/>
                <w:jc w:val="center"/>
              </w:trPr>
              <w:tc>
                <w:tcPr>
                  <w:tcW w:w="2241" w:type="dxa"/>
                  <w:vAlign w:val="center"/>
                </w:tcPr>
                <w:p w14:paraId="5B4EF9BC">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破碎车间</w:t>
                  </w:r>
                </w:p>
              </w:tc>
              <w:tc>
                <w:tcPr>
                  <w:tcW w:w="1701" w:type="dxa"/>
                  <w:vAlign w:val="center"/>
                </w:tcPr>
                <w:p w14:paraId="529092AB">
                  <w:pPr>
                    <w:pStyle w:val="54"/>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92</w:t>
                  </w:r>
                </w:p>
              </w:tc>
              <w:tc>
                <w:tcPr>
                  <w:tcW w:w="1559" w:type="dxa"/>
                  <w:vAlign w:val="center"/>
                </w:tcPr>
                <w:p w14:paraId="77FA29B3">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22</w:t>
                  </w:r>
                </w:p>
              </w:tc>
              <w:tc>
                <w:tcPr>
                  <w:tcW w:w="1560" w:type="dxa"/>
                  <w:vAlign w:val="center"/>
                </w:tcPr>
                <w:p w14:paraId="65E4EFA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13</w:t>
                  </w:r>
                </w:p>
              </w:tc>
              <w:tc>
                <w:tcPr>
                  <w:tcW w:w="1444" w:type="dxa"/>
                  <w:vAlign w:val="center"/>
                </w:tcPr>
                <w:p w14:paraId="47E55FB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282</w:t>
                  </w:r>
                </w:p>
              </w:tc>
            </w:tr>
            <w:tr w14:paraId="49B753D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exact"/>
                <w:jc w:val="center"/>
              </w:trPr>
              <w:tc>
                <w:tcPr>
                  <w:tcW w:w="2241" w:type="dxa"/>
                  <w:vAlign w:val="center"/>
                </w:tcPr>
                <w:p w14:paraId="21C49A0C">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陈化库</w:t>
                  </w:r>
                </w:p>
              </w:tc>
              <w:tc>
                <w:tcPr>
                  <w:tcW w:w="1701" w:type="dxa"/>
                  <w:vAlign w:val="center"/>
                </w:tcPr>
                <w:p w14:paraId="35BFE688">
                  <w:pPr>
                    <w:pStyle w:val="54"/>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85</w:t>
                  </w:r>
                </w:p>
              </w:tc>
              <w:tc>
                <w:tcPr>
                  <w:tcW w:w="1559" w:type="dxa"/>
                  <w:vAlign w:val="center"/>
                </w:tcPr>
                <w:p w14:paraId="5051433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99</w:t>
                  </w:r>
                </w:p>
              </w:tc>
              <w:tc>
                <w:tcPr>
                  <w:tcW w:w="1560" w:type="dxa"/>
                  <w:vAlign w:val="center"/>
                </w:tcPr>
                <w:p w14:paraId="6A67E86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13</w:t>
                  </w:r>
                </w:p>
              </w:tc>
              <w:tc>
                <w:tcPr>
                  <w:tcW w:w="1444" w:type="dxa"/>
                  <w:vAlign w:val="center"/>
                </w:tcPr>
                <w:p w14:paraId="1D106652">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248</w:t>
                  </w:r>
                </w:p>
              </w:tc>
            </w:tr>
            <w:tr w14:paraId="520A3D4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exact"/>
                <w:jc w:val="center"/>
              </w:trPr>
              <w:tc>
                <w:tcPr>
                  <w:tcW w:w="2241" w:type="dxa"/>
                  <w:vAlign w:val="center"/>
                </w:tcPr>
                <w:p w14:paraId="37078EAA">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制坯车间</w:t>
                  </w:r>
                </w:p>
              </w:tc>
              <w:tc>
                <w:tcPr>
                  <w:tcW w:w="1701" w:type="dxa"/>
                  <w:vAlign w:val="center"/>
                </w:tcPr>
                <w:p w14:paraId="65C226BC">
                  <w:pPr>
                    <w:pStyle w:val="54"/>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63</w:t>
                  </w:r>
                </w:p>
              </w:tc>
              <w:tc>
                <w:tcPr>
                  <w:tcW w:w="1559" w:type="dxa"/>
                  <w:vAlign w:val="center"/>
                </w:tcPr>
                <w:p w14:paraId="2FE0FC97">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141</w:t>
                  </w:r>
                </w:p>
              </w:tc>
              <w:tc>
                <w:tcPr>
                  <w:tcW w:w="1560" w:type="dxa"/>
                  <w:vAlign w:val="center"/>
                </w:tcPr>
                <w:p w14:paraId="6AC9AEFC">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1444" w:type="dxa"/>
                  <w:vAlign w:val="center"/>
                </w:tcPr>
                <w:p w14:paraId="5680B5B3">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204</w:t>
                  </w:r>
                </w:p>
              </w:tc>
            </w:tr>
            <w:tr w14:paraId="616958F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exact"/>
                <w:jc w:val="center"/>
              </w:trPr>
              <w:tc>
                <w:tcPr>
                  <w:tcW w:w="2241" w:type="dxa"/>
                  <w:vAlign w:val="center"/>
                </w:tcPr>
                <w:p w14:paraId="751DCCEC">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焙烧烘干车间</w:t>
                  </w:r>
                </w:p>
              </w:tc>
              <w:tc>
                <w:tcPr>
                  <w:tcW w:w="1701" w:type="dxa"/>
                  <w:vAlign w:val="center"/>
                </w:tcPr>
                <w:p w14:paraId="3A184D5E">
                  <w:pPr>
                    <w:pStyle w:val="54"/>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63</w:t>
                  </w:r>
                </w:p>
              </w:tc>
              <w:tc>
                <w:tcPr>
                  <w:tcW w:w="1559" w:type="dxa"/>
                  <w:vAlign w:val="center"/>
                </w:tcPr>
                <w:p w14:paraId="27CC5C1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195</w:t>
                  </w:r>
                </w:p>
              </w:tc>
              <w:tc>
                <w:tcPr>
                  <w:tcW w:w="1560" w:type="dxa"/>
                  <w:vAlign w:val="center"/>
                </w:tcPr>
                <w:p w14:paraId="0CE5E94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1444" w:type="dxa"/>
                  <w:vAlign w:val="center"/>
                </w:tcPr>
                <w:p w14:paraId="5FB5F93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86</w:t>
                  </w:r>
                </w:p>
              </w:tc>
            </w:tr>
            <w:tr w14:paraId="017B53D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exact"/>
                <w:jc w:val="center"/>
              </w:trPr>
              <w:tc>
                <w:tcPr>
                  <w:tcW w:w="2241" w:type="dxa"/>
                  <w:vAlign w:val="center"/>
                </w:tcPr>
                <w:p w14:paraId="015C7CDC">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脱硫车间</w:t>
                  </w:r>
                </w:p>
              </w:tc>
              <w:tc>
                <w:tcPr>
                  <w:tcW w:w="1701" w:type="dxa"/>
                  <w:vAlign w:val="center"/>
                </w:tcPr>
                <w:p w14:paraId="12C547B6">
                  <w:pPr>
                    <w:pStyle w:val="54"/>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90</w:t>
                  </w:r>
                </w:p>
              </w:tc>
              <w:tc>
                <w:tcPr>
                  <w:tcW w:w="1559" w:type="dxa"/>
                  <w:vAlign w:val="center"/>
                </w:tcPr>
                <w:p w14:paraId="3DA68C16">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313</w:t>
                  </w:r>
                </w:p>
              </w:tc>
              <w:tc>
                <w:tcPr>
                  <w:tcW w:w="1560" w:type="dxa"/>
                  <w:vAlign w:val="center"/>
                </w:tcPr>
                <w:p w14:paraId="0F910FBC">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24</w:t>
                  </w:r>
                </w:p>
              </w:tc>
              <w:tc>
                <w:tcPr>
                  <w:tcW w:w="1444" w:type="dxa"/>
                  <w:vAlign w:val="center"/>
                </w:tcPr>
                <w:p w14:paraId="3DA197A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66</w:t>
                  </w:r>
                </w:p>
              </w:tc>
            </w:tr>
          </w:tbl>
          <w:p w14:paraId="0778E644">
            <w:pPr>
              <w:spacing w:line="480" w:lineRule="exact"/>
              <w:ind w:firstLine="470" w:firstLineChars="196"/>
              <w:rPr>
                <w:color w:val="000000" w:themeColor="text1"/>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噪声</w:t>
            </w:r>
            <w:r>
              <w:rPr>
                <w:color w:val="000000" w:themeColor="text1"/>
                <w:sz w:val="24"/>
                <w:highlight w:val="none"/>
                <w14:textFill>
                  <w14:solidFill>
                    <w14:schemeClr w14:val="tx1"/>
                  </w14:solidFill>
                </w14:textFill>
              </w:rPr>
              <w:t>预测模式采用《环境影响评价技术导则 声环境》（HJ2.4-20</w:t>
            </w:r>
            <w:r>
              <w:rPr>
                <w:rFonts w:hint="eastAsia"/>
                <w:color w:val="000000" w:themeColor="text1"/>
                <w:sz w:val="24"/>
                <w:highlight w:val="none"/>
                <w14:textFill>
                  <w14:solidFill>
                    <w14:schemeClr w14:val="tx1"/>
                  </w14:solidFill>
                </w14:textFill>
              </w:rPr>
              <w:t>21</w:t>
            </w:r>
            <w:r>
              <w:rPr>
                <w:color w:val="000000" w:themeColor="text1"/>
                <w:sz w:val="24"/>
                <w:highlight w:val="none"/>
                <w14:textFill>
                  <w14:solidFill>
                    <w14:schemeClr w14:val="tx1"/>
                  </w14:solidFill>
                </w14:textFill>
              </w:rPr>
              <w:t>）中</w:t>
            </w:r>
            <w:r>
              <w:rPr>
                <w:rFonts w:hint="eastAsia"/>
                <w:color w:val="000000" w:themeColor="text1"/>
                <w:sz w:val="24"/>
                <w:highlight w:val="none"/>
                <w14:textFill>
                  <w14:solidFill>
                    <w14:schemeClr w14:val="tx1"/>
                  </w14:solidFill>
                </w14:textFill>
              </w:rPr>
              <w:t>推荐的</w:t>
            </w:r>
            <w:r>
              <w:rPr>
                <w:color w:val="000000" w:themeColor="text1"/>
                <w:sz w:val="24"/>
                <w:highlight w:val="none"/>
                <w14:textFill>
                  <w14:solidFill>
                    <w14:schemeClr w14:val="tx1"/>
                  </w14:solidFill>
                </w14:textFill>
              </w:rPr>
              <w:t>工业噪声预测模式。预测结果见表4</w:t>
            </w:r>
            <w:r>
              <w:rPr>
                <w:rFonts w:hint="eastAsia"/>
                <w:color w:val="000000" w:themeColor="text1"/>
                <w:sz w:val="24"/>
                <w:highlight w:val="none"/>
                <w14:textFill>
                  <w14:solidFill>
                    <w14:schemeClr w14:val="tx1"/>
                  </w14:solidFill>
                </w14:textFill>
              </w:rPr>
              <w:t>-11</w:t>
            </w:r>
            <w:r>
              <w:rPr>
                <w:color w:val="000000" w:themeColor="text1"/>
                <w:sz w:val="24"/>
                <w:highlight w:val="none"/>
                <w14:textFill>
                  <w14:solidFill>
                    <w14:schemeClr w14:val="tx1"/>
                  </w14:solidFill>
                </w14:textFill>
              </w:rPr>
              <w:t>。</w:t>
            </w:r>
          </w:p>
          <w:p w14:paraId="74A4A206">
            <w:pPr>
              <w:spacing w:line="480" w:lineRule="exact"/>
              <w:ind w:firstLine="1293" w:firstLineChars="539"/>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 xml:space="preserve">4-11 </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噪声预测结果一览表             单位：dB(A)</w:t>
            </w:r>
          </w:p>
          <w:tbl>
            <w:tblPr>
              <w:tblStyle w:val="24"/>
              <w:tblW w:w="0" w:type="auto"/>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1738"/>
              <w:gridCol w:w="1417"/>
              <w:gridCol w:w="1276"/>
              <w:gridCol w:w="851"/>
              <w:gridCol w:w="850"/>
              <w:gridCol w:w="1134"/>
              <w:gridCol w:w="1083"/>
            </w:tblGrid>
            <w:tr w14:paraId="6A8016A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738" w:type="dxa"/>
                  <w:vMerge w:val="restart"/>
                  <w:tcBorders>
                    <w:tl2br w:val="nil"/>
                    <w:tr2bl w:val="nil"/>
                  </w:tcBorders>
                  <w:vAlign w:val="center"/>
                </w:tcPr>
                <w:p w14:paraId="6FF7F194">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预测点</w:t>
                  </w:r>
                </w:p>
              </w:tc>
              <w:tc>
                <w:tcPr>
                  <w:tcW w:w="2693" w:type="dxa"/>
                  <w:gridSpan w:val="2"/>
                  <w:tcBorders>
                    <w:left w:val="single" w:color="auto" w:sz="4" w:space="0"/>
                    <w:tl2br w:val="nil"/>
                    <w:tr2bl w:val="nil"/>
                  </w:tcBorders>
                  <w:vAlign w:val="center"/>
                </w:tcPr>
                <w:p w14:paraId="7E443D59">
                  <w:pPr>
                    <w:spacing w:line="240" w:lineRule="atLeast"/>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预测值</w:t>
                  </w:r>
                </w:p>
              </w:tc>
              <w:tc>
                <w:tcPr>
                  <w:tcW w:w="1701" w:type="dxa"/>
                  <w:gridSpan w:val="2"/>
                  <w:tcBorders>
                    <w:tl2br w:val="nil"/>
                    <w:tr2bl w:val="nil"/>
                  </w:tcBorders>
                  <w:vAlign w:val="center"/>
                </w:tcPr>
                <w:p w14:paraId="5494E9B4">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标准值</w:t>
                  </w:r>
                </w:p>
              </w:tc>
              <w:tc>
                <w:tcPr>
                  <w:tcW w:w="2217" w:type="dxa"/>
                  <w:gridSpan w:val="2"/>
                  <w:tcBorders>
                    <w:tl2br w:val="nil"/>
                    <w:tr2bl w:val="nil"/>
                  </w:tcBorders>
                  <w:vAlign w:val="center"/>
                </w:tcPr>
                <w:p w14:paraId="31185BF3">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达标情况</w:t>
                  </w:r>
                </w:p>
              </w:tc>
            </w:tr>
            <w:tr w14:paraId="59763CA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738" w:type="dxa"/>
                  <w:vMerge w:val="continue"/>
                  <w:tcBorders>
                    <w:tl2br w:val="nil"/>
                    <w:tr2bl w:val="nil"/>
                  </w:tcBorders>
                  <w:vAlign w:val="center"/>
                </w:tcPr>
                <w:p w14:paraId="7DF385BE">
                  <w:pPr>
                    <w:spacing w:line="240" w:lineRule="atLeast"/>
                    <w:ind w:left="-105" w:leftChars="-50" w:right="-105" w:rightChars="-50"/>
                    <w:jc w:val="center"/>
                    <w:rPr>
                      <w:caps/>
                      <w:color w:val="000000" w:themeColor="text1"/>
                      <w:szCs w:val="21"/>
                      <w:highlight w:val="none"/>
                      <w14:textFill>
                        <w14:solidFill>
                          <w14:schemeClr w14:val="tx1"/>
                        </w14:solidFill>
                      </w14:textFill>
                    </w:rPr>
                  </w:pPr>
                </w:p>
              </w:tc>
              <w:tc>
                <w:tcPr>
                  <w:tcW w:w="1417" w:type="dxa"/>
                  <w:tcBorders>
                    <w:left w:val="single" w:color="auto" w:sz="4" w:space="0"/>
                    <w:tl2br w:val="nil"/>
                    <w:tr2bl w:val="nil"/>
                  </w:tcBorders>
                  <w:vAlign w:val="center"/>
                </w:tcPr>
                <w:p w14:paraId="6930A0AE">
                  <w:pPr>
                    <w:spacing w:line="240" w:lineRule="atLeast"/>
                    <w:ind w:left="-105" w:leftChars="-50" w:right="-105" w:rightChars="-50"/>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昼间</w:t>
                  </w:r>
                </w:p>
              </w:tc>
              <w:tc>
                <w:tcPr>
                  <w:tcW w:w="1276" w:type="dxa"/>
                  <w:tcBorders>
                    <w:left w:val="single" w:color="auto" w:sz="4" w:space="0"/>
                    <w:tl2br w:val="nil"/>
                    <w:tr2bl w:val="nil"/>
                  </w:tcBorders>
                  <w:vAlign w:val="center"/>
                </w:tcPr>
                <w:p w14:paraId="760F3873">
                  <w:pPr>
                    <w:spacing w:line="240" w:lineRule="atLeast"/>
                    <w:ind w:left="-105" w:leftChars="-50" w:right="-105" w:rightChars="-50"/>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夜间</w:t>
                  </w:r>
                </w:p>
              </w:tc>
              <w:tc>
                <w:tcPr>
                  <w:tcW w:w="851" w:type="dxa"/>
                  <w:tcBorders>
                    <w:tl2br w:val="nil"/>
                    <w:tr2bl w:val="nil"/>
                  </w:tcBorders>
                  <w:vAlign w:val="center"/>
                </w:tcPr>
                <w:p w14:paraId="7F81D22E">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昼间</w:t>
                  </w:r>
                </w:p>
              </w:tc>
              <w:tc>
                <w:tcPr>
                  <w:tcW w:w="850" w:type="dxa"/>
                  <w:tcBorders>
                    <w:tl2br w:val="nil"/>
                    <w:tr2bl w:val="nil"/>
                  </w:tcBorders>
                  <w:vAlign w:val="center"/>
                </w:tcPr>
                <w:p w14:paraId="7BC1F1C6">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夜间</w:t>
                  </w:r>
                </w:p>
              </w:tc>
              <w:tc>
                <w:tcPr>
                  <w:tcW w:w="1134" w:type="dxa"/>
                  <w:tcBorders>
                    <w:tl2br w:val="nil"/>
                    <w:tr2bl w:val="nil"/>
                  </w:tcBorders>
                  <w:vAlign w:val="center"/>
                </w:tcPr>
                <w:p w14:paraId="4557E979">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昼间</w:t>
                  </w:r>
                </w:p>
              </w:tc>
              <w:tc>
                <w:tcPr>
                  <w:tcW w:w="1083" w:type="dxa"/>
                  <w:tcBorders>
                    <w:tl2br w:val="nil"/>
                    <w:tr2bl w:val="nil"/>
                  </w:tcBorders>
                  <w:vAlign w:val="center"/>
                </w:tcPr>
                <w:p w14:paraId="0353DE02">
                  <w:pPr>
                    <w:spacing w:line="240" w:lineRule="atLeast"/>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夜间</w:t>
                  </w:r>
                </w:p>
              </w:tc>
            </w:tr>
            <w:tr w14:paraId="2925FD0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738" w:type="dxa"/>
                  <w:tcBorders>
                    <w:tl2br w:val="nil"/>
                    <w:tr2bl w:val="nil"/>
                  </w:tcBorders>
                  <w:vAlign w:val="center"/>
                </w:tcPr>
                <w:p w14:paraId="177068E6">
                  <w:pPr>
                    <w:spacing w:line="24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color w:val="000000" w:themeColor="text1"/>
                      <w:szCs w:val="21"/>
                      <w:highlight w:val="none"/>
                      <w14:textFill>
                        <w14:solidFill>
                          <w14:schemeClr w14:val="tx1"/>
                        </w14:solidFill>
                      </w14:textFill>
                    </w:rPr>
                    <w:t>厂界</w:t>
                  </w:r>
                </w:p>
              </w:tc>
              <w:tc>
                <w:tcPr>
                  <w:tcW w:w="1417" w:type="dxa"/>
                  <w:tcBorders>
                    <w:left w:val="single" w:color="auto" w:sz="4" w:space="0"/>
                    <w:tl2br w:val="nil"/>
                    <w:tr2bl w:val="nil"/>
                  </w:tcBorders>
                  <w:vAlign w:val="center"/>
                </w:tcPr>
                <w:p w14:paraId="076833B3">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31.2</w:t>
                  </w:r>
                </w:p>
              </w:tc>
              <w:tc>
                <w:tcPr>
                  <w:tcW w:w="1276" w:type="dxa"/>
                  <w:tcBorders>
                    <w:left w:val="single" w:color="auto" w:sz="4" w:space="0"/>
                    <w:tl2br w:val="nil"/>
                    <w:tr2bl w:val="nil"/>
                  </w:tcBorders>
                  <w:vAlign w:val="center"/>
                </w:tcPr>
                <w:p w14:paraId="19FDF402">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23.0</w:t>
                  </w:r>
                </w:p>
              </w:tc>
              <w:tc>
                <w:tcPr>
                  <w:tcW w:w="851" w:type="dxa"/>
                  <w:vMerge w:val="restart"/>
                  <w:tcBorders>
                    <w:tl2br w:val="nil"/>
                    <w:tr2bl w:val="nil"/>
                  </w:tcBorders>
                  <w:vAlign w:val="center"/>
                </w:tcPr>
                <w:p w14:paraId="148132D7">
                  <w:pPr>
                    <w:spacing w:line="240" w:lineRule="atLeast"/>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60</w:t>
                  </w:r>
                </w:p>
              </w:tc>
              <w:tc>
                <w:tcPr>
                  <w:tcW w:w="850" w:type="dxa"/>
                  <w:vMerge w:val="restart"/>
                  <w:tcBorders>
                    <w:tl2br w:val="nil"/>
                    <w:tr2bl w:val="nil"/>
                  </w:tcBorders>
                  <w:vAlign w:val="center"/>
                </w:tcPr>
                <w:p w14:paraId="0D8116DB">
                  <w:pPr>
                    <w:spacing w:line="240" w:lineRule="atLeast"/>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50</w:t>
                  </w:r>
                </w:p>
              </w:tc>
              <w:tc>
                <w:tcPr>
                  <w:tcW w:w="1134" w:type="dxa"/>
                  <w:tcBorders>
                    <w:tl2br w:val="nil"/>
                    <w:tr2bl w:val="nil"/>
                  </w:tcBorders>
                  <w:vAlign w:val="center"/>
                </w:tcPr>
                <w:p w14:paraId="1695AA8C">
                  <w:pPr>
                    <w:spacing w:line="240" w:lineRule="atLeas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c>
                <w:tcPr>
                  <w:tcW w:w="1083" w:type="dxa"/>
                  <w:tcBorders>
                    <w:tl2br w:val="nil"/>
                    <w:tr2bl w:val="nil"/>
                  </w:tcBorders>
                  <w:vAlign w:val="center"/>
                </w:tcPr>
                <w:p w14:paraId="58B4B17E">
                  <w:pPr>
                    <w:spacing w:line="240" w:lineRule="atLeas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14:paraId="124BF19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738" w:type="dxa"/>
                  <w:tcBorders>
                    <w:tl2br w:val="nil"/>
                    <w:tr2bl w:val="nil"/>
                  </w:tcBorders>
                  <w:vAlign w:val="center"/>
                </w:tcPr>
                <w:p w14:paraId="7BC7FBC6">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color w:val="000000" w:themeColor="text1"/>
                      <w:szCs w:val="21"/>
                      <w:highlight w:val="none"/>
                      <w14:textFill>
                        <w14:solidFill>
                          <w14:schemeClr w14:val="tx1"/>
                        </w14:solidFill>
                      </w14:textFill>
                    </w:rPr>
                    <w:t>厂界</w:t>
                  </w:r>
                </w:p>
              </w:tc>
              <w:tc>
                <w:tcPr>
                  <w:tcW w:w="1417" w:type="dxa"/>
                  <w:tcBorders>
                    <w:left w:val="single" w:color="auto" w:sz="4" w:space="0"/>
                    <w:bottom w:val="single" w:color="auto" w:sz="4" w:space="0"/>
                    <w:tl2br w:val="nil"/>
                    <w:tr2bl w:val="nil"/>
                  </w:tcBorders>
                  <w:vAlign w:val="center"/>
                </w:tcPr>
                <w:p w14:paraId="5D9BBACC">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43.3</w:t>
                  </w:r>
                </w:p>
              </w:tc>
              <w:tc>
                <w:tcPr>
                  <w:tcW w:w="1276" w:type="dxa"/>
                  <w:tcBorders>
                    <w:left w:val="single" w:color="auto" w:sz="4" w:space="0"/>
                    <w:bottom w:val="single" w:color="auto" w:sz="4" w:space="0"/>
                    <w:tl2br w:val="nil"/>
                    <w:tr2bl w:val="nil"/>
                  </w:tcBorders>
                  <w:vAlign w:val="center"/>
                </w:tcPr>
                <w:p w14:paraId="646741AF">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17.5</w:t>
                  </w:r>
                </w:p>
              </w:tc>
              <w:tc>
                <w:tcPr>
                  <w:tcW w:w="851" w:type="dxa"/>
                  <w:vMerge w:val="continue"/>
                  <w:tcBorders>
                    <w:tl2br w:val="nil"/>
                    <w:tr2bl w:val="nil"/>
                  </w:tcBorders>
                  <w:vAlign w:val="center"/>
                </w:tcPr>
                <w:p w14:paraId="561A1F7C">
                  <w:pPr>
                    <w:spacing w:line="240" w:lineRule="atLeast"/>
                    <w:jc w:val="center"/>
                    <w:rPr>
                      <w:caps/>
                      <w:color w:val="000000" w:themeColor="text1"/>
                      <w:szCs w:val="21"/>
                      <w:highlight w:val="none"/>
                      <w14:textFill>
                        <w14:solidFill>
                          <w14:schemeClr w14:val="tx1"/>
                        </w14:solidFill>
                      </w14:textFill>
                    </w:rPr>
                  </w:pPr>
                </w:p>
              </w:tc>
              <w:tc>
                <w:tcPr>
                  <w:tcW w:w="850" w:type="dxa"/>
                  <w:vMerge w:val="continue"/>
                  <w:tcBorders>
                    <w:tl2br w:val="nil"/>
                    <w:tr2bl w:val="nil"/>
                  </w:tcBorders>
                  <w:vAlign w:val="center"/>
                </w:tcPr>
                <w:p w14:paraId="77D033AF">
                  <w:pPr>
                    <w:spacing w:line="240" w:lineRule="atLeast"/>
                    <w:jc w:val="center"/>
                    <w:rPr>
                      <w:caps/>
                      <w:color w:val="000000" w:themeColor="text1"/>
                      <w:szCs w:val="21"/>
                      <w:highlight w:val="none"/>
                      <w14:textFill>
                        <w14:solidFill>
                          <w14:schemeClr w14:val="tx1"/>
                        </w14:solidFill>
                      </w14:textFill>
                    </w:rPr>
                  </w:pPr>
                </w:p>
              </w:tc>
              <w:tc>
                <w:tcPr>
                  <w:tcW w:w="1134" w:type="dxa"/>
                  <w:tcBorders>
                    <w:tl2br w:val="nil"/>
                    <w:tr2bl w:val="nil"/>
                  </w:tcBorders>
                  <w:vAlign w:val="center"/>
                </w:tcPr>
                <w:p w14:paraId="5235E0CD">
                  <w:pPr>
                    <w:spacing w:line="240" w:lineRule="atLeas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c>
                <w:tcPr>
                  <w:tcW w:w="1083" w:type="dxa"/>
                  <w:tcBorders>
                    <w:tl2br w:val="nil"/>
                    <w:tr2bl w:val="nil"/>
                  </w:tcBorders>
                  <w:vAlign w:val="center"/>
                </w:tcPr>
                <w:p w14:paraId="49B7CEB8">
                  <w:pPr>
                    <w:spacing w:line="240" w:lineRule="atLeas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14:paraId="49B40F1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738" w:type="dxa"/>
                  <w:tcBorders>
                    <w:tl2br w:val="nil"/>
                    <w:tr2bl w:val="nil"/>
                  </w:tcBorders>
                  <w:vAlign w:val="center"/>
                </w:tcPr>
                <w:p w14:paraId="7B45DD95">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color w:val="000000" w:themeColor="text1"/>
                      <w:szCs w:val="21"/>
                      <w:highlight w:val="none"/>
                      <w14:textFill>
                        <w14:solidFill>
                          <w14:schemeClr w14:val="tx1"/>
                        </w14:solidFill>
                      </w14:textFill>
                    </w:rPr>
                    <w:t>厂界</w:t>
                  </w:r>
                </w:p>
              </w:tc>
              <w:tc>
                <w:tcPr>
                  <w:tcW w:w="1417" w:type="dxa"/>
                  <w:tcBorders>
                    <w:left w:val="single" w:color="auto" w:sz="4" w:space="0"/>
                    <w:tl2br w:val="nil"/>
                    <w:tr2bl w:val="nil"/>
                  </w:tcBorders>
                  <w:vAlign w:val="center"/>
                </w:tcPr>
                <w:p w14:paraId="32F01BD9">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49.6</w:t>
                  </w:r>
                </w:p>
              </w:tc>
              <w:tc>
                <w:tcPr>
                  <w:tcW w:w="1276" w:type="dxa"/>
                  <w:tcBorders>
                    <w:left w:val="single" w:color="auto" w:sz="4" w:space="0"/>
                    <w:tl2br w:val="nil"/>
                    <w:tr2bl w:val="nil"/>
                  </w:tcBorders>
                  <w:vAlign w:val="center"/>
                </w:tcPr>
                <w:p w14:paraId="16AAFAF0">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42.8</w:t>
                  </w:r>
                </w:p>
              </w:tc>
              <w:tc>
                <w:tcPr>
                  <w:tcW w:w="851" w:type="dxa"/>
                  <w:vMerge w:val="continue"/>
                  <w:tcBorders>
                    <w:tl2br w:val="nil"/>
                    <w:tr2bl w:val="nil"/>
                  </w:tcBorders>
                  <w:vAlign w:val="center"/>
                </w:tcPr>
                <w:p w14:paraId="1EB5EF99">
                  <w:pPr>
                    <w:spacing w:line="240" w:lineRule="atLeast"/>
                    <w:jc w:val="center"/>
                    <w:rPr>
                      <w:caps/>
                      <w:color w:val="000000" w:themeColor="text1"/>
                      <w:szCs w:val="21"/>
                      <w:highlight w:val="none"/>
                      <w14:textFill>
                        <w14:solidFill>
                          <w14:schemeClr w14:val="tx1"/>
                        </w14:solidFill>
                      </w14:textFill>
                    </w:rPr>
                  </w:pPr>
                </w:p>
              </w:tc>
              <w:tc>
                <w:tcPr>
                  <w:tcW w:w="850" w:type="dxa"/>
                  <w:vMerge w:val="continue"/>
                  <w:tcBorders>
                    <w:tl2br w:val="nil"/>
                    <w:tr2bl w:val="nil"/>
                  </w:tcBorders>
                  <w:vAlign w:val="center"/>
                </w:tcPr>
                <w:p w14:paraId="6DFFA967">
                  <w:pPr>
                    <w:spacing w:line="240" w:lineRule="atLeast"/>
                    <w:jc w:val="center"/>
                    <w:rPr>
                      <w:caps/>
                      <w:color w:val="000000" w:themeColor="text1"/>
                      <w:szCs w:val="21"/>
                      <w:highlight w:val="none"/>
                      <w14:textFill>
                        <w14:solidFill>
                          <w14:schemeClr w14:val="tx1"/>
                        </w14:solidFill>
                      </w14:textFill>
                    </w:rPr>
                  </w:pPr>
                </w:p>
              </w:tc>
              <w:tc>
                <w:tcPr>
                  <w:tcW w:w="1134" w:type="dxa"/>
                  <w:tcBorders>
                    <w:tl2br w:val="nil"/>
                    <w:tr2bl w:val="nil"/>
                  </w:tcBorders>
                  <w:vAlign w:val="center"/>
                </w:tcPr>
                <w:p w14:paraId="708D9AAA">
                  <w:pPr>
                    <w:spacing w:line="240" w:lineRule="atLeas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c>
                <w:tcPr>
                  <w:tcW w:w="1083" w:type="dxa"/>
                  <w:tcBorders>
                    <w:tl2br w:val="nil"/>
                    <w:tr2bl w:val="nil"/>
                  </w:tcBorders>
                  <w:vAlign w:val="center"/>
                </w:tcPr>
                <w:p w14:paraId="5E4E9F7C">
                  <w:pPr>
                    <w:spacing w:line="240" w:lineRule="atLeas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14:paraId="79EABDE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738" w:type="dxa"/>
                  <w:tcBorders>
                    <w:tl2br w:val="nil"/>
                    <w:tr2bl w:val="nil"/>
                  </w:tcBorders>
                  <w:vAlign w:val="center"/>
                </w:tcPr>
                <w:p w14:paraId="2C08DDC2">
                  <w:pPr>
                    <w:spacing w:line="240" w:lineRule="atLeast"/>
                    <w:jc w:val="center"/>
                    <w:rPr>
                      <w:color w:val="000000" w:themeColor="text1"/>
                      <w:szCs w:val="21"/>
                      <w:highlight w:val="none"/>
                      <w14:textFill>
                        <w14:solidFill>
                          <w14:schemeClr w14:val="tx1"/>
                        </w14:solidFill>
                      </w14:textFill>
                    </w:rPr>
                  </w:pPr>
                  <w:r>
                    <w:rPr>
                      <w:rFonts w:hint="eastAsia"/>
                      <w:caps/>
                      <w:snapToGrid w:val="0"/>
                      <w:color w:val="000000" w:themeColor="text1"/>
                      <w:kern w:val="0"/>
                      <w:szCs w:val="21"/>
                      <w:highlight w:val="none"/>
                      <w14:textFill>
                        <w14:solidFill>
                          <w14:schemeClr w14:val="tx1"/>
                        </w14:solidFill>
                      </w14:textFill>
                    </w:rPr>
                    <w:t>北</w:t>
                  </w:r>
                  <w:r>
                    <w:rPr>
                      <w:color w:val="000000" w:themeColor="text1"/>
                      <w:szCs w:val="21"/>
                      <w:highlight w:val="none"/>
                      <w14:textFill>
                        <w14:solidFill>
                          <w14:schemeClr w14:val="tx1"/>
                        </w14:solidFill>
                      </w14:textFill>
                    </w:rPr>
                    <w:t>厂界</w:t>
                  </w:r>
                </w:p>
              </w:tc>
              <w:tc>
                <w:tcPr>
                  <w:tcW w:w="1417" w:type="dxa"/>
                  <w:tcBorders>
                    <w:left w:val="single" w:color="auto" w:sz="4" w:space="0"/>
                    <w:tl2br w:val="nil"/>
                    <w:tr2bl w:val="nil"/>
                  </w:tcBorders>
                  <w:vAlign w:val="center"/>
                </w:tcPr>
                <w:p w14:paraId="5FE15BFD">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32.2</w:t>
                  </w:r>
                </w:p>
              </w:tc>
              <w:tc>
                <w:tcPr>
                  <w:tcW w:w="1276" w:type="dxa"/>
                  <w:tcBorders>
                    <w:left w:val="single" w:color="auto" w:sz="4" w:space="0"/>
                    <w:tl2br w:val="nil"/>
                    <w:tr2bl w:val="nil"/>
                  </w:tcBorders>
                  <w:vAlign w:val="center"/>
                </w:tcPr>
                <w:p w14:paraId="75D0D427">
                  <w:pPr>
                    <w:spacing w:line="240" w:lineRule="atLeast"/>
                    <w:ind w:left="-105" w:leftChars="-50" w:right="-105" w:rightChars="-50"/>
                    <w:jc w:val="center"/>
                    <w:rPr>
                      <w:caps/>
                      <w:color w:val="000000" w:themeColor="text1"/>
                      <w:szCs w:val="21"/>
                      <w:highlight w:val="none"/>
                      <w14:textFill>
                        <w14:solidFill>
                          <w14:schemeClr w14:val="tx1"/>
                        </w14:solidFill>
                      </w14:textFill>
                    </w:rPr>
                  </w:pPr>
                  <w:r>
                    <w:rPr>
                      <w:rFonts w:hint="eastAsia"/>
                      <w:caps/>
                      <w:color w:val="000000" w:themeColor="text1"/>
                      <w:szCs w:val="21"/>
                      <w:highlight w:val="none"/>
                      <w14:textFill>
                        <w14:solidFill>
                          <w14:schemeClr w14:val="tx1"/>
                        </w14:solidFill>
                      </w14:textFill>
                    </w:rPr>
                    <w:t>24.3</w:t>
                  </w:r>
                </w:p>
              </w:tc>
              <w:tc>
                <w:tcPr>
                  <w:tcW w:w="851" w:type="dxa"/>
                  <w:vMerge w:val="continue"/>
                  <w:tcBorders>
                    <w:tl2br w:val="nil"/>
                    <w:tr2bl w:val="nil"/>
                  </w:tcBorders>
                  <w:vAlign w:val="center"/>
                </w:tcPr>
                <w:p w14:paraId="67286B83">
                  <w:pPr>
                    <w:spacing w:line="240" w:lineRule="atLeast"/>
                    <w:jc w:val="center"/>
                    <w:rPr>
                      <w:caps/>
                      <w:color w:val="000000" w:themeColor="text1"/>
                      <w:szCs w:val="21"/>
                      <w:highlight w:val="none"/>
                      <w14:textFill>
                        <w14:solidFill>
                          <w14:schemeClr w14:val="tx1"/>
                        </w14:solidFill>
                      </w14:textFill>
                    </w:rPr>
                  </w:pPr>
                </w:p>
              </w:tc>
              <w:tc>
                <w:tcPr>
                  <w:tcW w:w="850" w:type="dxa"/>
                  <w:vMerge w:val="continue"/>
                  <w:tcBorders>
                    <w:tl2br w:val="nil"/>
                    <w:tr2bl w:val="nil"/>
                  </w:tcBorders>
                  <w:vAlign w:val="center"/>
                </w:tcPr>
                <w:p w14:paraId="53847171">
                  <w:pPr>
                    <w:spacing w:line="240" w:lineRule="atLeast"/>
                    <w:jc w:val="center"/>
                    <w:rPr>
                      <w:caps/>
                      <w:color w:val="000000" w:themeColor="text1"/>
                      <w:szCs w:val="21"/>
                      <w:highlight w:val="none"/>
                      <w14:textFill>
                        <w14:solidFill>
                          <w14:schemeClr w14:val="tx1"/>
                        </w14:solidFill>
                      </w14:textFill>
                    </w:rPr>
                  </w:pPr>
                </w:p>
              </w:tc>
              <w:tc>
                <w:tcPr>
                  <w:tcW w:w="1134" w:type="dxa"/>
                  <w:tcBorders>
                    <w:tl2br w:val="nil"/>
                    <w:tr2bl w:val="nil"/>
                  </w:tcBorders>
                  <w:vAlign w:val="center"/>
                </w:tcPr>
                <w:p w14:paraId="56AC79A3">
                  <w:pPr>
                    <w:spacing w:line="240" w:lineRule="atLeas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c>
                <w:tcPr>
                  <w:tcW w:w="1083" w:type="dxa"/>
                  <w:tcBorders>
                    <w:tl2br w:val="nil"/>
                    <w:tr2bl w:val="nil"/>
                  </w:tcBorders>
                  <w:vAlign w:val="center"/>
                </w:tcPr>
                <w:p w14:paraId="5182CFD6">
                  <w:pPr>
                    <w:spacing w:line="240" w:lineRule="atLeas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bl>
          <w:p w14:paraId="3F7C6701">
            <w:pPr>
              <w:spacing w:line="48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由</w:t>
            </w:r>
            <w:r>
              <w:rPr>
                <w:rFonts w:hint="eastAsia"/>
                <w:color w:val="000000" w:themeColor="text1"/>
                <w:sz w:val="24"/>
                <w:highlight w:val="none"/>
                <w14:textFill>
                  <w14:solidFill>
                    <w14:schemeClr w14:val="tx1"/>
                  </w14:solidFill>
                </w14:textFill>
              </w:rPr>
              <w:t>上表</w:t>
            </w:r>
            <w:r>
              <w:rPr>
                <w:color w:val="000000" w:themeColor="text1"/>
                <w:sz w:val="24"/>
                <w:highlight w:val="none"/>
                <w14:textFill>
                  <w14:solidFill>
                    <w14:schemeClr w14:val="tx1"/>
                  </w14:solidFill>
                </w14:textFill>
              </w:rPr>
              <w:t>可知，</w:t>
            </w:r>
            <w:r>
              <w:rPr>
                <w:snapToGrid w:val="0"/>
                <w:color w:val="000000" w:themeColor="text1"/>
                <w:kern w:val="0"/>
                <w:sz w:val="24"/>
                <w:highlight w:val="none"/>
                <w14:textFill>
                  <w14:solidFill>
                    <w14:schemeClr w14:val="tx1"/>
                  </w14:solidFill>
                </w14:textFill>
              </w:rPr>
              <w:t>拟建项目投产后</w:t>
            </w:r>
            <w:r>
              <w:rPr>
                <w:rFonts w:hint="eastAsia"/>
                <w:snapToGrid w:val="0"/>
                <w:color w:val="000000" w:themeColor="text1"/>
                <w:kern w:val="0"/>
                <w:sz w:val="24"/>
                <w:highlight w:val="none"/>
                <w14:textFill>
                  <w14:solidFill>
                    <w14:schemeClr w14:val="tx1"/>
                  </w14:solidFill>
                </w14:textFill>
              </w:rPr>
              <w:t>，各</w:t>
            </w:r>
            <w:r>
              <w:rPr>
                <w:color w:val="000000" w:themeColor="text1"/>
                <w:sz w:val="24"/>
                <w:highlight w:val="none"/>
                <w14:textFill>
                  <w14:solidFill>
                    <w14:schemeClr w14:val="tx1"/>
                  </w14:solidFill>
                </w14:textFill>
              </w:rPr>
              <w:t>厂界</w:t>
            </w:r>
            <w:r>
              <w:rPr>
                <w:rFonts w:hint="eastAsia"/>
                <w:color w:val="000000" w:themeColor="text1"/>
                <w:sz w:val="24"/>
                <w:highlight w:val="none"/>
                <w14:textFill>
                  <w14:solidFill>
                    <w14:schemeClr w14:val="tx1"/>
                  </w14:solidFill>
                </w14:textFill>
              </w:rPr>
              <w:t>环境</w:t>
            </w:r>
            <w:r>
              <w:rPr>
                <w:color w:val="000000" w:themeColor="text1"/>
                <w:sz w:val="24"/>
                <w:highlight w:val="none"/>
                <w14:textFill>
                  <w14:solidFill>
                    <w14:schemeClr w14:val="tx1"/>
                  </w14:solidFill>
                </w14:textFill>
              </w:rPr>
              <w:t>噪声</w:t>
            </w:r>
            <w:r>
              <w:rPr>
                <w:rFonts w:hint="eastAsia"/>
                <w:color w:val="000000" w:themeColor="text1"/>
                <w:sz w:val="24"/>
                <w:highlight w:val="none"/>
                <w14:textFill>
                  <w14:solidFill>
                    <w14:schemeClr w14:val="tx1"/>
                  </w14:solidFill>
                </w14:textFill>
              </w:rPr>
              <w:t>预测值为：昼间31.2</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49.6</w:t>
            </w:r>
            <w:r>
              <w:rPr>
                <w:color w:val="000000" w:themeColor="text1"/>
                <w:sz w:val="24"/>
                <w:highlight w:val="none"/>
                <w14:textFill>
                  <w14:solidFill>
                    <w14:schemeClr w14:val="tx1"/>
                  </w14:solidFill>
                </w14:textFill>
              </w:rPr>
              <w:t>dB(A)</w:t>
            </w:r>
            <w:r>
              <w:rPr>
                <w:rFonts w:hint="eastAsia"/>
                <w:color w:val="000000" w:themeColor="text1"/>
                <w:sz w:val="24"/>
                <w:highlight w:val="none"/>
                <w14:textFill>
                  <w14:solidFill>
                    <w14:schemeClr w14:val="tx1"/>
                  </w14:solidFill>
                </w14:textFill>
              </w:rPr>
              <w:t>，夜间17.5</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42.8</w:t>
            </w:r>
            <w:r>
              <w:rPr>
                <w:color w:val="000000" w:themeColor="text1"/>
                <w:sz w:val="24"/>
                <w:highlight w:val="none"/>
                <w14:textFill>
                  <w14:solidFill>
                    <w14:schemeClr w14:val="tx1"/>
                  </w14:solidFill>
                </w14:textFill>
              </w:rPr>
              <w:t>dB(A)</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厂界</w:t>
            </w:r>
            <w:r>
              <w:rPr>
                <w:rFonts w:hint="eastAsia"/>
                <w:color w:val="000000" w:themeColor="text1"/>
                <w:sz w:val="24"/>
                <w:highlight w:val="none"/>
                <w14:textFill>
                  <w14:solidFill>
                    <w14:schemeClr w14:val="tx1"/>
                  </w14:solidFill>
                </w14:textFill>
              </w:rPr>
              <w:t>环境</w:t>
            </w:r>
            <w:r>
              <w:rPr>
                <w:color w:val="000000" w:themeColor="text1"/>
                <w:sz w:val="24"/>
                <w:highlight w:val="none"/>
                <w14:textFill>
                  <w14:solidFill>
                    <w14:schemeClr w14:val="tx1"/>
                  </w14:solidFill>
                </w14:textFill>
              </w:rPr>
              <w:t>噪声满足《工业企业厂界环境噪声排放标准》(GB</w:t>
            </w: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2348-2008)</w:t>
            </w:r>
            <w:r>
              <w:rPr>
                <w:rFonts w:hint="eastAsia"/>
                <w:color w:val="000000" w:themeColor="text1"/>
                <w:sz w:val="24"/>
                <w:highlight w:val="none"/>
                <w14:textFill>
                  <w14:solidFill>
                    <w14:schemeClr w14:val="tx1"/>
                  </w14:solidFill>
                </w14:textFill>
              </w:rPr>
              <w:t>表1中2类</w:t>
            </w:r>
            <w:r>
              <w:rPr>
                <w:color w:val="000000" w:themeColor="text1"/>
                <w:sz w:val="24"/>
                <w:highlight w:val="none"/>
                <w14:textFill>
                  <w14:solidFill>
                    <w14:schemeClr w14:val="tx1"/>
                  </w14:solidFill>
                </w14:textFill>
              </w:rPr>
              <w:t>标准限值要求</w:t>
            </w:r>
            <w:r>
              <w:rPr>
                <w:rFonts w:hint="eastAsia"/>
                <w:color w:val="000000" w:themeColor="text1"/>
                <w:sz w:val="24"/>
                <w:highlight w:val="none"/>
                <w14:textFill>
                  <w14:solidFill>
                    <w14:schemeClr w14:val="tx1"/>
                  </w14:solidFill>
                </w14:textFill>
              </w:rPr>
              <w:t>。措施可行。</w:t>
            </w:r>
          </w:p>
          <w:p w14:paraId="01CEE976">
            <w:pPr>
              <w:spacing w:line="480" w:lineRule="exact"/>
              <w:ind w:firstLine="590" w:firstLineChars="246"/>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根据《排污许可证申请与核发技术规范 工业噪声》（HJ1301-2023），本项目噪声污染源监测要求见表4-12。</w:t>
            </w:r>
          </w:p>
          <w:p w14:paraId="02F74377">
            <w:pPr>
              <w:pStyle w:val="18"/>
              <w:spacing w:line="480" w:lineRule="exact"/>
              <w:ind w:firstLine="1176" w:firstLineChars="490"/>
              <w:jc w:val="both"/>
              <w:rPr>
                <w:rFonts w:ascii="黑体" w:hAnsi="黑体" w:eastAsia="黑体"/>
                <w:b w:val="0"/>
                <w:color w:val="000000" w:themeColor="text1"/>
                <w:sz w:val="24"/>
                <w:szCs w:val="24"/>
                <w:highlight w:val="none"/>
                <w14:textFill>
                  <w14:solidFill>
                    <w14:schemeClr w14:val="tx1"/>
                  </w14:solidFill>
                </w14:textFill>
              </w:rPr>
            </w:pPr>
            <w:r>
              <w:rPr>
                <w:rFonts w:ascii="黑体" w:hAnsi="黑体" w:eastAsia="黑体"/>
                <w:b w:val="0"/>
                <w:color w:val="000000" w:themeColor="text1"/>
                <w:sz w:val="24"/>
                <w:szCs w:val="24"/>
                <w:highlight w:val="none"/>
                <w14:textFill>
                  <w14:solidFill>
                    <w14:schemeClr w14:val="tx1"/>
                  </w14:solidFill>
                </w14:textFill>
              </w:rPr>
              <w:t>表</w:t>
            </w:r>
            <w:r>
              <w:rPr>
                <w:rFonts w:hint="eastAsia" w:ascii="黑体" w:hAnsi="黑体" w:eastAsia="黑体"/>
                <w:b w:val="0"/>
                <w:color w:val="000000" w:themeColor="text1"/>
                <w:sz w:val="24"/>
                <w:szCs w:val="24"/>
                <w:highlight w:val="none"/>
                <w14:textFill>
                  <w14:solidFill>
                    <w14:schemeClr w14:val="tx1"/>
                  </w14:solidFill>
                </w14:textFill>
              </w:rPr>
              <w:t xml:space="preserve">4-12         </w:t>
            </w:r>
            <w:r>
              <w:rPr>
                <w:rFonts w:ascii="黑体" w:hAnsi="黑体" w:eastAsia="黑体"/>
                <w:b w:val="0"/>
                <w:color w:val="000000" w:themeColor="text1"/>
                <w:sz w:val="24"/>
                <w:szCs w:val="24"/>
                <w:highlight w:val="none"/>
                <w14:textFill>
                  <w14:solidFill>
                    <w14:schemeClr w14:val="tx1"/>
                  </w14:solidFill>
                </w14:textFill>
              </w:rPr>
              <w:t xml:space="preserve">  </w:t>
            </w:r>
            <w:r>
              <w:rPr>
                <w:rFonts w:hint="eastAsia" w:ascii="黑体" w:hAnsi="黑体" w:eastAsia="黑体"/>
                <w:b w:val="0"/>
                <w:color w:val="000000" w:themeColor="text1"/>
                <w:sz w:val="24"/>
                <w:szCs w:val="24"/>
                <w:highlight w:val="none"/>
                <w14:textFill>
                  <w14:solidFill>
                    <w14:schemeClr w14:val="tx1"/>
                  </w14:solidFill>
                </w14:textFill>
              </w:rPr>
              <w:t>噪声污染源</w:t>
            </w:r>
            <w:r>
              <w:rPr>
                <w:rFonts w:ascii="黑体" w:hAnsi="黑体" w:eastAsia="黑体"/>
                <w:b w:val="0"/>
                <w:color w:val="000000" w:themeColor="text1"/>
                <w:sz w:val="24"/>
                <w:szCs w:val="24"/>
                <w:highlight w:val="none"/>
                <w14:textFill>
                  <w14:solidFill>
                    <w14:schemeClr w14:val="tx1"/>
                  </w14:solidFill>
                </w14:textFill>
              </w:rPr>
              <w:t>监测计划一览表</w:t>
            </w:r>
          </w:p>
          <w:tbl>
            <w:tblPr>
              <w:tblStyle w:val="24"/>
              <w:tblW w:w="852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689"/>
              <w:gridCol w:w="1134"/>
              <w:gridCol w:w="1417"/>
              <w:gridCol w:w="1985"/>
              <w:gridCol w:w="1984"/>
              <w:gridCol w:w="1311"/>
            </w:tblGrid>
            <w:tr w14:paraId="7D5716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689" w:type="dxa"/>
                  <w:vAlign w:val="center"/>
                </w:tcPr>
                <w:p w14:paraId="303BF68C">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序号</w:t>
                  </w:r>
                </w:p>
              </w:tc>
              <w:tc>
                <w:tcPr>
                  <w:tcW w:w="1134" w:type="dxa"/>
                  <w:vAlign w:val="center"/>
                </w:tcPr>
                <w:p w14:paraId="41C6990B">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项目</w:t>
                  </w:r>
                </w:p>
              </w:tc>
              <w:tc>
                <w:tcPr>
                  <w:tcW w:w="1417" w:type="dxa"/>
                  <w:vAlign w:val="center"/>
                </w:tcPr>
                <w:p w14:paraId="4B0085D9">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监测点位</w:t>
                  </w:r>
                </w:p>
              </w:tc>
              <w:tc>
                <w:tcPr>
                  <w:tcW w:w="1985" w:type="dxa"/>
                  <w:vAlign w:val="center"/>
                </w:tcPr>
                <w:p w14:paraId="23E07B25">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监测因子</w:t>
                  </w:r>
                </w:p>
              </w:tc>
              <w:tc>
                <w:tcPr>
                  <w:tcW w:w="1984" w:type="dxa"/>
                  <w:vAlign w:val="center"/>
                </w:tcPr>
                <w:p w14:paraId="12C70238">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取样位置</w:t>
                  </w:r>
                </w:p>
              </w:tc>
              <w:tc>
                <w:tcPr>
                  <w:tcW w:w="1311" w:type="dxa"/>
                  <w:vAlign w:val="center"/>
                </w:tcPr>
                <w:p w14:paraId="5265AAE3">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监测频次</w:t>
                  </w:r>
                </w:p>
              </w:tc>
            </w:tr>
            <w:tr w14:paraId="097D51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689" w:type="dxa"/>
                  <w:vAlign w:val="center"/>
                </w:tcPr>
                <w:p w14:paraId="3AE2C159">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1</w:t>
                  </w:r>
                </w:p>
              </w:tc>
              <w:tc>
                <w:tcPr>
                  <w:tcW w:w="1134" w:type="dxa"/>
                  <w:vAlign w:val="center"/>
                </w:tcPr>
                <w:p w14:paraId="4B62EEC9">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噪声</w:t>
                  </w:r>
                </w:p>
              </w:tc>
              <w:tc>
                <w:tcPr>
                  <w:tcW w:w="1417" w:type="dxa"/>
                  <w:vAlign w:val="center"/>
                </w:tcPr>
                <w:p w14:paraId="171665AE">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color w:val="000000" w:themeColor="text1"/>
                      <w:szCs w:val="21"/>
                      <w:highlight w:val="none"/>
                      <w14:textFill>
                        <w14:solidFill>
                          <w14:schemeClr w14:val="tx1"/>
                        </w14:solidFill>
                      </w14:textFill>
                    </w:rPr>
                    <w:t>厂界</w:t>
                  </w:r>
                </w:p>
              </w:tc>
              <w:tc>
                <w:tcPr>
                  <w:tcW w:w="1985" w:type="dxa"/>
                  <w:vAlign w:val="center"/>
                </w:tcPr>
                <w:p w14:paraId="5128EC62">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bCs/>
                      <w:color w:val="000000" w:themeColor="text1"/>
                      <w:szCs w:val="21"/>
                      <w:highlight w:val="none"/>
                      <w14:textFill>
                        <w14:solidFill>
                          <w14:schemeClr w14:val="tx1"/>
                        </w14:solidFill>
                      </w14:textFill>
                    </w:rPr>
                    <w:t>等效连续A声级</w:t>
                  </w:r>
                </w:p>
              </w:tc>
              <w:tc>
                <w:tcPr>
                  <w:tcW w:w="1984" w:type="dxa"/>
                  <w:vAlign w:val="center"/>
                </w:tcPr>
                <w:p w14:paraId="1353358A">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ascii="Times New Roman"/>
                      <w:bCs/>
                      <w:color w:val="000000" w:themeColor="text1"/>
                      <w:szCs w:val="21"/>
                      <w:highlight w:val="none"/>
                      <w14:textFill>
                        <w14:solidFill>
                          <w14:schemeClr w14:val="tx1"/>
                        </w14:solidFill>
                      </w14:textFill>
                    </w:rPr>
                    <w:t>厂界外1m处</w:t>
                  </w:r>
                </w:p>
              </w:tc>
              <w:tc>
                <w:tcPr>
                  <w:tcW w:w="1311" w:type="dxa"/>
                  <w:vAlign w:val="center"/>
                </w:tcPr>
                <w:p w14:paraId="54660A15">
                  <w:pPr>
                    <w:pStyle w:val="39"/>
                    <w:spacing w:beforeLines="0" w:afterLines="0" w:line="240" w:lineRule="exact"/>
                    <w:rPr>
                      <w:rFonts w:ascii="Times New Roman"/>
                      <w:color w:val="000000" w:themeColor="text1"/>
                      <w:szCs w:val="21"/>
                      <w:highlight w:val="none"/>
                      <w14:textFill>
                        <w14:solidFill>
                          <w14:schemeClr w14:val="tx1"/>
                        </w14:solidFill>
                      </w14:textFill>
                    </w:rPr>
                  </w:pPr>
                  <w:r>
                    <w:rPr>
                      <w:rFonts w:hint="eastAsia" w:ascii="Times New Roman"/>
                      <w:color w:val="000000" w:themeColor="text1"/>
                      <w:szCs w:val="21"/>
                      <w:highlight w:val="none"/>
                      <w14:textFill>
                        <w14:solidFill>
                          <w14:schemeClr w14:val="tx1"/>
                        </w14:solidFill>
                      </w14:textFill>
                    </w:rPr>
                    <w:t>1次/季</w:t>
                  </w:r>
                </w:p>
              </w:tc>
            </w:tr>
          </w:tbl>
          <w:p w14:paraId="5E01C074">
            <w:pPr>
              <w:spacing w:line="480" w:lineRule="exact"/>
              <w:rPr>
                <w:b/>
                <w:color w:val="000000" w:themeColor="text1"/>
                <w:kern w:val="0"/>
                <w:sz w:val="24"/>
                <w:highlight w:val="none"/>
                <w14:textFill>
                  <w14:solidFill>
                    <w14:schemeClr w14:val="tx1"/>
                  </w14:solidFill>
                </w14:textFill>
              </w:rPr>
            </w:pPr>
            <w:r>
              <w:rPr>
                <w:rFonts w:hint="eastAsia"/>
                <w:b/>
                <w:color w:val="000000" w:themeColor="text1"/>
                <w:kern w:val="0"/>
                <w:sz w:val="24"/>
                <w:highlight w:val="none"/>
                <w14:textFill>
                  <w14:solidFill>
                    <w14:schemeClr w14:val="tx1"/>
                  </w14:solidFill>
                </w14:textFill>
              </w:rPr>
              <w:t>4 固体废物</w:t>
            </w:r>
          </w:p>
          <w:p w14:paraId="4600CF96">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项目产生的固体废弃物</w:t>
            </w:r>
            <w:r>
              <w:rPr>
                <w:rFonts w:hint="eastAsia" w:hAnsi="宋体"/>
                <w:color w:val="000000" w:themeColor="text1"/>
                <w:spacing w:val="-4"/>
                <w:sz w:val="24"/>
                <w:highlight w:val="none"/>
                <w14:textFill>
                  <w14:solidFill>
                    <w14:schemeClr w14:val="tx1"/>
                  </w14:solidFill>
                </w14:textFill>
              </w:rPr>
              <w:t>主要为一般固废、危险废物，</w:t>
            </w:r>
            <w:r>
              <w:rPr>
                <w:rFonts w:hAnsi="宋体"/>
                <w:color w:val="000000" w:themeColor="text1"/>
                <w:spacing w:val="-4"/>
                <w:sz w:val="24"/>
                <w:highlight w:val="none"/>
                <w14:textFill>
                  <w14:solidFill>
                    <w14:schemeClr w14:val="tx1"/>
                  </w14:solidFill>
                </w14:textFill>
              </w:rPr>
              <w:t>具体情况如下：</w:t>
            </w:r>
          </w:p>
          <w:p w14:paraId="5259FBF1">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⑴</w:t>
            </w:r>
            <w:r>
              <w:rPr>
                <w:rFonts w:hAnsi="宋体"/>
                <w:color w:val="000000" w:themeColor="text1"/>
                <w:spacing w:val="-4"/>
                <w:sz w:val="24"/>
                <w:highlight w:val="none"/>
                <w14:textFill>
                  <w14:solidFill>
                    <w14:schemeClr w14:val="tx1"/>
                  </w14:solidFill>
                </w14:textFill>
              </w:rPr>
              <w:t>一般</w:t>
            </w:r>
            <w:r>
              <w:rPr>
                <w:rFonts w:hint="eastAsia" w:hAnsi="宋体"/>
                <w:color w:val="000000" w:themeColor="text1"/>
                <w:spacing w:val="-4"/>
                <w:sz w:val="24"/>
                <w:highlight w:val="none"/>
                <w14:textFill>
                  <w14:solidFill>
                    <w14:schemeClr w14:val="tx1"/>
                  </w14:solidFill>
                </w14:textFill>
              </w:rPr>
              <w:t>固废：</w:t>
            </w:r>
          </w:p>
          <w:p w14:paraId="0559537B">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一般</w:t>
            </w:r>
            <w:r>
              <w:rPr>
                <w:rFonts w:hint="eastAsia" w:hAnsi="宋体"/>
                <w:color w:val="000000" w:themeColor="text1"/>
                <w:spacing w:val="-4"/>
                <w:sz w:val="24"/>
                <w:highlight w:val="none"/>
                <w14:textFill>
                  <w14:solidFill>
                    <w14:schemeClr w14:val="tx1"/>
                  </w14:solidFill>
                </w14:textFill>
              </w:rPr>
              <w:t>固废主要为</w:t>
            </w:r>
            <w:r>
              <w:rPr>
                <w:rFonts w:hint="eastAsia" w:hAnsi="宋体"/>
                <w:bCs/>
                <w:color w:val="000000" w:themeColor="text1"/>
                <w:spacing w:val="-4"/>
                <w:sz w:val="24"/>
                <w:highlight w:val="none"/>
                <w14:textFill>
                  <w14:solidFill>
                    <w14:schemeClr w14:val="tx1"/>
                  </w14:solidFill>
                </w14:textFill>
              </w:rPr>
              <w:t>废砖坯，检验产生的废砖，除尘器产生的除尘灰、废滤袋，</w:t>
            </w:r>
            <w:r>
              <w:rPr>
                <w:rFonts w:hAnsi="宋体"/>
                <w:bCs/>
                <w:color w:val="000000" w:themeColor="text1"/>
                <w:spacing w:val="-4"/>
                <w:sz w:val="24"/>
                <w:highlight w:val="none"/>
                <w14:textFill>
                  <w14:solidFill>
                    <w14:schemeClr w14:val="tx1"/>
                  </w14:solidFill>
                </w14:textFill>
              </w:rPr>
              <w:t>脱硫</w:t>
            </w:r>
            <w:r>
              <w:rPr>
                <w:rFonts w:hint="eastAsia" w:hAnsi="宋体"/>
                <w:bCs/>
                <w:color w:val="000000" w:themeColor="text1"/>
                <w:spacing w:val="-4"/>
                <w:sz w:val="24"/>
                <w:highlight w:val="none"/>
                <w14:textFill>
                  <w14:solidFill>
                    <w14:schemeClr w14:val="tx1"/>
                  </w14:solidFill>
                </w14:textFill>
              </w:rPr>
              <w:t>除尘设施</w:t>
            </w:r>
            <w:r>
              <w:rPr>
                <w:rFonts w:hAnsi="宋体"/>
                <w:bCs/>
                <w:color w:val="000000" w:themeColor="text1"/>
                <w:spacing w:val="-4"/>
                <w:sz w:val="24"/>
                <w:highlight w:val="none"/>
                <w14:textFill>
                  <w14:solidFill>
                    <w14:schemeClr w14:val="tx1"/>
                  </w14:solidFill>
                </w14:textFill>
              </w:rPr>
              <w:t>产生的脱硫石膏、</w:t>
            </w:r>
            <w:r>
              <w:rPr>
                <w:rFonts w:hint="eastAsia" w:hAnsi="宋体"/>
                <w:bCs/>
                <w:color w:val="000000" w:themeColor="text1"/>
                <w:spacing w:val="-4"/>
                <w:sz w:val="24"/>
                <w:highlight w:val="none"/>
                <w14:textFill>
                  <w14:solidFill>
                    <w14:schemeClr w14:val="tx1"/>
                  </w14:solidFill>
                </w14:textFill>
              </w:rPr>
              <w:t>除尘灰浆，脱硫脱硝工序产生的废包装袋，洗车平台污泥。</w:t>
            </w:r>
          </w:p>
          <w:p w14:paraId="280C44A8">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成型产生的</w:t>
            </w:r>
            <w:r>
              <w:rPr>
                <w:rFonts w:hAnsi="宋体"/>
                <w:bCs/>
                <w:color w:val="000000" w:themeColor="text1"/>
                <w:spacing w:val="-4"/>
                <w:sz w:val="24"/>
                <w:highlight w:val="none"/>
                <w14:textFill>
                  <w14:solidFill>
                    <w14:schemeClr w14:val="tx1"/>
                  </w14:solidFill>
                </w14:textFill>
              </w:rPr>
              <w:t>废砖坯</w:t>
            </w:r>
            <w:r>
              <w:rPr>
                <w:rFonts w:hint="eastAsia" w:hAnsi="宋体"/>
                <w:bCs/>
                <w:color w:val="000000" w:themeColor="text1"/>
                <w:spacing w:val="-4"/>
                <w:sz w:val="24"/>
                <w:highlight w:val="none"/>
                <w:lang w:val="en-US" w:eastAsia="zh-CN"/>
                <w14:textFill>
                  <w14:solidFill>
                    <w14:schemeClr w14:val="tx1"/>
                  </w14:solidFill>
                </w14:textFill>
              </w:rPr>
              <w:t>48</w:t>
            </w:r>
            <w:r>
              <w:rPr>
                <w:rFonts w:hint="eastAsia" w:hAnsi="宋体"/>
                <w:bCs/>
                <w:color w:val="000000" w:themeColor="text1"/>
                <w:spacing w:val="-4"/>
                <w:sz w:val="24"/>
                <w:highlight w:val="none"/>
                <w14:textFill>
                  <w14:solidFill>
                    <w14:schemeClr w14:val="tx1"/>
                  </w14:solidFill>
                </w14:textFill>
              </w:rPr>
              <w:t>00</w:t>
            </w:r>
            <w:r>
              <w:rPr>
                <w:rFonts w:hint="eastAsia" w:hAnsi="宋体"/>
                <w:color w:val="000000" w:themeColor="text1"/>
                <w:spacing w:val="-4"/>
                <w:sz w:val="24"/>
                <w:highlight w:val="none"/>
                <w14:textFill>
                  <w14:solidFill>
                    <w14:schemeClr w14:val="tx1"/>
                  </w14:solidFill>
                </w14:textFill>
              </w:rPr>
              <w:t xml:space="preserve"> t/a，</w:t>
            </w:r>
            <w:r>
              <w:rPr>
                <w:rFonts w:hint="eastAsia" w:hAnsi="宋体"/>
                <w:bCs/>
                <w:color w:val="000000" w:themeColor="text1"/>
                <w:spacing w:val="-4"/>
                <w:sz w:val="24"/>
                <w:highlight w:val="none"/>
                <w14:textFill>
                  <w14:solidFill>
                    <w14:schemeClr w14:val="tx1"/>
                  </w14:solidFill>
                </w14:textFill>
              </w:rPr>
              <w:t>固废代码为900-099-S59（其他工业固体废物）</w:t>
            </w:r>
            <w:r>
              <w:rPr>
                <w:rFonts w:hint="eastAsia" w:hAnsi="宋体"/>
                <w:bCs/>
                <w:snapToGrid w:val="0"/>
                <w:color w:val="000000" w:themeColor="text1"/>
                <w:kern w:val="0"/>
                <w:sz w:val="24"/>
                <w:highlight w:val="none"/>
                <w14:textFill>
                  <w14:solidFill>
                    <w14:schemeClr w14:val="tx1"/>
                  </w14:solidFill>
                </w14:textFill>
              </w:rPr>
              <w:t>，</w:t>
            </w:r>
            <w:r>
              <w:rPr>
                <w:rFonts w:hint="eastAsia" w:hAnsi="宋体"/>
                <w:bCs/>
                <w:color w:val="000000" w:themeColor="text1"/>
                <w:spacing w:val="-4"/>
                <w:sz w:val="24"/>
                <w:highlight w:val="none"/>
                <w14:textFill>
                  <w14:solidFill>
                    <w14:schemeClr w14:val="tx1"/>
                  </w14:solidFill>
                </w14:textFill>
              </w:rPr>
              <w:t>收集后送入搅拌工序，</w:t>
            </w:r>
            <w:r>
              <w:rPr>
                <w:rFonts w:hAnsi="宋体"/>
                <w:bCs/>
                <w:color w:val="000000" w:themeColor="text1"/>
                <w:spacing w:val="-4"/>
                <w:sz w:val="24"/>
                <w:highlight w:val="none"/>
                <w14:textFill>
                  <w14:solidFill>
                    <w14:schemeClr w14:val="tx1"/>
                  </w14:solidFill>
                </w14:textFill>
              </w:rPr>
              <w:t>回用于生产</w:t>
            </w:r>
            <w:r>
              <w:rPr>
                <w:rFonts w:hint="eastAsia" w:hAnsi="宋体"/>
                <w:bCs/>
                <w:color w:val="000000" w:themeColor="text1"/>
                <w:spacing w:val="-4"/>
                <w:sz w:val="24"/>
                <w:highlight w:val="none"/>
                <w14:textFill>
                  <w14:solidFill>
                    <w14:schemeClr w14:val="tx1"/>
                  </w14:solidFill>
                </w14:textFill>
              </w:rPr>
              <w:t>；</w:t>
            </w:r>
          </w:p>
          <w:p w14:paraId="756105A5">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检验产生的废砖</w:t>
            </w:r>
            <w:r>
              <w:rPr>
                <w:rFonts w:hint="eastAsia" w:hAnsi="宋体"/>
                <w:bCs/>
                <w:color w:val="000000" w:themeColor="text1"/>
                <w:spacing w:val="-4"/>
                <w:sz w:val="24"/>
                <w:highlight w:val="none"/>
                <w:lang w:val="en-US" w:eastAsia="zh-CN"/>
                <w14:textFill>
                  <w14:solidFill>
                    <w14:schemeClr w14:val="tx1"/>
                  </w14:solidFill>
                </w14:textFill>
              </w:rPr>
              <w:t>18</w:t>
            </w:r>
            <w:r>
              <w:rPr>
                <w:rFonts w:hint="eastAsia" w:hAnsi="宋体"/>
                <w:bCs/>
                <w:color w:val="000000" w:themeColor="text1"/>
                <w:spacing w:val="-4"/>
                <w:sz w:val="24"/>
                <w:highlight w:val="none"/>
                <w14:textFill>
                  <w14:solidFill>
                    <w14:schemeClr w14:val="tx1"/>
                  </w14:solidFill>
                </w14:textFill>
              </w:rPr>
              <w:t>00</w:t>
            </w:r>
            <w:r>
              <w:rPr>
                <w:rFonts w:hint="eastAsia" w:hAnsi="宋体"/>
                <w:color w:val="000000" w:themeColor="text1"/>
                <w:spacing w:val="-4"/>
                <w:sz w:val="24"/>
                <w:highlight w:val="none"/>
                <w14:textFill>
                  <w14:solidFill>
                    <w14:schemeClr w14:val="tx1"/>
                  </w14:solidFill>
                </w14:textFill>
              </w:rPr>
              <w:t xml:space="preserve"> t/a，</w:t>
            </w:r>
            <w:r>
              <w:rPr>
                <w:rFonts w:hint="eastAsia" w:hAnsi="宋体"/>
                <w:bCs/>
                <w:color w:val="000000" w:themeColor="text1"/>
                <w:spacing w:val="-4"/>
                <w:sz w:val="24"/>
                <w:highlight w:val="none"/>
                <w14:textFill>
                  <w14:solidFill>
                    <w14:schemeClr w14:val="tx1"/>
                  </w14:solidFill>
                </w14:textFill>
              </w:rPr>
              <w:t>固废代码为900-099-S59（其他工业固体废物）</w:t>
            </w:r>
            <w:r>
              <w:rPr>
                <w:rFonts w:hint="eastAsia" w:hAnsi="宋体"/>
                <w:bCs/>
                <w:snapToGrid w:val="0"/>
                <w:color w:val="000000" w:themeColor="text1"/>
                <w:kern w:val="0"/>
                <w:sz w:val="24"/>
                <w:highlight w:val="none"/>
                <w14:textFill>
                  <w14:solidFill>
                    <w14:schemeClr w14:val="tx1"/>
                  </w14:solidFill>
                </w14:textFill>
              </w:rPr>
              <w:t>，</w:t>
            </w:r>
            <w:r>
              <w:rPr>
                <w:rFonts w:hAnsi="宋体"/>
                <w:bCs/>
                <w:color w:val="000000" w:themeColor="text1"/>
                <w:spacing w:val="-4"/>
                <w:sz w:val="24"/>
                <w:highlight w:val="none"/>
                <w14:textFill>
                  <w14:solidFill>
                    <w14:schemeClr w14:val="tx1"/>
                  </w14:solidFill>
                </w14:textFill>
              </w:rPr>
              <w:t>收集后</w:t>
            </w:r>
            <w:r>
              <w:rPr>
                <w:rFonts w:hint="eastAsia" w:hAnsi="宋体"/>
                <w:bCs/>
                <w:color w:val="000000" w:themeColor="text1"/>
                <w:spacing w:val="-4"/>
                <w:sz w:val="24"/>
                <w:highlight w:val="none"/>
                <w14:textFill>
                  <w14:solidFill>
                    <w14:schemeClr w14:val="tx1"/>
                  </w14:solidFill>
                </w14:textFill>
              </w:rPr>
              <w:t>暂存于一般固废暂存区，定期</w:t>
            </w:r>
            <w:r>
              <w:rPr>
                <w:rFonts w:hAnsi="宋体"/>
                <w:bCs/>
                <w:color w:val="000000" w:themeColor="text1"/>
                <w:spacing w:val="-4"/>
                <w:sz w:val="24"/>
                <w:highlight w:val="none"/>
                <w14:textFill>
                  <w14:solidFill>
                    <w14:schemeClr w14:val="tx1"/>
                  </w14:solidFill>
                </w14:textFill>
              </w:rPr>
              <w:t>外售</w:t>
            </w:r>
            <w:r>
              <w:rPr>
                <w:rFonts w:hint="eastAsia" w:hAnsi="宋体"/>
                <w:bCs/>
                <w:color w:val="000000" w:themeColor="text1"/>
                <w:spacing w:val="-4"/>
                <w:sz w:val="24"/>
                <w:highlight w:val="none"/>
                <w14:textFill>
                  <w14:solidFill>
                    <w14:schemeClr w14:val="tx1"/>
                  </w14:solidFill>
                </w14:textFill>
              </w:rPr>
              <w:t>；</w:t>
            </w:r>
          </w:p>
          <w:p w14:paraId="1DB3D18E">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除尘器产生的除尘灰</w:t>
            </w:r>
            <w:r>
              <w:rPr>
                <w:rFonts w:hint="eastAsia" w:hAnsi="宋体"/>
                <w:bCs/>
                <w:color w:val="000000" w:themeColor="text1"/>
                <w:spacing w:val="-4"/>
                <w:sz w:val="24"/>
                <w:highlight w:val="none"/>
                <w:lang w:val="en-US" w:eastAsia="zh-CN"/>
                <w14:textFill>
                  <w14:solidFill>
                    <w14:schemeClr w14:val="tx1"/>
                  </w14:solidFill>
                </w14:textFill>
              </w:rPr>
              <w:t>45.94</w:t>
            </w:r>
            <w:r>
              <w:rPr>
                <w:rFonts w:hint="eastAsia" w:hAnsi="宋体"/>
                <w:color w:val="000000" w:themeColor="text1"/>
                <w:spacing w:val="-4"/>
                <w:sz w:val="24"/>
                <w:highlight w:val="none"/>
                <w14:textFill>
                  <w14:solidFill>
                    <w14:schemeClr w14:val="tx1"/>
                  </w14:solidFill>
                </w14:textFill>
              </w:rPr>
              <w:t xml:space="preserve"> t/a，</w:t>
            </w:r>
            <w:r>
              <w:rPr>
                <w:rFonts w:hint="eastAsia" w:hAnsi="宋体"/>
                <w:bCs/>
                <w:color w:val="000000" w:themeColor="text1"/>
                <w:spacing w:val="-4"/>
                <w:sz w:val="24"/>
                <w:highlight w:val="none"/>
                <w14:textFill>
                  <w14:solidFill>
                    <w14:schemeClr w14:val="tx1"/>
                  </w14:solidFill>
                </w14:textFill>
              </w:rPr>
              <w:t>固废代码为900-099-S59（其他工业固体废物）</w:t>
            </w:r>
            <w:r>
              <w:rPr>
                <w:rFonts w:hint="eastAsia" w:hAnsi="宋体"/>
                <w:bCs/>
                <w:snapToGrid w:val="0"/>
                <w:color w:val="000000" w:themeColor="text1"/>
                <w:kern w:val="0"/>
                <w:sz w:val="24"/>
                <w:highlight w:val="none"/>
                <w14:textFill>
                  <w14:solidFill>
                    <w14:schemeClr w14:val="tx1"/>
                  </w14:solidFill>
                </w14:textFill>
              </w:rPr>
              <w:t>，</w:t>
            </w:r>
            <w:r>
              <w:rPr>
                <w:rFonts w:hint="eastAsia" w:hAnsi="宋体"/>
                <w:bCs/>
                <w:color w:val="000000" w:themeColor="text1"/>
                <w:spacing w:val="-4"/>
                <w:sz w:val="24"/>
                <w:highlight w:val="none"/>
                <w14:textFill>
                  <w14:solidFill>
                    <w14:schemeClr w14:val="tx1"/>
                  </w14:solidFill>
                </w14:textFill>
              </w:rPr>
              <w:t>收集后送入搅拌工序，</w:t>
            </w:r>
            <w:r>
              <w:rPr>
                <w:rFonts w:hAnsi="宋体"/>
                <w:bCs/>
                <w:color w:val="000000" w:themeColor="text1"/>
                <w:spacing w:val="-4"/>
                <w:sz w:val="24"/>
                <w:highlight w:val="none"/>
                <w14:textFill>
                  <w14:solidFill>
                    <w14:schemeClr w14:val="tx1"/>
                  </w14:solidFill>
                </w14:textFill>
              </w:rPr>
              <w:t>回用于生产</w:t>
            </w:r>
            <w:r>
              <w:rPr>
                <w:rFonts w:hint="eastAsia" w:hAnsi="宋体"/>
                <w:bCs/>
                <w:color w:val="000000" w:themeColor="text1"/>
                <w:spacing w:val="-4"/>
                <w:sz w:val="24"/>
                <w:highlight w:val="none"/>
                <w14:textFill>
                  <w14:solidFill>
                    <w14:schemeClr w14:val="tx1"/>
                  </w14:solidFill>
                </w14:textFill>
              </w:rPr>
              <w:t>；</w:t>
            </w:r>
          </w:p>
          <w:p w14:paraId="61529598">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除尘器产生的废滤袋0.5</w:t>
            </w:r>
            <w:r>
              <w:rPr>
                <w:rFonts w:hint="eastAsia" w:hAnsi="宋体"/>
                <w:color w:val="000000" w:themeColor="text1"/>
                <w:spacing w:val="-4"/>
                <w:sz w:val="24"/>
                <w:highlight w:val="none"/>
                <w14:textFill>
                  <w14:solidFill>
                    <w14:schemeClr w14:val="tx1"/>
                  </w14:solidFill>
                </w14:textFill>
              </w:rPr>
              <w:t xml:space="preserve"> t/a</w:t>
            </w:r>
            <w:r>
              <w:rPr>
                <w:rFonts w:hint="eastAsia" w:hAnsi="宋体"/>
                <w:bCs/>
                <w:color w:val="000000" w:themeColor="text1"/>
                <w:spacing w:val="-4"/>
                <w:sz w:val="24"/>
                <w:highlight w:val="none"/>
                <w14:textFill>
                  <w14:solidFill>
                    <w14:schemeClr w14:val="tx1"/>
                  </w14:solidFill>
                </w14:textFill>
              </w:rPr>
              <w:t>，固废代码为900-009-S59（其他工业固体废物）</w:t>
            </w:r>
            <w:r>
              <w:rPr>
                <w:rFonts w:hint="eastAsia" w:hAnsi="宋体"/>
                <w:bCs/>
                <w:snapToGrid w:val="0"/>
                <w:color w:val="000000" w:themeColor="text1"/>
                <w:kern w:val="0"/>
                <w:sz w:val="24"/>
                <w:highlight w:val="none"/>
                <w14:textFill>
                  <w14:solidFill>
                    <w14:schemeClr w14:val="tx1"/>
                  </w14:solidFill>
                </w14:textFill>
              </w:rPr>
              <w:t>，集中收集暂存于一般固废暂存区，定期外售</w:t>
            </w:r>
            <w:r>
              <w:rPr>
                <w:rFonts w:hint="eastAsia" w:hAnsi="宋体"/>
                <w:bCs/>
                <w:color w:val="000000" w:themeColor="text1"/>
                <w:spacing w:val="-4"/>
                <w:sz w:val="24"/>
                <w:highlight w:val="none"/>
                <w14:textFill>
                  <w14:solidFill>
                    <w14:schemeClr w14:val="tx1"/>
                  </w14:solidFill>
                </w14:textFill>
              </w:rPr>
              <w:t>；</w:t>
            </w:r>
          </w:p>
          <w:p w14:paraId="7C297D95">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Ansi="宋体"/>
                <w:bCs/>
                <w:color w:val="000000" w:themeColor="text1"/>
                <w:spacing w:val="-4"/>
                <w:sz w:val="24"/>
                <w:highlight w:val="none"/>
                <w14:textFill>
                  <w14:solidFill>
                    <w14:schemeClr w14:val="tx1"/>
                  </w14:solidFill>
                </w14:textFill>
              </w:rPr>
              <w:t>脱硫</w:t>
            </w:r>
            <w:r>
              <w:rPr>
                <w:rFonts w:hint="eastAsia" w:hAnsi="宋体"/>
                <w:bCs/>
                <w:color w:val="000000" w:themeColor="text1"/>
                <w:spacing w:val="-4"/>
                <w:sz w:val="24"/>
                <w:highlight w:val="none"/>
                <w14:textFill>
                  <w14:solidFill>
                    <w14:schemeClr w14:val="tx1"/>
                  </w14:solidFill>
                </w14:textFill>
              </w:rPr>
              <w:t>除尘设施</w:t>
            </w:r>
            <w:r>
              <w:rPr>
                <w:rFonts w:hAnsi="宋体"/>
                <w:bCs/>
                <w:color w:val="000000" w:themeColor="text1"/>
                <w:spacing w:val="-4"/>
                <w:sz w:val="24"/>
                <w:highlight w:val="none"/>
                <w14:textFill>
                  <w14:solidFill>
                    <w14:schemeClr w14:val="tx1"/>
                  </w14:solidFill>
                </w14:textFill>
              </w:rPr>
              <w:t>产生的脱硫石膏</w:t>
            </w:r>
            <w:r>
              <w:rPr>
                <w:rFonts w:hint="eastAsia" w:hAnsi="宋体"/>
                <w:bCs/>
                <w:color w:val="000000" w:themeColor="text1"/>
                <w:spacing w:val="-4"/>
                <w:sz w:val="24"/>
                <w:highlight w:val="none"/>
                <w:lang w:val="en-US" w:eastAsia="zh-CN"/>
                <w14:textFill>
                  <w14:solidFill>
                    <w14:schemeClr w14:val="tx1"/>
                  </w14:solidFill>
                </w14:textFill>
              </w:rPr>
              <w:t>1410</w:t>
            </w:r>
            <w:r>
              <w:rPr>
                <w:rFonts w:hint="eastAsia" w:hAnsi="宋体"/>
                <w:color w:val="000000" w:themeColor="text1"/>
                <w:spacing w:val="-4"/>
                <w:sz w:val="24"/>
                <w:highlight w:val="none"/>
                <w14:textFill>
                  <w14:solidFill>
                    <w14:schemeClr w14:val="tx1"/>
                  </w14:solidFill>
                </w14:textFill>
              </w:rPr>
              <w:t xml:space="preserve"> t/a</w:t>
            </w:r>
            <w:r>
              <w:rPr>
                <w:rFonts w:hint="eastAsia" w:hAnsi="宋体"/>
                <w:bCs/>
                <w:color w:val="000000" w:themeColor="text1"/>
                <w:spacing w:val="-4"/>
                <w:sz w:val="24"/>
                <w:highlight w:val="none"/>
                <w14:textFill>
                  <w14:solidFill>
                    <w14:schemeClr w14:val="tx1"/>
                  </w14:solidFill>
                </w14:textFill>
              </w:rPr>
              <w:t>，固废代码为900-099-S06（脱硫石膏）</w:t>
            </w:r>
            <w:r>
              <w:rPr>
                <w:rFonts w:hint="eastAsia" w:hAnsi="宋体"/>
                <w:bCs/>
                <w:snapToGrid w:val="0"/>
                <w:color w:val="000000" w:themeColor="text1"/>
                <w:kern w:val="0"/>
                <w:sz w:val="24"/>
                <w:highlight w:val="none"/>
                <w14:textFill>
                  <w14:solidFill>
                    <w14:schemeClr w14:val="tx1"/>
                  </w14:solidFill>
                </w14:textFill>
              </w:rPr>
              <w:t>，</w:t>
            </w:r>
            <w:r>
              <w:rPr>
                <w:rFonts w:hint="eastAsia" w:hAnsi="宋体"/>
                <w:bCs/>
                <w:color w:val="000000" w:themeColor="text1"/>
                <w:spacing w:val="-4"/>
                <w:sz w:val="24"/>
                <w:highlight w:val="none"/>
                <w14:textFill>
                  <w14:solidFill>
                    <w14:schemeClr w14:val="tx1"/>
                  </w14:solidFill>
                </w14:textFill>
              </w:rPr>
              <w:t>收集后送入搅拌工序，</w:t>
            </w:r>
            <w:r>
              <w:rPr>
                <w:rFonts w:hAnsi="宋体"/>
                <w:bCs/>
                <w:color w:val="000000" w:themeColor="text1"/>
                <w:spacing w:val="-4"/>
                <w:sz w:val="24"/>
                <w:highlight w:val="none"/>
                <w14:textFill>
                  <w14:solidFill>
                    <w14:schemeClr w14:val="tx1"/>
                  </w14:solidFill>
                </w14:textFill>
              </w:rPr>
              <w:t>回用于生产</w:t>
            </w:r>
            <w:r>
              <w:rPr>
                <w:rFonts w:hint="eastAsia" w:hAnsi="宋体"/>
                <w:bCs/>
                <w:color w:val="000000" w:themeColor="text1"/>
                <w:spacing w:val="-4"/>
                <w:sz w:val="24"/>
                <w:highlight w:val="none"/>
                <w14:textFill>
                  <w14:solidFill>
                    <w14:schemeClr w14:val="tx1"/>
                  </w14:solidFill>
                </w14:textFill>
              </w:rPr>
              <w:t>；</w:t>
            </w:r>
          </w:p>
          <w:p w14:paraId="2AA1A905">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Ansi="宋体"/>
                <w:bCs/>
                <w:color w:val="000000" w:themeColor="text1"/>
                <w:spacing w:val="-4"/>
                <w:sz w:val="24"/>
                <w:highlight w:val="none"/>
                <w14:textFill>
                  <w14:solidFill>
                    <w14:schemeClr w14:val="tx1"/>
                  </w14:solidFill>
                </w14:textFill>
              </w:rPr>
              <w:t>脱硫</w:t>
            </w:r>
            <w:r>
              <w:rPr>
                <w:rFonts w:hint="eastAsia" w:hAnsi="宋体"/>
                <w:bCs/>
                <w:color w:val="000000" w:themeColor="text1"/>
                <w:spacing w:val="-4"/>
                <w:sz w:val="24"/>
                <w:highlight w:val="none"/>
                <w14:textFill>
                  <w14:solidFill>
                    <w14:schemeClr w14:val="tx1"/>
                  </w14:solidFill>
                </w14:textFill>
              </w:rPr>
              <w:t>除尘设施</w:t>
            </w:r>
            <w:r>
              <w:rPr>
                <w:rFonts w:hAnsi="宋体"/>
                <w:bCs/>
                <w:color w:val="000000" w:themeColor="text1"/>
                <w:spacing w:val="-4"/>
                <w:sz w:val="24"/>
                <w:highlight w:val="none"/>
                <w14:textFill>
                  <w14:solidFill>
                    <w14:schemeClr w14:val="tx1"/>
                  </w14:solidFill>
                </w14:textFill>
              </w:rPr>
              <w:t>产生的</w:t>
            </w:r>
            <w:r>
              <w:rPr>
                <w:rFonts w:hint="eastAsia" w:hAnsi="宋体"/>
                <w:bCs/>
                <w:color w:val="000000" w:themeColor="text1"/>
                <w:spacing w:val="-4"/>
                <w:sz w:val="24"/>
                <w:highlight w:val="none"/>
                <w14:textFill>
                  <w14:solidFill>
                    <w14:schemeClr w14:val="tx1"/>
                  </w14:solidFill>
                </w14:textFill>
              </w:rPr>
              <w:t>除尘灰浆</w:t>
            </w:r>
            <w:r>
              <w:rPr>
                <w:rFonts w:hint="eastAsia" w:hAnsi="宋体"/>
                <w:bCs/>
                <w:color w:val="000000" w:themeColor="text1"/>
                <w:spacing w:val="-4"/>
                <w:sz w:val="24"/>
                <w:highlight w:val="none"/>
                <w:lang w:val="en-US" w:eastAsia="zh-CN"/>
                <w14:textFill>
                  <w14:solidFill>
                    <w14:schemeClr w14:val="tx1"/>
                  </w14:solidFill>
                </w14:textFill>
              </w:rPr>
              <w:t>198.28</w:t>
            </w:r>
            <w:r>
              <w:rPr>
                <w:rFonts w:hint="eastAsia" w:hAnsi="宋体"/>
                <w:color w:val="000000" w:themeColor="text1"/>
                <w:spacing w:val="-4"/>
                <w:sz w:val="24"/>
                <w:highlight w:val="none"/>
                <w14:textFill>
                  <w14:solidFill>
                    <w14:schemeClr w14:val="tx1"/>
                  </w14:solidFill>
                </w14:textFill>
              </w:rPr>
              <w:t>t/a</w:t>
            </w:r>
            <w:r>
              <w:rPr>
                <w:rFonts w:hint="eastAsia" w:hAnsi="宋体"/>
                <w:bCs/>
                <w:color w:val="000000" w:themeColor="text1"/>
                <w:spacing w:val="-4"/>
                <w:sz w:val="24"/>
                <w:highlight w:val="none"/>
                <w14:textFill>
                  <w14:solidFill>
                    <w14:schemeClr w14:val="tx1"/>
                  </w14:solidFill>
                </w14:textFill>
              </w:rPr>
              <w:t>，固废代码为900-099-S59（其他工业固体废物）</w:t>
            </w:r>
            <w:r>
              <w:rPr>
                <w:rFonts w:hint="eastAsia" w:hAnsi="宋体"/>
                <w:bCs/>
                <w:snapToGrid w:val="0"/>
                <w:color w:val="000000" w:themeColor="text1"/>
                <w:kern w:val="0"/>
                <w:sz w:val="24"/>
                <w:highlight w:val="none"/>
                <w14:textFill>
                  <w14:solidFill>
                    <w14:schemeClr w14:val="tx1"/>
                  </w14:solidFill>
                </w14:textFill>
              </w:rPr>
              <w:t>，</w:t>
            </w:r>
            <w:r>
              <w:rPr>
                <w:rFonts w:hint="eastAsia" w:hAnsi="宋体"/>
                <w:bCs/>
                <w:color w:val="000000" w:themeColor="text1"/>
                <w:spacing w:val="-4"/>
                <w:sz w:val="24"/>
                <w:highlight w:val="none"/>
                <w14:textFill>
                  <w14:solidFill>
                    <w14:schemeClr w14:val="tx1"/>
                  </w14:solidFill>
                </w14:textFill>
              </w:rPr>
              <w:t>收集后送入搅拌工序，</w:t>
            </w:r>
            <w:r>
              <w:rPr>
                <w:rFonts w:hAnsi="宋体"/>
                <w:bCs/>
                <w:color w:val="000000" w:themeColor="text1"/>
                <w:spacing w:val="-4"/>
                <w:sz w:val="24"/>
                <w:highlight w:val="none"/>
                <w14:textFill>
                  <w14:solidFill>
                    <w14:schemeClr w14:val="tx1"/>
                  </w14:solidFill>
                </w14:textFill>
              </w:rPr>
              <w:t>回用于生产</w:t>
            </w:r>
          </w:p>
          <w:p w14:paraId="09552D31">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脱硫脱硝工序产生的废包装袋0.</w:t>
            </w:r>
            <w:r>
              <w:rPr>
                <w:rFonts w:hint="eastAsia" w:hAnsi="宋体"/>
                <w:bCs/>
                <w:color w:val="000000" w:themeColor="text1"/>
                <w:spacing w:val="-4"/>
                <w:sz w:val="24"/>
                <w:highlight w:val="none"/>
                <w:lang w:val="en-US" w:eastAsia="zh-CN"/>
                <w14:textFill>
                  <w14:solidFill>
                    <w14:schemeClr w14:val="tx1"/>
                  </w14:solidFill>
                </w14:textFill>
              </w:rPr>
              <w:t>15</w:t>
            </w:r>
            <w:r>
              <w:rPr>
                <w:rFonts w:hint="eastAsia" w:hAnsi="宋体"/>
                <w:color w:val="000000" w:themeColor="text1"/>
                <w:spacing w:val="-4"/>
                <w:sz w:val="24"/>
                <w:highlight w:val="none"/>
                <w14:textFill>
                  <w14:solidFill>
                    <w14:schemeClr w14:val="tx1"/>
                  </w14:solidFill>
                </w14:textFill>
              </w:rPr>
              <w:t xml:space="preserve"> </w:t>
            </w:r>
            <w:r>
              <w:rPr>
                <w:rFonts w:hint="eastAsia" w:hAnsi="宋体"/>
                <w:bCs/>
                <w:color w:val="000000" w:themeColor="text1"/>
                <w:spacing w:val="-4"/>
                <w:sz w:val="24"/>
                <w:highlight w:val="none"/>
                <w14:textFill>
                  <w14:solidFill>
                    <w14:schemeClr w14:val="tx1"/>
                  </w14:solidFill>
                </w14:textFill>
              </w:rPr>
              <w:t>t/a，固废代码为900-003-S17（可再生类废物），集中收集暂存一般固废区，定期外售相关单位；</w:t>
            </w:r>
          </w:p>
          <w:p w14:paraId="06E09F3C">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洗车平台产生污泥约</w:t>
            </w:r>
            <w:r>
              <w:rPr>
                <w:rFonts w:hint="eastAsia" w:hAnsi="宋体"/>
                <w:bCs/>
                <w:color w:val="000000" w:themeColor="text1"/>
                <w:spacing w:val="-4"/>
                <w:sz w:val="24"/>
                <w:highlight w:val="none"/>
                <w:lang w:val="en-US" w:eastAsia="zh-CN"/>
                <w14:textFill>
                  <w14:solidFill>
                    <w14:schemeClr w14:val="tx1"/>
                  </w14:solidFill>
                </w14:textFill>
              </w:rPr>
              <w:t>45</w:t>
            </w:r>
            <w:r>
              <w:rPr>
                <w:rFonts w:hint="eastAsia" w:hAnsi="宋体"/>
                <w:bCs/>
                <w:color w:val="000000" w:themeColor="text1"/>
                <w:spacing w:val="-4"/>
                <w:sz w:val="24"/>
                <w:highlight w:val="none"/>
                <w14:textFill>
                  <w14:solidFill>
                    <w14:schemeClr w14:val="tx1"/>
                  </w14:solidFill>
                </w14:textFill>
              </w:rPr>
              <w:t xml:space="preserve"> </w:t>
            </w:r>
            <w:r>
              <w:rPr>
                <w:rFonts w:hint="eastAsia" w:hAnsi="宋体"/>
                <w:color w:val="000000" w:themeColor="text1"/>
                <w:spacing w:val="-4"/>
                <w:sz w:val="24"/>
                <w:highlight w:val="none"/>
                <w14:textFill>
                  <w14:solidFill>
                    <w14:schemeClr w14:val="tx1"/>
                  </w14:solidFill>
                </w14:textFill>
              </w:rPr>
              <w:t>t/a，</w:t>
            </w:r>
            <w:r>
              <w:rPr>
                <w:rFonts w:hint="eastAsia" w:hAnsi="宋体"/>
                <w:bCs/>
                <w:color w:val="000000" w:themeColor="text1"/>
                <w:spacing w:val="-4"/>
                <w:sz w:val="24"/>
                <w:highlight w:val="none"/>
                <w14:textFill>
                  <w14:solidFill>
                    <w14:schemeClr w14:val="tx1"/>
                  </w14:solidFill>
                </w14:textFill>
              </w:rPr>
              <w:t>固废代码为900-099-S07（污泥），定期清理，用于生产。</w:t>
            </w:r>
          </w:p>
          <w:p w14:paraId="5B9859E5">
            <w:pPr>
              <w:spacing w:line="480" w:lineRule="exact"/>
              <w:ind w:firstLine="464" w:firstLineChars="200"/>
              <w:jc w:val="left"/>
              <w:rPr>
                <w:color w:val="000000" w:themeColor="text1"/>
                <w:spacing w:val="-4"/>
                <w:sz w:val="24"/>
                <w:highlight w:val="none"/>
                <w14:textFill>
                  <w14:solidFill>
                    <w14:schemeClr w14:val="tx1"/>
                  </w14:solidFill>
                </w14:textFill>
              </w:rPr>
            </w:pPr>
            <w:r>
              <w:rPr>
                <w:color w:val="000000" w:themeColor="text1"/>
                <w:spacing w:val="-4"/>
                <w:sz w:val="24"/>
                <w:highlight w:val="none"/>
                <w14:textFill>
                  <w14:solidFill>
                    <w14:schemeClr w14:val="tx1"/>
                  </w14:solidFill>
                </w14:textFill>
              </w:rPr>
              <w:t>项目一般固废汇总表见表4-</w:t>
            </w:r>
            <w:r>
              <w:rPr>
                <w:rFonts w:hint="eastAsia"/>
                <w:color w:val="000000" w:themeColor="text1"/>
                <w:spacing w:val="-4"/>
                <w:sz w:val="24"/>
                <w:highlight w:val="none"/>
                <w14:textFill>
                  <w14:solidFill>
                    <w14:schemeClr w14:val="tx1"/>
                  </w14:solidFill>
                </w14:textFill>
              </w:rPr>
              <w:t>13</w:t>
            </w:r>
            <w:r>
              <w:rPr>
                <w:color w:val="000000" w:themeColor="text1"/>
                <w:spacing w:val="-4"/>
                <w:sz w:val="24"/>
                <w:highlight w:val="none"/>
                <w14:textFill>
                  <w14:solidFill>
                    <w14:schemeClr w14:val="tx1"/>
                  </w14:solidFill>
                </w14:textFill>
              </w:rPr>
              <w:t>。</w:t>
            </w:r>
          </w:p>
          <w:p w14:paraId="018913D9">
            <w:pPr>
              <w:spacing w:line="480" w:lineRule="exact"/>
              <w:ind w:firstLine="1255" w:firstLineChars="541"/>
              <w:jc w:val="left"/>
              <w:rPr>
                <w:rFonts w:ascii="黑体" w:hAnsi="黑体" w:eastAsia="黑体"/>
                <w:color w:val="000000" w:themeColor="text1"/>
                <w:spacing w:val="-4"/>
                <w:sz w:val="24"/>
                <w:highlight w:val="none"/>
                <w14:textFill>
                  <w14:solidFill>
                    <w14:schemeClr w14:val="tx1"/>
                  </w14:solidFill>
                </w14:textFill>
              </w:rPr>
            </w:pPr>
            <w:r>
              <w:rPr>
                <w:rFonts w:ascii="黑体" w:hAnsi="黑体" w:eastAsia="黑体"/>
                <w:bCs/>
                <w:color w:val="000000" w:themeColor="text1"/>
                <w:spacing w:val="-4"/>
                <w:sz w:val="24"/>
                <w:highlight w:val="none"/>
                <w14:textFill>
                  <w14:solidFill>
                    <w14:schemeClr w14:val="tx1"/>
                  </w14:solidFill>
                </w14:textFill>
              </w:rPr>
              <w:t>表4-</w:t>
            </w:r>
            <w:r>
              <w:rPr>
                <w:rFonts w:hint="eastAsia" w:ascii="黑体" w:hAnsi="黑体" w:eastAsia="黑体"/>
                <w:bCs/>
                <w:color w:val="000000" w:themeColor="text1"/>
                <w:spacing w:val="-4"/>
                <w:sz w:val="24"/>
                <w:highlight w:val="none"/>
                <w14:textFill>
                  <w14:solidFill>
                    <w14:schemeClr w14:val="tx1"/>
                  </w14:solidFill>
                </w14:textFill>
              </w:rPr>
              <w:t xml:space="preserve">13 </w:t>
            </w:r>
            <w:r>
              <w:rPr>
                <w:rFonts w:ascii="黑体" w:hAnsi="黑体" w:eastAsia="黑体"/>
                <w:bCs/>
                <w:color w:val="000000" w:themeColor="text1"/>
                <w:spacing w:val="-4"/>
                <w:sz w:val="24"/>
                <w:highlight w:val="none"/>
                <w14:textFill>
                  <w14:solidFill>
                    <w14:schemeClr w14:val="tx1"/>
                  </w14:solidFill>
                </w14:textFill>
              </w:rPr>
              <w:t xml:space="preserve">         </w:t>
            </w:r>
            <w:r>
              <w:rPr>
                <w:rFonts w:hint="eastAsia" w:ascii="黑体" w:hAnsi="黑体" w:eastAsia="黑体"/>
                <w:bCs/>
                <w:color w:val="000000" w:themeColor="text1"/>
                <w:spacing w:val="-4"/>
                <w:sz w:val="24"/>
                <w:highlight w:val="none"/>
                <w14:textFill>
                  <w14:solidFill>
                    <w14:schemeClr w14:val="tx1"/>
                  </w14:solidFill>
                </w14:textFill>
              </w:rPr>
              <w:t xml:space="preserve">  </w:t>
            </w:r>
            <w:r>
              <w:rPr>
                <w:rFonts w:ascii="黑体" w:hAnsi="黑体" w:eastAsia="黑体"/>
                <w:bCs/>
                <w:color w:val="000000" w:themeColor="text1"/>
                <w:spacing w:val="-4"/>
                <w:sz w:val="24"/>
                <w:highlight w:val="none"/>
                <w14:textFill>
                  <w14:solidFill>
                    <w14:schemeClr w14:val="tx1"/>
                  </w14:solidFill>
                </w14:textFill>
              </w:rPr>
              <w:t xml:space="preserve"> 项目一般固废</w:t>
            </w:r>
            <w:r>
              <w:rPr>
                <w:rFonts w:ascii="黑体" w:hAnsi="黑体" w:eastAsia="黑体"/>
                <w:color w:val="000000" w:themeColor="text1"/>
                <w:spacing w:val="-4"/>
                <w:sz w:val="24"/>
                <w:highlight w:val="none"/>
                <w14:textFill>
                  <w14:solidFill>
                    <w14:schemeClr w14:val="tx1"/>
                  </w14:solidFill>
                </w14:textFill>
              </w:rPr>
              <w:t>汇总表</w:t>
            </w:r>
          </w:p>
          <w:tbl>
            <w:tblPr>
              <w:tblStyle w:val="24"/>
              <w:tblW w:w="876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074"/>
              <w:gridCol w:w="709"/>
              <w:gridCol w:w="1259"/>
              <w:gridCol w:w="851"/>
              <w:gridCol w:w="992"/>
              <w:gridCol w:w="709"/>
              <w:gridCol w:w="2710"/>
            </w:tblGrid>
            <w:tr w14:paraId="34B36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4" w:type="dxa"/>
                  <w:vAlign w:val="center"/>
                </w:tcPr>
                <w:p w14:paraId="1D28C92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w:t>
                  </w:r>
                </w:p>
                <w:p w14:paraId="54B1EA3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号</w:t>
                  </w:r>
                </w:p>
              </w:tc>
              <w:tc>
                <w:tcPr>
                  <w:tcW w:w="1074" w:type="dxa"/>
                  <w:vAlign w:val="center"/>
                </w:tcPr>
                <w:p w14:paraId="2F6EC399">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一般固废</w:t>
                  </w:r>
                </w:p>
                <w:p w14:paraId="5E09729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名称</w:t>
                  </w:r>
                </w:p>
              </w:tc>
              <w:tc>
                <w:tcPr>
                  <w:tcW w:w="709" w:type="dxa"/>
                  <w:vAlign w:val="center"/>
                </w:tcPr>
                <w:p w14:paraId="0CBF1E6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废物种类</w:t>
                  </w:r>
                </w:p>
              </w:tc>
              <w:tc>
                <w:tcPr>
                  <w:tcW w:w="1259" w:type="dxa"/>
                  <w:vAlign w:val="center"/>
                </w:tcPr>
                <w:p w14:paraId="2F06FAF7">
                  <w:pPr>
                    <w:widowControl/>
                    <w:spacing w:line="280" w:lineRule="exact"/>
                    <w:ind w:left="-105" w:leftChars="-50" w:right="-105" w:rightChars="-50"/>
                    <w:jc w:val="left"/>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废物代码</w:t>
                  </w:r>
                </w:p>
              </w:tc>
              <w:tc>
                <w:tcPr>
                  <w:tcW w:w="851" w:type="dxa"/>
                  <w:vAlign w:val="center"/>
                </w:tcPr>
                <w:p w14:paraId="688AA6C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产生量（t/a）</w:t>
                  </w:r>
                </w:p>
              </w:tc>
              <w:tc>
                <w:tcPr>
                  <w:tcW w:w="992" w:type="dxa"/>
                  <w:vAlign w:val="center"/>
                </w:tcPr>
                <w:p w14:paraId="4B2C73E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产生工序及装置</w:t>
                  </w:r>
                </w:p>
              </w:tc>
              <w:tc>
                <w:tcPr>
                  <w:tcW w:w="709" w:type="dxa"/>
                  <w:vAlign w:val="center"/>
                </w:tcPr>
                <w:p w14:paraId="023E95D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形态</w:t>
                  </w:r>
                </w:p>
              </w:tc>
              <w:tc>
                <w:tcPr>
                  <w:tcW w:w="2710" w:type="dxa"/>
                  <w:vAlign w:val="center"/>
                </w:tcPr>
                <w:p w14:paraId="0D9A687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污染防治措施</w:t>
                  </w:r>
                </w:p>
              </w:tc>
            </w:tr>
            <w:tr w14:paraId="6AD85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5" w:hRule="atLeast"/>
                <w:jc w:val="center"/>
              </w:trPr>
              <w:tc>
                <w:tcPr>
                  <w:tcW w:w="464" w:type="dxa"/>
                  <w:vAlign w:val="center"/>
                </w:tcPr>
                <w:p w14:paraId="4EBF58B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074" w:type="dxa"/>
                  <w:vAlign w:val="center"/>
                </w:tcPr>
                <w:p w14:paraId="4F9A6FD0">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废砖坯</w:t>
                  </w:r>
                </w:p>
              </w:tc>
              <w:tc>
                <w:tcPr>
                  <w:tcW w:w="709" w:type="dxa"/>
                  <w:vAlign w:val="center"/>
                </w:tcPr>
                <w:p w14:paraId="23B2E4B0">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59" w:type="dxa"/>
                  <w:vAlign w:val="center"/>
                </w:tcPr>
                <w:p w14:paraId="6CF1D4ED">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900-099-S59</w:t>
                  </w:r>
                </w:p>
              </w:tc>
              <w:tc>
                <w:tcPr>
                  <w:tcW w:w="851" w:type="dxa"/>
                  <w:vAlign w:val="center"/>
                </w:tcPr>
                <w:p w14:paraId="2C909226">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48</w:t>
                  </w:r>
                  <w:r>
                    <w:rPr>
                      <w:rFonts w:hint="eastAsia" w:ascii="Times New Roman" w:hAnsi="Times New Roman"/>
                      <w:color w:val="000000" w:themeColor="text1"/>
                      <w:sz w:val="21"/>
                      <w:szCs w:val="21"/>
                      <w:highlight w:val="none"/>
                      <w14:textFill>
                        <w14:solidFill>
                          <w14:schemeClr w14:val="tx1"/>
                        </w14:solidFill>
                      </w14:textFill>
                    </w:rPr>
                    <w:t>00</w:t>
                  </w:r>
                </w:p>
              </w:tc>
              <w:tc>
                <w:tcPr>
                  <w:tcW w:w="992" w:type="dxa"/>
                  <w:vAlign w:val="center"/>
                </w:tcPr>
                <w:p w14:paraId="35B24315">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成型切坯工序</w:t>
                  </w:r>
                </w:p>
              </w:tc>
              <w:tc>
                <w:tcPr>
                  <w:tcW w:w="709" w:type="dxa"/>
                  <w:vAlign w:val="center"/>
                </w:tcPr>
                <w:p w14:paraId="600122F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3104CA93">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654986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4" w:type="dxa"/>
                  <w:vAlign w:val="center"/>
                </w:tcPr>
                <w:p w14:paraId="4DCEA79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074" w:type="dxa"/>
                  <w:vAlign w:val="center"/>
                </w:tcPr>
                <w:p w14:paraId="5FA9B5A2">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废砖</w:t>
                  </w:r>
                </w:p>
              </w:tc>
              <w:tc>
                <w:tcPr>
                  <w:tcW w:w="709" w:type="dxa"/>
                  <w:vAlign w:val="center"/>
                </w:tcPr>
                <w:p w14:paraId="177238E8">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59" w:type="dxa"/>
                  <w:vAlign w:val="center"/>
                </w:tcPr>
                <w:p w14:paraId="67CC37F8">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900-099-S59</w:t>
                  </w:r>
                </w:p>
              </w:tc>
              <w:tc>
                <w:tcPr>
                  <w:tcW w:w="851" w:type="dxa"/>
                  <w:vAlign w:val="center"/>
                </w:tcPr>
                <w:p w14:paraId="2CD6AF03">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18</w:t>
                  </w:r>
                  <w:r>
                    <w:rPr>
                      <w:rFonts w:hint="eastAsia" w:ascii="Times New Roman" w:hAnsi="Times New Roman"/>
                      <w:color w:val="000000" w:themeColor="text1"/>
                      <w:sz w:val="21"/>
                      <w:szCs w:val="21"/>
                      <w:highlight w:val="none"/>
                      <w14:textFill>
                        <w14:solidFill>
                          <w14:schemeClr w14:val="tx1"/>
                        </w14:solidFill>
                      </w14:textFill>
                    </w:rPr>
                    <w:t>00</w:t>
                  </w:r>
                </w:p>
              </w:tc>
              <w:tc>
                <w:tcPr>
                  <w:tcW w:w="992" w:type="dxa"/>
                  <w:vAlign w:val="center"/>
                </w:tcPr>
                <w:p w14:paraId="20DDD85C">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检验工序</w:t>
                  </w:r>
                </w:p>
              </w:tc>
              <w:tc>
                <w:tcPr>
                  <w:tcW w:w="709" w:type="dxa"/>
                  <w:vAlign w:val="center"/>
                </w:tcPr>
                <w:p w14:paraId="1BA73FE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4580730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集中收集</w:t>
                  </w:r>
                  <w:r>
                    <w:rPr>
                      <w:rFonts w:hint="eastAsia"/>
                      <w:bCs/>
                      <w:color w:val="000000" w:themeColor="text1"/>
                      <w:szCs w:val="21"/>
                      <w:highlight w:val="none"/>
                      <w14:textFill>
                        <w14:solidFill>
                          <w14:schemeClr w14:val="tx1"/>
                        </w14:solidFill>
                      </w14:textFill>
                    </w:rPr>
                    <w:t>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r>
            <w:tr w14:paraId="616412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464" w:type="dxa"/>
                  <w:vAlign w:val="center"/>
                </w:tcPr>
                <w:p w14:paraId="20A386F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074" w:type="dxa"/>
                  <w:vAlign w:val="center"/>
                </w:tcPr>
                <w:p w14:paraId="751E4C5F">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除尘灰</w:t>
                  </w:r>
                </w:p>
              </w:tc>
              <w:tc>
                <w:tcPr>
                  <w:tcW w:w="709" w:type="dxa"/>
                  <w:vAlign w:val="center"/>
                </w:tcPr>
                <w:p w14:paraId="3DDB57F1">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59" w:type="dxa"/>
                  <w:vAlign w:val="center"/>
                </w:tcPr>
                <w:p w14:paraId="0587C67B">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900-099-S59</w:t>
                  </w:r>
                </w:p>
              </w:tc>
              <w:tc>
                <w:tcPr>
                  <w:tcW w:w="851" w:type="dxa"/>
                  <w:vAlign w:val="center"/>
                </w:tcPr>
                <w:p w14:paraId="507241FA">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45.94</w:t>
                  </w:r>
                </w:p>
              </w:tc>
              <w:tc>
                <w:tcPr>
                  <w:tcW w:w="992" w:type="dxa"/>
                  <w:vMerge w:val="restart"/>
                  <w:vAlign w:val="center"/>
                </w:tcPr>
                <w:p w14:paraId="400D3590">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布袋除尘器</w:t>
                  </w:r>
                </w:p>
              </w:tc>
              <w:tc>
                <w:tcPr>
                  <w:tcW w:w="709" w:type="dxa"/>
                  <w:vAlign w:val="center"/>
                </w:tcPr>
                <w:p w14:paraId="79DAA300">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1FB3919B">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5E5A1A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64" w:type="dxa"/>
                  <w:vAlign w:val="center"/>
                </w:tcPr>
                <w:p w14:paraId="25FA70A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p>
              </w:tc>
              <w:tc>
                <w:tcPr>
                  <w:tcW w:w="1074" w:type="dxa"/>
                  <w:vAlign w:val="center"/>
                </w:tcPr>
                <w:p w14:paraId="1E400F73">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废滤袋</w:t>
                  </w:r>
                </w:p>
              </w:tc>
              <w:tc>
                <w:tcPr>
                  <w:tcW w:w="709" w:type="dxa"/>
                  <w:vAlign w:val="center"/>
                </w:tcPr>
                <w:p w14:paraId="600E626F">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59" w:type="dxa"/>
                  <w:vAlign w:val="center"/>
                </w:tcPr>
                <w:p w14:paraId="35EBA1FC">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900-009-S59</w:t>
                  </w:r>
                </w:p>
              </w:tc>
              <w:tc>
                <w:tcPr>
                  <w:tcW w:w="851" w:type="dxa"/>
                  <w:vAlign w:val="center"/>
                </w:tcPr>
                <w:p w14:paraId="3A76F361">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0.5</w:t>
                  </w:r>
                </w:p>
              </w:tc>
              <w:tc>
                <w:tcPr>
                  <w:tcW w:w="992" w:type="dxa"/>
                  <w:vMerge w:val="continue"/>
                  <w:vAlign w:val="center"/>
                </w:tcPr>
                <w:p w14:paraId="0F36E998">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09" w:type="dxa"/>
                  <w:vAlign w:val="center"/>
                </w:tcPr>
                <w:p w14:paraId="7049FAB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78EC2A61">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集中收集</w:t>
                  </w:r>
                  <w:r>
                    <w:rPr>
                      <w:rFonts w:hint="eastAsia"/>
                      <w:bCs/>
                      <w:color w:val="000000" w:themeColor="text1"/>
                      <w:szCs w:val="21"/>
                      <w:highlight w:val="none"/>
                      <w14:textFill>
                        <w14:solidFill>
                          <w14:schemeClr w14:val="tx1"/>
                        </w14:solidFill>
                      </w14:textFill>
                    </w:rPr>
                    <w:t>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r>
            <w:tr w14:paraId="0CE21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4" w:type="dxa"/>
                  <w:vAlign w:val="center"/>
                </w:tcPr>
                <w:p w14:paraId="69025A9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p>
              </w:tc>
              <w:tc>
                <w:tcPr>
                  <w:tcW w:w="1074" w:type="dxa"/>
                  <w:vAlign w:val="center"/>
                </w:tcPr>
                <w:p w14:paraId="40B7258B">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脱硫石膏</w:t>
                  </w:r>
                </w:p>
              </w:tc>
              <w:tc>
                <w:tcPr>
                  <w:tcW w:w="709" w:type="dxa"/>
                  <w:vAlign w:val="center"/>
                </w:tcPr>
                <w:p w14:paraId="6732CE9E">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06</w:t>
                  </w:r>
                </w:p>
              </w:tc>
              <w:tc>
                <w:tcPr>
                  <w:tcW w:w="1259" w:type="dxa"/>
                  <w:vAlign w:val="center"/>
                </w:tcPr>
                <w:p w14:paraId="065ED97A">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900-099-S06</w:t>
                  </w:r>
                </w:p>
              </w:tc>
              <w:tc>
                <w:tcPr>
                  <w:tcW w:w="851" w:type="dxa"/>
                  <w:vAlign w:val="center"/>
                </w:tcPr>
                <w:p w14:paraId="104582EB">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1410</w:t>
                  </w:r>
                </w:p>
              </w:tc>
              <w:tc>
                <w:tcPr>
                  <w:tcW w:w="992" w:type="dxa"/>
                  <w:vMerge w:val="restart"/>
                  <w:vAlign w:val="center"/>
                </w:tcPr>
                <w:p w14:paraId="101EFA97">
                  <w:pPr>
                    <w:spacing w:line="28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脱硫</w:t>
                  </w:r>
                  <w:r>
                    <w:rPr>
                      <w:rFonts w:hint="eastAsia"/>
                      <w:bCs/>
                      <w:color w:val="000000" w:themeColor="text1"/>
                      <w:szCs w:val="21"/>
                      <w:highlight w:val="none"/>
                      <w14:textFill>
                        <w14:solidFill>
                          <w14:schemeClr w14:val="tx1"/>
                        </w14:solidFill>
                      </w14:textFill>
                    </w:rPr>
                    <w:t>除尘设施</w:t>
                  </w:r>
                </w:p>
              </w:tc>
              <w:tc>
                <w:tcPr>
                  <w:tcW w:w="709" w:type="dxa"/>
                  <w:vAlign w:val="center"/>
                </w:tcPr>
                <w:p w14:paraId="05A73D7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50361775">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6FC79C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4" w:type="dxa"/>
                  <w:vAlign w:val="center"/>
                </w:tcPr>
                <w:p w14:paraId="01C3F96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p>
              </w:tc>
              <w:tc>
                <w:tcPr>
                  <w:tcW w:w="1074" w:type="dxa"/>
                  <w:vAlign w:val="center"/>
                </w:tcPr>
                <w:p w14:paraId="338E39FF">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除尘灰浆</w:t>
                  </w:r>
                </w:p>
              </w:tc>
              <w:tc>
                <w:tcPr>
                  <w:tcW w:w="709" w:type="dxa"/>
                  <w:vAlign w:val="center"/>
                </w:tcPr>
                <w:p w14:paraId="28A3B08C">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59" w:type="dxa"/>
                  <w:vAlign w:val="center"/>
                </w:tcPr>
                <w:p w14:paraId="490B8009">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900-099-S59</w:t>
                  </w:r>
                </w:p>
              </w:tc>
              <w:tc>
                <w:tcPr>
                  <w:tcW w:w="851" w:type="dxa"/>
                  <w:vAlign w:val="center"/>
                </w:tcPr>
                <w:p w14:paraId="6C07C320">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198.28</w:t>
                  </w:r>
                </w:p>
              </w:tc>
              <w:tc>
                <w:tcPr>
                  <w:tcW w:w="992" w:type="dxa"/>
                  <w:vMerge w:val="continue"/>
                  <w:vAlign w:val="center"/>
                </w:tcPr>
                <w:p w14:paraId="4564F0B4">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709" w:type="dxa"/>
                  <w:vAlign w:val="center"/>
                </w:tcPr>
                <w:p w14:paraId="36FCB057">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18F48226">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r>
            <w:tr w14:paraId="140DC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4" w:type="dxa"/>
                  <w:vAlign w:val="center"/>
                </w:tcPr>
                <w:p w14:paraId="24B316E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w:t>
                  </w:r>
                </w:p>
              </w:tc>
              <w:tc>
                <w:tcPr>
                  <w:tcW w:w="1074" w:type="dxa"/>
                  <w:vAlign w:val="center"/>
                </w:tcPr>
                <w:p w14:paraId="70256D5D">
                  <w:pPr>
                    <w:spacing w:line="280" w:lineRule="exact"/>
                    <w:ind w:left="-105" w:leftChars="-50" w:right="-105" w:rightChars="-50" w:firstLine="10" w:firstLineChars="5"/>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废包装袋</w:t>
                  </w:r>
                </w:p>
              </w:tc>
              <w:tc>
                <w:tcPr>
                  <w:tcW w:w="709" w:type="dxa"/>
                  <w:vAlign w:val="center"/>
                </w:tcPr>
                <w:p w14:paraId="58DCAB7C">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17</w:t>
                  </w:r>
                </w:p>
              </w:tc>
              <w:tc>
                <w:tcPr>
                  <w:tcW w:w="1259" w:type="dxa"/>
                  <w:vAlign w:val="center"/>
                </w:tcPr>
                <w:p w14:paraId="3FDA47AA">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900-003-S17</w:t>
                  </w:r>
                </w:p>
              </w:tc>
              <w:tc>
                <w:tcPr>
                  <w:tcW w:w="851" w:type="dxa"/>
                  <w:vAlign w:val="center"/>
                </w:tcPr>
                <w:p w14:paraId="2721AF1B">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0.</w:t>
                  </w:r>
                  <w:r>
                    <w:rPr>
                      <w:rFonts w:hint="eastAsia" w:ascii="Times New Roman" w:hAnsi="Times New Roman"/>
                      <w:color w:val="000000" w:themeColor="text1"/>
                      <w:sz w:val="21"/>
                      <w:szCs w:val="21"/>
                      <w:highlight w:val="none"/>
                      <w:lang w:val="en-US" w:eastAsia="zh-CN"/>
                      <w14:textFill>
                        <w14:solidFill>
                          <w14:schemeClr w14:val="tx1"/>
                        </w14:solidFill>
                      </w14:textFill>
                    </w:rPr>
                    <w:t>1</w:t>
                  </w:r>
                  <w:r>
                    <w:rPr>
                      <w:rFonts w:hint="eastAsia" w:ascii="Times New Roman" w:hAnsi="Times New Roman"/>
                      <w:color w:val="000000" w:themeColor="text1"/>
                      <w:sz w:val="21"/>
                      <w:szCs w:val="21"/>
                      <w:highlight w:val="none"/>
                      <w14:textFill>
                        <w14:solidFill>
                          <w14:schemeClr w14:val="tx1"/>
                        </w14:solidFill>
                      </w14:textFill>
                    </w:rPr>
                    <w:t>5</w:t>
                  </w:r>
                </w:p>
              </w:tc>
              <w:tc>
                <w:tcPr>
                  <w:tcW w:w="992" w:type="dxa"/>
                  <w:vAlign w:val="center"/>
                </w:tcPr>
                <w:p w14:paraId="16CC28B0">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脱硫脱硝工序</w:t>
                  </w:r>
                </w:p>
              </w:tc>
              <w:tc>
                <w:tcPr>
                  <w:tcW w:w="709" w:type="dxa"/>
                  <w:vAlign w:val="center"/>
                </w:tcPr>
                <w:p w14:paraId="76DB807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0B4FCE1C">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集中收集暂存于生产车间一般固废暂存区，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r>
            <w:tr w14:paraId="35493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4" w:type="dxa"/>
                  <w:vAlign w:val="center"/>
                </w:tcPr>
                <w:p w14:paraId="455EED6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w:t>
                  </w:r>
                </w:p>
              </w:tc>
              <w:tc>
                <w:tcPr>
                  <w:tcW w:w="1074" w:type="dxa"/>
                  <w:vAlign w:val="center"/>
                </w:tcPr>
                <w:p w14:paraId="0771BB60">
                  <w:pPr>
                    <w:spacing w:line="280" w:lineRule="exact"/>
                    <w:ind w:left="-105" w:leftChars="-50" w:right="-105" w:rightChars="-50" w:firstLine="10" w:firstLineChars="5"/>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污泥</w:t>
                  </w:r>
                </w:p>
              </w:tc>
              <w:tc>
                <w:tcPr>
                  <w:tcW w:w="709" w:type="dxa"/>
                  <w:vAlign w:val="center"/>
                </w:tcPr>
                <w:p w14:paraId="26B57148">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07</w:t>
                  </w:r>
                </w:p>
              </w:tc>
              <w:tc>
                <w:tcPr>
                  <w:tcW w:w="1259" w:type="dxa"/>
                  <w:vAlign w:val="center"/>
                </w:tcPr>
                <w:p w14:paraId="398B8D09">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900-099-S07</w:t>
                  </w:r>
                </w:p>
              </w:tc>
              <w:tc>
                <w:tcPr>
                  <w:tcW w:w="851" w:type="dxa"/>
                  <w:vAlign w:val="center"/>
                </w:tcPr>
                <w:p w14:paraId="14DB01A3">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45</w:t>
                  </w:r>
                </w:p>
              </w:tc>
              <w:tc>
                <w:tcPr>
                  <w:tcW w:w="992" w:type="dxa"/>
                  <w:vAlign w:val="center"/>
                </w:tcPr>
                <w:p w14:paraId="65376822">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洗车平台</w:t>
                  </w:r>
                </w:p>
              </w:tc>
              <w:tc>
                <w:tcPr>
                  <w:tcW w:w="709" w:type="dxa"/>
                  <w:vAlign w:val="center"/>
                </w:tcPr>
                <w:p w14:paraId="39E69F1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2710" w:type="dxa"/>
                  <w:vAlign w:val="center"/>
                </w:tcPr>
                <w:p w14:paraId="12399B3E">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定期清理，回用于生产</w:t>
                  </w:r>
                </w:p>
              </w:tc>
            </w:tr>
          </w:tbl>
          <w:p w14:paraId="40515DC5">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生产车间设</w:t>
            </w:r>
            <w:r>
              <w:rPr>
                <w:rFonts w:hAnsi="宋体"/>
                <w:color w:val="000000" w:themeColor="text1"/>
                <w:spacing w:val="-4"/>
                <w:sz w:val="24"/>
                <w:highlight w:val="none"/>
                <w14:textFill>
                  <w14:solidFill>
                    <w14:schemeClr w14:val="tx1"/>
                  </w14:solidFill>
                </w14:textFill>
              </w:rPr>
              <w:t>固废专用贮存场所</w:t>
            </w:r>
            <w:r>
              <w:rPr>
                <w:rFonts w:hint="eastAsia" w:hAnsi="宋体"/>
                <w:color w:val="000000" w:themeColor="text1"/>
                <w:spacing w:val="-4"/>
                <w:sz w:val="24"/>
                <w:highlight w:val="none"/>
                <w14:textFill>
                  <w14:solidFill>
                    <w14:schemeClr w14:val="tx1"/>
                  </w14:solidFill>
                </w14:textFill>
              </w:rPr>
              <w:t>（成品车间内50m</w:t>
            </w:r>
            <w:r>
              <w:rPr>
                <w:rFonts w:hint="eastAsia" w:hAnsi="宋体"/>
                <w:color w:val="000000" w:themeColor="text1"/>
                <w:spacing w:val="-4"/>
                <w:sz w:val="24"/>
                <w:highlight w:val="none"/>
                <w:vertAlign w:val="superscript"/>
                <w14:textFill>
                  <w14:solidFill>
                    <w14:schemeClr w14:val="tx1"/>
                  </w14:solidFill>
                </w14:textFill>
              </w:rPr>
              <w:t>2</w:t>
            </w:r>
            <w:r>
              <w:rPr>
                <w:rFonts w:hint="eastAsia" w:hAnsi="宋体"/>
                <w:bCs/>
                <w:color w:val="000000" w:themeColor="text1"/>
                <w:spacing w:val="-4"/>
                <w:sz w:val="24"/>
                <w:highlight w:val="none"/>
                <w14:textFill>
                  <w14:solidFill>
                    <w14:schemeClr w14:val="tx1"/>
                  </w14:solidFill>
                </w14:textFill>
              </w:rPr>
              <w:t>，最大贮存量50t</w:t>
            </w:r>
            <w:r>
              <w:rPr>
                <w:rFonts w:hint="eastAsia" w:hAnsi="宋体"/>
                <w:color w:val="000000" w:themeColor="text1"/>
                <w:spacing w:val="-4"/>
                <w:sz w:val="24"/>
                <w:highlight w:val="none"/>
                <w14:textFill>
                  <w14:solidFill>
                    <w14:schemeClr w14:val="tx1"/>
                  </w14:solidFill>
                </w14:textFill>
              </w:rPr>
              <w:t>）。</w:t>
            </w:r>
            <w:r>
              <w:rPr>
                <w:rFonts w:hint="eastAsia" w:hAnsi="宋体"/>
                <w:bCs/>
                <w:color w:val="000000" w:themeColor="text1"/>
                <w:spacing w:val="-4"/>
                <w:sz w:val="24"/>
                <w:highlight w:val="none"/>
                <w14:textFill>
                  <w14:solidFill>
                    <w14:schemeClr w14:val="tx1"/>
                  </w14:solidFill>
                </w14:textFill>
              </w:rPr>
              <w:t>一般固废贮存场所</w:t>
            </w:r>
            <w:r>
              <w:rPr>
                <w:rFonts w:hAnsi="宋体"/>
                <w:bCs/>
                <w:color w:val="000000" w:themeColor="text1"/>
                <w:spacing w:val="-4"/>
                <w:sz w:val="24"/>
                <w:highlight w:val="none"/>
                <w14:textFill>
                  <w14:solidFill>
                    <w14:schemeClr w14:val="tx1"/>
                  </w14:solidFill>
                </w14:textFill>
              </w:rPr>
              <w:t>具备防风、防雨、防淋溶措施，设置相应标识。一般固体废物定期处置。</w:t>
            </w:r>
            <w:r>
              <w:rPr>
                <w:rFonts w:hint="eastAsia" w:hAnsi="宋体"/>
                <w:bCs/>
                <w:color w:val="000000" w:themeColor="text1"/>
                <w:spacing w:val="-4"/>
                <w:sz w:val="24"/>
                <w:highlight w:val="none"/>
                <w14:textFill>
                  <w14:solidFill>
                    <w14:schemeClr w14:val="tx1"/>
                  </w14:solidFill>
                </w14:textFill>
              </w:rPr>
              <w:t>一般固废贮存场所</w:t>
            </w:r>
            <w:r>
              <w:rPr>
                <w:rFonts w:hAnsi="宋体"/>
                <w:bCs/>
                <w:color w:val="000000" w:themeColor="text1"/>
                <w:spacing w:val="-4"/>
                <w:sz w:val="24"/>
                <w:highlight w:val="none"/>
                <w14:textFill>
                  <w14:solidFill>
                    <w14:schemeClr w14:val="tx1"/>
                  </w14:solidFill>
                </w14:textFill>
              </w:rPr>
              <w:t>（设施）基本情况表</w:t>
            </w:r>
            <w:r>
              <w:rPr>
                <w:rFonts w:hint="eastAsia" w:hAnsi="宋体"/>
                <w:bCs/>
                <w:color w:val="000000" w:themeColor="text1"/>
                <w:spacing w:val="-4"/>
                <w:sz w:val="24"/>
                <w:highlight w:val="none"/>
                <w14:textFill>
                  <w14:solidFill>
                    <w14:schemeClr w14:val="tx1"/>
                  </w14:solidFill>
                </w14:textFill>
              </w:rPr>
              <w:t>见表4-14。</w:t>
            </w:r>
          </w:p>
          <w:p w14:paraId="2DC85955">
            <w:pPr>
              <w:spacing w:line="480" w:lineRule="exact"/>
              <w:ind w:firstLine="1257" w:firstLineChars="542"/>
              <w:jc w:val="left"/>
              <w:rPr>
                <w:rFonts w:ascii="黑体" w:hAnsi="黑体" w:eastAsia="黑体"/>
                <w:bCs/>
                <w:color w:val="000000" w:themeColor="text1"/>
                <w:spacing w:val="-4"/>
                <w:sz w:val="24"/>
                <w:highlight w:val="none"/>
                <w14:textFill>
                  <w14:solidFill>
                    <w14:schemeClr w14:val="tx1"/>
                  </w14:solidFill>
                </w14:textFill>
              </w:rPr>
            </w:pPr>
            <w:r>
              <w:rPr>
                <w:rFonts w:ascii="黑体" w:hAnsi="黑体" w:eastAsia="黑体"/>
                <w:bCs/>
                <w:color w:val="000000" w:themeColor="text1"/>
                <w:spacing w:val="-4"/>
                <w:sz w:val="24"/>
                <w:highlight w:val="none"/>
                <w14:textFill>
                  <w14:solidFill>
                    <w14:schemeClr w14:val="tx1"/>
                  </w14:solidFill>
                </w14:textFill>
              </w:rPr>
              <w:t>表4-</w:t>
            </w:r>
            <w:r>
              <w:rPr>
                <w:rFonts w:hint="eastAsia" w:ascii="黑体" w:hAnsi="黑体" w:eastAsia="黑体"/>
                <w:bCs/>
                <w:color w:val="000000" w:themeColor="text1"/>
                <w:spacing w:val="-4"/>
                <w:sz w:val="24"/>
                <w:highlight w:val="none"/>
                <w14:textFill>
                  <w14:solidFill>
                    <w14:schemeClr w14:val="tx1"/>
                  </w14:solidFill>
                </w14:textFill>
              </w:rPr>
              <w:t>14</w:t>
            </w:r>
            <w:r>
              <w:rPr>
                <w:rFonts w:ascii="黑体" w:hAnsi="黑体" w:eastAsia="黑体"/>
                <w:bCs/>
                <w:color w:val="000000" w:themeColor="text1"/>
                <w:spacing w:val="-4"/>
                <w:sz w:val="24"/>
                <w:highlight w:val="none"/>
                <w14:textFill>
                  <w14:solidFill>
                    <w14:schemeClr w14:val="tx1"/>
                  </w14:solidFill>
                </w14:textFill>
              </w:rPr>
              <w:t xml:space="preserve">    </w:t>
            </w:r>
            <w:r>
              <w:rPr>
                <w:rFonts w:hint="eastAsia" w:ascii="黑体" w:hAnsi="黑体" w:eastAsia="黑体"/>
                <w:bCs/>
                <w:color w:val="000000" w:themeColor="text1"/>
                <w:spacing w:val="-4"/>
                <w:sz w:val="24"/>
                <w:highlight w:val="none"/>
                <w14:textFill>
                  <w14:solidFill>
                    <w14:schemeClr w14:val="tx1"/>
                  </w14:solidFill>
                </w14:textFill>
              </w:rPr>
              <w:t xml:space="preserve">   </w:t>
            </w:r>
            <w:r>
              <w:rPr>
                <w:rFonts w:ascii="黑体" w:hAnsi="黑体" w:eastAsia="黑体"/>
                <w:bCs/>
                <w:color w:val="000000" w:themeColor="text1"/>
                <w:spacing w:val="-4"/>
                <w:sz w:val="24"/>
                <w:highlight w:val="none"/>
                <w14:textFill>
                  <w14:solidFill>
                    <w14:schemeClr w14:val="tx1"/>
                  </w14:solidFill>
                </w14:textFill>
              </w:rPr>
              <w:t>项目</w:t>
            </w:r>
            <w:r>
              <w:rPr>
                <w:rFonts w:hint="eastAsia" w:ascii="黑体" w:hAnsi="黑体" w:eastAsia="黑体"/>
                <w:bCs/>
                <w:color w:val="000000" w:themeColor="text1"/>
                <w:spacing w:val="-4"/>
                <w:sz w:val="24"/>
                <w:highlight w:val="none"/>
                <w14:textFill>
                  <w14:solidFill>
                    <w14:schemeClr w14:val="tx1"/>
                  </w14:solidFill>
                </w14:textFill>
              </w:rPr>
              <w:t>一般固废</w:t>
            </w:r>
            <w:r>
              <w:rPr>
                <w:rFonts w:ascii="黑体" w:hAnsi="黑体" w:eastAsia="黑体"/>
                <w:bCs/>
                <w:color w:val="000000" w:themeColor="text1"/>
                <w:spacing w:val="-4"/>
                <w:sz w:val="24"/>
                <w:highlight w:val="none"/>
                <w14:textFill>
                  <w14:solidFill>
                    <w14:schemeClr w14:val="tx1"/>
                  </w14:solidFill>
                </w14:textFill>
              </w:rPr>
              <w:t>贮存场所（设施）基本情况表</w:t>
            </w:r>
          </w:p>
          <w:tbl>
            <w:tblPr>
              <w:tblStyle w:val="24"/>
              <w:tblW w:w="86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138"/>
              <w:gridCol w:w="1557"/>
              <w:gridCol w:w="708"/>
              <w:gridCol w:w="1276"/>
              <w:gridCol w:w="851"/>
              <w:gridCol w:w="850"/>
              <w:gridCol w:w="1134"/>
              <w:gridCol w:w="649"/>
            </w:tblGrid>
            <w:tr w14:paraId="59F2A8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dxa"/>
                  <w:vAlign w:val="center"/>
                </w:tcPr>
                <w:p w14:paraId="5C803857">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序号</w:t>
                  </w:r>
                </w:p>
              </w:tc>
              <w:tc>
                <w:tcPr>
                  <w:tcW w:w="1138" w:type="dxa"/>
                  <w:vAlign w:val="center"/>
                </w:tcPr>
                <w:p w14:paraId="2FA1FAE9">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贮存场所</w:t>
                  </w:r>
                </w:p>
                <w:p w14:paraId="00AF487D">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（设施）名称</w:t>
                  </w:r>
                </w:p>
              </w:tc>
              <w:tc>
                <w:tcPr>
                  <w:tcW w:w="1557" w:type="dxa"/>
                  <w:vAlign w:val="center"/>
                </w:tcPr>
                <w:p w14:paraId="13A1E95D">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一般固废</w:t>
                  </w:r>
                  <w:r>
                    <w:rPr>
                      <w:color w:val="000000" w:themeColor="text1"/>
                      <w:kern w:val="0"/>
                      <w:szCs w:val="21"/>
                      <w:highlight w:val="none"/>
                      <w14:textFill>
                        <w14:solidFill>
                          <w14:schemeClr w14:val="tx1"/>
                        </w14:solidFill>
                      </w14:textFill>
                    </w:rPr>
                    <w:t>名称</w:t>
                  </w:r>
                </w:p>
              </w:tc>
              <w:tc>
                <w:tcPr>
                  <w:tcW w:w="708" w:type="dxa"/>
                  <w:vAlign w:val="center"/>
                </w:tcPr>
                <w:p w14:paraId="2CFFB091">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废物</w:t>
                  </w:r>
                </w:p>
                <w:p w14:paraId="57FA96A3">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种类</w:t>
                  </w:r>
                </w:p>
              </w:tc>
              <w:tc>
                <w:tcPr>
                  <w:tcW w:w="1276" w:type="dxa"/>
                  <w:vAlign w:val="center"/>
                </w:tcPr>
                <w:p w14:paraId="40F4A037">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废物代码</w:t>
                  </w:r>
                </w:p>
              </w:tc>
              <w:tc>
                <w:tcPr>
                  <w:tcW w:w="851" w:type="dxa"/>
                  <w:tcBorders>
                    <w:bottom w:val="single" w:color="auto" w:sz="4" w:space="0"/>
                  </w:tcBorders>
                  <w:vAlign w:val="center"/>
                </w:tcPr>
                <w:p w14:paraId="24B9EC4D">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产生量</w:t>
                  </w:r>
                </w:p>
                <w:p w14:paraId="7779B8AC">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（t/a）</w:t>
                  </w:r>
                </w:p>
              </w:tc>
              <w:tc>
                <w:tcPr>
                  <w:tcW w:w="850" w:type="dxa"/>
                  <w:tcBorders>
                    <w:bottom w:val="single" w:color="auto" w:sz="4" w:space="0"/>
                  </w:tcBorders>
                  <w:vAlign w:val="center"/>
                </w:tcPr>
                <w:p w14:paraId="63D0163B">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占地面积</w:t>
                  </w:r>
                </w:p>
              </w:tc>
              <w:tc>
                <w:tcPr>
                  <w:tcW w:w="1134" w:type="dxa"/>
                  <w:tcBorders>
                    <w:bottom w:val="single" w:color="auto" w:sz="4" w:space="0"/>
                  </w:tcBorders>
                  <w:vAlign w:val="center"/>
                </w:tcPr>
                <w:p w14:paraId="6272842E">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位置</w:t>
                  </w:r>
                </w:p>
              </w:tc>
              <w:tc>
                <w:tcPr>
                  <w:tcW w:w="649" w:type="dxa"/>
                  <w:tcBorders>
                    <w:bottom w:val="single" w:color="auto" w:sz="4" w:space="0"/>
                  </w:tcBorders>
                  <w:vAlign w:val="center"/>
                </w:tcPr>
                <w:p w14:paraId="41B5E18E">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贮存</w:t>
                  </w:r>
                </w:p>
                <w:p w14:paraId="6F0CD223">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能力</w:t>
                  </w:r>
                </w:p>
              </w:tc>
            </w:tr>
            <w:tr w14:paraId="07996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dxa"/>
                  <w:vAlign w:val="center"/>
                </w:tcPr>
                <w:p w14:paraId="659D8843">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1</w:t>
                  </w:r>
                </w:p>
              </w:tc>
              <w:tc>
                <w:tcPr>
                  <w:tcW w:w="1138" w:type="dxa"/>
                  <w:vMerge w:val="restart"/>
                  <w:vAlign w:val="center"/>
                </w:tcPr>
                <w:p w14:paraId="3D8B0AD2">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一般固废区</w:t>
                  </w:r>
                </w:p>
              </w:tc>
              <w:tc>
                <w:tcPr>
                  <w:tcW w:w="1557" w:type="dxa"/>
                  <w:vAlign w:val="center"/>
                </w:tcPr>
                <w:p w14:paraId="791C2BC6">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废砖</w:t>
                  </w:r>
                </w:p>
              </w:tc>
              <w:tc>
                <w:tcPr>
                  <w:tcW w:w="708" w:type="dxa"/>
                  <w:vAlign w:val="center"/>
                </w:tcPr>
                <w:p w14:paraId="136CB9FE">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76" w:type="dxa"/>
                  <w:vAlign w:val="center"/>
                </w:tcPr>
                <w:p w14:paraId="1EA69032">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900-099-S59</w:t>
                  </w:r>
                </w:p>
              </w:tc>
              <w:tc>
                <w:tcPr>
                  <w:tcW w:w="851" w:type="dxa"/>
                  <w:vAlign w:val="center"/>
                </w:tcPr>
                <w:p w14:paraId="4D41543B">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18</w:t>
                  </w:r>
                  <w:r>
                    <w:rPr>
                      <w:rFonts w:hint="eastAsia" w:ascii="Times New Roman" w:hAnsi="Times New Roman"/>
                      <w:color w:val="000000" w:themeColor="text1"/>
                      <w:sz w:val="21"/>
                      <w:szCs w:val="21"/>
                      <w:highlight w:val="none"/>
                      <w14:textFill>
                        <w14:solidFill>
                          <w14:schemeClr w14:val="tx1"/>
                        </w14:solidFill>
                      </w14:textFill>
                    </w:rPr>
                    <w:t>00</w:t>
                  </w:r>
                </w:p>
              </w:tc>
              <w:tc>
                <w:tcPr>
                  <w:tcW w:w="850" w:type="dxa"/>
                  <w:vMerge w:val="restart"/>
                  <w:vAlign w:val="center"/>
                </w:tcPr>
                <w:p w14:paraId="06CF1233">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50</w:t>
                  </w:r>
                  <w:r>
                    <w:rPr>
                      <w:color w:val="000000" w:themeColor="text1"/>
                      <w:kern w:val="0"/>
                      <w:szCs w:val="21"/>
                      <w:highlight w:val="none"/>
                      <w14:textFill>
                        <w14:solidFill>
                          <w14:schemeClr w14:val="tx1"/>
                        </w14:solidFill>
                      </w14:textFill>
                    </w:rPr>
                    <w:t>m</w:t>
                  </w:r>
                  <w:r>
                    <w:rPr>
                      <w:color w:val="000000" w:themeColor="text1"/>
                      <w:kern w:val="0"/>
                      <w:szCs w:val="21"/>
                      <w:highlight w:val="none"/>
                      <w:vertAlign w:val="superscript"/>
                      <w14:textFill>
                        <w14:solidFill>
                          <w14:schemeClr w14:val="tx1"/>
                        </w14:solidFill>
                      </w14:textFill>
                    </w:rPr>
                    <w:t>2</w:t>
                  </w:r>
                </w:p>
              </w:tc>
              <w:tc>
                <w:tcPr>
                  <w:tcW w:w="1134" w:type="dxa"/>
                  <w:vMerge w:val="restart"/>
                  <w:vAlign w:val="center"/>
                </w:tcPr>
                <w:p w14:paraId="538D058B">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成品车间</w:t>
                  </w:r>
                </w:p>
              </w:tc>
              <w:tc>
                <w:tcPr>
                  <w:tcW w:w="649" w:type="dxa"/>
                  <w:vMerge w:val="restart"/>
                  <w:vAlign w:val="center"/>
                </w:tcPr>
                <w:p w14:paraId="05482515">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50</w:t>
                  </w:r>
                  <w:r>
                    <w:rPr>
                      <w:color w:val="000000" w:themeColor="text1"/>
                      <w:kern w:val="0"/>
                      <w:szCs w:val="21"/>
                      <w:highlight w:val="none"/>
                      <w14:textFill>
                        <w14:solidFill>
                          <w14:schemeClr w14:val="tx1"/>
                        </w14:solidFill>
                      </w14:textFill>
                    </w:rPr>
                    <w:t>t</w:t>
                  </w:r>
                </w:p>
              </w:tc>
            </w:tr>
            <w:tr w14:paraId="231A3C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dxa"/>
                  <w:vAlign w:val="center"/>
                </w:tcPr>
                <w:p w14:paraId="75D63D42">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2</w:t>
                  </w:r>
                </w:p>
              </w:tc>
              <w:tc>
                <w:tcPr>
                  <w:tcW w:w="1138" w:type="dxa"/>
                  <w:vMerge w:val="continue"/>
                  <w:vAlign w:val="center"/>
                </w:tcPr>
                <w:p w14:paraId="233AE2FE">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p>
              </w:tc>
              <w:tc>
                <w:tcPr>
                  <w:tcW w:w="1557" w:type="dxa"/>
                  <w:vAlign w:val="center"/>
                </w:tcPr>
                <w:p w14:paraId="49E14DAB">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废滤袋</w:t>
                  </w:r>
                </w:p>
              </w:tc>
              <w:tc>
                <w:tcPr>
                  <w:tcW w:w="708" w:type="dxa"/>
                  <w:vAlign w:val="center"/>
                </w:tcPr>
                <w:p w14:paraId="300DFF8B">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59</w:t>
                  </w:r>
                </w:p>
              </w:tc>
              <w:tc>
                <w:tcPr>
                  <w:tcW w:w="1276" w:type="dxa"/>
                  <w:vAlign w:val="center"/>
                </w:tcPr>
                <w:p w14:paraId="1F6B73BC">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900-009-S59</w:t>
                  </w:r>
                </w:p>
              </w:tc>
              <w:tc>
                <w:tcPr>
                  <w:tcW w:w="851" w:type="dxa"/>
                  <w:vAlign w:val="center"/>
                </w:tcPr>
                <w:p w14:paraId="0D0B516B">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0.5</w:t>
                  </w:r>
                </w:p>
              </w:tc>
              <w:tc>
                <w:tcPr>
                  <w:tcW w:w="850" w:type="dxa"/>
                  <w:vMerge w:val="continue"/>
                  <w:vAlign w:val="center"/>
                </w:tcPr>
                <w:p w14:paraId="75577190">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p>
              </w:tc>
              <w:tc>
                <w:tcPr>
                  <w:tcW w:w="1134" w:type="dxa"/>
                  <w:vMerge w:val="continue"/>
                  <w:vAlign w:val="center"/>
                </w:tcPr>
                <w:p w14:paraId="6858A1D5">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649" w:type="dxa"/>
                  <w:vMerge w:val="continue"/>
                  <w:vAlign w:val="center"/>
                </w:tcPr>
                <w:p w14:paraId="37D9F181">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p>
              </w:tc>
            </w:tr>
            <w:tr w14:paraId="6C3F89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dxa"/>
                  <w:vAlign w:val="center"/>
                </w:tcPr>
                <w:p w14:paraId="1B5F8118">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3</w:t>
                  </w:r>
                </w:p>
              </w:tc>
              <w:tc>
                <w:tcPr>
                  <w:tcW w:w="1138" w:type="dxa"/>
                  <w:vMerge w:val="continue"/>
                  <w:vAlign w:val="center"/>
                </w:tcPr>
                <w:p w14:paraId="5CC57CA4">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p>
              </w:tc>
              <w:tc>
                <w:tcPr>
                  <w:tcW w:w="1557" w:type="dxa"/>
                  <w:vAlign w:val="center"/>
                </w:tcPr>
                <w:p w14:paraId="4D59A7A6">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废包装袋</w:t>
                  </w:r>
                </w:p>
              </w:tc>
              <w:tc>
                <w:tcPr>
                  <w:tcW w:w="708" w:type="dxa"/>
                  <w:vAlign w:val="center"/>
                </w:tcPr>
                <w:p w14:paraId="0BB3F902">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ascii="Times New Roman" w:hAnsi="Times New Roman"/>
                      <w:bCs/>
                      <w:color w:val="000000" w:themeColor="text1"/>
                      <w:sz w:val="21"/>
                      <w:szCs w:val="21"/>
                      <w:highlight w:val="none"/>
                      <w14:textFill>
                        <w14:solidFill>
                          <w14:schemeClr w14:val="tx1"/>
                        </w14:solidFill>
                      </w14:textFill>
                    </w:rPr>
                    <w:t>SW</w:t>
                  </w:r>
                  <w:r>
                    <w:rPr>
                      <w:rFonts w:hint="eastAsia" w:ascii="Times New Roman" w:hAnsi="Times New Roman"/>
                      <w:bCs/>
                      <w:color w:val="000000" w:themeColor="text1"/>
                      <w:sz w:val="21"/>
                      <w:szCs w:val="21"/>
                      <w:highlight w:val="none"/>
                      <w14:textFill>
                        <w14:solidFill>
                          <w14:schemeClr w14:val="tx1"/>
                        </w14:solidFill>
                      </w14:textFill>
                    </w:rPr>
                    <w:t>17</w:t>
                  </w:r>
                </w:p>
              </w:tc>
              <w:tc>
                <w:tcPr>
                  <w:tcW w:w="1276" w:type="dxa"/>
                  <w:vAlign w:val="center"/>
                </w:tcPr>
                <w:p w14:paraId="5E793CA4">
                  <w:pPr>
                    <w:pStyle w:val="20"/>
                    <w:snapToGrid w:val="0"/>
                    <w:spacing w:before="0" w:beforeAutospacing="0" w:after="0" w:afterAutospacing="0" w:line="280" w:lineRule="exact"/>
                    <w:ind w:left="-105" w:leftChars="-50" w:right="-105" w:rightChars="-50"/>
                    <w:jc w:val="center"/>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bCs/>
                      <w:color w:val="000000" w:themeColor="text1"/>
                      <w:sz w:val="21"/>
                      <w:szCs w:val="21"/>
                      <w:highlight w:val="none"/>
                      <w14:textFill>
                        <w14:solidFill>
                          <w14:schemeClr w14:val="tx1"/>
                        </w14:solidFill>
                      </w14:textFill>
                    </w:rPr>
                    <w:t>900-003-S17</w:t>
                  </w:r>
                </w:p>
              </w:tc>
              <w:tc>
                <w:tcPr>
                  <w:tcW w:w="851" w:type="dxa"/>
                  <w:vAlign w:val="center"/>
                </w:tcPr>
                <w:p w14:paraId="242333C4">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0.</w:t>
                  </w:r>
                  <w:r>
                    <w:rPr>
                      <w:rFonts w:hint="eastAsia" w:ascii="Times New Roman" w:hAnsi="Times New Roman"/>
                      <w:color w:val="000000" w:themeColor="text1"/>
                      <w:sz w:val="21"/>
                      <w:szCs w:val="21"/>
                      <w:highlight w:val="none"/>
                      <w:lang w:val="en-US" w:eastAsia="zh-CN"/>
                      <w14:textFill>
                        <w14:solidFill>
                          <w14:schemeClr w14:val="tx1"/>
                        </w14:solidFill>
                      </w14:textFill>
                    </w:rPr>
                    <w:t>1</w:t>
                  </w:r>
                  <w:r>
                    <w:rPr>
                      <w:rFonts w:hint="eastAsia" w:ascii="Times New Roman" w:hAnsi="Times New Roman"/>
                      <w:color w:val="000000" w:themeColor="text1"/>
                      <w:sz w:val="21"/>
                      <w:szCs w:val="21"/>
                      <w:highlight w:val="none"/>
                      <w14:textFill>
                        <w14:solidFill>
                          <w14:schemeClr w14:val="tx1"/>
                        </w14:solidFill>
                      </w14:textFill>
                    </w:rPr>
                    <w:t>5</w:t>
                  </w:r>
                </w:p>
              </w:tc>
              <w:tc>
                <w:tcPr>
                  <w:tcW w:w="850" w:type="dxa"/>
                  <w:vMerge w:val="continue"/>
                  <w:vAlign w:val="center"/>
                </w:tcPr>
                <w:p w14:paraId="24C5F26C">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p>
              </w:tc>
              <w:tc>
                <w:tcPr>
                  <w:tcW w:w="1134" w:type="dxa"/>
                  <w:vMerge w:val="continue"/>
                  <w:vAlign w:val="center"/>
                </w:tcPr>
                <w:p w14:paraId="47736BA4">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649" w:type="dxa"/>
                  <w:vMerge w:val="continue"/>
                  <w:vAlign w:val="center"/>
                </w:tcPr>
                <w:p w14:paraId="78C516E8">
                  <w:pPr>
                    <w:topLinePunct/>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p>
              </w:tc>
            </w:tr>
          </w:tbl>
          <w:p w14:paraId="5328B7C7">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固废</w:t>
            </w:r>
            <w:r>
              <w:rPr>
                <w:rFonts w:hint="eastAsia" w:hAnsi="宋体"/>
                <w:color w:val="000000" w:themeColor="text1"/>
                <w:spacing w:val="-4"/>
                <w:sz w:val="24"/>
                <w:highlight w:val="none"/>
                <w14:textFill>
                  <w14:solidFill>
                    <w14:schemeClr w14:val="tx1"/>
                  </w14:solidFill>
                </w14:textFill>
              </w:rPr>
              <w:t>集中收集，妥善处置</w:t>
            </w:r>
            <w:r>
              <w:rPr>
                <w:rFonts w:hAnsi="宋体"/>
                <w:color w:val="000000" w:themeColor="text1"/>
                <w:spacing w:val="-4"/>
                <w:sz w:val="24"/>
                <w:highlight w:val="none"/>
                <w14:textFill>
                  <w14:solidFill>
                    <w14:schemeClr w14:val="tx1"/>
                  </w14:solidFill>
                </w14:textFill>
              </w:rPr>
              <w:t>，对环境影响较小。</w:t>
            </w:r>
            <w:r>
              <w:rPr>
                <w:rFonts w:hint="eastAsia" w:hAnsi="宋体"/>
                <w:color w:val="000000" w:themeColor="text1"/>
                <w:spacing w:val="-4"/>
                <w:sz w:val="24"/>
                <w:highlight w:val="none"/>
                <w14:textFill>
                  <w14:solidFill>
                    <w14:schemeClr w14:val="tx1"/>
                  </w14:solidFill>
                </w14:textFill>
              </w:rPr>
              <w:t>一般固废贮存、处理满足《中华人民共和国固体废物污染环境防治法》、《河北省固体废物污染环境防治条例（2022）》、《排污许可证申请与核发技术规范 工业固体废物（试行）》（</w:t>
            </w:r>
            <w:r>
              <w:rPr>
                <w:rFonts w:hAnsi="宋体"/>
                <w:color w:val="000000" w:themeColor="text1"/>
                <w:spacing w:val="-4"/>
                <w:sz w:val="24"/>
                <w:highlight w:val="none"/>
                <w14:textFill>
                  <w14:solidFill>
                    <w14:schemeClr w14:val="tx1"/>
                  </w14:solidFill>
                </w14:textFill>
              </w:rPr>
              <w:t>HJ</w:t>
            </w:r>
            <w:r>
              <w:rPr>
                <w:rFonts w:hint="eastAsia" w:hAnsi="宋体"/>
                <w:color w:val="000000" w:themeColor="text1"/>
                <w:spacing w:val="-4"/>
                <w:sz w:val="24"/>
                <w:highlight w:val="none"/>
                <w14:textFill>
                  <w14:solidFill>
                    <w14:schemeClr w14:val="tx1"/>
                  </w14:solidFill>
                </w14:textFill>
              </w:rPr>
              <w:t>1200</w:t>
            </w:r>
            <w:r>
              <w:rPr>
                <w:rFonts w:hAnsi="宋体"/>
                <w:color w:val="000000" w:themeColor="text1"/>
                <w:spacing w:val="-4"/>
                <w:sz w:val="24"/>
                <w:highlight w:val="none"/>
                <w14:textFill>
                  <w14:solidFill>
                    <w14:schemeClr w14:val="tx1"/>
                  </w14:solidFill>
                </w14:textFill>
              </w:rPr>
              <w:t>-</w:t>
            </w:r>
            <w:r>
              <w:rPr>
                <w:rFonts w:hint="eastAsia" w:hAnsi="宋体"/>
                <w:color w:val="000000" w:themeColor="text1"/>
                <w:spacing w:val="-4"/>
                <w:sz w:val="24"/>
                <w:highlight w:val="none"/>
                <w14:textFill>
                  <w14:solidFill>
                    <w14:schemeClr w14:val="tx1"/>
                  </w14:solidFill>
                </w14:textFill>
              </w:rPr>
              <w:t>2021）等相关要求。</w:t>
            </w:r>
          </w:p>
          <w:p w14:paraId="722C8B9E">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⑵危险废物</w:t>
            </w:r>
            <w:r>
              <w:rPr>
                <w:rFonts w:hint="eastAsia" w:hAnsi="宋体"/>
                <w:color w:val="000000" w:themeColor="text1"/>
                <w:spacing w:val="-4"/>
                <w:sz w:val="24"/>
                <w:highlight w:val="none"/>
                <w14:textFill>
                  <w14:solidFill>
                    <w14:schemeClr w14:val="tx1"/>
                  </w14:solidFill>
                </w14:textFill>
              </w:rPr>
              <w:t>：</w:t>
            </w:r>
          </w:p>
          <w:p w14:paraId="31955937">
            <w:pPr>
              <w:spacing w:line="480" w:lineRule="exact"/>
              <w:ind w:firstLine="480"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设备维修保养废润滑油</w:t>
            </w:r>
            <w:r>
              <w:rPr>
                <w:rFonts w:hAnsi="宋体"/>
                <w:color w:val="000000" w:themeColor="text1"/>
                <w:sz w:val="24"/>
                <w:highlight w:val="none"/>
                <w14:textFill>
                  <w14:solidFill>
                    <w14:schemeClr w14:val="tx1"/>
                  </w14:solidFill>
                </w14:textFill>
              </w:rPr>
              <w:t>产生量为</w:t>
            </w:r>
            <w:r>
              <w:rPr>
                <w:rFonts w:hint="eastAsia" w:hAnsi="宋体"/>
                <w:color w:val="000000" w:themeColor="text1"/>
                <w:sz w:val="24"/>
                <w:highlight w:val="none"/>
                <w14:textFill>
                  <w14:solidFill>
                    <w14:schemeClr w14:val="tx1"/>
                  </w14:solidFill>
                </w14:textFill>
              </w:rPr>
              <w:t>用量的10%-20%，环评取最大值20%计为0.</w:t>
            </w:r>
            <w:r>
              <w:rPr>
                <w:rFonts w:hint="eastAsia" w:hAnsi="宋体"/>
                <w:color w:val="000000" w:themeColor="text1"/>
                <w:sz w:val="24"/>
                <w:highlight w:val="none"/>
                <w:lang w:val="en-US" w:eastAsia="zh-CN"/>
                <w14:textFill>
                  <w14:solidFill>
                    <w14:schemeClr w14:val="tx1"/>
                  </w14:solidFill>
                </w14:textFill>
              </w:rPr>
              <w:t>6</w:t>
            </w:r>
            <w:r>
              <w:rPr>
                <w:rFonts w:hAnsi="宋体"/>
                <w:color w:val="000000" w:themeColor="text1"/>
                <w:sz w:val="24"/>
                <w:highlight w:val="none"/>
                <w14:textFill>
                  <w14:solidFill>
                    <w14:schemeClr w14:val="tx1"/>
                  </w14:solidFill>
                </w14:textFill>
              </w:rPr>
              <w:t>t/a</w:t>
            </w:r>
            <w:r>
              <w:rPr>
                <w:rFonts w:hint="eastAsia" w:hAnsi="宋体"/>
                <w:color w:val="000000" w:themeColor="text1"/>
                <w:sz w:val="24"/>
                <w:highlight w:val="none"/>
                <w14:textFill>
                  <w14:solidFill>
                    <w14:schemeClr w14:val="tx1"/>
                  </w14:solidFill>
                </w14:textFill>
              </w:rPr>
              <w:t>，废油桶产生量0.</w:t>
            </w:r>
            <w:r>
              <w:rPr>
                <w:rFonts w:hint="eastAsia" w:hAnsi="宋体"/>
                <w:color w:val="000000" w:themeColor="text1"/>
                <w:sz w:val="24"/>
                <w:highlight w:val="none"/>
                <w:lang w:val="en-US" w:eastAsia="zh-CN"/>
                <w14:textFill>
                  <w14:solidFill>
                    <w14:schemeClr w14:val="tx1"/>
                  </w14:solidFill>
                </w14:textFill>
              </w:rPr>
              <w:t>3</w:t>
            </w:r>
            <w:r>
              <w:rPr>
                <w:rFonts w:hint="eastAsia" w:hAnsi="宋体"/>
                <w:color w:val="000000" w:themeColor="text1"/>
                <w:sz w:val="24"/>
                <w:highlight w:val="none"/>
                <w14:textFill>
                  <w14:solidFill>
                    <w14:schemeClr w14:val="tx1"/>
                  </w14:solidFill>
                </w14:textFill>
              </w:rPr>
              <w:t>t/a，恶臭治理设施产生废活性炭</w:t>
            </w:r>
            <w:r>
              <w:rPr>
                <w:rFonts w:hint="eastAsia" w:hAnsi="宋体"/>
                <w:color w:val="000000" w:themeColor="text1"/>
                <w:sz w:val="24"/>
                <w:highlight w:val="none"/>
                <w:lang w:val="en-US" w:eastAsia="zh-CN"/>
                <w14:textFill>
                  <w14:solidFill>
                    <w14:schemeClr w14:val="tx1"/>
                  </w14:solidFill>
                </w14:textFill>
              </w:rPr>
              <w:t>2</w:t>
            </w:r>
            <w:r>
              <w:rPr>
                <w:rFonts w:hAnsi="宋体"/>
                <w:color w:val="000000" w:themeColor="text1"/>
                <w:sz w:val="24"/>
                <w:highlight w:val="none"/>
                <w14:textFill>
                  <w14:solidFill>
                    <w14:schemeClr w14:val="tx1"/>
                  </w14:solidFill>
                </w14:textFill>
              </w:rPr>
              <w:t xml:space="preserve"> t/a</w:t>
            </w:r>
            <w:r>
              <w:rPr>
                <w:rFonts w:hint="eastAsia" w:hAnsi="宋体"/>
                <w:color w:val="000000" w:themeColor="text1"/>
                <w:sz w:val="24"/>
                <w:highlight w:val="none"/>
                <w14:textFill>
                  <w14:solidFill>
                    <w14:schemeClr w14:val="tx1"/>
                  </w14:solidFill>
                </w14:textFill>
              </w:rPr>
              <w:t>，铲车定期需要更换电池，约8年更换一次，</w:t>
            </w:r>
            <w:r>
              <w:rPr>
                <w:rFonts w:hint="eastAsia" w:hAnsi="宋体"/>
                <w:color w:val="000000" w:themeColor="text1"/>
                <w:sz w:val="24"/>
                <w:highlight w:val="none"/>
                <w:lang w:val="en-US" w:eastAsia="zh-CN"/>
                <w14:textFill>
                  <w14:solidFill>
                    <w14:schemeClr w14:val="tx1"/>
                  </w14:solidFill>
                </w14:textFill>
              </w:rPr>
              <w:t>直接去厂区外社会单位进行更换，不在厂区存储</w:t>
            </w:r>
            <w:r>
              <w:rPr>
                <w:rFonts w:hint="eastAsia" w:hAnsi="宋体"/>
                <w:color w:val="000000" w:themeColor="text1"/>
                <w:sz w:val="24"/>
                <w:highlight w:val="none"/>
                <w14:textFill>
                  <w14:solidFill>
                    <w14:schemeClr w14:val="tx1"/>
                  </w14:solidFill>
                </w14:textFill>
              </w:rPr>
              <w:t>。</w:t>
            </w:r>
            <w:r>
              <w:rPr>
                <w:rFonts w:hAnsi="宋体"/>
                <w:color w:val="000000" w:themeColor="text1"/>
                <w:spacing w:val="-4"/>
                <w:sz w:val="24"/>
                <w:highlight w:val="none"/>
                <w14:textFill>
                  <w14:solidFill>
                    <w14:schemeClr w14:val="tx1"/>
                  </w14:solidFill>
                </w14:textFill>
              </w:rPr>
              <w:t>根据《国家危险废物名录</w:t>
            </w:r>
            <w:r>
              <w:rPr>
                <w:rFonts w:hint="eastAsia" w:hAnsi="宋体"/>
                <w:color w:val="000000" w:themeColor="text1"/>
                <w:spacing w:val="-4"/>
                <w:sz w:val="24"/>
                <w:highlight w:val="none"/>
                <w14:textFill>
                  <w14:solidFill>
                    <w14:schemeClr w14:val="tx1"/>
                  </w14:solidFill>
                </w14:textFill>
              </w:rPr>
              <w:t>（2025版）</w:t>
            </w:r>
            <w:r>
              <w:rPr>
                <w:rFonts w:hAnsi="宋体"/>
                <w:color w:val="000000" w:themeColor="text1"/>
                <w:spacing w:val="-4"/>
                <w:sz w:val="24"/>
                <w:highlight w:val="none"/>
                <w14:textFill>
                  <w14:solidFill>
                    <w14:schemeClr w14:val="tx1"/>
                  </w14:solidFill>
                </w14:textFill>
              </w:rPr>
              <w:t>》，</w:t>
            </w:r>
            <w:r>
              <w:rPr>
                <w:rFonts w:hint="eastAsia" w:hAnsi="宋体"/>
                <w:color w:val="000000" w:themeColor="text1"/>
                <w:spacing w:val="-4"/>
                <w:sz w:val="24"/>
                <w:highlight w:val="none"/>
                <w14:textFill>
                  <w14:solidFill>
                    <w14:schemeClr w14:val="tx1"/>
                  </w14:solidFill>
                </w14:textFill>
              </w:rPr>
              <w:t>项目产生的</w:t>
            </w:r>
            <w:r>
              <w:rPr>
                <w:rFonts w:hint="eastAsia" w:hAnsi="宋体"/>
                <w:color w:val="000000" w:themeColor="text1"/>
                <w:sz w:val="24"/>
                <w:highlight w:val="none"/>
                <w14:textFill>
                  <w14:solidFill>
                    <w14:schemeClr w14:val="tx1"/>
                  </w14:solidFill>
                </w14:textFill>
              </w:rPr>
              <w:t>废润滑油</w:t>
            </w:r>
            <w:r>
              <w:rPr>
                <w:rFonts w:hint="eastAsia" w:hAnsi="宋体"/>
                <w:color w:val="000000" w:themeColor="text1"/>
                <w:spacing w:val="-4"/>
                <w:sz w:val="24"/>
                <w:highlight w:val="none"/>
                <w14:textFill>
                  <w14:solidFill>
                    <w14:schemeClr w14:val="tx1"/>
                  </w14:solidFill>
                </w14:textFill>
              </w:rPr>
              <w:t>（</w:t>
            </w:r>
            <w:r>
              <w:rPr>
                <w:rFonts w:hAnsi="宋体"/>
                <w:color w:val="000000" w:themeColor="text1"/>
                <w:spacing w:val="-4"/>
                <w:sz w:val="24"/>
                <w:highlight w:val="none"/>
                <w14:textFill>
                  <w14:solidFill>
                    <w14:schemeClr w14:val="tx1"/>
                  </w14:solidFill>
                </w14:textFill>
              </w:rPr>
              <w:t>HW</w:t>
            </w:r>
            <w:r>
              <w:rPr>
                <w:rFonts w:hint="eastAsia" w:hAnsi="宋体"/>
                <w:color w:val="000000" w:themeColor="text1"/>
                <w:spacing w:val="-4"/>
                <w:sz w:val="24"/>
                <w:highlight w:val="none"/>
                <w14:textFill>
                  <w14:solidFill>
                    <w14:schemeClr w14:val="tx1"/>
                  </w14:solidFill>
                </w14:textFill>
              </w:rPr>
              <w:t>08）、废油桶（</w:t>
            </w:r>
            <w:r>
              <w:rPr>
                <w:rFonts w:hAnsi="宋体"/>
                <w:color w:val="000000" w:themeColor="text1"/>
                <w:spacing w:val="-4"/>
                <w:sz w:val="24"/>
                <w:highlight w:val="none"/>
                <w14:textFill>
                  <w14:solidFill>
                    <w14:schemeClr w14:val="tx1"/>
                  </w14:solidFill>
                </w14:textFill>
              </w:rPr>
              <w:t>HW</w:t>
            </w:r>
            <w:r>
              <w:rPr>
                <w:rFonts w:hint="eastAsia" w:hAnsi="宋体"/>
                <w:color w:val="000000" w:themeColor="text1"/>
                <w:spacing w:val="-4"/>
                <w:sz w:val="24"/>
                <w:highlight w:val="none"/>
                <w14:textFill>
                  <w14:solidFill>
                    <w14:schemeClr w14:val="tx1"/>
                  </w14:solidFill>
                </w14:textFill>
              </w:rPr>
              <w:t>08）、废活性炭（</w:t>
            </w:r>
            <w:r>
              <w:rPr>
                <w:rFonts w:hAnsi="宋体"/>
                <w:color w:val="000000" w:themeColor="text1"/>
                <w:spacing w:val="-4"/>
                <w:sz w:val="24"/>
                <w:highlight w:val="none"/>
                <w14:textFill>
                  <w14:solidFill>
                    <w14:schemeClr w14:val="tx1"/>
                  </w14:solidFill>
                </w14:textFill>
              </w:rPr>
              <w:t>HW</w:t>
            </w:r>
            <w:r>
              <w:rPr>
                <w:rFonts w:hint="eastAsia" w:hAnsi="宋体"/>
                <w:color w:val="000000" w:themeColor="text1"/>
                <w:spacing w:val="-4"/>
                <w:sz w:val="24"/>
                <w:highlight w:val="none"/>
                <w14:textFill>
                  <w14:solidFill>
                    <w14:schemeClr w14:val="tx1"/>
                  </w14:solidFill>
                </w14:textFill>
              </w:rPr>
              <w:t>49）、废电池（HW31）</w:t>
            </w:r>
            <w:r>
              <w:rPr>
                <w:rFonts w:hAnsi="宋体"/>
                <w:color w:val="000000" w:themeColor="text1"/>
                <w:spacing w:val="-4"/>
                <w:sz w:val="24"/>
                <w:highlight w:val="none"/>
                <w14:textFill>
                  <w14:solidFill>
                    <w14:schemeClr w14:val="tx1"/>
                  </w14:solidFill>
                </w14:textFill>
              </w:rPr>
              <w:t>属于危险废物，暂存</w:t>
            </w:r>
            <w:r>
              <w:rPr>
                <w:rFonts w:hint="eastAsia" w:hAnsi="宋体"/>
                <w:color w:val="000000" w:themeColor="text1"/>
                <w:spacing w:val="-4"/>
                <w:sz w:val="24"/>
                <w:highlight w:val="none"/>
                <w14:textFill>
                  <w14:solidFill>
                    <w14:schemeClr w14:val="tx1"/>
                  </w14:solidFill>
                </w14:textFill>
              </w:rPr>
              <w:t>于现有危废间</w:t>
            </w:r>
            <w:r>
              <w:rPr>
                <w:rFonts w:hAnsi="宋体"/>
                <w:color w:val="000000" w:themeColor="text1"/>
                <w:spacing w:val="-4"/>
                <w:sz w:val="24"/>
                <w:highlight w:val="none"/>
                <w14:textFill>
                  <w14:solidFill>
                    <w14:schemeClr w14:val="tx1"/>
                  </w14:solidFill>
                </w14:textFill>
              </w:rPr>
              <w:t>，</w:t>
            </w:r>
            <w:r>
              <w:rPr>
                <w:rFonts w:hint="eastAsia" w:hAnsi="宋体"/>
                <w:color w:val="000000" w:themeColor="text1"/>
                <w:spacing w:val="-4"/>
                <w:sz w:val="24"/>
                <w:highlight w:val="none"/>
                <w14:textFill>
                  <w14:solidFill>
                    <w14:schemeClr w14:val="tx1"/>
                  </w14:solidFill>
                </w14:textFill>
              </w:rPr>
              <w:t>交有资质单位</w:t>
            </w:r>
            <w:r>
              <w:rPr>
                <w:rFonts w:hAnsi="宋体"/>
                <w:color w:val="000000" w:themeColor="text1"/>
                <w:spacing w:val="-4"/>
                <w:sz w:val="24"/>
                <w:highlight w:val="none"/>
                <w14:textFill>
                  <w14:solidFill>
                    <w14:schemeClr w14:val="tx1"/>
                  </w14:solidFill>
                </w14:textFill>
              </w:rPr>
              <w:t>进行妥善处置。</w:t>
            </w:r>
          </w:p>
          <w:p w14:paraId="01068983">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ⅰ</w:t>
            </w:r>
            <w:r>
              <w:rPr>
                <w:rFonts w:hAnsi="宋体"/>
                <w:color w:val="000000" w:themeColor="text1"/>
                <w:spacing w:val="-4"/>
                <w:sz w:val="24"/>
                <w:highlight w:val="none"/>
                <w14:textFill>
                  <w14:solidFill>
                    <w14:schemeClr w14:val="tx1"/>
                  </w14:solidFill>
                </w14:textFill>
              </w:rPr>
              <w:t>企业危险废物产生情况</w:t>
            </w:r>
          </w:p>
          <w:p w14:paraId="0EC73E99">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根据《建设项目危险废物环境影响评价指南》，本项目危险废物汇总表见表4-15。</w:t>
            </w:r>
          </w:p>
          <w:p w14:paraId="08FC3FF4">
            <w:pPr>
              <w:spacing w:line="480" w:lineRule="exact"/>
              <w:ind w:firstLine="1373" w:firstLineChars="592"/>
              <w:jc w:val="left"/>
              <w:rPr>
                <w:rFonts w:ascii="黑体" w:hAnsi="黑体" w:eastAsia="黑体"/>
                <w:color w:val="000000" w:themeColor="text1"/>
                <w:spacing w:val="-4"/>
                <w:sz w:val="24"/>
                <w:highlight w:val="none"/>
                <w14:textFill>
                  <w14:solidFill>
                    <w14:schemeClr w14:val="tx1"/>
                  </w14:solidFill>
                </w14:textFill>
              </w:rPr>
            </w:pPr>
            <w:r>
              <w:rPr>
                <w:rFonts w:ascii="黑体" w:hAnsi="黑体" w:eastAsia="黑体"/>
                <w:bCs/>
                <w:color w:val="000000" w:themeColor="text1"/>
                <w:spacing w:val="-4"/>
                <w:sz w:val="24"/>
                <w:highlight w:val="none"/>
                <w14:textFill>
                  <w14:solidFill>
                    <w14:schemeClr w14:val="tx1"/>
                  </w14:solidFill>
                </w14:textFill>
              </w:rPr>
              <w:t>表</w:t>
            </w:r>
            <w:r>
              <w:rPr>
                <w:rFonts w:hint="eastAsia" w:ascii="黑体" w:hAnsi="黑体" w:eastAsia="黑体"/>
                <w:bCs/>
                <w:color w:val="000000" w:themeColor="text1"/>
                <w:spacing w:val="-4"/>
                <w:sz w:val="24"/>
                <w:highlight w:val="none"/>
                <w14:textFill>
                  <w14:solidFill>
                    <w14:schemeClr w14:val="tx1"/>
                  </w14:solidFill>
                </w14:textFill>
              </w:rPr>
              <w:t>4-15</w:t>
            </w:r>
            <w:r>
              <w:rPr>
                <w:rFonts w:ascii="黑体" w:hAnsi="黑体" w:eastAsia="黑体"/>
                <w:bCs/>
                <w:color w:val="000000" w:themeColor="text1"/>
                <w:spacing w:val="-4"/>
                <w:sz w:val="24"/>
                <w:highlight w:val="none"/>
                <w14:textFill>
                  <w14:solidFill>
                    <w14:schemeClr w14:val="tx1"/>
                  </w14:solidFill>
                </w14:textFill>
              </w:rPr>
              <w:t xml:space="preserve">        </w:t>
            </w:r>
            <w:r>
              <w:rPr>
                <w:rFonts w:hint="eastAsia" w:ascii="黑体" w:hAnsi="黑体" w:eastAsia="黑体"/>
                <w:bCs/>
                <w:color w:val="000000" w:themeColor="text1"/>
                <w:spacing w:val="-4"/>
                <w:sz w:val="24"/>
                <w:highlight w:val="none"/>
                <w14:textFill>
                  <w14:solidFill>
                    <w14:schemeClr w14:val="tx1"/>
                  </w14:solidFill>
                </w14:textFill>
              </w:rPr>
              <w:t xml:space="preserve"> </w:t>
            </w:r>
            <w:r>
              <w:rPr>
                <w:rFonts w:ascii="黑体" w:hAnsi="黑体" w:eastAsia="黑体"/>
                <w:bCs/>
                <w:color w:val="000000" w:themeColor="text1"/>
                <w:spacing w:val="-4"/>
                <w:sz w:val="24"/>
                <w:highlight w:val="none"/>
                <w14:textFill>
                  <w14:solidFill>
                    <w14:schemeClr w14:val="tx1"/>
                  </w14:solidFill>
                </w14:textFill>
              </w:rPr>
              <w:t xml:space="preserve">  </w:t>
            </w:r>
            <w:r>
              <w:rPr>
                <w:rFonts w:hint="eastAsia" w:ascii="黑体" w:hAnsi="黑体" w:eastAsia="黑体"/>
                <w:bCs/>
                <w:color w:val="000000" w:themeColor="text1"/>
                <w:spacing w:val="-4"/>
                <w:sz w:val="24"/>
                <w:highlight w:val="none"/>
                <w14:textFill>
                  <w14:solidFill>
                    <w14:schemeClr w14:val="tx1"/>
                  </w14:solidFill>
                </w14:textFill>
              </w:rPr>
              <w:t xml:space="preserve">  项目</w:t>
            </w:r>
            <w:r>
              <w:rPr>
                <w:rFonts w:hint="eastAsia" w:ascii="黑体" w:hAnsi="黑体" w:eastAsia="黑体"/>
                <w:color w:val="000000" w:themeColor="text1"/>
                <w:spacing w:val="-4"/>
                <w:sz w:val="24"/>
                <w:highlight w:val="none"/>
                <w14:textFill>
                  <w14:solidFill>
                    <w14:schemeClr w14:val="tx1"/>
                  </w14:solidFill>
                </w14:textFill>
              </w:rPr>
              <w:t>危险废物汇总</w:t>
            </w:r>
            <w:r>
              <w:rPr>
                <w:rFonts w:ascii="黑体" w:hAnsi="黑体" w:eastAsia="黑体"/>
                <w:color w:val="000000" w:themeColor="text1"/>
                <w:spacing w:val="-4"/>
                <w:sz w:val="24"/>
                <w:highlight w:val="none"/>
                <w14:textFill>
                  <w14:solidFill>
                    <w14:schemeClr w14:val="tx1"/>
                  </w14:solidFill>
                </w14:textFill>
              </w:rPr>
              <w:t>表</w:t>
            </w:r>
          </w:p>
          <w:tbl>
            <w:tblPr>
              <w:tblStyle w:val="2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3"/>
              <w:gridCol w:w="826"/>
              <w:gridCol w:w="742"/>
              <w:gridCol w:w="959"/>
              <w:gridCol w:w="731"/>
              <w:gridCol w:w="850"/>
              <w:gridCol w:w="545"/>
              <w:gridCol w:w="851"/>
              <w:gridCol w:w="883"/>
              <w:gridCol w:w="2152"/>
            </w:tblGrid>
            <w:tr w14:paraId="5517FC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13" w:type="dxa"/>
                  <w:vAlign w:val="center"/>
                </w:tcPr>
                <w:p w14:paraId="4BF016E8">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序</w:t>
                  </w:r>
                </w:p>
                <w:p w14:paraId="7E3E456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号</w:t>
                  </w:r>
                </w:p>
              </w:tc>
              <w:tc>
                <w:tcPr>
                  <w:tcW w:w="826" w:type="dxa"/>
                  <w:vAlign w:val="center"/>
                </w:tcPr>
                <w:p w14:paraId="61A19ECB">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危险废物名称</w:t>
                  </w:r>
                </w:p>
              </w:tc>
              <w:tc>
                <w:tcPr>
                  <w:tcW w:w="742" w:type="dxa"/>
                  <w:vAlign w:val="center"/>
                </w:tcPr>
                <w:p w14:paraId="5FD68991">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危险废物类别</w:t>
                  </w:r>
                </w:p>
              </w:tc>
              <w:tc>
                <w:tcPr>
                  <w:tcW w:w="959" w:type="dxa"/>
                  <w:vAlign w:val="center"/>
                </w:tcPr>
                <w:p w14:paraId="5CA5578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危险废物代码</w:t>
                  </w:r>
                </w:p>
              </w:tc>
              <w:tc>
                <w:tcPr>
                  <w:tcW w:w="731" w:type="dxa"/>
                  <w:vAlign w:val="center"/>
                </w:tcPr>
                <w:p w14:paraId="52CF7A9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产生量</w:t>
                  </w:r>
                </w:p>
              </w:tc>
              <w:tc>
                <w:tcPr>
                  <w:tcW w:w="850" w:type="dxa"/>
                  <w:vAlign w:val="center"/>
                </w:tcPr>
                <w:p w14:paraId="1931E04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产生工序及装置</w:t>
                  </w:r>
                </w:p>
              </w:tc>
              <w:tc>
                <w:tcPr>
                  <w:tcW w:w="545" w:type="dxa"/>
                  <w:vAlign w:val="center"/>
                </w:tcPr>
                <w:p w14:paraId="0B40A5E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形态</w:t>
                  </w:r>
                </w:p>
              </w:tc>
              <w:tc>
                <w:tcPr>
                  <w:tcW w:w="851" w:type="dxa"/>
                  <w:vAlign w:val="center"/>
                </w:tcPr>
                <w:p w14:paraId="7D1DF1E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主要成分</w:t>
                  </w:r>
                </w:p>
              </w:tc>
              <w:tc>
                <w:tcPr>
                  <w:tcW w:w="883" w:type="dxa"/>
                  <w:vAlign w:val="center"/>
                </w:tcPr>
                <w:p w14:paraId="01F75D2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危险特性</w:t>
                  </w:r>
                </w:p>
              </w:tc>
              <w:tc>
                <w:tcPr>
                  <w:tcW w:w="2152" w:type="dxa"/>
                  <w:vAlign w:val="center"/>
                </w:tcPr>
                <w:p w14:paraId="5939A685">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污染防治措施</w:t>
                  </w:r>
                </w:p>
              </w:tc>
            </w:tr>
            <w:tr w14:paraId="12A418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313" w:type="dxa"/>
                  <w:vAlign w:val="center"/>
                </w:tcPr>
                <w:p w14:paraId="37844B62">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826" w:type="dxa"/>
                  <w:vAlign w:val="center"/>
                </w:tcPr>
                <w:p w14:paraId="66F8C65B">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废润滑油</w:t>
                  </w:r>
                </w:p>
              </w:tc>
              <w:tc>
                <w:tcPr>
                  <w:tcW w:w="742" w:type="dxa"/>
                  <w:vAlign w:val="center"/>
                </w:tcPr>
                <w:p w14:paraId="24AE2C59">
                  <w:pPr>
                    <w:pStyle w:val="20"/>
                    <w:adjustRightInd w:val="0"/>
                    <w:snapToGrid w:val="0"/>
                    <w:spacing w:before="0" w:beforeAutospacing="0" w:after="0" w:afterAutospacing="0" w:line="240" w:lineRule="atLeast"/>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ascii="Times New Roman" w:hAnsi="Times New Roman"/>
                      <w:color w:val="000000" w:themeColor="text1"/>
                      <w:kern w:val="2"/>
                      <w:sz w:val="21"/>
                      <w:szCs w:val="21"/>
                      <w:highlight w:val="none"/>
                      <w14:textFill>
                        <w14:solidFill>
                          <w14:schemeClr w14:val="tx1"/>
                        </w14:solidFill>
                      </w14:textFill>
                    </w:rPr>
                    <w:t>HW</w:t>
                  </w:r>
                  <w:r>
                    <w:rPr>
                      <w:rFonts w:hint="eastAsia" w:ascii="Times New Roman" w:hAnsi="Times New Roman"/>
                      <w:color w:val="000000" w:themeColor="text1"/>
                      <w:kern w:val="2"/>
                      <w:sz w:val="21"/>
                      <w:szCs w:val="21"/>
                      <w:highlight w:val="none"/>
                      <w14:textFill>
                        <w14:solidFill>
                          <w14:schemeClr w14:val="tx1"/>
                        </w14:solidFill>
                      </w14:textFill>
                    </w:rPr>
                    <w:t>08</w:t>
                  </w:r>
                </w:p>
              </w:tc>
              <w:tc>
                <w:tcPr>
                  <w:tcW w:w="959" w:type="dxa"/>
                  <w:vAlign w:val="center"/>
                </w:tcPr>
                <w:p w14:paraId="46D22599">
                  <w:pPr>
                    <w:pStyle w:val="20"/>
                    <w:snapToGrid w:val="0"/>
                    <w:spacing w:before="0" w:beforeAutospacing="0" w:after="0" w:afterAutospacing="0" w:line="240" w:lineRule="atLeast"/>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hint="eastAsia" w:ascii="Times New Roman" w:hAnsi="Times New Roman"/>
                      <w:color w:val="000000" w:themeColor="text1"/>
                      <w:kern w:val="2"/>
                      <w:sz w:val="21"/>
                      <w:szCs w:val="21"/>
                      <w:highlight w:val="none"/>
                      <w14:textFill>
                        <w14:solidFill>
                          <w14:schemeClr w14:val="tx1"/>
                        </w14:solidFill>
                      </w14:textFill>
                    </w:rPr>
                    <w:t>900-217-08</w:t>
                  </w:r>
                </w:p>
              </w:tc>
              <w:tc>
                <w:tcPr>
                  <w:tcW w:w="731" w:type="dxa"/>
                  <w:vAlign w:val="center"/>
                </w:tcPr>
                <w:p w14:paraId="6BB8CE65">
                  <w:pPr>
                    <w:spacing w:line="240" w:lineRule="atLeas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6</w:t>
                  </w:r>
                  <w:r>
                    <w:rPr>
                      <w:rFonts w:hint="eastAsia"/>
                      <w:color w:val="000000" w:themeColor="text1"/>
                      <w:szCs w:val="21"/>
                      <w:highlight w:val="none"/>
                      <w14:textFill>
                        <w14:solidFill>
                          <w14:schemeClr w14:val="tx1"/>
                        </w14:solidFill>
                      </w14:textFill>
                    </w:rPr>
                    <w:t xml:space="preserve"> t/a</w:t>
                  </w:r>
                </w:p>
              </w:tc>
              <w:tc>
                <w:tcPr>
                  <w:tcW w:w="850" w:type="dxa"/>
                  <w:vMerge w:val="restart"/>
                  <w:vAlign w:val="center"/>
                </w:tcPr>
                <w:p w14:paraId="42974914">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设备维修保养</w:t>
                  </w:r>
                </w:p>
              </w:tc>
              <w:tc>
                <w:tcPr>
                  <w:tcW w:w="545" w:type="dxa"/>
                  <w:vAlign w:val="center"/>
                </w:tcPr>
                <w:p w14:paraId="4DD0E343">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液态</w:t>
                  </w:r>
                </w:p>
              </w:tc>
              <w:tc>
                <w:tcPr>
                  <w:tcW w:w="851" w:type="dxa"/>
                  <w:vAlign w:val="center"/>
                </w:tcPr>
                <w:p w14:paraId="31187E7D">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废润滑油</w:t>
                  </w:r>
                </w:p>
              </w:tc>
              <w:tc>
                <w:tcPr>
                  <w:tcW w:w="883" w:type="dxa"/>
                  <w:vAlign w:val="center"/>
                </w:tcPr>
                <w:p w14:paraId="39F211F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毒性、易燃</w:t>
                  </w:r>
                </w:p>
              </w:tc>
              <w:tc>
                <w:tcPr>
                  <w:tcW w:w="2152" w:type="dxa"/>
                  <w:vAlign w:val="center"/>
                </w:tcPr>
                <w:p w14:paraId="2BD111A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采用专用容器贮存，暂存危废间，委托有资质的单位处理</w:t>
                  </w:r>
                </w:p>
              </w:tc>
            </w:tr>
            <w:tr w14:paraId="71BD50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313" w:type="dxa"/>
                  <w:vAlign w:val="center"/>
                </w:tcPr>
                <w:p w14:paraId="3E7E011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826" w:type="dxa"/>
                  <w:vAlign w:val="center"/>
                </w:tcPr>
                <w:p w14:paraId="0DEB48E8">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废油桶</w:t>
                  </w:r>
                </w:p>
              </w:tc>
              <w:tc>
                <w:tcPr>
                  <w:tcW w:w="742" w:type="dxa"/>
                  <w:vAlign w:val="center"/>
                </w:tcPr>
                <w:p w14:paraId="2BBAE881">
                  <w:pPr>
                    <w:pStyle w:val="20"/>
                    <w:adjustRightInd w:val="0"/>
                    <w:snapToGrid w:val="0"/>
                    <w:spacing w:before="0" w:beforeAutospacing="0" w:after="0" w:afterAutospacing="0" w:line="240" w:lineRule="atLeast"/>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ascii="Times New Roman" w:hAnsi="Times New Roman"/>
                      <w:color w:val="000000" w:themeColor="text1"/>
                      <w:kern w:val="2"/>
                      <w:sz w:val="21"/>
                      <w:szCs w:val="21"/>
                      <w:highlight w:val="none"/>
                      <w14:textFill>
                        <w14:solidFill>
                          <w14:schemeClr w14:val="tx1"/>
                        </w14:solidFill>
                      </w14:textFill>
                    </w:rPr>
                    <w:t>HW</w:t>
                  </w:r>
                  <w:r>
                    <w:rPr>
                      <w:rFonts w:hint="eastAsia" w:ascii="Times New Roman" w:hAnsi="Times New Roman"/>
                      <w:color w:val="000000" w:themeColor="text1"/>
                      <w:kern w:val="2"/>
                      <w:sz w:val="21"/>
                      <w:szCs w:val="21"/>
                      <w:highlight w:val="none"/>
                      <w14:textFill>
                        <w14:solidFill>
                          <w14:schemeClr w14:val="tx1"/>
                        </w14:solidFill>
                      </w14:textFill>
                    </w:rPr>
                    <w:t>08</w:t>
                  </w:r>
                </w:p>
              </w:tc>
              <w:tc>
                <w:tcPr>
                  <w:tcW w:w="959" w:type="dxa"/>
                  <w:vAlign w:val="center"/>
                </w:tcPr>
                <w:p w14:paraId="00924F5C">
                  <w:pPr>
                    <w:pStyle w:val="20"/>
                    <w:snapToGrid w:val="0"/>
                    <w:spacing w:before="0" w:beforeAutospacing="0" w:after="0" w:afterAutospacing="0" w:line="240" w:lineRule="atLeast"/>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ascii="Times New Roman" w:hAnsi="Times New Roman"/>
                      <w:color w:val="000000" w:themeColor="text1"/>
                      <w:kern w:val="2"/>
                      <w:sz w:val="21"/>
                      <w:szCs w:val="21"/>
                      <w:highlight w:val="none"/>
                      <w14:textFill>
                        <w14:solidFill>
                          <w14:schemeClr w14:val="tx1"/>
                        </w14:solidFill>
                      </w14:textFill>
                    </w:rPr>
                    <w:t>900-</w:t>
                  </w:r>
                  <w:r>
                    <w:rPr>
                      <w:rFonts w:hint="eastAsia" w:ascii="Times New Roman" w:hAnsi="Times New Roman"/>
                      <w:color w:val="000000" w:themeColor="text1"/>
                      <w:kern w:val="2"/>
                      <w:sz w:val="21"/>
                      <w:szCs w:val="21"/>
                      <w:highlight w:val="none"/>
                      <w14:textFill>
                        <w14:solidFill>
                          <w14:schemeClr w14:val="tx1"/>
                        </w14:solidFill>
                      </w14:textFill>
                    </w:rPr>
                    <w:t>249</w:t>
                  </w:r>
                  <w:r>
                    <w:rPr>
                      <w:rFonts w:ascii="Times New Roman" w:hAnsi="Times New Roman"/>
                      <w:color w:val="000000" w:themeColor="text1"/>
                      <w:kern w:val="2"/>
                      <w:sz w:val="21"/>
                      <w:szCs w:val="21"/>
                      <w:highlight w:val="none"/>
                      <w14:textFill>
                        <w14:solidFill>
                          <w14:schemeClr w14:val="tx1"/>
                        </w14:solidFill>
                      </w14:textFill>
                    </w:rPr>
                    <w:t>-</w:t>
                  </w:r>
                  <w:r>
                    <w:rPr>
                      <w:rFonts w:hint="eastAsia" w:ascii="Times New Roman" w:hAnsi="Times New Roman"/>
                      <w:color w:val="000000" w:themeColor="text1"/>
                      <w:kern w:val="2"/>
                      <w:sz w:val="21"/>
                      <w:szCs w:val="21"/>
                      <w:highlight w:val="none"/>
                      <w14:textFill>
                        <w14:solidFill>
                          <w14:schemeClr w14:val="tx1"/>
                        </w14:solidFill>
                      </w14:textFill>
                    </w:rPr>
                    <w:t>08</w:t>
                  </w:r>
                </w:p>
              </w:tc>
              <w:tc>
                <w:tcPr>
                  <w:tcW w:w="731" w:type="dxa"/>
                  <w:vAlign w:val="center"/>
                </w:tcPr>
                <w:p w14:paraId="167E1A80">
                  <w:pPr>
                    <w:spacing w:line="240" w:lineRule="atLeas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w:t>
                  </w:r>
                  <w:r>
                    <w:rPr>
                      <w:rFonts w:hint="eastAsia"/>
                      <w:color w:val="000000" w:themeColor="text1"/>
                      <w:szCs w:val="21"/>
                      <w:highlight w:val="none"/>
                      <w14:textFill>
                        <w14:solidFill>
                          <w14:schemeClr w14:val="tx1"/>
                        </w14:solidFill>
                      </w14:textFill>
                    </w:rPr>
                    <w:t xml:space="preserve"> t/a</w:t>
                  </w:r>
                </w:p>
              </w:tc>
              <w:tc>
                <w:tcPr>
                  <w:tcW w:w="850" w:type="dxa"/>
                  <w:vMerge w:val="continue"/>
                  <w:vAlign w:val="center"/>
                </w:tcPr>
                <w:p w14:paraId="3FD1F0EA">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45" w:type="dxa"/>
                  <w:vAlign w:val="center"/>
                </w:tcPr>
                <w:p w14:paraId="350DBCC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固态</w:t>
                  </w:r>
                </w:p>
              </w:tc>
              <w:tc>
                <w:tcPr>
                  <w:tcW w:w="851" w:type="dxa"/>
                  <w:vAlign w:val="center"/>
                </w:tcPr>
                <w:p w14:paraId="512C6624">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废润滑油</w:t>
                  </w:r>
                </w:p>
              </w:tc>
              <w:tc>
                <w:tcPr>
                  <w:tcW w:w="883" w:type="dxa"/>
                  <w:vAlign w:val="center"/>
                </w:tcPr>
                <w:p w14:paraId="18F6F05F">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毒性、易燃</w:t>
                  </w:r>
                </w:p>
              </w:tc>
              <w:tc>
                <w:tcPr>
                  <w:tcW w:w="2152" w:type="dxa"/>
                  <w:vAlign w:val="center"/>
                </w:tcPr>
                <w:p w14:paraId="1315BB56">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密封，暂存危废间，委托有资质的单位处理</w:t>
                  </w:r>
                </w:p>
              </w:tc>
            </w:tr>
            <w:tr w14:paraId="08DEBF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313" w:type="dxa"/>
                  <w:vAlign w:val="center"/>
                </w:tcPr>
                <w:p w14:paraId="7F005C4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826" w:type="dxa"/>
                  <w:vAlign w:val="center"/>
                </w:tcPr>
                <w:p w14:paraId="01EC1B87">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废活性炭</w:t>
                  </w:r>
                </w:p>
              </w:tc>
              <w:tc>
                <w:tcPr>
                  <w:tcW w:w="742" w:type="dxa"/>
                  <w:vAlign w:val="center"/>
                </w:tcPr>
                <w:p w14:paraId="4F2FC7DD">
                  <w:pPr>
                    <w:pStyle w:val="20"/>
                    <w:adjustRightInd w:val="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HW49</w:t>
                  </w:r>
                </w:p>
              </w:tc>
              <w:tc>
                <w:tcPr>
                  <w:tcW w:w="959" w:type="dxa"/>
                  <w:vAlign w:val="center"/>
                </w:tcPr>
                <w:p w14:paraId="52DFF098">
                  <w:pPr>
                    <w:pStyle w:val="20"/>
                    <w:snapToGrid w:val="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900-039-49</w:t>
                  </w:r>
                </w:p>
              </w:tc>
              <w:tc>
                <w:tcPr>
                  <w:tcW w:w="731" w:type="dxa"/>
                  <w:vAlign w:val="center"/>
                </w:tcPr>
                <w:p w14:paraId="45125B8E">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 xml:space="preserve"> t/a</w:t>
                  </w:r>
                </w:p>
              </w:tc>
              <w:tc>
                <w:tcPr>
                  <w:tcW w:w="850" w:type="dxa"/>
                  <w:vAlign w:val="center"/>
                </w:tcPr>
                <w:p w14:paraId="71BCC35D">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恶臭治理设施</w:t>
                  </w:r>
                </w:p>
              </w:tc>
              <w:tc>
                <w:tcPr>
                  <w:tcW w:w="545" w:type="dxa"/>
                  <w:vAlign w:val="center"/>
                </w:tcPr>
                <w:p w14:paraId="0C52191A">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固态</w:t>
                  </w:r>
                </w:p>
              </w:tc>
              <w:tc>
                <w:tcPr>
                  <w:tcW w:w="851" w:type="dxa"/>
                  <w:vAlign w:val="center"/>
                </w:tcPr>
                <w:p w14:paraId="627AE9D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氨、硫化氢</w:t>
                  </w:r>
                </w:p>
              </w:tc>
              <w:tc>
                <w:tcPr>
                  <w:tcW w:w="883" w:type="dxa"/>
                  <w:vAlign w:val="center"/>
                </w:tcPr>
                <w:p w14:paraId="4F6F57CB">
                  <w:pPr>
                    <w:widowControl/>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毒性</w:t>
                  </w:r>
                </w:p>
              </w:tc>
              <w:tc>
                <w:tcPr>
                  <w:tcW w:w="2152" w:type="dxa"/>
                  <w:vAlign w:val="center"/>
                </w:tcPr>
                <w:p w14:paraId="5243807E">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采用内塑外编的包装袋收集封口，暂存危废间，委托有资质的单位处理</w:t>
                  </w:r>
                </w:p>
              </w:tc>
            </w:tr>
          </w:tbl>
          <w:p w14:paraId="6412B3CE">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ⅱ危险废物收集、厂内运输</w:t>
            </w:r>
          </w:p>
          <w:p w14:paraId="225B1FCE">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危险废物</w:t>
            </w:r>
            <w:r>
              <w:rPr>
                <w:rFonts w:hAnsi="宋体"/>
                <w:color w:val="000000" w:themeColor="text1"/>
                <w:spacing w:val="-4"/>
                <w:sz w:val="24"/>
                <w:highlight w:val="none"/>
                <w14:textFill>
                  <w14:solidFill>
                    <w14:schemeClr w14:val="tx1"/>
                  </w14:solidFill>
                </w14:textFill>
              </w:rPr>
              <w:t>收集后</w:t>
            </w:r>
            <w:r>
              <w:rPr>
                <w:rFonts w:hint="eastAsia" w:hAnsi="宋体"/>
                <w:color w:val="000000" w:themeColor="text1"/>
                <w:spacing w:val="-4"/>
                <w:sz w:val="24"/>
                <w:highlight w:val="none"/>
                <w14:textFill>
                  <w14:solidFill>
                    <w14:schemeClr w14:val="tx1"/>
                  </w14:solidFill>
                </w14:textFill>
              </w:rPr>
              <w:t>采用专用容器贮存</w:t>
            </w:r>
            <w:r>
              <w:rPr>
                <w:rFonts w:hAnsi="宋体"/>
                <w:color w:val="000000" w:themeColor="text1"/>
                <w:spacing w:val="-4"/>
                <w:sz w:val="24"/>
                <w:highlight w:val="none"/>
                <w14:textFill>
                  <w14:solidFill>
                    <w14:schemeClr w14:val="tx1"/>
                  </w14:solidFill>
                </w14:textFill>
              </w:rPr>
              <w:t>，装运危险废物的容器应根据危险废物的不同特性而设计，容器应不易破损、变形、老化，并能有效地防止渗透、扩散。装有危险废物的容器必须贴有标签。</w:t>
            </w:r>
            <w:r>
              <w:rPr>
                <w:rFonts w:hint="eastAsia" w:hAnsi="宋体"/>
                <w:color w:val="000000" w:themeColor="text1"/>
                <w:spacing w:val="-4"/>
                <w:sz w:val="24"/>
                <w:highlight w:val="none"/>
                <w14:textFill>
                  <w14:solidFill>
                    <w14:schemeClr w14:val="tx1"/>
                  </w14:solidFill>
                </w14:textFill>
              </w:rPr>
              <w:t>危废专人运输运至生产车间现有危废间，运输过程中防止遗漏。</w:t>
            </w:r>
          </w:p>
          <w:p w14:paraId="434BB47A">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ⅲ</w:t>
            </w:r>
            <w:r>
              <w:rPr>
                <w:rFonts w:hAnsi="宋体"/>
                <w:color w:val="000000" w:themeColor="text1"/>
                <w:spacing w:val="-4"/>
                <w:sz w:val="24"/>
                <w:highlight w:val="none"/>
                <w14:textFill>
                  <w14:solidFill>
                    <w14:schemeClr w14:val="tx1"/>
                  </w14:solidFill>
                </w14:textFill>
              </w:rPr>
              <w:t>危废暂存设施建设</w:t>
            </w:r>
          </w:p>
          <w:p w14:paraId="0787C930">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现有危废间位于制坯车间内（9m</w:t>
            </w:r>
            <w:r>
              <w:rPr>
                <w:rFonts w:hint="eastAsia" w:hAnsi="宋体"/>
                <w:color w:val="000000" w:themeColor="text1"/>
                <w:spacing w:val="-4"/>
                <w:sz w:val="24"/>
                <w:highlight w:val="none"/>
                <w:vertAlign w:val="superscript"/>
                <w14:textFill>
                  <w14:solidFill>
                    <w14:schemeClr w14:val="tx1"/>
                  </w14:solidFill>
                </w14:textFill>
              </w:rPr>
              <w:t>2</w:t>
            </w:r>
            <w:r>
              <w:rPr>
                <w:rFonts w:hint="eastAsia" w:hAnsi="宋体"/>
                <w:color w:val="000000" w:themeColor="text1"/>
                <w:spacing w:val="-4"/>
                <w:sz w:val="24"/>
                <w:highlight w:val="none"/>
                <w14:textFill>
                  <w14:solidFill>
                    <w14:schemeClr w14:val="tx1"/>
                  </w14:solidFill>
                </w14:textFill>
              </w:rPr>
              <w:t>，贮存能力2t）。现有</w:t>
            </w:r>
            <w:r>
              <w:rPr>
                <w:rFonts w:hint="eastAsia" w:hAnsi="宋体"/>
                <w:bCs/>
                <w:color w:val="000000" w:themeColor="text1"/>
                <w:spacing w:val="-4"/>
                <w:sz w:val="24"/>
                <w:highlight w:val="none"/>
                <w14:textFill>
                  <w14:solidFill>
                    <w14:schemeClr w14:val="tx1"/>
                  </w14:solidFill>
                </w14:textFill>
              </w:rPr>
              <w:t>危废间</w:t>
            </w:r>
            <w:r>
              <w:rPr>
                <w:rFonts w:hAnsi="宋体"/>
                <w:bCs/>
                <w:color w:val="000000" w:themeColor="text1"/>
                <w:spacing w:val="-4"/>
                <w:sz w:val="24"/>
                <w:highlight w:val="none"/>
                <w14:textFill>
                  <w14:solidFill>
                    <w14:schemeClr w14:val="tx1"/>
                  </w14:solidFill>
                </w14:textFill>
              </w:rPr>
              <w:t>底部铺设30</w:t>
            </w:r>
            <w:r>
              <w:rPr>
                <w:rFonts w:hint="eastAsia" w:hAnsi="宋体"/>
                <w:bCs/>
                <w:color w:val="000000" w:themeColor="text1"/>
                <w:spacing w:val="-4"/>
                <w:sz w:val="24"/>
                <w:highlight w:val="none"/>
                <w14:textFill>
                  <w14:solidFill>
                    <w14:schemeClr w14:val="tx1"/>
                  </w14:solidFill>
                </w14:textFill>
              </w:rPr>
              <w:t>0</w:t>
            </w:r>
            <w:r>
              <w:rPr>
                <w:rFonts w:hAnsi="宋体"/>
                <w:bCs/>
                <w:color w:val="000000" w:themeColor="text1"/>
                <w:spacing w:val="-4"/>
                <w:sz w:val="24"/>
                <w:highlight w:val="none"/>
                <w14:textFill>
                  <w14:solidFill>
                    <w14:schemeClr w14:val="tx1"/>
                  </w14:solidFill>
                </w14:textFill>
              </w:rPr>
              <w:t>mm粘土层（保护层，同时作为辅助防渗层）压实平整，粘土层上铺设HDPE-GCL复合防渗系统（2mm</w:t>
            </w:r>
            <w:r>
              <w:rPr>
                <w:rFonts w:hint="eastAsia" w:hAnsi="宋体"/>
                <w:bCs/>
                <w:color w:val="000000" w:themeColor="text1"/>
                <w:spacing w:val="-4"/>
                <w:sz w:val="24"/>
                <w:highlight w:val="none"/>
                <w14:textFill>
                  <w14:solidFill>
                    <w14:schemeClr w14:val="tx1"/>
                  </w14:solidFill>
                </w14:textFill>
              </w:rPr>
              <w:t>厚</w:t>
            </w:r>
            <w:r>
              <w:rPr>
                <w:rFonts w:hAnsi="宋体"/>
                <w:bCs/>
                <w:color w:val="000000" w:themeColor="text1"/>
                <w:spacing w:val="-4"/>
                <w:sz w:val="24"/>
                <w:highlight w:val="none"/>
                <w14:textFill>
                  <w14:solidFill>
                    <w14:schemeClr w14:val="tx1"/>
                  </w14:solidFill>
                </w14:textFill>
              </w:rPr>
              <w:t>高密度聚乙烯膜、300g/m</w:t>
            </w:r>
            <w:r>
              <w:rPr>
                <w:rFonts w:hAnsi="宋体"/>
                <w:bCs/>
                <w:color w:val="000000" w:themeColor="text1"/>
                <w:spacing w:val="-4"/>
                <w:sz w:val="24"/>
                <w:highlight w:val="none"/>
                <w:vertAlign w:val="superscript"/>
                <w14:textFill>
                  <w14:solidFill>
                    <w14:schemeClr w14:val="tx1"/>
                  </w14:solidFill>
                </w14:textFill>
              </w:rPr>
              <w:t>2</w:t>
            </w:r>
            <w:r>
              <w:rPr>
                <w:rFonts w:hAnsi="宋体"/>
                <w:bCs/>
                <w:color w:val="000000" w:themeColor="text1"/>
                <w:spacing w:val="-4"/>
                <w:sz w:val="24"/>
                <w:highlight w:val="none"/>
                <w14:textFill>
                  <w14:solidFill>
                    <w14:schemeClr w14:val="tx1"/>
                  </w14:solidFill>
                </w14:textFill>
              </w:rPr>
              <w:t>土工织物膨润土垫）、上部外加耐腐蚀混凝土15cm（保护层）防渗</w:t>
            </w:r>
            <w:r>
              <w:rPr>
                <w:rFonts w:hint="eastAsia" w:hAnsi="宋体"/>
                <w:bCs/>
                <w:color w:val="000000" w:themeColor="text1"/>
                <w:spacing w:val="-4"/>
                <w:sz w:val="24"/>
                <w:highlight w:val="none"/>
                <w14:textFill>
                  <w14:solidFill>
                    <w14:schemeClr w14:val="tx1"/>
                  </w14:solidFill>
                </w14:textFill>
              </w:rPr>
              <w:t>，</w:t>
            </w:r>
            <w:r>
              <w:rPr>
                <w:rFonts w:hAnsi="宋体"/>
                <w:bCs/>
                <w:color w:val="000000" w:themeColor="text1"/>
                <w:spacing w:val="-4"/>
                <w:sz w:val="24"/>
                <w:highlight w:val="none"/>
                <w14:textFill>
                  <w14:solidFill>
                    <w14:schemeClr w14:val="tx1"/>
                  </w14:solidFill>
                </w14:textFill>
              </w:rPr>
              <w:t>渗透系数≤10</w:t>
            </w:r>
            <w:r>
              <w:rPr>
                <w:rFonts w:hAnsi="宋体"/>
                <w:bCs/>
                <w:color w:val="000000" w:themeColor="text1"/>
                <w:spacing w:val="-4"/>
                <w:sz w:val="24"/>
                <w:highlight w:val="none"/>
                <w:vertAlign w:val="superscript"/>
                <w14:textFill>
                  <w14:solidFill>
                    <w14:schemeClr w14:val="tx1"/>
                  </w14:solidFill>
                </w14:textFill>
              </w:rPr>
              <w:t>-10</w:t>
            </w:r>
            <w:r>
              <w:rPr>
                <w:rFonts w:hAnsi="宋体"/>
                <w:bCs/>
                <w:color w:val="000000" w:themeColor="text1"/>
                <w:spacing w:val="-4"/>
                <w:sz w:val="24"/>
                <w:highlight w:val="none"/>
                <w14:textFill>
                  <w14:solidFill>
                    <w14:schemeClr w14:val="tx1"/>
                  </w14:solidFill>
                </w14:textFill>
              </w:rPr>
              <w:t>cm/s</w:t>
            </w:r>
            <w:r>
              <w:rPr>
                <w:rFonts w:hint="eastAsia" w:hAnsi="宋体"/>
                <w:bCs/>
                <w:color w:val="000000" w:themeColor="text1"/>
                <w:spacing w:val="-4"/>
                <w:sz w:val="24"/>
                <w:highlight w:val="none"/>
                <w14:textFill>
                  <w14:solidFill>
                    <w14:schemeClr w14:val="tx1"/>
                  </w14:solidFill>
                </w14:textFill>
              </w:rPr>
              <w:t>。本项目建成后，危废间最大贮存量不变，危废及时委托处置，现有危废间可满足贮存需要。</w:t>
            </w:r>
            <w:r>
              <w:rPr>
                <w:rFonts w:hint="eastAsia" w:hAnsi="宋体"/>
                <w:color w:val="000000" w:themeColor="text1"/>
                <w:spacing w:val="-4"/>
                <w:sz w:val="24"/>
                <w:highlight w:val="none"/>
                <w14:textFill>
                  <w14:solidFill>
                    <w14:schemeClr w14:val="tx1"/>
                  </w14:solidFill>
                </w14:textFill>
              </w:rPr>
              <w:t>危废间设置</w:t>
            </w:r>
            <w:r>
              <w:rPr>
                <w:rFonts w:hAnsi="宋体"/>
                <w:color w:val="000000" w:themeColor="text1"/>
                <w:spacing w:val="-4"/>
                <w:sz w:val="24"/>
                <w:highlight w:val="none"/>
                <w14:textFill>
                  <w14:solidFill>
                    <w14:schemeClr w14:val="tx1"/>
                  </w14:solidFill>
                </w14:textFill>
              </w:rPr>
              <w:t>标识</w:t>
            </w:r>
            <w:r>
              <w:rPr>
                <w:rFonts w:hint="eastAsia" w:hAnsi="宋体"/>
                <w:color w:val="000000" w:themeColor="text1"/>
                <w:spacing w:val="-4"/>
                <w:sz w:val="24"/>
                <w:highlight w:val="none"/>
                <w14:textFill>
                  <w14:solidFill>
                    <w14:schemeClr w14:val="tx1"/>
                  </w14:solidFill>
                </w14:textFill>
              </w:rPr>
              <w:t>，所有危废按规定粘贴相应危险废物标识。</w:t>
            </w:r>
            <w:r>
              <w:rPr>
                <w:rFonts w:hint="eastAsia" w:hAnsi="宋体"/>
                <w:bCs/>
                <w:color w:val="000000" w:themeColor="text1"/>
                <w:spacing w:val="-4"/>
                <w:sz w:val="24"/>
                <w:highlight w:val="none"/>
                <w14:textFill>
                  <w14:solidFill>
                    <w14:schemeClr w14:val="tx1"/>
                  </w14:solidFill>
                </w14:textFill>
              </w:rPr>
              <w:t>危废分类分区贮存，及时转运。</w:t>
            </w:r>
            <w:r>
              <w:rPr>
                <w:rFonts w:hAnsi="宋体"/>
                <w:color w:val="000000" w:themeColor="text1"/>
                <w:spacing w:val="-4"/>
                <w:sz w:val="24"/>
                <w:highlight w:val="none"/>
                <w14:textFill>
                  <w14:solidFill>
                    <w14:schemeClr w14:val="tx1"/>
                  </w14:solidFill>
                </w14:textFill>
              </w:rPr>
              <w:t>项目危废贮存</w:t>
            </w:r>
            <w:r>
              <w:rPr>
                <w:rFonts w:hint="eastAsia" w:hAnsi="宋体"/>
                <w:color w:val="000000" w:themeColor="text1"/>
                <w:spacing w:val="-4"/>
                <w:sz w:val="24"/>
                <w:highlight w:val="none"/>
                <w14:textFill>
                  <w14:solidFill>
                    <w14:schemeClr w14:val="tx1"/>
                  </w14:solidFill>
                </w14:textFill>
              </w:rPr>
              <w:t>场所（设施）</w:t>
            </w:r>
            <w:r>
              <w:rPr>
                <w:rFonts w:hAnsi="宋体"/>
                <w:color w:val="000000" w:themeColor="text1"/>
                <w:spacing w:val="-4"/>
                <w:sz w:val="24"/>
                <w:highlight w:val="none"/>
                <w14:textFill>
                  <w14:solidFill>
                    <w14:schemeClr w14:val="tx1"/>
                  </w14:solidFill>
                </w14:textFill>
              </w:rPr>
              <w:t>情况见表</w:t>
            </w:r>
            <w:r>
              <w:rPr>
                <w:rFonts w:hint="eastAsia" w:hAnsi="宋体"/>
                <w:color w:val="000000" w:themeColor="text1"/>
                <w:spacing w:val="-4"/>
                <w:sz w:val="24"/>
                <w:highlight w:val="none"/>
                <w14:textFill>
                  <w14:solidFill>
                    <w14:schemeClr w14:val="tx1"/>
                  </w14:solidFill>
                </w14:textFill>
              </w:rPr>
              <w:t>4-16。</w:t>
            </w:r>
          </w:p>
          <w:p w14:paraId="750EF025">
            <w:pPr>
              <w:spacing w:line="480" w:lineRule="exact"/>
              <w:ind w:firstLine="1037" w:firstLineChars="447"/>
              <w:jc w:val="left"/>
              <w:rPr>
                <w:rFonts w:ascii="黑体" w:hAnsi="黑体" w:eastAsia="黑体"/>
                <w:color w:val="000000" w:themeColor="text1"/>
                <w:spacing w:val="-4"/>
                <w:sz w:val="24"/>
                <w:highlight w:val="none"/>
                <w14:textFill>
                  <w14:solidFill>
                    <w14:schemeClr w14:val="tx1"/>
                  </w14:solidFill>
                </w14:textFill>
              </w:rPr>
            </w:pPr>
            <w:r>
              <w:rPr>
                <w:rFonts w:ascii="黑体" w:hAnsi="黑体" w:eastAsia="黑体"/>
                <w:bCs/>
                <w:color w:val="000000" w:themeColor="text1"/>
                <w:spacing w:val="-4"/>
                <w:sz w:val="24"/>
                <w:highlight w:val="none"/>
                <w14:textFill>
                  <w14:solidFill>
                    <w14:schemeClr w14:val="tx1"/>
                  </w14:solidFill>
                </w14:textFill>
              </w:rPr>
              <w:t>表</w:t>
            </w:r>
            <w:r>
              <w:rPr>
                <w:rFonts w:hint="eastAsia" w:ascii="黑体" w:hAnsi="黑体" w:eastAsia="黑体"/>
                <w:bCs/>
                <w:color w:val="000000" w:themeColor="text1"/>
                <w:spacing w:val="-4"/>
                <w:sz w:val="24"/>
                <w:highlight w:val="none"/>
                <w14:textFill>
                  <w14:solidFill>
                    <w14:schemeClr w14:val="tx1"/>
                  </w14:solidFill>
                </w14:textFill>
              </w:rPr>
              <w:t xml:space="preserve">4-16 </w:t>
            </w:r>
            <w:r>
              <w:rPr>
                <w:rFonts w:ascii="黑体" w:hAnsi="黑体" w:eastAsia="黑体"/>
                <w:bCs/>
                <w:color w:val="000000" w:themeColor="text1"/>
                <w:spacing w:val="-4"/>
                <w:sz w:val="24"/>
                <w:highlight w:val="none"/>
                <w14:textFill>
                  <w14:solidFill>
                    <w14:schemeClr w14:val="tx1"/>
                  </w14:solidFill>
                </w14:textFill>
              </w:rPr>
              <w:t xml:space="preserve">       </w:t>
            </w:r>
            <w:r>
              <w:rPr>
                <w:rFonts w:hint="eastAsia" w:ascii="黑体" w:hAnsi="黑体" w:eastAsia="黑体"/>
                <w:color w:val="000000" w:themeColor="text1"/>
                <w:spacing w:val="-4"/>
                <w:sz w:val="24"/>
                <w:highlight w:val="none"/>
                <w14:textFill>
                  <w14:solidFill>
                    <w14:schemeClr w14:val="tx1"/>
                  </w14:solidFill>
                </w14:textFill>
              </w:rPr>
              <w:t>项目危险废物贮存场所（设施）基本情况</w:t>
            </w:r>
            <w:r>
              <w:rPr>
                <w:rFonts w:ascii="黑体" w:hAnsi="黑体" w:eastAsia="黑体"/>
                <w:color w:val="000000" w:themeColor="text1"/>
                <w:spacing w:val="-4"/>
                <w:sz w:val="24"/>
                <w:highlight w:val="none"/>
                <w14:textFill>
                  <w14:solidFill>
                    <w14:schemeClr w14:val="tx1"/>
                  </w14:solidFill>
                </w14:textFill>
              </w:rPr>
              <w:t>表</w:t>
            </w:r>
          </w:p>
          <w:tbl>
            <w:tblPr>
              <w:tblStyle w:val="24"/>
              <w:tblW w:w="487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84"/>
              <w:gridCol w:w="1156"/>
              <w:gridCol w:w="821"/>
              <w:gridCol w:w="1314"/>
              <w:gridCol w:w="708"/>
              <w:gridCol w:w="850"/>
              <w:gridCol w:w="850"/>
              <w:gridCol w:w="852"/>
              <w:gridCol w:w="801"/>
            </w:tblGrid>
            <w:tr w14:paraId="38F85A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743" w:type="pct"/>
                  <w:vAlign w:val="center"/>
                </w:tcPr>
                <w:p w14:paraId="206A456F">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贮存场所（设施）名称</w:t>
                  </w:r>
                </w:p>
              </w:tc>
              <w:tc>
                <w:tcPr>
                  <w:tcW w:w="669" w:type="pct"/>
                  <w:vAlign w:val="center"/>
                </w:tcPr>
                <w:p w14:paraId="248784EA">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w:t>
                  </w:r>
                </w:p>
                <w:p w14:paraId="4026E074">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名称</w:t>
                  </w:r>
                </w:p>
              </w:tc>
              <w:tc>
                <w:tcPr>
                  <w:tcW w:w="475" w:type="pct"/>
                  <w:vAlign w:val="center"/>
                </w:tcPr>
                <w:p w14:paraId="16A2F65D">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危险废物类别</w:t>
                  </w:r>
                </w:p>
              </w:tc>
              <w:tc>
                <w:tcPr>
                  <w:tcW w:w="760" w:type="pct"/>
                  <w:vAlign w:val="center"/>
                </w:tcPr>
                <w:p w14:paraId="20D0479F">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危险废物代码</w:t>
                  </w:r>
                </w:p>
              </w:tc>
              <w:tc>
                <w:tcPr>
                  <w:tcW w:w="409" w:type="pct"/>
                  <w:vAlign w:val="center"/>
                </w:tcPr>
                <w:p w14:paraId="1D2C2035">
                  <w:pPr>
                    <w:adjustRightInd w:val="0"/>
                    <w:snapToGrid w:val="0"/>
                    <w:ind w:left="3" w:leftChars="-50" w:right="-105" w:rightChars="-50" w:hanging="108"/>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位置</w:t>
                  </w:r>
                </w:p>
              </w:tc>
              <w:tc>
                <w:tcPr>
                  <w:tcW w:w="492" w:type="pct"/>
                  <w:vAlign w:val="center"/>
                </w:tcPr>
                <w:p w14:paraId="5C7D8194">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贮存方式</w:t>
                  </w:r>
                </w:p>
              </w:tc>
              <w:tc>
                <w:tcPr>
                  <w:tcW w:w="492" w:type="pct"/>
                  <w:vAlign w:val="center"/>
                </w:tcPr>
                <w:p w14:paraId="00C7ACE0">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面积</w:t>
                  </w:r>
                </w:p>
              </w:tc>
              <w:tc>
                <w:tcPr>
                  <w:tcW w:w="493" w:type="pct"/>
                  <w:vAlign w:val="center"/>
                </w:tcPr>
                <w:p w14:paraId="64A99240">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贮存能力</w:t>
                  </w:r>
                </w:p>
              </w:tc>
              <w:tc>
                <w:tcPr>
                  <w:tcW w:w="463" w:type="pct"/>
                  <w:vAlign w:val="center"/>
                </w:tcPr>
                <w:p w14:paraId="38D7ED0A">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贮存</w:t>
                  </w:r>
                </w:p>
                <w:p w14:paraId="2F62A202">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周期</w:t>
                  </w:r>
                </w:p>
              </w:tc>
            </w:tr>
            <w:tr w14:paraId="4D96CE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743" w:type="pct"/>
                  <w:vMerge w:val="restart"/>
                  <w:vAlign w:val="center"/>
                </w:tcPr>
                <w:p w14:paraId="29FF8738">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危废间</w:t>
                  </w:r>
                </w:p>
              </w:tc>
              <w:tc>
                <w:tcPr>
                  <w:tcW w:w="669" w:type="pct"/>
                  <w:vAlign w:val="center"/>
                </w:tcPr>
                <w:p w14:paraId="16FE8557">
                  <w:pPr>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废润滑油</w:t>
                  </w:r>
                </w:p>
              </w:tc>
              <w:tc>
                <w:tcPr>
                  <w:tcW w:w="475" w:type="pct"/>
                  <w:vAlign w:val="center"/>
                </w:tcPr>
                <w:p w14:paraId="5AC638CC">
                  <w:pPr>
                    <w:pStyle w:val="20"/>
                    <w:adjustRightInd w:val="0"/>
                    <w:snapToGrid w:val="0"/>
                    <w:spacing w:before="0" w:beforeAutospacing="0" w:after="0" w:afterAutospacing="0"/>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ascii="Times New Roman" w:hAnsi="Times New Roman"/>
                      <w:color w:val="000000" w:themeColor="text1"/>
                      <w:kern w:val="2"/>
                      <w:sz w:val="21"/>
                      <w:szCs w:val="21"/>
                      <w:highlight w:val="none"/>
                      <w14:textFill>
                        <w14:solidFill>
                          <w14:schemeClr w14:val="tx1"/>
                        </w14:solidFill>
                      </w14:textFill>
                    </w:rPr>
                    <w:t>HW</w:t>
                  </w:r>
                  <w:r>
                    <w:rPr>
                      <w:rFonts w:hint="eastAsia" w:ascii="Times New Roman" w:hAnsi="Times New Roman"/>
                      <w:color w:val="000000" w:themeColor="text1"/>
                      <w:kern w:val="2"/>
                      <w:sz w:val="21"/>
                      <w:szCs w:val="21"/>
                      <w:highlight w:val="none"/>
                      <w14:textFill>
                        <w14:solidFill>
                          <w14:schemeClr w14:val="tx1"/>
                        </w14:solidFill>
                      </w14:textFill>
                    </w:rPr>
                    <w:t>08</w:t>
                  </w:r>
                </w:p>
              </w:tc>
              <w:tc>
                <w:tcPr>
                  <w:tcW w:w="760" w:type="pct"/>
                  <w:vAlign w:val="center"/>
                </w:tcPr>
                <w:p w14:paraId="6807AD54">
                  <w:pPr>
                    <w:pStyle w:val="20"/>
                    <w:snapToGrid w:val="0"/>
                    <w:spacing w:before="0" w:beforeAutospacing="0" w:after="0" w:afterAutospacing="0"/>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hint="eastAsia" w:ascii="Times New Roman" w:hAnsi="Times New Roman"/>
                      <w:color w:val="000000" w:themeColor="text1"/>
                      <w:kern w:val="2"/>
                      <w:sz w:val="21"/>
                      <w:szCs w:val="21"/>
                      <w:highlight w:val="none"/>
                      <w14:textFill>
                        <w14:solidFill>
                          <w14:schemeClr w14:val="tx1"/>
                        </w14:solidFill>
                      </w14:textFill>
                    </w:rPr>
                    <w:t>900-217-08</w:t>
                  </w:r>
                </w:p>
              </w:tc>
              <w:tc>
                <w:tcPr>
                  <w:tcW w:w="409" w:type="pct"/>
                  <w:vMerge w:val="restart"/>
                  <w:vAlign w:val="center"/>
                </w:tcPr>
                <w:p w14:paraId="55C22DE7">
                  <w:pPr>
                    <w:keepNext/>
                    <w:overflowPunct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制坯车间内</w:t>
                  </w:r>
                </w:p>
              </w:tc>
              <w:tc>
                <w:tcPr>
                  <w:tcW w:w="492" w:type="pct"/>
                  <w:vAlign w:val="center"/>
                </w:tcPr>
                <w:p w14:paraId="3BC321A8">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桶装</w:t>
                  </w:r>
                </w:p>
              </w:tc>
              <w:tc>
                <w:tcPr>
                  <w:tcW w:w="492" w:type="pct"/>
                  <w:vMerge w:val="restart"/>
                  <w:vAlign w:val="center"/>
                </w:tcPr>
                <w:p w14:paraId="3E38F019">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9m</w:t>
                  </w:r>
                  <w:r>
                    <w:rPr>
                      <w:rFonts w:hint="eastAsia"/>
                      <w:color w:val="000000" w:themeColor="text1"/>
                      <w:szCs w:val="21"/>
                      <w:highlight w:val="none"/>
                      <w:vertAlign w:val="superscript"/>
                      <w14:textFill>
                        <w14:solidFill>
                          <w14:schemeClr w14:val="tx1"/>
                        </w14:solidFill>
                      </w14:textFill>
                    </w:rPr>
                    <w:t>2</w:t>
                  </w:r>
                </w:p>
              </w:tc>
              <w:tc>
                <w:tcPr>
                  <w:tcW w:w="493" w:type="pct"/>
                  <w:vMerge w:val="restart"/>
                  <w:vAlign w:val="center"/>
                </w:tcPr>
                <w:p w14:paraId="452FC286">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2t</w:t>
                  </w:r>
                </w:p>
              </w:tc>
              <w:tc>
                <w:tcPr>
                  <w:tcW w:w="463" w:type="pct"/>
                  <w:vAlign w:val="center"/>
                </w:tcPr>
                <w:p w14:paraId="230CB9F9">
                  <w:pPr>
                    <w:adjustRightInd w:val="0"/>
                    <w:snapToGrid w:val="0"/>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1年</w:t>
                  </w:r>
                </w:p>
              </w:tc>
            </w:tr>
            <w:tr w14:paraId="3659CB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743" w:type="pct"/>
                  <w:vMerge w:val="continue"/>
                  <w:vAlign w:val="center"/>
                </w:tcPr>
                <w:p w14:paraId="0890CEB5">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669" w:type="pct"/>
                  <w:vAlign w:val="center"/>
                </w:tcPr>
                <w:p w14:paraId="2575ABC0">
                  <w:pPr>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废油桶</w:t>
                  </w:r>
                </w:p>
              </w:tc>
              <w:tc>
                <w:tcPr>
                  <w:tcW w:w="475" w:type="pct"/>
                  <w:vAlign w:val="center"/>
                </w:tcPr>
                <w:p w14:paraId="29CF4A9D">
                  <w:pPr>
                    <w:pStyle w:val="20"/>
                    <w:adjustRightInd w:val="0"/>
                    <w:snapToGrid w:val="0"/>
                    <w:spacing w:before="0" w:beforeAutospacing="0" w:after="0" w:afterAutospacing="0"/>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ascii="Times New Roman" w:hAnsi="Times New Roman"/>
                      <w:color w:val="000000" w:themeColor="text1"/>
                      <w:kern w:val="2"/>
                      <w:sz w:val="21"/>
                      <w:szCs w:val="21"/>
                      <w:highlight w:val="none"/>
                      <w14:textFill>
                        <w14:solidFill>
                          <w14:schemeClr w14:val="tx1"/>
                        </w14:solidFill>
                      </w14:textFill>
                    </w:rPr>
                    <w:t>HW</w:t>
                  </w:r>
                  <w:r>
                    <w:rPr>
                      <w:rFonts w:hint="eastAsia" w:ascii="Times New Roman" w:hAnsi="Times New Roman"/>
                      <w:color w:val="000000" w:themeColor="text1"/>
                      <w:kern w:val="2"/>
                      <w:sz w:val="21"/>
                      <w:szCs w:val="21"/>
                      <w:highlight w:val="none"/>
                      <w14:textFill>
                        <w14:solidFill>
                          <w14:schemeClr w14:val="tx1"/>
                        </w14:solidFill>
                      </w14:textFill>
                    </w:rPr>
                    <w:t>08</w:t>
                  </w:r>
                </w:p>
              </w:tc>
              <w:tc>
                <w:tcPr>
                  <w:tcW w:w="760" w:type="pct"/>
                  <w:vAlign w:val="center"/>
                </w:tcPr>
                <w:p w14:paraId="7AEBE30F">
                  <w:pPr>
                    <w:pStyle w:val="20"/>
                    <w:snapToGrid w:val="0"/>
                    <w:spacing w:before="0" w:beforeAutospacing="0" w:after="0" w:afterAutospacing="0"/>
                    <w:ind w:left="-105" w:leftChars="-50" w:right="-105" w:rightChars="-50"/>
                    <w:jc w:val="center"/>
                    <w:rPr>
                      <w:rFonts w:ascii="Times New Roman" w:hAnsi="Times New Roman"/>
                      <w:color w:val="000000" w:themeColor="text1"/>
                      <w:kern w:val="2"/>
                      <w:sz w:val="21"/>
                      <w:szCs w:val="21"/>
                      <w:highlight w:val="none"/>
                      <w14:textFill>
                        <w14:solidFill>
                          <w14:schemeClr w14:val="tx1"/>
                        </w14:solidFill>
                      </w14:textFill>
                    </w:rPr>
                  </w:pPr>
                  <w:r>
                    <w:rPr>
                      <w:rFonts w:ascii="Times New Roman" w:hAnsi="Times New Roman"/>
                      <w:color w:val="000000" w:themeColor="text1"/>
                      <w:kern w:val="2"/>
                      <w:sz w:val="21"/>
                      <w:szCs w:val="21"/>
                      <w:highlight w:val="none"/>
                      <w14:textFill>
                        <w14:solidFill>
                          <w14:schemeClr w14:val="tx1"/>
                        </w14:solidFill>
                      </w14:textFill>
                    </w:rPr>
                    <w:t>900-</w:t>
                  </w:r>
                  <w:r>
                    <w:rPr>
                      <w:rFonts w:hint="eastAsia" w:ascii="Times New Roman" w:hAnsi="Times New Roman"/>
                      <w:color w:val="000000" w:themeColor="text1"/>
                      <w:kern w:val="2"/>
                      <w:sz w:val="21"/>
                      <w:szCs w:val="21"/>
                      <w:highlight w:val="none"/>
                      <w14:textFill>
                        <w14:solidFill>
                          <w14:schemeClr w14:val="tx1"/>
                        </w14:solidFill>
                      </w14:textFill>
                    </w:rPr>
                    <w:t>249</w:t>
                  </w:r>
                  <w:r>
                    <w:rPr>
                      <w:rFonts w:ascii="Times New Roman" w:hAnsi="Times New Roman"/>
                      <w:color w:val="000000" w:themeColor="text1"/>
                      <w:kern w:val="2"/>
                      <w:sz w:val="21"/>
                      <w:szCs w:val="21"/>
                      <w:highlight w:val="none"/>
                      <w14:textFill>
                        <w14:solidFill>
                          <w14:schemeClr w14:val="tx1"/>
                        </w14:solidFill>
                      </w14:textFill>
                    </w:rPr>
                    <w:t>-</w:t>
                  </w:r>
                  <w:r>
                    <w:rPr>
                      <w:rFonts w:hint="eastAsia" w:ascii="Times New Roman" w:hAnsi="Times New Roman"/>
                      <w:color w:val="000000" w:themeColor="text1"/>
                      <w:kern w:val="2"/>
                      <w:sz w:val="21"/>
                      <w:szCs w:val="21"/>
                      <w:highlight w:val="none"/>
                      <w14:textFill>
                        <w14:solidFill>
                          <w14:schemeClr w14:val="tx1"/>
                        </w14:solidFill>
                      </w14:textFill>
                    </w:rPr>
                    <w:t>08</w:t>
                  </w:r>
                </w:p>
              </w:tc>
              <w:tc>
                <w:tcPr>
                  <w:tcW w:w="409" w:type="pct"/>
                  <w:vMerge w:val="continue"/>
                  <w:vAlign w:val="center"/>
                </w:tcPr>
                <w:p w14:paraId="6C6E9409">
                  <w:pPr>
                    <w:keepNext/>
                    <w:overflowPunct w:val="0"/>
                    <w:snapToGrid w:val="0"/>
                    <w:ind w:left="-105" w:leftChars="-50" w:right="-105" w:rightChars="-50"/>
                    <w:jc w:val="center"/>
                    <w:rPr>
                      <w:color w:val="000000" w:themeColor="text1"/>
                      <w:szCs w:val="21"/>
                      <w:highlight w:val="none"/>
                      <w14:textFill>
                        <w14:solidFill>
                          <w14:schemeClr w14:val="tx1"/>
                        </w14:solidFill>
                      </w14:textFill>
                    </w:rPr>
                  </w:pPr>
                </w:p>
              </w:tc>
              <w:tc>
                <w:tcPr>
                  <w:tcW w:w="492" w:type="pct"/>
                  <w:vAlign w:val="center"/>
                </w:tcPr>
                <w:p w14:paraId="5F407477">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492" w:type="pct"/>
                  <w:vMerge w:val="continue"/>
                  <w:vAlign w:val="center"/>
                </w:tcPr>
                <w:p w14:paraId="624112A1">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493" w:type="pct"/>
                  <w:vMerge w:val="continue"/>
                  <w:vAlign w:val="center"/>
                </w:tcPr>
                <w:p w14:paraId="17EDBB39">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463" w:type="pct"/>
                  <w:vAlign w:val="center"/>
                </w:tcPr>
                <w:p w14:paraId="4948161B">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1年</w:t>
                  </w:r>
                </w:p>
              </w:tc>
            </w:tr>
            <w:tr w14:paraId="1BB874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743" w:type="pct"/>
                  <w:vMerge w:val="continue"/>
                  <w:vAlign w:val="center"/>
                </w:tcPr>
                <w:p w14:paraId="46768A02">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669" w:type="pct"/>
                  <w:vAlign w:val="center"/>
                </w:tcPr>
                <w:p w14:paraId="55047083">
                  <w:pPr>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废活性炭</w:t>
                  </w:r>
                </w:p>
              </w:tc>
              <w:tc>
                <w:tcPr>
                  <w:tcW w:w="475" w:type="pct"/>
                  <w:vAlign w:val="center"/>
                </w:tcPr>
                <w:p w14:paraId="29404A34">
                  <w:pPr>
                    <w:pStyle w:val="20"/>
                    <w:adjustRightInd w:val="0"/>
                    <w:snapToGrid w:val="0"/>
                    <w:spacing w:before="0" w:beforeAutospacing="0" w:after="0" w:afterAutospacing="0"/>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HW49</w:t>
                  </w:r>
                </w:p>
              </w:tc>
              <w:tc>
                <w:tcPr>
                  <w:tcW w:w="760" w:type="pct"/>
                  <w:vAlign w:val="center"/>
                </w:tcPr>
                <w:p w14:paraId="57DAA24B">
                  <w:pPr>
                    <w:pStyle w:val="20"/>
                    <w:snapToGrid w:val="0"/>
                    <w:spacing w:before="0" w:beforeAutospacing="0" w:after="0" w:afterAutospacing="0"/>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900-039-49</w:t>
                  </w:r>
                </w:p>
              </w:tc>
              <w:tc>
                <w:tcPr>
                  <w:tcW w:w="409" w:type="pct"/>
                  <w:vMerge w:val="continue"/>
                  <w:vAlign w:val="center"/>
                </w:tcPr>
                <w:p w14:paraId="4E4A57D1">
                  <w:pPr>
                    <w:keepNext/>
                    <w:overflowPunct w:val="0"/>
                    <w:snapToGrid w:val="0"/>
                    <w:ind w:left="-105" w:leftChars="-50" w:right="-105" w:rightChars="-50"/>
                    <w:jc w:val="center"/>
                    <w:rPr>
                      <w:color w:val="000000" w:themeColor="text1"/>
                      <w:szCs w:val="21"/>
                      <w:highlight w:val="none"/>
                      <w14:textFill>
                        <w14:solidFill>
                          <w14:schemeClr w14:val="tx1"/>
                        </w14:solidFill>
                      </w14:textFill>
                    </w:rPr>
                  </w:pPr>
                </w:p>
              </w:tc>
              <w:tc>
                <w:tcPr>
                  <w:tcW w:w="492" w:type="pct"/>
                  <w:vAlign w:val="center"/>
                </w:tcPr>
                <w:p w14:paraId="66D38275">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袋装</w:t>
                  </w:r>
                </w:p>
              </w:tc>
              <w:tc>
                <w:tcPr>
                  <w:tcW w:w="492" w:type="pct"/>
                  <w:vMerge w:val="continue"/>
                  <w:vAlign w:val="center"/>
                </w:tcPr>
                <w:p w14:paraId="7BBB2A21">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493" w:type="pct"/>
                  <w:vMerge w:val="continue"/>
                  <w:vAlign w:val="center"/>
                </w:tcPr>
                <w:p w14:paraId="603FBC37">
                  <w:pPr>
                    <w:adjustRightInd w:val="0"/>
                    <w:snapToGrid w:val="0"/>
                    <w:ind w:left="-105" w:leftChars="-50" w:right="-105" w:rightChars="-50"/>
                    <w:jc w:val="center"/>
                    <w:rPr>
                      <w:color w:val="000000" w:themeColor="text1"/>
                      <w:szCs w:val="21"/>
                      <w:highlight w:val="none"/>
                      <w14:textFill>
                        <w14:solidFill>
                          <w14:schemeClr w14:val="tx1"/>
                        </w14:solidFill>
                      </w14:textFill>
                    </w:rPr>
                  </w:pPr>
                </w:p>
              </w:tc>
              <w:tc>
                <w:tcPr>
                  <w:tcW w:w="463" w:type="pct"/>
                  <w:vAlign w:val="center"/>
                </w:tcPr>
                <w:p w14:paraId="3EB378AF">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1年</w:t>
                  </w:r>
                </w:p>
              </w:tc>
            </w:tr>
          </w:tbl>
          <w:p w14:paraId="06F9C1E8">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为防止危险废物暂存过程中对环境产生污染影响，根据</w:t>
            </w:r>
            <w:r>
              <w:rPr>
                <w:rFonts w:hint="eastAsia" w:hAnsi="宋体"/>
                <w:color w:val="000000" w:themeColor="text1"/>
                <w:spacing w:val="-4"/>
                <w:sz w:val="24"/>
                <w:highlight w:val="none"/>
                <w14:textFill>
                  <w14:solidFill>
                    <w14:schemeClr w14:val="tx1"/>
                  </w14:solidFill>
                </w14:textFill>
              </w:rPr>
              <w:t>《危险废物贮存污染控制标准》（GB18597-2023）</w:t>
            </w:r>
            <w:r>
              <w:rPr>
                <w:rFonts w:hAnsi="宋体"/>
                <w:bCs/>
                <w:color w:val="000000" w:themeColor="text1"/>
                <w:spacing w:val="-4"/>
                <w:sz w:val="24"/>
                <w:highlight w:val="none"/>
                <w14:textFill>
                  <w14:solidFill>
                    <w14:schemeClr w14:val="tx1"/>
                  </w14:solidFill>
                </w14:textFill>
              </w:rPr>
              <w:t>中的</w:t>
            </w:r>
            <w:r>
              <w:rPr>
                <w:rFonts w:hint="eastAsia" w:hAnsi="宋体"/>
                <w:bCs/>
                <w:color w:val="000000" w:themeColor="text1"/>
                <w:spacing w:val="-4"/>
                <w:sz w:val="24"/>
                <w:highlight w:val="none"/>
                <w14:textFill>
                  <w14:solidFill>
                    <w14:schemeClr w14:val="tx1"/>
                  </w14:solidFill>
                </w14:textFill>
              </w:rPr>
              <w:t>要求</w:t>
            </w:r>
            <w:r>
              <w:rPr>
                <w:rFonts w:hAnsi="宋体"/>
                <w:color w:val="000000" w:themeColor="text1"/>
                <w:spacing w:val="-4"/>
                <w:sz w:val="24"/>
                <w:highlight w:val="none"/>
                <w14:textFill>
                  <w14:solidFill>
                    <w14:schemeClr w14:val="tx1"/>
                  </w14:solidFill>
                </w14:textFill>
              </w:rPr>
              <w:t>，本评价要求：</w:t>
            </w:r>
          </w:p>
          <w:p w14:paraId="1D483E8D">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a.</w:t>
            </w:r>
            <w:r>
              <w:rPr>
                <w:rFonts w:hint="eastAsia" w:hAnsi="宋体"/>
                <w:color w:val="000000" w:themeColor="text1"/>
                <w:spacing w:val="-4"/>
                <w:sz w:val="24"/>
                <w:highlight w:val="none"/>
                <w14:textFill>
                  <w14:solidFill>
                    <w14:schemeClr w14:val="tx1"/>
                  </w14:solidFill>
                </w14:textFill>
              </w:rPr>
              <w:t xml:space="preserve"> 根据危险废物的类别、形态、物理化学性质和污染防治要求进行分类贮存，且应避免危险废物与不相容的物质或材料接触。</w:t>
            </w:r>
            <w:r>
              <w:rPr>
                <w:rFonts w:hAnsi="宋体"/>
                <w:color w:val="000000" w:themeColor="text1"/>
                <w:spacing w:val="-4"/>
                <w:sz w:val="24"/>
                <w:highlight w:val="none"/>
                <w14:textFill>
                  <w14:solidFill>
                    <w14:schemeClr w14:val="tx1"/>
                  </w14:solidFill>
                </w14:textFill>
              </w:rPr>
              <w:t>盛装危险废物的容器上必须粘贴</w:t>
            </w:r>
            <w:r>
              <w:rPr>
                <w:rFonts w:hint="eastAsia" w:hAnsi="宋体"/>
                <w:color w:val="000000" w:themeColor="text1"/>
                <w:spacing w:val="-4"/>
                <w:sz w:val="24"/>
                <w:highlight w:val="none"/>
                <w14:textFill>
                  <w14:solidFill>
                    <w14:schemeClr w14:val="tx1"/>
                  </w14:solidFill>
                </w14:textFill>
              </w:rPr>
              <w:t>《危险废物识别标志设置技术规范》（HJ1276-2022）中</w:t>
            </w:r>
            <w:r>
              <w:rPr>
                <w:rFonts w:hAnsi="宋体"/>
                <w:color w:val="000000" w:themeColor="text1"/>
                <w:spacing w:val="-4"/>
                <w:sz w:val="24"/>
                <w:highlight w:val="none"/>
                <w14:textFill>
                  <w14:solidFill>
                    <w14:schemeClr w14:val="tx1"/>
                  </w14:solidFill>
                </w14:textFill>
              </w:rPr>
              <w:t>所示的标签；</w:t>
            </w:r>
          </w:p>
          <w:p w14:paraId="2E34901C">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 xml:space="preserve">b. </w:t>
            </w:r>
            <w:r>
              <w:rPr>
                <w:rFonts w:hint="eastAsia" w:hAnsi="宋体"/>
                <w:color w:val="000000" w:themeColor="text1"/>
                <w:spacing w:val="-4"/>
                <w:sz w:val="24"/>
                <w:highlight w:val="none"/>
                <w14:textFill>
                  <w14:solidFill>
                    <w14:schemeClr w14:val="tx1"/>
                  </w14:solidFill>
                </w14:textFill>
              </w:rPr>
              <w:t>危废间内不同贮存分区之间应采取隔离措施。隔离措施可根据危险废物特性采用过道、隔板或隔墙等方式；</w:t>
            </w:r>
          </w:p>
          <w:p w14:paraId="0C2037C2">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 xml:space="preserve">c. </w:t>
            </w:r>
            <w:r>
              <w:rPr>
                <w:rFonts w:hint="eastAsia" w:hAnsi="宋体"/>
                <w:color w:val="000000" w:themeColor="text1"/>
                <w:spacing w:val="-4"/>
                <w:sz w:val="24"/>
                <w:highlight w:val="none"/>
                <w14:textFill>
                  <w14:solidFill>
                    <w14:schemeClr w14:val="tx1"/>
                  </w14:solidFill>
                </w14:textFill>
              </w:rPr>
              <w:t>容器和包装物材质、内衬应与盛装的危险废物相容，针对不同类别、形态、物理化学性质的危险废物，其容器和包装物应满足相应的防渗、防漏、防腐和强度等要求；</w:t>
            </w:r>
          </w:p>
          <w:p w14:paraId="1EFCD34E">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d.</w:t>
            </w:r>
            <w:r>
              <w:rPr>
                <w:rFonts w:hint="eastAsia" w:hAnsi="宋体"/>
                <w:color w:val="000000" w:themeColor="text1"/>
                <w:spacing w:val="-4"/>
                <w:sz w:val="24"/>
                <w:highlight w:val="none"/>
                <w14:textFill>
                  <w14:solidFill>
                    <w14:schemeClr w14:val="tx1"/>
                  </w14:solidFill>
                </w14:textFill>
              </w:rPr>
              <w:t xml:space="preserve"> 使用容器盛装液态、半固态危险废物时，容器内部应留有适当的空间，以适应因温度变化等可能引发的收缩和膨胀，防止其导致容器渗漏或永久变形；</w:t>
            </w:r>
          </w:p>
          <w:p w14:paraId="560F473D">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e</w:t>
            </w:r>
            <w:r>
              <w:rPr>
                <w:rFonts w:hAnsi="宋体"/>
                <w:color w:val="000000" w:themeColor="text1"/>
                <w:spacing w:val="-4"/>
                <w:sz w:val="24"/>
                <w:highlight w:val="none"/>
                <w14:textFill>
                  <w14:solidFill>
                    <w14:schemeClr w14:val="tx1"/>
                  </w14:solidFill>
                </w14:textFill>
              </w:rPr>
              <w:t>.</w:t>
            </w:r>
            <w:r>
              <w:rPr>
                <w:rFonts w:hint="eastAsia" w:hAnsi="宋体"/>
                <w:color w:val="000000" w:themeColor="text1"/>
                <w:spacing w:val="-4"/>
                <w:sz w:val="24"/>
                <w:highlight w:val="none"/>
                <w14:textFill>
                  <w14:solidFill>
                    <w14:schemeClr w14:val="tx1"/>
                  </w14:solidFill>
                </w14:textFill>
              </w:rPr>
              <w:t xml:space="preserve"> 应定期检查危险废物的贮存状况，及时清理贮存设施地面，更换破损泄漏的危险废物贮存容器和包装物，保证堆存危险废物的防雨、防风、防扬尘等设施功能完好</w:t>
            </w:r>
            <w:r>
              <w:rPr>
                <w:rFonts w:hAnsi="宋体"/>
                <w:color w:val="000000" w:themeColor="text1"/>
                <w:spacing w:val="-4"/>
                <w:sz w:val="24"/>
                <w:highlight w:val="none"/>
                <w14:textFill>
                  <w14:solidFill>
                    <w14:schemeClr w14:val="tx1"/>
                  </w14:solidFill>
                </w14:textFill>
              </w:rPr>
              <w:t>；</w:t>
            </w:r>
          </w:p>
          <w:p w14:paraId="3AB61284">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f</w:t>
            </w:r>
            <w:r>
              <w:rPr>
                <w:rFonts w:hAnsi="宋体"/>
                <w:color w:val="000000" w:themeColor="text1"/>
                <w:spacing w:val="-4"/>
                <w:sz w:val="24"/>
                <w:highlight w:val="none"/>
                <w14:textFill>
                  <w14:solidFill>
                    <w14:schemeClr w14:val="tx1"/>
                  </w14:solidFill>
                </w14:textFill>
              </w:rPr>
              <w:t>.</w:t>
            </w:r>
            <w:r>
              <w:rPr>
                <w:rFonts w:hint="eastAsia" w:hAnsi="宋体"/>
                <w:color w:val="000000" w:themeColor="text1"/>
                <w:spacing w:val="-4"/>
                <w:sz w:val="24"/>
                <w:highlight w:val="none"/>
                <w14:textFill>
                  <w14:solidFill>
                    <w14:schemeClr w14:val="tx1"/>
                  </w14:solidFill>
                </w14:textFill>
              </w:rPr>
              <w:t xml:space="preserve"> 做好</w:t>
            </w:r>
            <w:r>
              <w:rPr>
                <w:rFonts w:hAnsi="宋体"/>
                <w:color w:val="000000" w:themeColor="text1"/>
                <w:spacing w:val="-4"/>
                <w:sz w:val="24"/>
                <w:highlight w:val="none"/>
                <w14:textFill>
                  <w14:solidFill>
                    <w14:schemeClr w14:val="tx1"/>
                  </w14:solidFill>
                </w14:textFill>
              </w:rPr>
              <w:t>危险废物情况的记录，记录上须注明危险废物的名称、来源、数量、特性和包装容器的类别、入库日期、存放库位、废物出库日期及接收单位名称</w:t>
            </w:r>
            <w:r>
              <w:rPr>
                <w:rFonts w:hint="eastAsia" w:hAnsi="宋体"/>
                <w:color w:val="000000" w:themeColor="text1"/>
                <w:spacing w:val="-4"/>
                <w:sz w:val="24"/>
                <w:highlight w:val="none"/>
                <w14:textFill>
                  <w14:solidFill>
                    <w14:schemeClr w14:val="tx1"/>
                  </w14:solidFill>
                </w14:textFill>
              </w:rPr>
              <w:t>；</w:t>
            </w:r>
          </w:p>
          <w:p w14:paraId="049024DF">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 xml:space="preserve">g. </w:t>
            </w:r>
            <w:r>
              <w:rPr>
                <w:rFonts w:hAnsi="宋体"/>
                <w:color w:val="000000" w:themeColor="text1"/>
                <w:spacing w:val="-4"/>
                <w:sz w:val="24"/>
                <w:highlight w:val="none"/>
                <w14:textFill>
                  <w14:solidFill>
                    <w14:schemeClr w14:val="tx1"/>
                  </w14:solidFill>
                </w14:textFill>
              </w:rPr>
              <w:t>危险废物的转移应遵从《危险废物转移管理办法》及其它有关规定的要求。</w:t>
            </w:r>
          </w:p>
          <w:p w14:paraId="625C61D7">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int="eastAsia" w:hAnsi="宋体"/>
                <w:color w:val="000000" w:themeColor="text1"/>
                <w:spacing w:val="-4"/>
                <w:sz w:val="24"/>
                <w:highlight w:val="none"/>
                <w14:textFill>
                  <w14:solidFill>
                    <w14:schemeClr w14:val="tx1"/>
                  </w14:solidFill>
                </w14:textFill>
              </w:rPr>
              <w:t xml:space="preserve">ⅳ </w:t>
            </w:r>
            <w:r>
              <w:rPr>
                <w:rFonts w:hAnsi="宋体"/>
                <w:color w:val="000000" w:themeColor="text1"/>
                <w:spacing w:val="-4"/>
                <w:sz w:val="24"/>
                <w:highlight w:val="none"/>
                <w14:textFill>
                  <w14:solidFill>
                    <w14:schemeClr w14:val="tx1"/>
                  </w14:solidFill>
                </w14:textFill>
              </w:rPr>
              <w:t>危废处置情况</w:t>
            </w:r>
          </w:p>
          <w:p w14:paraId="1993C117">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委托有危险废物处理资质</w:t>
            </w:r>
            <w:r>
              <w:rPr>
                <w:rFonts w:hint="eastAsia" w:hAnsi="宋体"/>
                <w:color w:val="000000" w:themeColor="text1"/>
                <w:spacing w:val="-4"/>
                <w:sz w:val="24"/>
                <w:highlight w:val="none"/>
                <w14:textFill>
                  <w14:solidFill>
                    <w14:schemeClr w14:val="tx1"/>
                  </w14:solidFill>
                </w14:textFill>
              </w:rPr>
              <w:t>的</w:t>
            </w:r>
            <w:r>
              <w:rPr>
                <w:rFonts w:hAnsi="宋体"/>
                <w:color w:val="000000" w:themeColor="text1"/>
                <w:spacing w:val="-4"/>
                <w:sz w:val="24"/>
                <w:highlight w:val="none"/>
                <w14:textFill>
                  <w14:solidFill>
                    <w14:schemeClr w14:val="tx1"/>
                  </w14:solidFill>
                </w14:textFill>
              </w:rPr>
              <w:t>单位进行处置。</w:t>
            </w:r>
          </w:p>
          <w:p w14:paraId="567BFE4A">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采取上述措施后，危险废物处理措施和处置方案满足</w:t>
            </w:r>
            <w:r>
              <w:rPr>
                <w:rFonts w:hint="eastAsia" w:hAnsi="宋体"/>
                <w:color w:val="000000" w:themeColor="text1"/>
                <w:spacing w:val="-4"/>
                <w:sz w:val="24"/>
                <w:highlight w:val="none"/>
                <w14:textFill>
                  <w14:solidFill>
                    <w14:schemeClr w14:val="tx1"/>
                  </w14:solidFill>
                </w14:textFill>
              </w:rPr>
              <w:t>《危险废物贮存污染控制标准》（GB18597-2023）</w:t>
            </w:r>
            <w:r>
              <w:rPr>
                <w:rFonts w:hAnsi="宋体"/>
                <w:color w:val="000000" w:themeColor="text1"/>
                <w:spacing w:val="-4"/>
                <w:sz w:val="24"/>
                <w:highlight w:val="none"/>
                <w14:textFill>
                  <w14:solidFill>
                    <w14:schemeClr w14:val="tx1"/>
                  </w14:solidFill>
                </w14:textFill>
              </w:rPr>
              <w:t>的要求。</w:t>
            </w:r>
          </w:p>
          <w:p w14:paraId="774AB1A1">
            <w:pPr>
              <w:spacing w:line="480" w:lineRule="exact"/>
              <w:ind w:firstLine="464" w:firstLineChars="200"/>
              <w:jc w:val="left"/>
              <w:rPr>
                <w:rFonts w:hAnsi="宋体"/>
                <w:color w:val="000000" w:themeColor="text1"/>
                <w:spacing w:val="-4"/>
                <w:sz w:val="24"/>
                <w:highlight w:val="none"/>
                <w14:textFill>
                  <w14:solidFill>
                    <w14:schemeClr w14:val="tx1"/>
                  </w14:solidFill>
                </w14:textFill>
              </w:rPr>
            </w:pPr>
            <w:r>
              <w:rPr>
                <w:rFonts w:hAnsi="宋体"/>
                <w:color w:val="000000" w:themeColor="text1"/>
                <w:spacing w:val="-4"/>
                <w:sz w:val="24"/>
                <w:highlight w:val="none"/>
                <w14:textFill>
                  <w14:solidFill>
                    <w14:schemeClr w14:val="tx1"/>
                  </w14:solidFill>
                </w14:textFill>
              </w:rPr>
              <w:t>采取上述措施后，本项目固废对环境影响较小。固体废物产生量及处置措施见表</w:t>
            </w:r>
            <w:r>
              <w:rPr>
                <w:rFonts w:hint="eastAsia" w:hAnsi="宋体"/>
                <w:color w:val="000000" w:themeColor="text1"/>
                <w:spacing w:val="-4"/>
                <w:sz w:val="24"/>
                <w:highlight w:val="none"/>
                <w14:textFill>
                  <w14:solidFill>
                    <w14:schemeClr w14:val="tx1"/>
                  </w14:solidFill>
                </w14:textFill>
              </w:rPr>
              <w:t>4-17</w:t>
            </w:r>
            <w:r>
              <w:rPr>
                <w:rFonts w:hAnsi="宋体"/>
                <w:color w:val="000000" w:themeColor="text1"/>
                <w:spacing w:val="-4"/>
                <w:sz w:val="24"/>
                <w:highlight w:val="none"/>
                <w14:textFill>
                  <w14:solidFill>
                    <w14:schemeClr w14:val="tx1"/>
                  </w14:solidFill>
                </w14:textFill>
              </w:rPr>
              <w:t>。</w:t>
            </w:r>
          </w:p>
          <w:p w14:paraId="001160D1">
            <w:pPr>
              <w:spacing w:line="480" w:lineRule="exact"/>
              <w:ind w:firstLine="1176" w:firstLineChars="490"/>
              <w:rPr>
                <w:rFonts w:ascii="黑体" w:hAnsi="黑体" w:eastAsia="黑体"/>
                <w:bCs/>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 xml:space="preserve">4-17   </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 xml:space="preserve"> 固体废物产生量及处置措施</w:t>
            </w:r>
          </w:p>
          <w:tbl>
            <w:tblPr>
              <w:tblStyle w:val="24"/>
              <w:tblW w:w="0" w:type="auto"/>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1550"/>
              <w:gridCol w:w="850"/>
              <w:gridCol w:w="851"/>
              <w:gridCol w:w="4155"/>
              <w:gridCol w:w="851"/>
              <w:gridCol w:w="567"/>
            </w:tblGrid>
            <w:tr w14:paraId="00E84CE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75EA6F2A">
                  <w:pPr>
                    <w:adjustRightInd w:val="0"/>
                    <w:spacing w:line="280" w:lineRule="exact"/>
                    <w:ind w:left="-105" w:leftChars="-50" w:right="-105" w:rightChars="-50"/>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名称</w:t>
                  </w:r>
                </w:p>
              </w:tc>
              <w:tc>
                <w:tcPr>
                  <w:tcW w:w="850" w:type="dxa"/>
                  <w:vAlign w:val="center"/>
                </w:tcPr>
                <w:p w14:paraId="042EE17A">
                  <w:pPr>
                    <w:adjustRightInd w:val="0"/>
                    <w:spacing w:line="280" w:lineRule="exact"/>
                    <w:ind w:left="-105" w:leftChars="-50" w:right="-105" w:rightChars="-50"/>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来源</w:t>
                  </w:r>
                </w:p>
              </w:tc>
              <w:tc>
                <w:tcPr>
                  <w:tcW w:w="851" w:type="dxa"/>
                  <w:vAlign w:val="center"/>
                </w:tcPr>
                <w:p w14:paraId="2538961A">
                  <w:pPr>
                    <w:adjustRightInd w:val="0"/>
                    <w:spacing w:line="280" w:lineRule="exact"/>
                    <w:ind w:left="-105" w:leftChars="-50" w:right="-105" w:rightChars="-50"/>
                    <w:jc w:val="center"/>
                    <w:rPr>
                      <w:caps/>
                      <w:color w:val="000000" w:themeColor="text1"/>
                      <w:spacing w:val="-20"/>
                      <w:szCs w:val="21"/>
                      <w:highlight w:val="none"/>
                      <w14:textFill>
                        <w14:solidFill>
                          <w14:schemeClr w14:val="tx1"/>
                        </w14:solidFill>
                      </w14:textFill>
                    </w:rPr>
                  </w:pPr>
                  <w:r>
                    <w:rPr>
                      <w:caps/>
                      <w:color w:val="000000" w:themeColor="text1"/>
                      <w:spacing w:val="-20"/>
                      <w:szCs w:val="21"/>
                      <w:highlight w:val="none"/>
                      <w14:textFill>
                        <w14:solidFill>
                          <w14:schemeClr w14:val="tx1"/>
                        </w14:solidFill>
                      </w14:textFill>
                    </w:rPr>
                    <w:t>产生量（</w:t>
                  </w:r>
                  <w:r>
                    <w:rPr>
                      <w:color w:val="000000" w:themeColor="text1"/>
                      <w:spacing w:val="-20"/>
                      <w:szCs w:val="21"/>
                      <w:highlight w:val="none"/>
                      <w14:textFill>
                        <w14:solidFill>
                          <w14:schemeClr w14:val="tx1"/>
                        </w14:solidFill>
                      </w14:textFill>
                    </w:rPr>
                    <w:t>t/a</w:t>
                  </w:r>
                  <w:r>
                    <w:rPr>
                      <w:caps/>
                      <w:color w:val="000000" w:themeColor="text1"/>
                      <w:spacing w:val="-20"/>
                      <w:szCs w:val="21"/>
                      <w:highlight w:val="none"/>
                      <w14:textFill>
                        <w14:solidFill>
                          <w14:schemeClr w14:val="tx1"/>
                        </w14:solidFill>
                      </w14:textFill>
                    </w:rPr>
                    <w:t>）</w:t>
                  </w:r>
                </w:p>
              </w:tc>
              <w:tc>
                <w:tcPr>
                  <w:tcW w:w="4155" w:type="dxa"/>
                  <w:vAlign w:val="center"/>
                </w:tcPr>
                <w:p w14:paraId="3FE3D81D">
                  <w:pPr>
                    <w:adjustRightInd w:val="0"/>
                    <w:spacing w:line="280" w:lineRule="exact"/>
                    <w:ind w:left="-105" w:leftChars="-50" w:right="-105" w:rightChars="-50"/>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处置方式</w:t>
                  </w:r>
                </w:p>
              </w:tc>
              <w:tc>
                <w:tcPr>
                  <w:tcW w:w="851" w:type="dxa"/>
                  <w:vAlign w:val="center"/>
                </w:tcPr>
                <w:p w14:paraId="1DF63123">
                  <w:pPr>
                    <w:adjustRightInd w:val="0"/>
                    <w:spacing w:line="280" w:lineRule="exact"/>
                    <w:ind w:left="-105" w:leftChars="-50" w:right="-105" w:rightChars="-50"/>
                    <w:jc w:val="center"/>
                    <w:rPr>
                      <w:caps/>
                      <w:color w:val="000000" w:themeColor="text1"/>
                      <w:spacing w:val="-4"/>
                      <w:szCs w:val="21"/>
                      <w:highlight w:val="none"/>
                      <w14:textFill>
                        <w14:solidFill>
                          <w14:schemeClr w14:val="tx1"/>
                        </w14:solidFill>
                      </w14:textFill>
                    </w:rPr>
                  </w:pPr>
                  <w:r>
                    <w:rPr>
                      <w:caps/>
                      <w:color w:val="000000" w:themeColor="text1"/>
                      <w:spacing w:val="-4"/>
                      <w:szCs w:val="21"/>
                      <w:highlight w:val="none"/>
                      <w14:textFill>
                        <w14:solidFill>
                          <w14:schemeClr w14:val="tx1"/>
                        </w14:solidFill>
                      </w14:textFill>
                    </w:rPr>
                    <w:t>处理方式及处置率</w:t>
                  </w:r>
                </w:p>
              </w:tc>
              <w:tc>
                <w:tcPr>
                  <w:tcW w:w="567" w:type="dxa"/>
                  <w:vAlign w:val="center"/>
                </w:tcPr>
                <w:p w14:paraId="2995C1CE">
                  <w:pPr>
                    <w:adjustRightInd w:val="0"/>
                    <w:spacing w:line="280" w:lineRule="exact"/>
                    <w:ind w:left="-105" w:leftChars="-50" w:right="-105" w:rightChars="-50"/>
                    <w:jc w:val="center"/>
                    <w:rPr>
                      <w:caps/>
                      <w:color w:val="000000" w:themeColor="text1"/>
                      <w:szCs w:val="21"/>
                      <w:highlight w:val="none"/>
                      <w14:textFill>
                        <w14:solidFill>
                          <w14:schemeClr w14:val="tx1"/>
                        </w14:solidFill>
                      </w14:textFill>
                    </w:rPr>
                  </w:pPr>
                  <w:r>
                    <w:rPr>
                      <w:caps/>
                      <w:color w:val="000000" w:themeColor="text1"/>
                      <w:szCs w:val="21"/>
                      <w:highlight w:val="none"/>
                      <w14:textFill>
                        <w14:solidFill>
                          <w14:schemeClr w14:val="tx1"/>
                        </w14:solidFill>
                      </w14:textFill>
                    </w:rPr>
                    <w:t>备注</w:t>
                  </w:r>
                </w:p>
              </w:tc>
            </w:tr>
            <w:tr w14:paraId="563F79D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7DF9BB39">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废砖坯</w:t>
                  </w:r>
                </w:p>
              </w:tc>
              <w:tc>
                <w:tcPr>
                  <w:tcW w:w="850" w:type="dxa"/>
                  <w:vAlign w:val="center"/>
                </w:tcPr>
                <w:p w14:paraId="26AB3886">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成型切坯工序</w:t>
                  </w:r>
                </w:p>
              </w:tc>
              <w:tc>
                <w:tcPr>
                  <w:tcW w:w="851" w:type="dxa"/>
                  <w:vAlign w:val="center"/>
                </w:tcPr>
                <w:p w14:paraId="0A6F4D9F">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48</w:t>
                  </w:r>
                  <w:r>
                    <w:rPr>
                      <w:rFonts w:hint="eastAsia" w:ascii="Times New Roman" w:hAnsi="Times New Roman"/>
                      <w:color w:val="000000" w:themeColor="text1"/>
                      <w:sz w:val="21"/>
                      <w:szCs w:val="21"/>
                      <w:highlight w:val="none"/>
                      <w14:textFill>
                        <w14:solidFill>
                          <w14:schemeClr w14:val="tx1"/>
                        </w14:solidFill>
                      </w14:textFill>
                    </w:rPr>
                    <w:t>00</w:t>
                  </w:r>
                </w:p>
              </w:tc>
              <w:tc>
                <w:tcPr>
                  <w:tcW w:w="4155" w:type="dxa"/>
                  <w:vAlign w:val="center"/>
                </w:tcPr>
                <w:p w14:paraId="4352BD64">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c>
                <w:tcPr>
                  <w:tcW w:w="851" w:type="dxa"/>
                  <w:vMerge w:val="restart"/>
                  <w:vAlign w:val="center"/>
                </w:tcPr>
                <w:p w14:paraId="7C75A917">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综合利用100</w:t>
                  </w:r>
                  <w:r>
                    <w:rPr>
                      <w:rFonts w:hint="eastAsia"/>
                      <w:color w:val="000000" w:themeColor="text1"/>
                      <w:szCs w:val="21"/>
                      <w:highlight w:val="none"/>
                      <w14:textFill>
                        <w14:solidFill>
                          <w14:schemeClr w14:val="tx1"/>
                        </w14:solidFill>
                      </w14:textFill>
                    </w:rPr>
                    <w:t>%</w:t>
                  </w:r>
                </w:p>
              </w:tc>
              <w:tc>
                <w:tcPr>
                  <w:tcW w:w="567" w:type="dxa"/>
                  <w:vMerge w:val="restart"/>
                  <w:vAlign w:val="center"/>
                </w:tcPr>
                <w:p w14:paraId="51696958">
                  <w:pPr>
                    <w:adjustRightInd w:val="0"/>
                    <w:spacing w:line="280" w:lineRule="exact"/>
                    <w:ind w:left="-105" w:leftChars="-50" w:right="-105" w:rightChars="-5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一般</w:t>
                  </w:r>
                </w:p>
                <w:p w14:paraId="7C428464">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固废</w:t>
                  </w:r>
                </w:p>
              </w:tc>
            </w:tr>
            <w:tr w14:paraId="02ED1CE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516295AD">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废砖</w:t>
                  </w:r>
                </w:p>
              </w:tc>
              <w:tc>
                <w:tcPr>
                  <w:tcW w:w="850" w:type="dxa"/>
                  <w:vAlign w:val="center"/>
                </w:tcPr>
                <w:p w14:paraId="2439F519">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检验工序</w:t>
                  </w:r>
                </w:p>
              </w:tc>
              <w:tc>
                <w:tcPr>
                  <w:tcW w:w="851" w:type="dxa"/>
                  <w:vAlign w:val="center"/>
                </w:tcPr>
                <w:p w14:paraId="6633D46C">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18</w:t>
                  </w:r>
                  <w:r>
                    <w:rPr>
                      <w:rFonts w:hint="eastAsia" w:ascii="Times New Roman" w:hAnsi="Times New Roman"/>
                      <w:color w:val="000000" w:themeColor="text1"/>
                      <w:sz w:val="21"/>
                      <w:szCs w:val="21"/>
                      <w:highlight w:val="none"/>
                      <w14:textFill>
                        <w14:solidFill>
                          <w14:schemeClr w14:val="tx1"/>
                        </w14:solidFill>
                      </w14:textFill>
                    </w:rPr>
                    <w:t>00</w:t>
                  </w:r>
                </w:p>
              </w:tc>
              <w:tc>
                <w:tcPr>
                  <w:tcW w:w="4155" w:type="dxa"/>
                  <w:vAlign w:val="center"/>
                </w:tcPr>
                <w:p w14:paraId="4D4B3D0C">
                  <w:pPr>
                    <w:adjustRightInd w:val="0"/>
                    <w:snapToGrid w:val="0"/>
                    <w:spacing w:line="28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集中收集</w:t>
                  </w:r>
                  <w:r>
                    <w:rPr>
                      <w:rFonts w:hint="eastAsia"/>
                      <w:bCs/>
                      <w:color w:val="000000" w:themeColor="text1"/>
                      <w:szCs w:val="21"/>
                      <w:highlight w:val="none"/>
                      <w14:textFill>
                        <w14:solidFill>
                          <w14:schemeClr w14:val="tx1"/>
                        </w14:solidFill>
                      </w14:textFill>
                    </w:rPr>
                    <w:t>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c>
                <w:tcPr>
                  <w:tcW w:w="851" w:type="dxa"/>
                  <w:vMerge w:val="continue"/>
                  <w:vAlign w:val="center"/>
                </w:tcPr>
                <w:p w14:paraId="5F553019">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41E02D4B">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522F56D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40B66579">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除尘灰</w:t>
                  </w:r>
                </w:p>
              </w:tc>
              <w:tc>
                <w:tcPr>
                  <w:tcW w:w="850" w:type="dxa"/>
                  <w:vMerge w:val="restart"/>
                  <w:vAlign w:val="center"/>
                </w:tcPr>
                <w:p w14:paraId="77CD53AF">
                  <w:pPr>
                    <w:spacing w:line="280" w:lineRule="exact"/>
                    <w:ind w:left="-105" w:leftChars="-50" w:right="-105" w:rightChars="-50"/>
                    <w:jc w:val="center"/>
                    <w:rPr>
                      <w:rFonts w:hint="eastAsia"/>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布袋除</w:t>
                  </w:r>
                </w:p>
                <w:p w14:paraId="3C8AE72C">
                  <w:pPr>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尘器</w:t>
                  </w:r>
                </w:p>
              </w:tc>
              <w:tc>
                <w:tcPr>
                  <w:tcW w:w="851" w:type="dxa"/>
                  <w:vAlign w:val="center"/>
                </w:tcPr>
                <w:p w14:paraId="0019CF97">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45.94</w:t>
                  </w:r>
                </w:p>
              </w:tc>
              <w:tc>
                <w:tcPr>
                  <w:tcW w:w="4155" w:type="dxa"/>
                  <w:vAlign w:val="center"/>
                </w:tcPr>
                <w:p w14:paraId="5E26F535">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c>
                <w:tcPr>
                  <w:tcW w:w="851" w:type="dxa"/>
                  <w:vMerge w:val="continue"/>
                  <w:vAlign w:val="center"/>
                </w:tcPr>
                <w:p w14:paraId="082DBB75">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4E0A2E5D">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58A8069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3D758619">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废滤袋</w:t>
                  </w:r>
                </w:p>
              </w:tc>
              <w:tc>
                <w:tcPr>
                  <w:tcW w:w="850" w:type="dxa"/>
                  <w:vMerge w:val="continue"/>
                  <w:vAlign w:val="center"/>
                </w:tcPr>
                <w:p w14:paraId="55C1AB7D">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851" w:type="dxa"/>
                  <w:vAlign w:val="center"/>
                </w:tcPr>
                <w:p w14:paraId="6F47705C">
                  <w:pPr>
                    <w:pStyle w:val="20"/>
                    <w:spacing w:before="0" w:beforeAutospacing="0" w:after="0" w:afterAutospacing="0" w:line="280" w:lineRule="exact"/>
                    <w:ind w:left="-105" w:leftChars="-50" w:right="-105" w:rightChars="-5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0.5</w:t>
                  </w:r>
                </w:p>
              </w:tc>
              <w:tc>
                <w:tcPr>
                  <w:tcW w:w="4155" w:type="dxa"/>
                  <w:vAlign w:val="center"/>
                </w:tcPr>
                <w:p w14:paraId="7A999528">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集中收集</w:t>
                  </w:r>
                  <w:r>
                    <w:rPr>
                      <w:rFonts w:hint="eastAsia"/>
                      <w:bCs/>
                      <w:color w:val="000000" w:themeColor="text1"/>
                      <w:szCs w:val="21"/>
                      <w:highlight w:val="none"/>
                      <w14:textFill>
                        <w14:solidFill>
                          <w14:schemeClr w14:val="tx1"/>
                        </w14:solidFill>
                      </w14:textFill>
                    </w:rPr>
                    <w:t>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c>
                <w:tcPr>
                  <w:tcW w:w="851" w:type="dxa"/>
                  <w:vMerge w:val="continue"/>
                  <w:vAlign w:val="center"/>
                </w:tcPr>
                <w:p w14:paraId="3DB4B577">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3438FFA4">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4B1EE13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2056D920">
                  <w:pPr>
                    <w:spacing w:line="280" w:lineRule="exact"/>
                    <w:ind w:left="-105" w:leftChars="-50" w:right="-105" w:rightChars="-50" w:firstLine="10" w:firstLineChars="5"/>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废包装袋</w:t>
                  </w:r>
                </w:p>
              </w:tc>
              <w:tc>
                <w:tcPr>
                  <w:tcW w:w="850" w:type="dxa"/>
                  <w:vAlign w:val="center"/>
                </w:tcPr>
                <w:p w14:paraId="42D3A996">
                  <w:pPr>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脱硫脱硝工序</w:t>
                  </w:r>
                </w:p>
              </w:tc>
              <w:tc>
                <w:tcPr>
                  <w:tcW w:w="851" w:type="dxa"/>
                  <w:vAlign w:val="center"/>
                </w:tcPr>
                <w:p w14:paraId="73854ABC">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0.</w:t>
                  </w:r>
                  <w:r>
                    <w:rPr>
                      <w:rFonts w:hint="eastAsia" w:ascii="Times New Roman" w:hAnsi="Times New Roman"/>
                      <w:color w:val="000000" w:themeColor="text1"/>
                      <w:sz w:val="21"/>
                      <w:szCs w:val="21"/>
                      <w:highlight w:val="none"/>
                      <w:lang w:val="en-US" w:eastAsia="zh-CN"/>
                      <w14:textFill>
                        <w14:solidFill>
                          <w14:schemeClr w14:val="tx1"/>
                        </w14:solidFill>
                      </w14:textFill>
                    </w:rPr>
                    <w:t>15</w:t>
                  </w:r>
                </w:p>
              </w:tc>
              <w:tc>
                <w:tcPr>
                  <w:tcW w:w="4155" w:type="dxa"/>
                  <w:vAlign w:val="center"/>
                </w:tcPr>
                <w:p w14:paraId="00EC2179">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集中收集暂存于生产车间一般固废暂存区，</w:t>
                  </w:r>
                  <w:r>
                    <w:rPr>
                      <w:bCs/>
                      <w:color w:val="000000" w:themeColor="text1"/>
                      <w:szCs w:val="21"/>
                      <w:highlight w:val="none"/>
                      <w14:textFill>
                        <w14:solidFill>
                          <w14:schemeClr w14:val="tx1"/>
                        </w14:solidFill>
                      </w14:textFill>
                    </w:rPr>
                    <w:t>定期</w:t>
                  </w:r>
                  <w:r>
                    <w:rPr>
                      <w:rFonts w:hint="eastAsia"/>
                      <w:bCs/>
                      <w:color w:val="000000" w:themeColor="text1"/>
                      <w:szCs w:val="21"/>
                      <w:highlight w:val="none"/>
                      <w14:textFill>
                        <w14:solidFill>
                          <w14:schemeClr w14:val="tx1"/>
                        </w14:solidFill>
                      </w14:textFill>
                    </w:rPr>
                    <w:t>外售</w:t>
                  </w:r>
                </w:p>
              </w:tc>
              <w:tc>
                <w:tcPr>
                  <w:tcW w:w="851" w:type="dxa"/>
                  <w:vMerge w:val="continue"/>
                  <w:vAlign w:val="center"/>
                </w:tcPr>
                <w:p w14:paraId="23CE1E1D">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083711C5">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29FCC47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3230106B">
                  <w:pPr>
                    <w:spacing w:line="280" w:lineRule="exact"/>
                    <w:ind w:left="-105" w:leftChars="-50" w:right="-105" w:rightChars="-50" w:firstLine="10" w:firstLineChars="5"/>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污泥</w:t>
                  </w:r>
                </w:p>
              </w:tc>
              <w:tc>
                <w:tcPr>
                  <w:tcW w:w="850" w:type="dxa"/>
                  <w:vAlign w:val="center"/>
                </w:tcPr>
                <w:p w14:paraId="53C9611E">
                  <w:pPr>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洗车平台</w:t>
                  </w:r>
                </w:p>
              </w:tc>
              <w:tc>
                <w:tcPr>
                  <w:tcW w:w="851" w:type="dxa"/>
                  <w:vAlign w:val="center"/>
                </w:tcPr>
                <w:p w14:paraId="3EF95871">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45</w:t>
                  </w:r>
                </w:p>
              </w:tc>
              <w:tc>
                <w:tcPr>
                  <w:tcW w:w="4155" w:type="dxa"/>
                  <w:vAlign w:val="center"/>
                </w:tcPr>
                <w:p w14:paraId="516F65E8">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定期清理，回用于生产</w:t>
                  </w:r>
                </w:p>
              </w:tc>
              <w:tc>
                <w:tcPr>
                  <w:tcW w:w="851" w:type="dxa"/>
                  <w:vMerge w:val="continue"/>
                  <w:vAlign w:val="center"/>
                </w:tcPr>
                <w:p w14:paraId="3D3A542B">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0D090CAD">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43E3B3A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61CCA932">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脱硫石膏</w:t>
                  </w:r>
                </w:p>
              </w:tc>
              <w:tc>
                <w:tcPr>
                  <w:tcW w:w="850" w:type="dxa"/>
                  <w:vMerge w:val="restart"/>
                  <w:vAlign w:val="center"/>
                </w:tcPr>
                <w:p w14:paraId="5A1F2399">
                  <w:pPr>
                    <w:spacing w:line="28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脱硫</w:t>
                  </w:r>
                  <w:r>
                    <w:rPr>
                      <w:rFonts w:hint="eastAsia"/>
                      <w:bCs/>
                      <w:color w:val="000000" w:themeColor="text1"/>
                      <w:szCs w:val="21"/>
                      <w:highlight w:val="none"/>
                      <w14:textFill>
                        <w14:solidFill>
                          <w14:schemeClr w14:val="tx1"/>
                        </w14:solidFill>
                      </w14:textFill>
                    </w:rPr>
                    <w:t>除尘设施</w:t>
                  </w:r>
                </w:p>
              </w:tc>
              <w:tc>
                <w:tcPr>
                  <w:tcW w:w="851" w:type="dxa"/>
                  <w:vAlign w:val="center"/>
                </w:tcPr>
                <w:p w14:paraId="35A159C6">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1410</w:t>
                  </w:r>
                </w:p>
              </w:tc>
              <w:tc>
                <w:tcPr>
                  <w:tcW w:w="4155" w:type="dxa"/>
                  <w:vAlign w:val="center"/>
                </w:tcPr>
                <w:p w14:paraId="605976AE">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c>
                <w:tcPr>
                  <w:tcW w:w="851" w:type="dxa"/>
                  <w:vMerge w:val="continue"/>
                  <w:vAlign w:val="center"/>
                </w:tcPr>
                <w:p w14:paraId="5F19507A">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1DDE28BC">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1D1F38F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01AB8241">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除尘灰浆</w:t>
                  </w:r>
                </w:p>
              </w:tc>
              <w:tc>
                <w:tcPr>
                  <w:tcW w:w="850" w:type="dxa"/>
                  <w:vMerge w:val="continue"/>
                  <w:vAlign w:val="center"/>
                </w:tcPr>
                <w:p w14:paraId="70985F88">
                  <w:pPr>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851" w:type="dxa"/>
                  <w:vAlign w:val="center"/>
                </w:tcPr>
                <w:p w14:paraId="08F587D6">
                  <w:pPr>
                    <w:pStyle w:val="20"/>
                    <w:spacing w:before="0" w:beforeAutospacing="0" w:after="0" w:afterAutospacing="0" w:line="280" w:lineRule="exact"/>
                    <w:ind w:left="-105" w:leftChars="-50" w:right="-105" w:rightChars="-5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198.28</w:t>
                  </w:r>
                </w:p>
              </w:tc>
              <w:tc>
                <w:tcPr>
                  <w:tcW w:w="4155" w:type="dxa"/>
                  <w:vAlign w:val="center"/>
                </w:tcPr>
                <w:p w14:paraId="7E9A9398">
                  <w:pPr>
                    <w:adjustRightInd w:val="0"/>
                    <w:snapToGri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收集后送入搅拌工序，</w:t>
                  </w:r>
                  <w:r>
                    <w:rPr>
                      <w:bCs/>
                      <w:color w:val="000000" w:themeColor="text1"/>
                      <w:szCs w:val="21"/>
                      <w:highlight w:val="none"/>
                      <w14:textFill>
                        <w14:solidFill>
                          <w14:schemeClr w14:val="tx1"/>
                        </w14:solidFill>
                      </w14:textFill>
                    </w:rPr>
                    <w:t>回用于生产</w:t>
                  </w:r>
                </w:p>
              </w:tc>
              <w:tc>
                <w:tcPr>
                  <w:tcW w:w="851" w:type="dxa"/>
                  <w:vMerge w:val="continue"/>
                  <w:vAlign w:val="center"/>
                </w:tcPr>
                <w:p w14:paraId="00DEC061">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66893BF2">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056BE56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557A893A">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废润滑油</w:t>
                  </w:r>
                </w:p>
              </w:tc>
              <w:tc>
                <w:tcPr>
                  <w:tcW w:w="850" w:type="dxa"/>
                  <w:vMerge w:val="restart"/>
                  <w:vAlign w:val="center"/>
                </w:tcPr>
                <w:p w14:paraId="475252A9">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设备维修保养</w:t>
                  </w:r>
                </w:p>
              </w:tc>
              <w:tc>
                <w:tcPr>
                  <w:tcW w:w="851" w:type="dxa"/>
                  <w:vAlign w:val="center"/>
                </w:tcPr>
                <w:p w14:paraId="42ADE832">
                  <w:pPr>
                    <w:adjustRightIn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6</w:t>
                  </w:r>
                </w:p>
              </w:tc>
              <w:tc>
                <w:tcPr>
                  <w:tcW w:w="4155" w:type="dxa"/>
                  <w:vAlign w:val="center"/>
                </w:tcPr>
                <w:p w14:paraId="2155A834">
                  <w:pPr>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采用专用容器贮存，暂存危废间，委托有资质的单位处理</w:t>
                  </w:r>
                </w:p>
              </w:tc>
              <w:tc>
                <w:tcPr>
                  <w:tcW w:w="851" w:type="dxa"/>
                  <w:vMerge w:val="restart"/>
                  <w:tcBorders>
                    <w:top w:val="single" w:color="auto" w:sz="4" w:space="0"/>
                  </w:tcBorders>
                  <w:vAlign w:val="center"/>
                </w:tcPr>
                <w:p w14:paraId="16FC3153">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处置率100%</w:t>
                  </w:r>
                </w:p>
              </w:tc>
              <w:tc>
                <w:tcPr>
                  <w:tcW w:w="567" w:type="dxa"/>
                  <w:vMerge w:val="restart"/>
                  <w:tcBorders>
                    <w:top w:val="single" w:color="auto" w:sz="4" w:space="0"/>
                  </w:tcBorders>
                  <w:vAlign w:val="center"/>
                </w:tcPr>
                <w:p w14:paraId="4DCB817B">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危险废物</w:t>
                  </w:r>
                </w:p>
              </w:tc>
            </w:tr>
            <w:tr w14:paraId="36B7E6C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53F2E126">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废油桶</w:t>
                  </w:r>
                </w:p>
              </w:tc>
              <w:tc>
                <w:tcPr>
                  <w:tcW w:w="850" w:type="dxa"/>
                  <w:vMerge w:val="continue"/>
                  <w:vAlign w:val="center"/>
                </w:tcPr>
                <w:p w14:paraId="0B3A7AEB">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851" w:type="dxa"/>
                  <w:vAlign w:val="center"/>
                </w:tcPr>
                <w:p w14:paraId="2550C4DE">
                  <w:pPr>
                    <w:adjustRightIn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w:t>
                  </w:r>
                </w:p>
              </w:tc>
              <w:tc>
                <w:tcPr>
                  <w:tcW w:w="4155" w:type="dxa"/>
                  <w:vAlign w:val="center"/>
                </w:tcPr>
                <w:p w14:paraId="7E8AB5DF">
                  <w:pPr>
                    <w:adjustRightInd w:val="0"/>
                    <w:snapToGrid w:val="0"/>
                    <w:spacing w:line="280" w:lineRule="exact"/>
                    <w:ind w:left="-105" w:leftChars="-50" w:right="-105" w:rightChars="-5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密封，暂存危废间，委托有资质的单位处理</w:t>
                  </w:r>
                </w:p>
              </w:tc>
              <w:tc>
                <w:tcPr>
                  <w:tcW w:w="851" w:type="dxa"/>
                  <w:vMerge w:val="continue"/>
                  <w:vAlign w:val="center"/>
                </w:tcPr>
                <w:p w14:paraId="44CA0DE7">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350EA9AF">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r w14:paraId="69105AF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550" w:type="dxa"/>
                  <w:vAlign w:val="center"/>
                </w:tcPr>
                <w:p w14:paraId="000C6DFB">
                  <w:pPr>
                    <w:spacing w:line="280" w:lineRule="exact"/>
                    <w:ind w:left="-105" w:leftChars="-50" w:right="-105" w:rightChars="-50" w:firstLine="10" w:firstLineChars="5"/>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废活性炭</w:t>
                  </w:r>
                </w:p>
              </w:tc>
              <w:tc>
                <w:tcPr>
                  <w:tcW w:w="850" w:type="dxa"/>
                  <w:vAlign w:val="center"/>
                </w:tcPr>
                <w:p w14:paraId="0828E228">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恶臭治理设施</w:t>
                  </w:r>
                </w:p>
              </w:tc>
              <w:tc>
                <w:tcPr>
                  <w:tcW w:w="851" w:type="dxa"/>
                  <w:vAlign w:val="center"/>
                </w:tcPr>
                <w:p w14:paraId="6E04581E">
                  <w:pPr>
                    <w:adjustRightInd w:val="0"/>
                    <w:spacing w:line="280" w:lineRule="exact"/>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p>
              </w:tc>
              <w:tc>
                <w:tcPr>
                  <w:tcW w:w="4155" w:type="dxa"/>
                  <w:vAlign w:val="center"/>
                </w:tcPr>
                <w:p w14:paraId="050BF96A">
                  <w:pPr>
                    <w:adjustRightInd w:val="0"/>
                    <w:spacing w:line="280" w:lineRule="exact"/>
                    <w:ind w:left="-105" w:leftChars="-50" w:right="-105" w:rightChars="-5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采用内塑外编的包装袋收集封口，暂存危废间，委托有资质的单位处理</w:t>
                  </w:r>
                </w:p>
              </w:tc>
              <w:tc>
                <w:tcPr>
                  <w:tcW w:w="851" w:type="dxa"/>
                  <w:vMerge w:val="continue"/>
                  <w:vAlign w:val="center"/>
                </w:tcPr>
                <w:p w14:paraId="3CBF5561">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c>
                <w:tcPr>
                  <w:tcW w:w="567" w:type="dxa"/>
                  <w:vMerge w:val="continue"/>
                  <w:vAlign w:val="center"/>
                </w:tcPr>
                <w:p w14:paraId="47FC5024">
                  <w:pPr>
                    <w:adjustRightInd w:val="0"/>
                    <w:spacing w:line="280" w:lineRule="exact"/>
                    <w:ind w:left="-105" w:leftChars="-50" w:right="-105" w:rightChars="-50"/>
                    <w:jc w:val="center"/>
                    <w:rPr>
                      <w:color w:val="000000" w:themeColor="text1"/>
                      <w:szCs w:val="21"/>
                      <w:highlight w:val="none"/>
                      <w14:textFill>
                        <w14:solidFill>
                          <w14:schemeClr w14:val="tx1"/>
                        </w14:solidFill>
                      </w14:textFill>
                    </w:rPr>
                  </w:pPr>
                </w:p>
              </w:tc>
            </w:tr>
          </w:tbl>
          <w:p w14:paraId="707A21B5">
            <w:pPr>
              <w:spacing w:line="480" w:lineRule="exact"/>
              <w:rPr>
                <w:b/>
                <w:color w:val="000000" w:themeColor="text1"/>
                <w:kern w:val="0"/>
                <w:sz w:val="24"/>
                <w:highlight w:val="none"/>
                <w14:textFill>
                  <w14:solidFill>
                    <w14:schemeClr w14:val="tx1"/>
                  </w14:solidFill>
                </w14:textFill>
              </w:rPr>
            </w:pPr>
            <w:r>
              <w:rPr>
                <w:rFonts w:hint="eastAsia"/>
                <w:b/>
                <w:color w:val="000000" w:themeColor="text1"/>
                <w:kern w:val="0"/>
                <w:sz w:val="24"/>
                <w:highlight w:val="none"/>
                <w14:textFill>
                  <w14:solidFill>
                    <w14:schemeClr w14:val="tx1"/>
                  </w14:solidFill>
                </w14:textFill>
              </w:rPr>
              <w:t>5 地下水、土壤</w:t>
            </w:r>
          </w:p>
          <w:p w14:paraId="37D256AD">
            <w:pPr>
              <w:spacing w:line="480" w:lineRule="exact"/>
              <w:ind w:firstLine="466" w:firstLineChars="200"/>
              <w:jc w:val="left"/>
              <w:rPr>
                <w:rFonts w:hAnsi="宋体"/>
                <w:b/>
                <w:bCs/>
                <w:color w:val="000000" w:themeColor="text1"/>
                <w:spacing w:val="-4"/>
                <w:sz w:val="24"/>
                <w:highlight w:val="none"/>
                <w14:textFill>
                  <w14:solidFill>
                    <w14:schemeClr w14:val="tx1"/>
                  </w14:solidFill>
                </w14:textFill>
              </w:rPr>
            </w:pPr>
            <w:r>
              <w:rPr>
                <w:rFonts w:hint="eastAsia" w:hAnsi="宋体"/>
                <w:b/>
                <w:bCs/>
                <w:color w:val="000000" w:themeColor="text1"/>
                <w:spacing w:val="-4"/>
                <w:sz w:val="24"/>
                <w:highlight w:val="none"/>
                <w14:textFill>
                  <w14:solidFill>
                    <w14:schemeClr w14:val="tx1"/>
                  </w14:solidFill>
                </w14:textFill>
              </w:rPr>
              <w:t>5.1地下水、土壤环境污染识别</w:t>
            </w:r>
          </w:p>
          <w:p w14:paraId="72DEA215">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Ansi="宋体"/>
                <w:bCs/>
                <w:color w:val="000000" w:themeColor="text1"/>
                <w:spacing w:val="-4"/>
                <w:sz w:val="24"/>
                <w:highlight w:val="none"/>
                <w14:textFill>
                  <w14:solidFill>
                    <w14:schemeClr w14:val="tx1"/>
                  </w14:solidFill>
                </w14:textFill>
              </w:rPr>
              <w:t>本</w:t>
            </w:r>
            <w:r>
              <w:rPr>
                <w:rFonts w:hint="eastAsia" w:hAnsi="宋体"/>
                <w:bCs/>
                <w:color w:val="000000" w:themeColor="text1"/>
                <w:spacing w:val="-4"/>
                <w:sz w:val="24"/>
                <w:highlight w:val="none"/>
                <w14:textFill>
                  <w14:solidFill>
                    <w14:schemeClr w14:val="tx1"/>
                  </w14:solidFill>
                </w14:textFill>
              </w:rPr>
              <w:t>项目位于滦州市响嘡街道田疃村西北侧现有厂区内。现有厂区周边存在耕地等土壤环境敏感目标，最近的地下水环境保护目标为项目占地范围内的潜水层地下水。</w:t>
            </w:r>
          </w:p>
          <w:p w14:paraId="4C6C9FB3">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厂区现有</w:t>
            </w:r>
            <w:r>
              <w:rPr>
                <w:rFonts w:hAnsi="宋体"/>
                <w:bCs/>
                <w:color w:val="000000" w:themeColor="text1"/>
                <w:spacing w:val="-4"/>
                <w:sz w:val="24"/>
                <w:highlight w:val="none"/>
                <w14:textFill>
                  <w14:solidFill>
                    <w14:schemeClr w14:val="tx1"/>
                  </w14:solidFill>
                </w14:textFill>
              </w:rPr>
              <w:t>危废间</w:t>
            </w:r>
            <w:r>
              <w:rPr>
                <w:rFonts w:hint="eastAsia" w:hAnsi="宋体"/>
                <w:bCs/>
                <w:color w:val="000000" w:themeColor="text1"/>
                <w:spacing w:val="-4"/>
                <w:sz w:val="24"/>
                <w:highlight w:val="none"/>
                <w14:textFill>
                  <w14:solidFill>
                    <w14:schemeClr w14:val="tx1"/>
                  </w14:solidFill>
                </w14:textFill>
              </w:rPr>
              <w:t>、现有</w:t>
            </w:r>
            <w:r>
              <w:rPr>
                <w:rFonts w:hint="eastAsia" w:hAnsi="宋体"/>
                <w:bCs/>
                <w:color w:val="000000" w:themeColor="text1"/>
                <w:spacing w:val="-4"/>
                <w:sz w:val="24"/>
                <w:highlight w:val="none"/>
                <w:lang w:val="en-US" w:eastAsia="zh-CN"/>
                <w14:textFill>
                  <w14:solidFill>
                    <w14:schemeClr w14:val="tx1"/>
                  </w14:solidFill>
                </w14:textFill>
              </w:rPr>
              <w:t>脱硫水池、</w:t>
            </w:r>
            <w:r>
              <w:rPr>
                <w:rFonts w:hAnsi="宋体"/>
                <w:bCs/>
                <w:color w:val="000000" w:themeColor="text1"/>
                <w:spacing w:val="-4"/>
                <w:sz w:val="24"/>
                <w:highlight w:val="none"/>
                <w14:textFill>
                  <w14:solidFill>
                    <w14:schemeClr w14:val="tx1"/>
                  </w14:solidFill>
                </w14:textFill>
              </w:rPr>
              <w:t>污泥</w:t>
            </w:r>
            <w:r>
              <w:rPr>
                <w:rFonts w:hint="eastAsia" w:hAnsi="宋体"/>
                <w:bCs/>
                <w:color w:val="000000" w:themeColor="text1"/>
                <w:spacing w:val="-4"/>
                <w:sz w:val="24"/>
                <w:highlight w:val="none"/>
                <w14:textFill>
                  <w14:solidFill>
                    <w14:schemeClr w14:val="tx1"/>
                  </w14:solidFill>
                </w14:textFill>
              </w:rPr>
              <w:t>库和本次新建污泥库</w:t>
            </w:r>
            <w:r>
              <w:rPr>
                <w:rFonts w:hAnsi="宋体"/>
                <w:bCs/>
                <w:color w:val="000000" w:themeColor="text1"/>
                <w:spacing w:val="-4"/>
                <w:sz w:val="24"/>
                <w:highlight w:val="none"/>
                <w14:textFill>
                  <w14:solidFill>
                    <w14:schemeClr w14:val="tx1"/>
                  </w14:solidFill>
                </w14:textFill>
              </w:rPr>
              <w:t>地面</w:t>
            </w:r>
            <w:r>
              <w:rPr>
                <w:rFonts w:hint="eastAsia" w:hAnsi="宋体"/>
                <w:bCs/>
                <w:color w:val="000000" w:themeColor="text1"/>
                <w:spacing w:val="-4"/>
                <w:sz w:val="24"/>
                <w:highlight w:val="none"/>
                <w14:textFill>
                  <w14:solidFill>
                    <w14:schemeClr w14:val="tx1"/>
                  </w14:solidFill>
                </w14:textFill>
              </w:rPr>
              <w:t>重点防渗处理，生产车间地面硬化，厂区内道路全部硬化。本</w:t>
            </w:r>
            <w:r>
              <w:rPr>
                <w:rFonts w:hAnsi="宋体"/>
                <w:bCs/>
                <w:color w:val="000000" w:themeColor="text1"/>
                <w:spacing w:val="-4"/>
                <w:sz w:val="24"/>
                <w:highlight w:val="none"/>
                <w14:textFill>
                  <w14:solidFill>
                    <w14:schemeClr w14:val="tx1"/>
                  </w14:solidFill>
                </w14:textFill>
              </w:rPr>
              <w:t>项目</w:t>
            </w:r>
            <w:r>
              <w:rPr>
                <w:rFonts w:hint="eastAsia" w:hAnsi="宋体"/>
                <w:bCs/>
                <w:color w:val="000000" w:themeColor="text1"/>
                <w:spacing w:val="-4"/>
                <w:sz w:val="24"/>
                <w:highlight w:val="none"/>
                <w14:textFill>
                  <w14:solidFill>
                    <w14:schemeClr w14:val="tx1"/>
                  </w14:solidFill>
                </w14:textFill>
              </w:rPr>
              <w:t>无生产、生活废水</w:t>
            </w:r>
            <w:r>
              <w:rPr>
                <w:rFonts w:hAnsi="宋体"/>
                <w:bCs/>
                <w:color w:val="000000" w:themeColor="text1"/>
                <w:spacing w:val="-4"/>
                <w:sz w:val="24"/>
                <w:highlight w:val="none"/>
                <w14:textFill>
                  <w14:solidFill>
                    <w14:schemeClr w14:val="tx1"/>
                  </w14:solidFill>
                </w14:textFill>
              </w:rPr>
              <w:t>外排。</w:t>
            </w:r>
            <w:r>
              <w:rPr>
                <w:rFonts w:hint="eastAsia" w:hAnsi="宋体"/>
                <w:bCs/>
                <w:color w:val="000000" w:themeColor="text1"/>
                <w:spacing w:val="-4"/>
                <w:sz w:val="24"/>
                <w:highlight w:val="none"/>
                <w14:textFill>
                  <w14:solidFill>
                    <w14:schemeClr w14:val="tx1"/>
                  </w14:solidFill>
                </w14:textFill>
              </w:rPr>
              <w:t>采取防渗措施后，正常情况不存在污染地下水的途径。事故工况下，车间地面防渗失效，废润滑油泄漏且危废间防渗失效，可能会对周围土壤、地下水环境产生污染影响，主要污染物为石油类等。</w:t>
            </w:r>
            <w:r>
              <w:rPr>
                <w:rFonts w:hAnsi="宋体"/>
                <w:bCs/>
                <w:color w:val="000000" w:themeColor="text1"/>
                <w:spacing w:val="-4"/>
                <w:sz w:val="24"/>
                <w:highlight w:val="none"/>
                <w14:textFill>
                  <w14:solidFill>
                    <w14:schemeClr w14:val="tx1"/>
                  </w14:solidFill>
                </w14:textFill>
              </w:rPr>
              <w:t>项目对土壤环境</w:t>
            </w:r>
            <w:r>
              <w:rPr>
                <w:rFonts w:hint="eastAsia" w:hAnsi="宋体"/>
                <w:bCs/>
                <w:color w:val="000000" w:themeColor="text1"/>
                <w:spacing w:val="-4"/>
                <w:sz w:val="24"/>
                <w:highlight w:val="none"/>
                <w14:textFill>
                  <w14:solidFill>
                    <w14:schemeClr w14:val="tx1"/>
                  </w14:solidFill>
                </w14:textFill>
              </w:rPr>
              <w:t>污染途径</w:t>
            </w:r>
            <w:r>
              <w:rPr>
                <w:rFonts w:hAnsi="宋体"/>
                <w:bCs/>
                <w:color w:val="000000" w:themeColor="text1"/>
                <w:spacing w:val="-4"/>
                <w:sz w:val="24"/>
                <w:highlight w:val="none"/>
                <w14:textFill>
                  <w14:solidFill>
                    <w14:schemeClr w14:val="tx1"/>
                  </w14:solidFill>
                </w14:textFill>
              </w:rPr>
              <w:t>主要为大气沉降、垂直入渗。</w:t>
            </w:r>
            <w:r>
              <w:rPr>
                <w:rFonts w:hint="eastAsia" w:hAnsi="宋体"/>
                <w:bCs/>
                <w:color w:val="000000" w:themeColor="text1"/>
                <w:spacing w:val="-4"/>
                <w:sz w:val="24"/>
                <w:highlight w:val="none"/>
                <w14:textFill>
                  <w14:solidFill>
                    <w14:schemeClr w14:val="tx1"/>
                  </w14:solidFill>
                </w14:textFill>
              </w:rPr>
              <w:t>本项目地下水、土壤环境影响及影响因子识别表见表4-18、表4-19。</w:t>
            </w:r>
          </w:p>
          <w:p w14:paraId="0B7FCD15">
            <w:pPr>
              <w:tabs>
                <w:tab w:val="left" w:pos="4253"/>
              </w:tabs>
              <w:spacing w:line="480" w:lineRule="exact"/>
              <w:ind w:firstLine="1320" w:firstLineChars="550"/>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 xml:space="preserve">4-18   </w:t>
            </w:r>
            <w:r>
              <w:rPr>
                <w:rFonts w:ascii="黑体" w:hAnsi="黑体" w:eastAsia="黑体"/>
                <w:color w:val="000000" w:themeColor="text1"/>
                <w:sz w:val="24"/>
                <w:highlight w:val="none"/>
                <w14:textFill>
                  <w14:solidFill>
                    <w14:schemeClr w14:val="tx1"/>
                  </w14:solidFill>
                </w14:textFill>
              </w:rPr>
              <w:t xml:space="preserve">  地下水环境影响源及影响因子识别表</w:t>
            </w:r>
          </w:p>
          <w:tbl>
            <w:tblPr>
              <w:tblStyle w:val="24"/>
              <w:tblW w:w="85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985"/>
              <w:gridCol w:w="1409"/>
              <w:gridCol w:w="1701"/>
              <w:gridCol w:w="1463"/>
            </w:tblGrid>
            <w:tr w14:paraId="3BB1D5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5" w:type="dxa"/>
                  <w:vAlign w:val="center"/>
                </w:tcPr>
                <w:p w14:paraId="2ECF866E">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污染源</w:t>
                  </w:r>
                </w:p>
              </w:tc>
              <w:tc>
                <w:tcPr>
                  <w:tcW w:w="1985" w:type="dxa"/>
                  <w:vAlign w:val="center"/>
                </w:tcPr>
                <w:p w14:paraId="3C11F445">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工艺流程/节点</w:t>
                  </w:r>
                </w:p>
              </w:tc>
              <w:tc>
                <w:tcPr>
                  <w:tcW w:w="1409" w:type="dxa"/>
                  <w:vAlign w:val="center"/>
                </w:tcPr>
                <w:p w14:paraId="0B4D738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污染途径</w:t>
                  </w:r>
                </w:p>
              </w:tc>
              <w:tc>
                <w:tcPr>
                  <w:tcW w:w="1701" w:type="dxa"/>
                  <w:vAlign w:val="center"/>
                </w:tcPr>
                <w:p w14:paraId="0393985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污染因子</w:t>
                  </w:r>
                </w:p>
              </w:tc>
              <w:tc>
                <w:tcPr>
                  <w:tcW w:w="1463" w:type="dxa"/>
                  <w:vAlign w:val="center"/>
                </w:tcPr>
                <w:p w14:paraId="3A44D4A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39437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5" w:type="dxa"/>
                  <w:vAlign w:val="center"/>
                </w:tcPr>
                <w:p w14:paraId="415CA2FA">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p>
              </w:tc>
              <w:tc>
                <w:tcPr>
                  <w:tcW w:w="1985" w:type="dxa"/>
                  <w:vAlign w:val="center"/>
                </w:tcPr>
                <w:p w14:paraId="437E58E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工业污泥储存</w:t>
                  </w:r>
                </w:p>
              </w:tc>
              <w:tc>
                <w:tcPr>
                  <w:tcW w:w="1409" w:type="dxa"/>
                  <w:vAlign w:val="center"/>
                </w:tcPr>
                <w:p w14:paraId="59617670">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1AE7A8D3">
                  <w:pPr>
                    <w:adjustRightInd w:val="0"/>
                    <w:snapToGrid w:val="0"/>
                    <w:jc w:val="center"/>
                    <w:rPr>
                      <w:rFonts w:hint="default"/>
                      <w:color w:val="000000" w:themeColor="text1"/>
                      <w:szCs w:val="21"/>
                      <w:highlight w:val="none"/>
                      <w:lang w:val="en-US"/>
                      <w14:textFill>
                        <w14:solidFill>
                          <w14:schemeClr w14:val="tx1"/>
                        </w14:solidFill>
                      </w14:textFill>
                    </w:rPr>
                  </w:pPr>
                  <w:r>
                    <w:rPr>
                      <w:color w:val="000000" w:themeColor="text1"/>
                      <w:szCs w:val="21"/>
                      <w:highlight w:val="none"/>
                      <w14:textFill>
                        <w14:solidFill>
                          <w14:schemeClr w14:val="tx1"/>
                        </w14:solidFill>
                      </w14:textFill>
                    </w:rPr>
                    <w:t>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463" w:type="dxa"/>
                  <w:vAlign w:val="center"/>
                </w:tcPr>
                <w:p w14:paraId="3827D9FE">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库房地面防渗失效</w:t>
                  </w:r>
                </w:p>
              </w:tc>
            </w:tr>
            <w:tr w14:paraId="2237A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5" w:type="dxa"/>
                  <w:vAlign w:val="center"/>
                </w:tcPr>
                <w:p w14:paraId="541F870A">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生活污泥库</w:t>
                  </w:r>
                </w:p>
              </w:tc>
              <w:tc>
                <w:tcPr>
                  <w:tcW w:w="1985" w:type="dxa"/>
                  <w:vAlign w:val="center"/>
                </w:tcPr>
                <w:p w14:paraId="69EC43B9">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生活污泥储存</w:t>
                  </w:r>
                </w:p>
              </w:tc>
              <w:tc>
                <w:tcPr>
                  <w:tcW w:w="1409" w:type="dxa"/>
                  <w:vAlign w:val="center"/>
                </w:tcPr>
                <w:p w14:paraId="1E8E058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2661CCA6">
                  <w:pPr>
                    <w:adjustRightInd w:val="0"/>
                    <w:snapToGrid w:val="0"/>
                    <w:jc w:val="center"/>
                    <w:rPr>
                      <w:rFonts w:hint="default"/>
                      <w:color w:val="000000" w:themeColor="text1"/>
                      <w:szCs w:val="21"/>
                      <w:highlight w:val="none"/>
                      <w:lang w:val="en-US"/>
                      <w14:textFill>
                        <w14:solidFill>
                          <w14:schemeClr w14:val="tx1"/>
                        </w14:solidFill>
                      </w14:textFill>
                    </w:rPr>
                  </w:pPr>
                  <w:r>
                    <w:rPr>
                      <w:color w:val="000000" w:themeColor="text1"/>
                      <w:szCs w:val="21"/>
                      <w:highlight w:val="none"/>
                      <w14:textFill>
                        <w14:solidFill>
                          <w14:schemeClr w14:val="tx1"/>
                        </w14:solidFill>
                      </w14:textFill>
                    </w:rPr>
                    <w:t>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463" w:type="dxa"/>
                  <w:vAlign w:val="center"/>
                </w:tcPr>
                <w:p w14:paraId="23E0C993">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库房地面防渗失效</w:t>
                  </w:r>
                </w:p>
              </w:tc>
            </w:tr>
            <w:tr w14:paraId="4B6B2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5" w:type="dxa"/>
                  <w:vAlign w:val="center"/>
                </w:tcPr>
                <w:p w14:paraId="5E930F87">
                  <w:pPr>
                    <w:adjustRightInd w:val="0"/>
                    <w:snapToGrid w:val="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脱硫水池</w:t>
                  </w:r>
                </w:p>
              </w:tc>
              <w:tc>
                <w:tcPr>
                  <w:tcW w:w="1985" w:type="dxa"/>
                  <w:vAlign w:val="center"/>
                </w:tcPr>
                <w:p w14:paraId="1FDAFDFB">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脱硫系统</w:t>
                  </w:r>
                </w:p>
              </w:tc>
              <w:tc>
                <w:tcPr>
                  <w:tcW w:w="1409" w:type="dxa"/>
                  <w:vAlign w:val="center"/>
                </w:tcPr>
                <w:p w14:paraId="090D9D14">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07F1324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463" w:type="dxa"/>
                  <w:vAlign w:val="center"/>
                </w:tcPr>
                <w:p w14:paraId="2C7604D8">
                  <w:pPr>
                    <w:adjustRightInd w:val="0"/>
                    <w:snapToGrid w:val="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地面防渗失效</w:t>
                  </w:r>
                </w:p>
              </w:tc>
            </w:tr>
            <w:tr w14:paraId="30DF5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5" w:type="dxa"/>
                  <w:vAlign w:val="center"/>
                </w:tcPr>
                <w:p w14:paraId="042D7466">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危险废物暂存间</w:t>
                  </w:r>
                </w:p>
              </w:tc>
              <w:tc>
                <w:tcPr>
                  <w:tcW w:w="1985" w:type="dxa"/>
                  <w:vAlign w:val="center"/>
                </w:tcPr>
                <w:p w14:paraId="700CAD49">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危险废物存储</w:t>
                  </w:r>
                </w:p>
              </w:tc>
              <w:tc>
                <w:tcPr>
                  <w:tcW w:w="1409" w:type="dxa"/>
                  <w:vAlign w:val="center"/>
                </w:tcPr>
                <w:p w14:paraId="50BC0A02">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7331ECEA">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石油类</w:t>
                  </w:r>
                </w:p>
              </w:tc>
              <w:tc>
                <w:tcPr>
                  <w:tcW w:w="1463" w:type="dxa"/>
                  <w:vAlign w:val="center"/>
                </w:tcPr>
                <w:p w14:paraId="14ED272B">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泄漏且危废间防渗失效</w:t>
                  </w:r>
                </w:p>
              </w:tc>
            </w:tr>
          </w:tbl>
          <w:p w14:paraId="44C7AA93">
            <w:pPr>
              <w:tabs>
                <w:tab w:val="left" w:pos="4253"/>
              </w:tabs>
              <w:spacing w:line="480" w:lineRule="exact"/>
              <w:ind w:firstLine="1320" w:firstLineChars="550"/>
              <w:rPr>
                <w:rFonts w:ascii="黑体" w:hAnsi="黑体" w:eastAsia="黑体"/>
                <w:color w:val="000000" w:themeColor="text1"/>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w:t>
            </w:r>
            <w:r>
              <w:rPr>
                <w:rFonts w:hint="eastAsia" w:ascii="黑体" w:hAnsi="黑体" w:eastAsia="黑体"/>
                <w:color w:val="000000" w:themeColor="text1"/>
                <w:sz w:val="24"/>
                <w:highlight w:val="none"/>
                <w14:textFill>
                  <w14:solidFill>
                    <w14:schemeClr w14:val="tx1"/>
                  </w14:solidFill>
                </w14:textFill>
              </w:rPr>
              <w:t>4-19</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土壤环境影响源及影响因子识别表</w:t>
            </w:r>
          </w:p>
          <w:tbl>
            <w:tblPr>
              <w:tblStyle w:val="24"/>
              <w:tblW w:w="8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1843"/>
              <w:gridCol w:w="1418"/>
              <w:gridCol w:w="1701"/>
              <w:gridCol w:w="1302"/>
            </w:tblGrid>
            <w:tr w14:paraId="408408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56" w:type="dxa"/>
                  <w:vAlign w:val="center"/>
                </w:tcPr>
                <w:p w14:paraId="530534CA">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污染源</w:t>
                  </w:r>
                </w:p>
              </w:tc>
              <w:tc>
                <w:tcPr>
                  <w:tcW w:w="1843" w:type="dxa"/>
                  <w:vAlign w:val="center"/>
                </w:tcPr>
                <w:p w14:paraId="1F85439C">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工艺流程/节点</w:t>
                  </w:r>
                </w:p>
              </w:tc>
              <w:tc>
                <w:tcPr>
                  <w:tcW w:w="1418" w:type="dxa"/>
                  <w:vAlign w:val="center"/>
                </w:tcPr>
                <w:p w14:paraId="03327BE1">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污染途径</w:t>
                  </w:r>
                </w:p>
              </w:tc>
              <w:tc>
                <w:tcPr>
                  <w:tcW w:w="1701" w:type="dxa"/>
                  <w:vAlign w:val="center"/>
                </w:tcPr>
                <w:p w14:paraId="02C6C4AC">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污染因子</w:t>
                  </w:r>
                </w:p>
              </w:tc>
              <w:tc>
                <w:tcPr>
                  <w:tcW w:w="1302" w:type="dxa"/>
                  <w:vAlign w:val="center"/>
                </w:tcPr>
                <w:p w14:paraId="1139DDD4">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备注</w:t>
                  </w:r>
                </w:p>
              </w:tc>
            </w:tr>
            <w:tr w14:paraId="3D11BD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56" w:type="dxa"/>
                  <w:vAlign w:val="center"/>
                </w:tcPr>
                <w:p w14:paraId="6FD6A59C">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隧道窑废气处理装置</w:t>
                  </w:r>
                </w:p>
              </w:tc>
              <w:tc>
                <w:tcPr>
                  <w:tcW w:w="1843" w:type="dxa"/>
                  <w:vAlign w:val="center"/>
                </w:tcPr>
                <w:p w14:paraId="1CE2EC22">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废气收集处理</w:t>
                  </w:r>
                </w:p>
              </w:tc>
              <w:tc>
                <w:tcPr>
                  <w:tcW w:w="1418" w:type="dxa"/>
                  <w:vAlign w:val="center"/>
                </w:tcPr>
                <w:p w14:paraId="50D34534">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大气沉降</w:t>
                  </w:r>
                </w:p>
              </w:tc>
              <w:tc>
                <w:tcPr>
                  <w:tcW w:w="1701" w:type="dxa"/>
                  <w:vAlign w:val="center"/>
                </w:tcPr>
                <w:p w14:paraId="6ABD0BD5">
                  <w:pPr>
                    <w:adjustRightInd w:val="0"/>
                    <w:snapToGrid w:val="0"/>
                    <w:ind w:left="-105" w:leftChars="-50" w:right="-105" w:rightChars="-50"/>
                    <w:jc w:val="center"/>
                    <w:rPr>
                      <w:rFonts w:hint="default"/>
                      <w:color w:val="000000" w:themeColor="text1"/>
                      <w:szCs w:val="21"/>
                      <w:highlight w:val="none"/>
                      <w:lang w:val="en-US"/>
                      <w14:textFill>
                        <w14:solidFill>
                          <w14:schemeClr w14:val="tx1"/>
                        </w14:solidFill>
                      </w14:textFill>
                    </w:rPr>
                  </w:pPr>
                  <w:r>
                    <w:rPr>
                      <w:color w:val="000000" w:themeColor="text1"/>
                      <w:szCs w:val="21"/>
                      <w:highlight w:val="none"/>
                      <w14:textFill>
                        <w14:solidFill>
                          <w14:schemeClr w14:val="tx1"/>
                        </w14:solidFill>
                      </w14:textFill>
                    </w:rPr>
                    <w:t>氯化氢、</w:t>
                  </w:r>
                  <w:r>
                    <w:rPr>
                      <w:rFonts w:hint="eastAsia"/>
                      <w:color w:val="000000" w:themeColor="text1"/>
                      <w:szCs w:val="21"/>
                      <w:highlight w:val="none"/>
                      <w:lang w:val="en-US" w:eastAsia="zh-CN"/>
                      <w14:textFill>
                        <w14:solidFill>
                          <w14:schemeClr w14:val="tx1"/>
                        </w14:solidFill>
                      </w14:textFill>
                    </w:rPr>
                    <w:t>氨、</w:t>
                  </w:r>
                  <w:r>
                    <w:rPr>
                      <w:color w:val="000000" w:themeColor="text1"/>
                      <w:szCs w:val="21"/>
                      <w:highlight w:val="none"/>
                      <w14:textFill>
                        <w14:solidFill>
                          <w14:schemeClr w14:val="tx1"/>
                        </w14:solidFill>
                      </w14:textFill>
                    </w:rPr>
                    <w:t>二噁英类、汞、镉、砷、铅、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302" w:type="dxa"/>
                  <w:vAlign w:val="center"/>
                </w:tcPr>
                <w:p w14:paraId="77A80386">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r>
            <w:tr w14:paraId="7AFC7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56" w:type="dxa"/>
                  <w:vAlign w:val="center"/>
                </w:tcPr>
                <w:p w14:paraId="77A8F38D">
                  <w:pPr>
                    <w:adjustRightInd w:val="0"/>
                    <w:snapToGrid w:val="0"/>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w:t>
                  </w:r>
                  <w:r>
                    <w:rPr>
                      <w:color w:val="000000" w:themeColor="text1"/>
                      <w:szCs w:val="21"/>
                      <w:highlight w:val="none"/>
                      <w14:textFill>
                        <w14:solidFill>
                          <w14:schemeClr w14:val="tx1"/>
                        </w14:solidFill>
                      </w14:textFill>
                    </w:rPr>
                    <w:t>污泥</w:t>
                  </w:r>
                  <w:r>
                    <w:rPr>
                      <w:rFonts w:hint="eastAsia"/>
                      <w:color w:val="000000" w:themeColor="text1"/>
                      <w:szCs w:val="21"/>
                      <w:highlight w:val="none"/>
                      <w14:textFill>
                        <w14:solidFill>
                          <w14:schemeClr w14:val="tx1"/>
                        </w14:solidFill>
                      </w14:textFill>
                    </w:rPr>
                    <w:t>库</w:t>
                  </w:r>
                </w:p>
              </w:tc>
              <w:tc>
                <w:tcPr>
                  <w:tcW w:w="1843" w:type="dxa"/>
                  <w:vAlign w:val="center"/>
                </w:tcPr>
                <w:p w14:paraId="0FCF0F6F">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工业污泥储存</w:t>
                  </w:r>
                </w:p>
              </w:tc>
              <w:tc>
                <w:tcPr>
                  <w:tcW w:w="1418" w:type="dxa"/>
                  <w:vAlign w:val="center"/>
                </w:tcPr>
                <w:p w14:paraId="057D94AE">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340490F5">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302" w:type="dxa"/>
                  <w:vMerge w:val="restart"/>
                  <w:vAlign w:val="center"/>
                </w:tcPr>
                <w:p w14:paraId="106A0E03">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防腐防渗措施发生破裂</w:t>
                  </w:r>
                </w:p>
              </w:tc>
            </w:tr>
            <w:tr w14:paraId="37831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56" w:type="dxa"/>
                  <w:vAlign w:val="center"/>
                </w:tcPr>
                <w:p w14:paraId="7AF96BA1">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生活污泥库</w:t>
                  </w:r>
                </w:p>
              </w:tc>
              <w:tc>
                <w:tcPr>
                  <w:tcW w:w="1843" w:type="dxa"/>
                  <w:vAlign w:val="center"/>
                </w:tcPr>
                <w:p w14:paraId="002CECEC">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生活污泥储存</w:t>
                  </w:r>
                </w:p>
              </w:tc>
              <w:tc>
                <w:tcPr>
                  <w:tcW w:w="1418" w:type="dxa"/>
                  <w:vAlign w:val="center"/>
                </w:tcPr>
                <w:p w14:paraId="47312D9D">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4593E927">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302" w:type="dxa"/>
                  <w:vMerge w:val="continue"/>
                  <w:vAlign w:val="center"/>
                </w:tcPr>
                <w:p w14:paraId="1BB701BC">
                  <w:pPr>
                    <w:adjustRightInd w:val="0"/>
                    <w:snapToGrid w:val="0"/>
                    <w:ind w:left="-105" w:leftChars="-50" w:right="-105" w:rightChars="-50"/>
                    <w:jc w:val="center"/>
                    <w:rPr>
                      <w:color w:val="000000" w:themeColor="text1"/>
                      <w:szCs w:val="21"/>
                      <w:highlight w:val="none"/>
                      <w14:textFill>
                        <w14:solidFill>
                          <w14:schemeClr w14:val="tx1"/>
                        </w14:solidFill>
                      </w14:textFill>
                    </w:rPr>
                  </w:pPr>
                </w:p>
              </w:tc>
            </w:tr>
            <w:tr w14:paraId="6E339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56" w:type="dxa"/>
                  <w:shd w:val="clear" w:color="auto" w:fill="auto"/>
                  <w:vAlign w:val="center"/>
                </w:tcPr>
                <w:p w14:paraId="43BCE635">
                  <w:pPr>
                    <w:adjustRightInd w:val="0"/>
                    <w:snapToGrid w:val="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脱硫水池</w:t>
                  </w:r>
                </w:p>
              </w:tc>
              <w:tc>
                <w:tcPr>
                  <w:tcW w:w="1843" w:type="dxa"/>
                  <w:shd w:val="clear" w:color="auto" w:fill="auto"/>
                  <w:vAlign w:val="center"/>
                </w:tcPr>
                <w:p w14:paraId="258230B1">
                  <w:pPr>
                    <w:adjustRightInd w:val="0"/>
                    <w:snapToGrid w:val="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脱硫系统</w:t>
                  </w:r>
                </w:p>
              </w:tc>
              <w:tc>
                <w:tcPr>
                  <w:tcW w:w="1418" w:type="dxa"/>
                  <w:shd w:val="clear" w:color="auto" w:fill="auto"/>
                  <w:vAlign w:val="center"/>
                </w:tcPr>
                <w:p w14:paraId="44360CBD">
                  <w:pPr>
                    <w:adjustRightInd w:val="0"/>
                    <w:snapToGrid w:val="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shd w:val="clear" w:color="auto" w:fill="auto"/>
                  <w:vAlign w:val="center"/>
                </w:tcPr>
                <w:p w14:paraId="6C5ECD4A">
                  <w:pPr>
                    <w:adjustRightInd w:val="0"/>
                    <w:snapToGrid w:val="0"/>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Cs w:val="21"/>
                      <w:highlight w:val="none"/>
                      <w14:textFill>
                        <w14:solidFill>
                          <w14:schemeClr w14:val="tx1"/>
                        </w14:solidFill>
                      </w14:textFill>
                    </w:rPr>
                    <w:t>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锰、锌等</w:t>
                  </w:r>
                </w:p>
              </w:tc>
              <w:tc>
                <w:tcPr>
                  <w:tcW w:w="1302" w:type="dxa"/>
                  <w:vMerge w:val="continue"/>
                  <w:vAlign w:val="center"/>
                </w:tcPr>
                <w:p w14:paraId="6FB9803E">
                  <w:pPr>
                    <w:adjustRightInd w:val="0"/>
                    <w:snapToGrid w:val="0"/>
                    <w:ind w:left="-105" w:leftChars="-50" w:right="-105" w:rightChars="-50"/>
                    <w:jc w:val="center"/>
                    <w:rPr>
                      <w:color w:val="000000" w:themeColor="text1"/>
                      <w:szCs w:val="21"/>
                      <w:highlight w:val="none"/>
                      <w14:textFill>
                        <w14:solidFill>
                          <w14:schemeClr w14:val="tx1"/>
                        </w14:solidFill>
                      </w14:textFill>
                    </w:rPr>
                  </w:pPr>
                </w:p>
              </w:tc>
            </w:tr>
            <w:tr w14:paraId="4B5D4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56" w:type="dxa"/>
                  <w:vAlign w:val="center"/>
                </w:tcPr>
                <w:p w14:paraId="4A605968">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危险废物暂存间</w:t>
                  </w:r>
                </w:p>
              </w:tc>
              <w:tc>
                <w:tcPr>
                  <w:tcW w:w="1843" w:type="dxa"/>
                  <w:vAlign w:val="center"/>
                </w:tcPr>
                <w:p w14:paraId="5B7E2C6F">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危险废物存储</w:t>
                  </w:r>
                </w:p>
              </w:tc>
              <w:tc>
                <w:tcPr>
                  <w:tcW w:w="1418" w:type="dxa"/>
                  <w:vAlign w:val="center"/>
                </w:tcPr>
                <w:p w14:paraId="097812D8">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垂直入渗</w:t>
                  </w:r>
                </w:p>
              </w:tc>
              <w:tc>
                <w:tcPr>
                  <w:tcW w:w="1701" w:type="dxa"/>
                  <w:vAlign w:val="center"/>
                </w:tcPr>
                <w:p w14:paraId="111482E3">
                  <w:pPr>
                    <w:adjustRightInd w:val="0"/>
                    <w:snapToGrid w:val="0"/>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石油类</w:t>
                  </w:r>
                </w:p>
              </w:tc>
              <w:tc>
                <w:tcPr>
                  <w:tcW w:w="1302" w:type="dxa"/>
                  <w:vMerge w:val="continue"/>
                  <w:vAlign w:val="center"/>
                </w:tcPr>
                <w:p w14:paraId="7F559CBC">
                  <w:pPr>
                    <w:adjustRightInd w:val="0"/>
                    <w:snapToGrid w:val="0"/>
                    <w:ind w:left="-105" w:leftChars="-50" w:right="-105" w:rightChars="-50"/>
                    <w:jc w:val="center"/>
                    <w:rPr>
                      <w:color w:val="000000" w:themeColor="text1"/>
                      <w:szCs w:val="21"/>
                      <w:highlight w:val="none"/>
                      <w14:textFill>
                        <w14:solidFill>
                          <w14:schemeClr w14:val="tx1"/>
                        </w14:solidFill>
                      </w14:textFill>
                    </w:rPr>
                  </w:pPr>
                </w:p>
              </w:tc>
            </w:tr>
          </w:tbl>
          <w:p w14:paraId="14935BB0">
            <w:pPr>
              <w:spacing w:line="480" w:lineRule="exact"/>
              <w:ind w:firstLine="466" w:firstLineChars="200"/>
              <w:jc w:val="left"/>
              <w:rPr>
                <w:rFonts w:hAnsi="宋体"/>
                <w:b/>
                <w:bCs/>
                <w:color w:val="000000" w:themeColor="text1"/>
                <w:spacing w:val="-4"/>
                <w:sz w:val="24"/>
                <w:highlight w:val="none"/>
                <w14:textFill>
                  <w14:solidFill>
                    <w14:schemeClr w14:val="tx1"/>
                  </w14:solidFill>
                </w14:textFill>
              </w:rPr>
            </w:pPr>
            <w:r>
              <w:rPr>
                <w:rFonts w:hint="eastAsia" w:hAnsi="宋体"/>
                <w:b/>
                <w:bCs/>
                <w:color w:val="000000" w:themeColor="text1"/>
                <w:spacing w:val="-4"/>
                <w:sz w:val="24"/>
                <w:highlight w:val="none"/>
                <w14:textFill>
                  <w14:solidFill>
                    <w14:schemeClr w14:val="tx1"/>
                  </w14:solidFill>
                </w14:textFill>
              </w:rPr>
              <w:t>5.2地下水、土壤环境污染防控措施</w:t>
            </w:r>
          </w:p>
          <w:p w14:paraId="222E930B">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Ansi="宋体"/>
                <w:bCs/>
                <w:color w:val="000000" w:themeColor="text1"/>
                <w:spacing w:val="-4"/>
                <w:sz w:val="24"/>
                <w:highlight w:val="none"/>
                <w14:textFill>
                  <w14:solidFill>
                    <w14:schemeClr w14:val="tx1"/>
                  </w14:solidFill>
                </w14:textFill>
              </w:rPr>
              <w:t>根据《环境影响评价技术导则 地下水环境》(HJ610-2016)，</w:t>
            </w:r>
            <w:r>
              <w:rPr>
                <w:rFonts w:hint="eastAsia" w:hAnsi="宋体"/>
                <w:bCs/>
                <w:color w:val="000000" w:themeColor="text1"/>
                <w:spacing w:val="-4"/>
                <w:sz w:val="24"/>
                <w:highlight w:val="none"/>
                <w14:textFill>
                  <w14:solidFill>
                    <w14:schemeClr w14:val="tx1"/>
                  </w14:solidFill>
                </w14:textFill>
              </w:rPr>
              <w:t>分区防控要求如下</w:t>
            </w:r>
            <w:r>
              <w:rPr>
                <w:rFonts w:hAnsi="宋体"/>
                <w:bCs/>
                <w:color w:val="000000" w:themeColor="text1"/>
                <w:spacing w:val="-4"/>
                <w:sz w:val="24"/>
                <w:highlight w:val="none"/>
                <w14:textFill>
                  <w14:solidFill>
                    <w14:schemeClr w14:val="tx1"/>
                  </w14:solidFill>
                </w14:textFill>
              </w:rPr>
              <w:t>：</w:t>
            </w:r>
          </w:p>
          <w:p w14:paraId="0BDA8DDA">
            <w:pPr>
              <w:spacing w:line="480" w:lineRule="exact"/>
              <w:ind w:firstLine="464" w:firstLineChars="200"/>
              <w:jc w:val="left"/>
              <w:rPr>
                <w:rFonts w:cs="宋体"/>
                <w:bCs/>
                <w:color w:val="000000" w:themeColor="text1"/>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重点防渗：危废间</w:t>
            </w:r>
            <w:r>
              <w:rPr>
                <w:rFonts w:hAnsi="宋体"/>
                <w:bCs/>
                <w:color w:val="000000" w:themeColor="text1"/>
                <w:spacing w:val="-4"/>
                <w:sz w:val="24"/>
                <w:highlight w:val="none"/>
                <w14:textFill>
                  <w14:solidFill>
                    <w14:schemeClr w14:val="tx1"/>
                  </w14:solidFill>
                </w14:textFill>
              </w:rPr>
              <w:t>底部铺设30</w:t>
            </w:r>
            <w:r>
              <w:rPr>
                <w:rFonts w:hint="eastAsia" w:hAnsi="宋体"/>
                <w:bCs/>
                <w:color w:val="000000" w:themeColor="text1"/>
                <w:spacing w:val="-4"/>
                <w:sz w:val="24"/>
                <w:highlight w:val="none"/>
                <w14:textFill>
                  <w14:solidFill>
                    <w14:schemeClr w14:val="tx1"/>
                  </w14:solidFill>
                </w14:textFill>
              </w:rPr>
              <w:t>0</w:t>
            </w:r>
            <w:r>
              <w:rPr>
                <w:rFonts w:hAnsi="宋体"/>
                <w:bCs/>
                <w:color w:val="000000" w:themeColor="text1"/>
                <w:spacing w:val="-4"/>
                <w:sz w:val="24"/>
                <w:highlight w:val="none"/>
                <w14:textFill>
                  <w14:solidFill>
                    <w14:schemeClr w14:val="tx1"/>
                  </w14:solidFill>
                </w14:textFill>
              </w:rPr>
              <w:t>mm粘土层（保护层，同时作为辅助防渗层）压实平整，粘土层上铺设HDPE-GCL复合防渗系统（2mm</w:t>
            </w:r>
            <w:r>
              <w:rPr>
                <w:rFonts w:hint="eastAsia" w:hAnsi="宋体"/>
                <w:bCs/>
                <w:color w:val="000000" w:themeColor="text1"/>
                <w:spacing w:val="-4"/>
                <w:sz w:val="24"/>
                <w:highlight w:val="none"/>
                <w14:textFill>
                  <w14:solidFill>
                    <w14:schemeClr w14:val="tx1"/>
                  </w14:solidFill>
                </w14:textFill>
              </w:rPr>
              <w:t>厚</w:t>
            </w:r>
            <w:r>
              <w:rPr>
                <w:rFonts w:hAnsi="宋体"/>
                <w:bCs/>
                <w:color w:val="000000" w:themeColor="text1"/>
                <w:spacing w:val="-4"/>
                <w:sz w:val="24"/>
                <w:highlight w:val="none"/>
                <w14:textFill>
                  <w14:solidFill>
                    <w14:schemeClr w14:val="tx1"/>
                  </w14:solidFill>
                </w14:textFill>
              </w:rPr>
              <w:t>高密度聚乙烯膜、300g/m</w:t>
            </w:r>
            <w:r>
              <w:rPr>
                <w:rFonts w:hAnsi="宋体"/>
                <w:bCs/>
                <w:color w:val="000000" w:themeColor="text1"/>
                <w:spacing w:val="-4"/>
                <w:sz w:val="24"/>
                <w:highlight w:val="none"/>
                <w:vertAlign w:val="superscript"/>
                <w14:textFill>
                  <w14:solidFill>
                    <w14:schemeClr w14:val="tx1"/>
                  </w14:solidFill>
                </w14:textFill>
              </w:rPr>
              <w:t>2</w:t>
            </w:r>
            <w:r>
              <w:rPr>
                <w:rFonts w:hAnsi="宋体"/>
                <w:bCs/>
                <w:color w:val="000000" w:themeColor="text1"/>
                <w:spacing w:val="-4"/>
                <w:sz w:val="24"/>
                <w:highlight w:val="none"/>
                <w14:textFill>
                  <w14:solidFill>
                    <w14:schemeClr w14:val="tx1"/>
                  </w14:solidFill>
                </w14:textFill>
              </w:rPr>
              <w:t>土工织物膨润土垫）、上部外加耐腐蚀混凝土15cm（保护层）防渗</w:t>
            </w:r>
            <w:r>
              <w:rPr>
                <w:rFonts w:hint="eastAsia" w:hAnsi="宋体"/>
                <w:bCs/>
                <w:color w:val="000000" w:themeColor="text1"/>
                <w:spacing w:val="-4"/>
                <w:sz w:val="24"/>
                <w:highlight w:val="none"/>
                <w14:textFill>
                  <w14:solidFill>
                    <w14:schemeClr w14:val="tx1"/>
                  </w14:solidFill>
                </w14:textFill>
              </w:rPr>
              <w:t>，</w:t>
            </w:r>
            <w:r>
              <w:rPr>
                <w:rFonts w:hAnsi="宋体"/>
                <w:bCs/>
                <w:color w:val="000000" w:themeColor="text1"/>
                <w:spacing w:val="-4"/>
                <w:sz w:val="24"/>
                <w:highlight w:val="none"/>
                <w14:textFill>
                  <w14:solidFill>
                    <w14:schemeClr w14:val="tx1"/>
                  </w14:solidFill>
                </w14:textFill>
              </w:rPr>
              <w:t>渗透系数≤10</w:t>
            </w:r>
            <w:r>
              <w:rPr>
                <w:rFonts w:hAnsi="宋体"/>
                <w:bCs/>
                <w:color w:val="000000" w:themeColor="text1"/>
                <w:spacing w:val="-4"/>
                <w:sz w:val="24"/>
                <w:highlight w:val="none"/>
                <w:vertAlign w:val="superscript"/>
                <w14:textFill>
                  <w14:solidFill>
                    <w14:schemeClr w14:val="tx1"/>
                  </w14:solidFill>
                </w14:textFill>
              </w:rPr>
              <w:t>-10</w:t>
            </w:r>
            <w:r>
              <w:rPr>
                <w:rFonts w:hAnsi="宋体"/>
                <w:bCs/>
                <w:color w:val="000000" w:themeColor="text1"/>
                <w:spacing w:val="-4"/>
                <w:sz w:val="24"/>
                <w:highlight w:val="none"/>
                <w14:textFill>
                  <w14:solidFill>
                    <w14:schemeClr w14:val="tx1"/>
                  </w14:solidFill>
                </w14:textFill>
              </w:rPr>
              <w:t>cm/s</w:t>
            </w:r>
            <w:r>
              <w:rPr>
                <w:rFonts w:hint="eastAsia" w:hAnsi="宋体"/>
                <w:bCs/>
                <w:color w:val="000000" w:themeColor="text1"/>
                <w:spacing w:val="-4"/>
                <w:sz w:val="24"/>
                <w:highlight w:val="none"/>
                <w14:textFill>
                  <w14:solidFill>
                    <w14:schemeClr w14:val="tx1"/>
                  </w14:solidFill>
                </w14:textFill>
              </w:rPr>
              <w:t>；现有</w:t>
            </w:r>
            <w:r>
              <w:rPr>
                <w:rFonts w:hint="eastAsia" w:hAnsi="宋体"/>
                <w:bCs/>
                <w:color w:val="000000" w:themeColor="text1"/>
                <w:spacing w:val="-4"/>
                <w:sz w:val="24"/>
                <w:highlight w:val="none"/>
                <w:lang w:val="en-US" w:eastAsia="zh-CN"/>
                <w14:textFill>
                  <w14:solidFill>
                    <w14:schemeClr w14:val="tx1"/>
                  </w14:solidFill>
                </w14:textFill>
              </w:rPr>
              <w:t>脱硫水池、</w:t>
            </w:r>
            <w:r>
              <w:rPr>
                <w:rFonts w:hint="eastAsia" w:hAnsi="宋体"/>
                <w:bCs/>
                <w:color w:val="000000" w:themeColor="text1"/>
                <w:spacing w:val="-4"/>
                <w:sz w:val="24"/>
                <w:highlight w:val="none"/>
                <w14:textFill>
                  <w14:solidFill>
                    <w14:schemeClr w14:val="tx1"/>
                  </w14:solidFill>
                </w14:textFill>
              </w:rPr>
              <w:t>污泥库及本次新建污泥库</w:t>
            </w:r>
            <w:r>
              <w:rPr>
                <w:rFonts w:hAnsi="宋体"/>
                <w:bCs/>
                <w:color w:val="000000" w:themeColor="text1"/>
                <w:spacing w:val="-4"/>
                <w:sz w:val="24"/>
                <w:highlight w:val="none"/>
                <w14:textFill>
                  <w14:solidFill>
                    <w14:schemeClr w14:val="tx1"/>
                  </w14:solidFill>
                </w14:textFill>
              </w:rPr>
              <w:t>底部铺设300mm粘土层（保护层，同时作为辅助防渗层）压实平整，粘土层上铺设2mm厚的高密度聚乙烯膜，上部外加耐腐蚀混凝土15cm（保护层）防渗，表面涂2-4mm厚防腐、抗渗环氧树脂，渗透系数≤10</w:t>
            </w:r>
            <w:r>
              <w:rPr>
                <w:rFonts w:hAnsi="宋体"/>
                <w:bCs/>
                <w:color w:val="000000" w:themeColor="text1"/>
                <w:spacing w:val="-4"/>
                <w:sz w:val="24"/>
                <w:highlight w:val="none"/>
                <w:vertAlign w:val="superscript"/>
                <w14:textFill>
                  <w14:solidFill>
                    <w14:schemeClr w14:val="tx1"/>
                  </w14:solidFill>
                </w14:textFill>
              </w:rPr>
              <w:t>-</w:t>
            </w:r>
            <w:r>
              <w:rPr>
                <w:rFonts w:hint="eastAsia" w:hAnsi="宋体"/>
                <w:bCs/>
                <w:color w:val="000000" w:themeColor="text1"/>
                <w:spacing w:val="-4"/>
                <w:sz w:val="24"/>
                <w:highlight w:val="none"/>
                <w:vertAlign w:val="superscript"/>
                <w14:textFill>
                  <w14:solidFill>
                    <w14:schemeClr w14:val="tx1"/>
                  </w14:solidFill>
                </w14:textFill>
              </w:rPr>
              <w:t>7</w:t>
            </w:r>
            <w:r>
              <w:rPr>
                <w:rFonts w:hAnsi="宋体"/>
                <w:bCs/>
                <w:color w:val="000000" w:themeColor="text1"/>
                <w:spacing w:val="-4"/>
                <w:sz w:val="24"/>
                <w:highlight w:val="none"/>
                <w14:textFill>
                  <w14:solidFill>
                    <w14:schemeClr w14:val="tx1"/>
                  </w14:solidFill>
                </w14:textFill>
              </w:rPr>
              <w:t>cm/s，同时设置防雨、防渗漏、防流失等措施</w:t>
            </w:r>
            <w:r>
              <w:rPr>
                <w:rFonts w:hint="eastAsia" w:hAnsi="宋体"/>
                <w:bCs/>
                <w:color w:val="000000" w:themeColor="text1"/>
                <w:spacing w:val="-4"/>
                <w:sz w:val="24"/>
                <w:highlight w:val="none"/>
                <w14:textFill>
                  <w14:solidFill>
                    <w14:schemeClr w14:val="tx1"/>
                  </w14:solidFill>
                </w14:textFill>
              </w:rPr>
              <w:t>。</w:t>
            </w:r>
          </w:p>
          <w:p w14:paraId="15409D62">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一般防渗：生产车间、原料库、一般固废区地面</w:t>
            </w:r>
            <w:r>
              <w:rPr>
                <w:rFonts w:hAnsi="宋体"/>
                <w:bCs/>
                <w:color w:val="000000" w:themeColor="text1"/>
                <w:spacing w:val="-4"/>
                <w:sz w:val="24"/>
                <w:highlight w:val="none"/>
                <w14:textFill>
                  <w14:solidFill>
                    <w14:schemeClr w14:val="tx1"/>
                  </w14:solidFill>
                </w14:textFill>
              </w:rPr>
              <w:t>采用防渗钢筋混凝土结构，结构厚度不小于250mm，混凝土的抗渗等级不低于P8</w:t>
            </w:r>
            <w:r>
              <w:rPr>
                <w:rFonts w:hint="eastAsia" w:hAnsi="宋体"/>
                <w:bCs/>
                <w:color w:val="000000" w:themeColor="text1"/>
                <w:spacing w:val="-4"/>
                <w:sz w:val="24"/>
                <w:highlight w:val="none"/>
                <w14:textFill>
                  <w14:solidFill>
                    <w14:schemeClr w14:val="tx1"/>
                  </w14:solidFill>
                </w14:textFill>
              </w:rPr>
              <w:t>。洗车平台池体采用抗渗混凝土结构。</w:t>
            </w:r>
          </w:p>
          <w:p w14:paraId="19C80FC4">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14:textFill>
                  <w14:solidFill>
                    <w14:schemeClr w14:val="tx1"/>
                  </w14:solidFill>
                </w14:textFill>
              </w:rPr>
              <w:t>简单防渗：厂区内道路全部硬化。</w:t>
            </w:r>
          </w:p>
          <w:p w14:paraId="7681950B">
            <w:pPr>
              <w:spacing w:line="480" w:lineRule="exact"/>
              <w:ind w:firstLine="464" w:firstLineChars="200"/>
              <w:jc w:val="left"/>
              <w:rPr>
                <w:rFonts w:hAnsi="宋体"/>
                <w:bCs/>
                <w:color w:val="000000" w:themeColor="text1"/>
                <w:spacing w:val="-4"/>
                <w:sz w:val="24"/>
                <w:highlight w:val="none"/>
                <w14:textFill>
                  <w14:solidFill>
                    <w14:schemeClr w14:val="tx1"/>
                  </w14:solidFill>
                </w14:textFill>
              </w:rPr>
            </w:pPr>
            <w:r>
              <w:rPr>
                <w:rFonts w:hint="eastAsia" w:hAnsi="宋体"/>
                <w:bCs/>
                <w:color w:val="000000" w:themeColor="text1"/>
                <w:spacing w:val="-4"/>
                <w:sz w:val="24"/>
                <w:highlight w:val="none"/>
                <w:lang w:val="en-US" w:eastAsia="zh-CN"/>
                <w14:textFill>
                  <w14:solidFill>
                    <w14:schemeClr w14:val="tx1"/>
                  </w14:solidFill>
                </w14:textFill>
              </w:rPr>
              <w:t>非</w:t>
            </w:r>
            <w:r>
              <w:rPr>
                <w:rFonts w:hAnsi="宋体"/>
                <w:bCs/>
                <w:color w:val="000000" w:themeColor="text1"/>
                <w:spacing w:val="-4"/>
                <w:sz w:val="24"/>
                <w:highlight w:val="none"/>
                <w14:textFill>
                  <w14:solidFill>
                    <w14:schemeClr w14:val="tx1"/>
                  </w14:solidFill>
                </w14:textFill>
              </w:rPr>
              <w:t>正常工况下，</w:t>
            </w:r>
            <w:r>
              <w:rPr>
                <w:rFonts w:hint="eastAsia" w:hAnsi="宋体"/>
                <w:bCs/>
                <w:color w:val="000000" w:themeColor="text1"/>
                <w:spacing w:val="-4"/>
                <w:sz w:val="24"/>
                <w:highlight w:val="none"/>
                <w:lang w:val="en-US" w:eastAsia="zh-CN"/>
                <w14:textFill>
                  <w14:solidFill>
                    <w14:schemeClr w14:val="tx1"/>
                  </w14:solidFill>
                </w14:textFill>
              </w:rPr>
              <w:t>项目可能</w:t>
            </w:r>
            <w:r>
              <w:rPr>
                <w:rFonts w:hAnsi="宋体"/>
                <w:bCs/>
                <w:color w:val="000000" w:themeColor="text1"/>
                <w:spacing w:val="-4"/>
                <w:sz w:val="24"/>
                <w:highlight w:val="none"/>
                <w14:textFill>
                  <w14:solidFill>
                    <w14:schemeClr w14:val="tx1"/>
                  </w14:solidFill>
                </w14:textFill>
              </w:rPr>
              <w:t>会对</w:t>
            </w:r>
            <w:r>
              <w:rPr>
                <w:rFonts w:hint="eastAsia" w:hAnsi="宋体"/>
                <w:bCs/>
                <w:color w:val="000000" w:themeColor="text1"/>
                <w:spacing w:val="-4"/>
                <w:sz w:val="24"/>
                <w:highlight w:val="none"/>
                <w14:textFill>
                  <w14:solidFill>
                    <w14:schemeClr w14:val="tx1"/>
                  </w14:solidFill>
                </w14:textFill>
              </w:rPr>
              <w:t>地下水</w:t>
            </w:r>
            <w:r>
              <w:rPr>
                <w:rFonts w:hAnsi="宋体"/>
                <w:bCs/>
                <w:color w:val="000000" w:themeColor="text1"/>
                <w:spacing w:val="-4"/>
                <w:sz w:val="24"/>
                <w:highlight w:val="none"/>
                <w14:textFill>
                  <w14:solidFill>
                    <w14:schemeClr w14:val="tx1"/>
                  </w14:solidFill>
                </w14:textFill>
              </w:rPr>
              <w:t>环境产生影响，</w:t>
            </w:r>
            <w:r>
              <w:rPr>
                <w:rFonts w:hint="eastAsia" w:hAnsi="宋体"/>
                <w:bCs/>
                <w:color w:val="000000" w:themeColor="text1"/>
                <w:spacing w:val="-4"/>
                <w:sz w:val="24"/>
                <w:highlight w:val="none"/>
                <w:lang w:val="en-US" w:eastAsia="zh-CN"/>
                <w14:textFill>
                  <w14:solidFill>
                    <w14:schemeClr w14:val="tx1"/>
                  </w14:solidFill>
                </w14:textFill>
              </w:rPr>
              <w:t>且</w:t>
            </w:r>
            <w:r>
              <w:rPr>
                <w:rFonts w:hint="eastAsia" w:hAnsi="宋体"/>
                <w:bCs/>
                <w:color w:val="000000" w:themeColor="text1"/>
                <w:spacing w:val="-4"/>
                <w:sz w:val="24"/>
                <w:highlight w:val="none"/>
                <w14:textFill>
                  <w14:solidFill>
                    <w14:schemeClr w14:val="tx1"/>
                  </w14:solidFill>
                </w14:textFill>
              </w:rPr>
              <w:t>由于大气沉降可能造成重金属累积，从而影响</w:t>
            </w:r>
            <w:r>
              <w:rPr>
                <w:rFonts w:hAnsi="宋体"/>
                <w:bCs/>
                <w:color w:val="000000" w:themeColor="text1"/>
                <w:spacing w:val="-4"/>
                <w:sz w:val="24"/>
                <w:highlight w:val="none"/>
                <w14:textFill>
                  <w14:solidFill>
                    <w14:schemeClr w14:val="tx1"/>
                  </w14:solidFill>
                </w14:textFill>
              </w:rPr>
              <w:t>土壤</w:t>
            </w:r>
            <w:r>
              <w:rPr>
                <w:rFonts w:hint="eastAsia" w:hAnsi="宋体"/>
                <w:bCs/>
                <w:color w:val="000000" w:themeColor="text1"/>
                <w:spacing w:val="-4"/>
                <w:sz w:val="24"/>
                <w:highlight w:val="none"/>
                <w14:textFill>
                  <w14:solidFill>
                    <w14:schemeClr w14:val="tx1"/>
                  </w14:solidFill>
                </w14:textFill>
              </w:rPr>
              <w:t>环境，因此项目需开展</w:t>
            </w:r>
            <w:r>
              <w:rPr>
                <w:rFonts w:hint="eastAsia" w:hAnsi="宋体"/>
                <w:bCs/>
                <w:color w:val="000000" w:themeColor="text1"/>
                <w:spacing w:val="-4"/>
                <w:sz w:val="24"/>
                <w:highlight w:val="none"/>
                <w:lang w:val="en-US" w:eastAsia="zh-CN"/>
                <w14:textFill>
                  <w14:solidFill>
                    <w14:schemeClr w14:val="tx1"/>
                  </w14:solidFill>
                </w14:textFill>
              </w:rPr>
              <w:t>地下水、</w:t>
            </w:r>
            <w:r>
              <w:rPr>
                <w:rFonts w:hint="eastAsia" w:hAnsi="宋体"/>
                <w:bCs/>
                <w:color w:val="000000" w:themeColor="text1"/>
                <w:spacing w:val="-4"/>
                <w:sz w:val="24"/>
                <w:highlight w:val="none"/>
                <w14:textFill>
                  <w14:solidFill>
                    <w14:schemeClr w14:val="tx1"/>
                  </w14:solidFill>
                </w14:textFill>
              </w:rPr>
              <w:t>土壤环境跟踪监测，监测计划见下表。</w:t>
            </w:r>
          </w:p>
          <w:p w14:paraId="2D137179">
            <w:pPr>
              <w:spacing w:line="480" w:lineRule="exact"/>
              <w:ind w:firstLine="1185" w:firstLineChars="494"/>
              <w:rPr>
                <w:rFonts w:ascii="黑体" w:hAnsi="黑体" w:eastAsia="黑体"/>
                <w:bCs/>
                <w:color w:val="000000" w:themeColor="text1"/>
                <w:spacing w:val="-4"/>
                <w:sz w:val="24"/>
                <w:highlight w:val="none"/>
                <w14:textFill>
                  <w14:solidFill>
                    <w14:schemeClr w14:val="tx1"/>
                  </w14:solidFill>
                </w14:textFill>
              </w:rPr>
            </w:pPr>
            <w:r>
              <w:rPr>
                <w:rFonts w:ascii="黑体" w:hAnsi="黑体" w:eastAsia="黑体"/>
                <w:color w:val="000000" w:themeColor="text1"/>
                <w:sz w:val="24"/>
                <w:highlight w:val="none"/>
                <w14:textFill>
                  <w14:solidFill>
                    <w14:schemeClr w14:val="tx1"/>
                  </w14:solidFill>
                </w14:textFill>
              </w:rPr>
              <w:t>表4-</w:t>
            </w:r>
            <w:r>
              <w:rPr>
                <w:rFonts w:hint="eastAsia" w:ascii="黑体" w:hAnsi="黑体" w:eastAsia="黑体"/>
                <w:color w:val="000000" w:themeColor="text1"/>
                <w:sz w:val="24"/>
                <w:highlight w:val="none"/>
                <w14:textFill>
                  <w14:solidFill>
                    <w14:schemeClr w14:val="tx1"/>
                  </w14:solidFill>
                </w14:textFill>
              </w:rPr>
              <w:t>20</w:t>
            </w:r>
            <w:r>
              <w:rPr>
                <w:rFonts w:ascii="黑体" w:hAnsi="黑体" w:eastAsia="黑体"/>
                <w:color w:val="000000" w:themeColor="text1"/>
                <w:sz w:val="24"/>
                <w:highlight w:val="none"/>
                <w14:textFill>
                  <w14:solidFill>
                    <w14:schemeClr w14:val="tx1"/>
                  </w14:solidFill>
                </w14:textFill>
              </w:rPr>
              <w:t xml:space="preserve">       </w:t>
            </w:r>
            <w:r>
              <w:rPr>
                <w:rFonts w:hint="eastAsia" w:ascii="黑体" w:hAnsi="黑体" w:eastAsia="黑体"/>
                <w:color w:val="000000" w:themeColor="text1"/>
                <w:sz w:val="24"/>
                <w:highlight w:val="none"/>
                <w14:textFill>
                  <w14:solidFill>
                    <w14:schemeClr w14:val="tx1"/>
                  </w14:solidFill>
                </w14:textFill>
              </w:rPr>
              <w:t xml:space="preserve">   </w:t>
            </w:r>
            <w:r>
              <w:rPr>
                <w:rFonts w:ascii="黑体" w:hAnsi="黑体" w:eastAsia="黑体"/>
                <w:color w:val="000000" w:themeColor="text1"/>
                <w:sz w:val="24"/>
                <w:highlight w:val="none"/>
                <w14:textFill>
                  <w14:solidFill>
                    <w14:schemeClr w14:val="tx1"/>
                  </w14:solidFill>
                </w14:textFill>
              </w:rPr>
              <w:t>土壤</w:t>
            </w:r>
            <w:r>
              <w:rPr>
                <w:rFonts w:hint="eastAsia" w:ascii="黑体" w:hAnsi="黑体" w:eastAsia="黑体"/>
                <w:color w:val="000000" w:themeColor="text1"/>
                <w:sz w:val="24"/>
                <w:highlight w:val="none"/>
                <w:lang w:eastAsia="zh-CN"/>
                <w14:textFill>
                  <w14:solidFill>
                    <w14:schemeClr w14:val="tx1"/>
                  </w14:solidFill>
                </w14:textFill>
              </w:rPr>
              <w:t>、</w:t>
            </w:r>
            <w:r>
              <w:rPr>
                <w:rFonts w:hint="eastAsia" w:ascii="黑体" w:hAnsi="黑体" w:eastAsia="黑体"/>
                <w:color w:val="000000" w:themeColor="text1"/>
                <w:sz w:val="24"/>
                <w:highlight w:val="none"/>
                <w:lang w:val="en-US" w:eastAsia="zh-CN"/>
                <w14:textFill>
                  <w14:solidFill>
                    <w14:schemeClr w14:val="tx1"/>
                  </w14:solidFill>
                </w14:textFill>
              </w:rPr>
              <w:t>地下水</w:t>
            </w:r>
            <w:r>
              <w:rPr>
                <w:rFonts w:ascii="黑体" w:hAnsi="黑体" w:eastAsia="黑体"/>
                <w:color w:val="000000" w:themeColor="text1"/>
                <w:sz w:val="24"/>
                <w:highlight w:val="none"/>
                <w14:textFill>
                  <w14:solidFill>
                    <w14:schemeClr w14:val="tx1"/>
                  </w14:solidFill>
                </w14:textFill>
              </w:rPr>
              <w:t>环境</w:t>
            </w:r>
            <w:r>
              <w:rPr>
                <w:rFonts w:hint="eastAsia" w:ascii="黑体" w:hAnsi="黑体" w:eastAsia="黑体"/>
                <w:color w:val="000000" w:themeColor="text1"/>
                <w:sz w:val="24"/>
                <w:highlight w:val="none"/>
                <w14:textFill>
                  <w14:solidFill>
                    <w14:schemeClr w14:val="tx1"/>
                  </w14:solidFill>
                </w14:textFill>
              </w:rPr>
              <w:t>监测计划一览表</w:t>
            </w:r>
          </w:p>
          <w:tbl>
            <w:tblPr>
              <w:tblStyle w:val="2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98"/>
              <w:gridCol w:w="2741"/>
              <w:gridCol w:w="2977"/>
              <w:gridCol w:w="1768"/>
            </w:tblGrid>
            <w:tr w14:paraId="0FE37B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8" w:type="dxa"/>
                  <w:vAlign w:val="center"/>
                </w:tcPr>
                <w:p w14:paraId="3A0BBE4B">
                  <w:pPr>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w:t>
                  </w:r>
                </w:p>
              </w:tc>
              <w:tc>
                <w:tcPr>
                  <w:tcW w:w="2741" w:type="dxa"/>
                  <w:vAlign w:val="center"/>
                </w:tcPr>
                <w:p w14:paraId="4B998BE6">
                  <w:pPr>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监测点位</w:t>
                  </w:r>
                </w:p>
              </w:tc>
              <w:tc>
                <w:tcPr>
                  <w:tcW w:w="2977" w:type="dxa"/>
                  <w:vAlign w:val="center"/>
                </w:tcPr>
                <w:p w14:paraId="18A9EBDF">
                  <w:pPr>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监测因子</w:t>
                  </w:r>
                </w:p>
              </w:tc>
              <w:tc>
                <w:tcPr>
                  <w:tcW w:w="1768" w:type="dxa"/>
                  <w:vAlign w:val="center"/>
                </w:tcPr>
                <w:p w14:paraId="4FD1AD90">
                  <w:pPr>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监测频次</w:t>
                  </w:r>
                </w:p>
              </w:tc>
            </w:tr>
            <w:tr w14:paraId="65CF3C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8" w:type="dxa"/>
                  <w:vAlign w:val="center"/>
                </w:tcPr>
                <w:p w14:paraId="76CC4211">
                  <w:pPr>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土壤</w:t>
                  </w:r>
                </w:p>
              </w:tc>
              <w:tc>
                <w:tcPr>
                  <w:tcW w:w="2741" w:type="dxa"/>
                  <w:vAlign w:val="center"/>
                </w:tcPr>
                <w:p w14:paraId="4FBFCBCC">
                  <w:pPr>
                    <w:spacing w:line="26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厂区内绿化区</w:t>
                  </w:r>
                  <w:r>
                    <w:rPr>
                      <w:rFonts w:hint="eastAsia"/>
                      <w:color w:val="000000" w:themeColor="text1"/>
                      <w:szCs w:val="21"/>
                      <w:highlight w:val="none"/>
                      <w:lang w:eastAsia="zh-CN"/>
                      <w14:textFill>
                        <w14:solidFill>
                          <w14:schemeClr w14:val="tx1"/>
                        </w14:solidFill>
                      </w14:textFill>
                    </w:rPr>
                    <w:t>、田疃村</w:t>
                  </w:r>
                  <w:r>
                    <w:rPr>
                      <w:rFonts w:hint="eastAsia"/>
                      <w:color w:val="000000" w:themeColor="text1"/>
                      <w:szCs w:val="21"/>
                      <w:highlight w:val="none"/>
                      <w:lang w:val="en-US" w:eastAsia="zh-CN"/>
                      <w14:textFill>
                        <w14:solidFill>
                          <w14:schemeClr w14:val="tx1"/>
                        </w14:solidFill>
                      </w14:textFill>
                    </w:rPr>
                    <w:t>各设1个表层监测点</w:t>
                  </w:r>
                </w:p>
              </w:tc>
              <w:tc>
                <w:tcPr>
                  <w:tcW w:w="2977" w:type="dxa"/>
                  <w:vAlign w:val="center"/>
                </w:tcPr>
                <w:p w14:paraId="420DCA38">
                  <w:pPr>
                    <w:spacing w:line="26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pH</w:t>
                  </w:r>
                  <w:r>
                    <w:rPr>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氨氮、水溶性氟化物、</w:t>
                  </w:r>
                  <w:r>
                    <w:rPr>
                      <w:color w:val="000000" w:themeColor="text1"/>
                      <w:szCs w:val="21"/>
                      <w:highlight w:val="none"/>
                      <w14:textFill>
                        <w14:solidFill>
                          <w14:schemeClr w14:val="tx1"/>
                        </w14:solidFill>
                      </w14:textFill>
                    </w:rPr>
                    <w:t>二噁英类、汞、镉、砷、铅、</w:t>
                  </w:r>
                  <w:r>
                    <w:rPr>
                      <w:rFonts w:hint="eastAsia"/>
                      <w:color w:val="000000" w:themeColor="text1"/>
                      <w:szCs w:val="21"/>
                      <w:highlight w:val="none"/>
                      <w:lang w:val="en-US" w:eastAsia="zh-CN"/>
                      <w14:textFill>
                        <w14:solidFill>
                          <w14:schemeClr w14:val="tx1"/>
                        </w14:solidFill>
                      </w14:textFill>
                    </w:rPr>
                    <w:t>铬、</w:t>
                  </w:r>
                  <w:r>
                    <w:rPr>
                      <w:color w:val="000000" w:themeColor="text1"/>
                      <w:szCs w:val="21"/>
                      <w:highlight w:val="none"/>
                      <w14:textFill>
                        <w14:solidFill>
                          <w14:schemeClr w14:val="tx1"/>
                        </w14:solidFill>
                      </w14:textFill>
                    </w:rPr>
                    <w:t>钴、铜、镍</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锰、锌</w:t>
                  </w:r>
                </w:p>
              </w:tc>
              <w:tc>
                <w:tcPr>
                  <w:tcW w:w="1768" w:type="dxa"/>
                  <w:vAlign w:val="center"/>
                </w:tcPr>
                <w:p w14:paraId="18F68FB5">
                  <w:pPr>
                    <w:spacing w:line="2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1次/3年</w:t>
                  </w:r>
                </w:p>
              </w:tc>
            </w:tr>
            <w:tr w14:paraId="4FF5E8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98" w:type="dxa"/>
                  <w:vAlign w:val="center"/>
                </w:tcPr>
                <w:p w14:paraId="41C912C2">
                  <w:pPr>
                    <w:spacing w:line="26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地下水</w:t>
                  </w:r>
                </w:p>
              </w:tc>
              <w:tc>
                <w:tcPr>
                  <w:tcW w:w="2741" w:type="dxa"/>
                  <w:vAlign w:val="center"/>
                </w:tcPr>
                <w:p w14:paraId="416B0319">
                  <w:pPr>
                    <w:spacing w:line="26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厂区污泥库下游区域设1个潜水层监测井</w:t>
                  </w:r>
                </w:p>
              </w:tc>
              <w:tc>
                <w:tcPr>
                  <w:tcW w:w="2977" w:type="dxa"/>
                  <w:vAlign w:val="center"/>
                </w:tcPr>
                <w:p w14:paraId="1FC65BDC">
                  <w:pPr>
                    <w:spacing w:line="260" w:lineRule="exact"/>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pH、氨氮、硝酸盐氮、亚硝酸盐氮、挥发性酚类、氰化物、砷、汞、铬（六价）、总硬度、氯化物、硫酸盐、铅、氟、镉、铁、锰、溶解性总固体、耗氧量（CODMn）、总大肠菌群、菌落总数、石油类、铜、锌、镍、钴、硫化物。</w:t>
                  </w:r>
                </w:p>
              </w:tc>
              <w:tc>
                <w:tcPr>
                  <w:tcW w:w="1768" w:type="dxa"/>
                  <w:vAlign w:val="center"/>
                </w:tcPr>
                <w:p w14:paraId="51474D0F">
                  <w:pPr>
                    <w:spacing w:line="260" w:lineRule="exact"/>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bl>
          <w:p w14:paraId="3218D572">
            <w:pPr>
              <w:spacing w:line="480" w:lineRule="exact"/>
              <w:jc w:val="left"/>
              <w:rPr>
                <w:rFonts w:hAnsi="宋体"/>
                <w:b/>
                <w:bCs/>
                <w:color w:val="000000" w:themeColor="text1"/>
                <w:spacing w:val="-4"/>
                <w:sz w:val="24"/>
                <w:highlight w:val="none"/>
                <w14:textFill>
                  <w14:solidFill>
                    <w14:schemeClr w14:val="tx1"/>
                  </w14:solidFill>
                </w14:textFill>
              </w:rPr>
            </w:pPr>
            <w:r>
              <w:rPr>
                <w:rFonts w:hint="eastAsia" w:hAnsi="宋体"/>
                <w:b/>
                <w:bCs/>
                <w:color w:val="000000" w:themeColor="text1"/>
                <w:spacing w:val="-4"/>
                <w:sz w:val="24"/>
                <w:highlight w:val="none"/>
                <w14:textFill>
                  <w14:solidFill>
                    <w14:schemeClr w14:val="tx1"/>
                  </w14:solidFill>
                </w14:textFill>
              </w:rPr>
              <w:t>6 生态</w:t>
            </w:r>
          </w:p>
          <w:p w14:paraId="4AF0D7C8">
            <w:pPr>
              <w:spacing w:line="480" w:lineRule="exact"/>
              <w:ind w:firstLine="454" w:firstLineChars="196"/>
              <w:jc w:val="left"/>
              <w:rPr>
                <w:rFonts w:hAnsi="宋体"/>
                <w:bCs/>
                <w:color w:val="000000" w:themeColor="text1"/>
                <w:spacing w:val="-4"/>
                <w:sz w:val="24"/>
                <w:highlight w:val="none"/>
                <w14:textFill>
                  <w14:solidFill>
                    <w14:schemeClr w14:val="tx1"/>
                  </w14:solidFill>
                </w14:textFill>
              </w:rPr>
            </w:pPr>
            <w:r>
              <w:rPr>
                <w:rFonts w:hAnsi="宋体"/>
                <w:bCs/>
                <w:color w:val="000000" w:themeColor="text1"/>
                <w:spacing w:val="-4"/>
                <w:sz w:val="24"/>
                <w:highlight w:val="none"/>
                <w14:textFill>
                  <w14:solidFill>
                    <w14:schemeClr w14:val="tx1"/>
                  </w14:solidFill>
                </w14:textFill>
              </w:rPr>
              <w:t>本项目</w:t>
            </w:r>
            <w:r>
              <w:rPr>
                <w:rFonts w:hint="eastAsia" w:hAnsi="宋体"/>
                <w:bCs/>
                <w:color w:val="000000" w:themeColor="text1"/>
                <w:spacing w:val="-4"/>
                <w:sz w:val="24"/>
                <w:highlight w:val="none"/>
                <w14:textFill>
                  <w14:solidFill>
                    <w14:schemeClr w14:val="tx1"/>
                  </w14:solidFill>
                </w14:textFill>
              </w:rPr>
              <w:t>位于现有厂区，在现有生产车间建设，不新增占地，无生态保护目标。</w:t>
            </w:r>
          </w:p>
          <w:p w14:paraId="0C773824">
            <w:pPr>
              <w:tabs>
                <w:tab w:val="left" w:pos="7380"/>
              </w:tabs>
              <w:spacing w:line="480" w:lineRule="exact"/>
              <w:rPr>
                <w:rFonts w:hAnsi="宋体"/>
                <w:b/>
                <w:color w:val="000000" w:themeColor="text1"/>
                <w:spacing w:val="-4"/>
                <w:sz w:val="24"/>
                <w:highlight w:val="none"/>
                <w14:textFill>
                  <w14:solidFill>
                    <w14:schemeClr w14:val="tx1"/>
                  </w14:solidFill>
                </w14:textFill>
              </w:rPr>
            </w:pPr>
            <w:r>
              <w:rPr>
                <w:rFonts w:hint="eastAsia" w:hAnsi="宋体"/>
                <w:b/>
                <w:color w:val="000000" w:themeColor="text1"/>
                <w:spacing w:val="-4"/>
                <w:sz w:val="24"/>
                <w:highlight w:val="none"/>
                <w14:textFill>
                  <w14:solidFill>
                    <w14:schemeClr w14:val="tx1"/>
                  </w14:solidFill>
                </w14:textFill>
              </w:rPr>
              <w:t>7 环境风险</w:t>
            </w:r>
          </w:p>
          <w:p w14:paraId="0BD651FF">
            <w:pPr>
              <w:tabs>
                <w:tab w:val="left" w:pos="7380"/>
              </w:tabs>
              <w:spacing w:line="480" w:lineRule="exact"/>
              <w:ind w:firstLine="480" w:firstLineChars="200"/>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14:textFill>
                  <w14:solidFill>
                    <w14:schemeClr w14:val="tx1"/>
                  </w14:solidFill>
                </w14:textFill>
              </w:rPr>
              <w:t>本项目涉及的风险物质为润滑油、废润滑油、天然气，本项目建成后，厂区内</w:t>
            </w:r>
            <w:r>
              <w:rPr>
                <w:rFonts w:hint="eastAsia"/>
                <w:color w:val="000000" w:themeColor="text1"/>
                <w:sz w:val="24"/>
                <w:highlight w:val="none"/>
                <w:lang w:val="en-US" w:eastAsia="zh-CN"/>
                <w14:textFill>
                  <w14:solidFill>
                    <w14:schemeClr w14:val="tx1"/>
                  </w14:solidFill>
                </w14:textFill>
              </w:rPr>
              <w:t>涉及的环境风险物质种类不变</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其中润滑油不在厂区存储，天然气采用管道供应，厂区不设存储装置</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建设单位与2024年签发了突发环境事件应急预案，并在唐山市生态环境局滦州市分局备案（备案编号130223-2024-006-L）</w:t>
            </w:r>
          </w:p>
          <w:p w14:paraId="6A5F5517">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现有工程已采取以下风险防范措施：①</w:t>
            </w:r>
            <w:r>
              <w:rPr>
                <w:bCs/>
                <w:color w:val="000000" w:themeColor="text1"/>
                <w:sz w:val="24"/>
                <w:highlight w:val="none"/>
                <w14:textFill>
                  <w14:solidFill>
                    <w14:schemeClr w14:val="tx1"/>
                  </w14:solidFill>
                </w14:textFill>
              </w:rPr>
              <w:t>建立定时巡查制度，对天然气各泄漏点：法兰、阀门、泵、仪表、管道、设备等相连接之处，定时检查记录，建立台</w:t>
            </w:r>
            <w:r>
              <w:rPr>
                <w:rFonts w:hint="eastAsia"/>
                <w:bCs/>
                <w:color w:val="000000" w:themeColor="text1"/>
                <w:sz w:val="24"/>
                <w:highlight w:val="none"/>
                <w14:textFill>
                  <w14:solidFill>
                    <w14:schemeClr w14:val="tx1"/>
                  </w14:solidFill>
                </w14:textFill>
              </w:rPr>
              <w:t>账</w:t>
            </w:r>
            <w:r>
              <w:rPr>
                <w:bCs/>
                <w:color w:val="000000" w:themeColor="text1"/>
                <w:sz w:val="24"/>
                <w:highlight w:val="none"/>
                <w14:textFill>
                  <w14:solidFill>
                    <w14:schemeClr w14:val="tx1"/>
                  </w14:solidFill>
                </w14:textFill>
              </w:rPr>
              <w:t>；对有泄漏现象和迹象者及时采取处理措施。</w:t>
            </w:r>
            <w:r>
              <w:rPr>
                <w:rFonts w:hint="eastAsia" w:ascii="宋体" w:hAnsi="宋体" w:cs="宋体"/>
                <w:bCs/>
                <w:color w:val="000000" w:themeColor="text1"/>
                <w:sz w:val="24"/>
                <w:highlight w:val="none"/>
                <w14:textFill>
                  <w14:solidFill>
                    <w14:schemeClr w14:val="tx1"/>
                  </w14:solidFill>
                </w14:textFill>
              </w:rPr>
              <w:t>②</w:t>
            </w:r>
            <w:r>
              <w:rPr>
                <w:bCs/>
                <w:color w:val="000000" w:themeColor="text1"/>
                <w:sz w:val="24"/>
                <w:highlight w:val="none"/>
                <w14:textFill>
                  <w14:solidFill>
                    <w14:schemeClr w14:val="tx1"/>
                  </w14:solidFill>
                </w14:textFill>
              </w:rPr>
              <w:t>天然气泄漏后立即切断气源，停止供气关闭阀门。</w:t>
            </w:r>
            <w:r>
              <w:rPr>
                <w:rFonts w:hint="eastAsia" w:ascii="宋体" w:hAnsi="宋体" w:cs="宋体"/>
                <w:bCs/>
                <w:color w:val="000000" w:themeColor="text1"/>
                <w:sz w:val="24"/>
                <w:highlight w:val="none"/>
                <w14:textFill>
                  <w14:solidFill>
                    <w14:schemeClr w14:val="tx1"/>
                  </w14:solidFill>
                </w14:textFill>
              </w:rPr>
              <w:t>③</w:t>
            </w:r>
            <w:r>
              <w:rPr>
                <w:bCs/>
                <w:color w:val="000000" w:themeColor="text1"/>
                <w:sz w:val="24"/>
                <w:highlight w:val="none"/>
                <w14:textFill>
                  <w14:solidFill>
                    <w14:schemeClr w14:val="tx1"/>
                  </w14:solidFill>
                </w14:textFill>
              </w:rPr>
              <w:t>配备相应品种和数量的消防器材及泄漏应急处理设备。制定风险应急措施，一旦发生泄漏，及时采取措施。</w:t>
            </w:r>
            <w:r>
              <w:rPr>
                <w:rFonts w:hint="eastAsia" w:ascii="宋体" w:hAnsi="宋体" w:cs="宋体"/>
                <w:bCs/>
                <w:color w:val="000000" w:themeColor="text1"/>
                <w:sz w:val="24"/>
                <w:highlight w:val="none"/>
                <w14:textFill>
                  <w14:solidFill>
                    <w14:schemeClr w14:val="tx1"/>
                  </w14:solidFill>
                </w14:textFill>
              </w:rPr>
              <w:t>④</w:t>
            </w:r>
            <w:r>
              <w:rPr>
                <w:bCs/>
                <w:color w:val="000000" w:themeColor="text1"/>
                <w:sz w:val="24"/>
                <w:highlight w:val="none"/>
                <w14:textFill>
                  <w14:solidFill>
                    <w14:schemeClr w14:val="tx1"/>
                  </w14:solidFill>
                </w14:textFill>
              </w:rPr>
              <w:t>在废润滑油的转移、运输过程中，重点通过一些管理措施来预防转移和运输过程中发生的泄漏风险，如运输单位或个人应按规定申办准运手续，驾驶员、押运员应经专门培训，使用达到规定的技术标准运输车辆，严禁超载和不按规定时段、路线运行，禁止违章驾驶等。</w:t>
            </w:r>
            <w:r>
              <w:rPr>
                <w:rFonts w:hint="eastAsia" w:ascii="宋体" w:hAnsi="宋体" w:cs="宋体"/>
                <w:bCs/>
                <w:color w:val="000000" w:themeColor="text1"/>
                <w:sz w:val="24"/>
                <w:highlight w:val="none"/>
                <w14:textFill>
                  <w14:solidFill>
                    <w14:schemeClr w14:val="tx1"/>
                  </w14:solidFill>
                </w14:textFill>
              </w:rPr>
              <w:t>⑤</w:t>
            </w:r>
            <w:r>
              <w:rPr>
                <w:bCs/>
                <w:color w:val="000000" w:themeColor="text1"/>
                <w:sz w:val="24"/>
                <w:highlight w:val="none"/>
                <w14:textFill>
                  <w14:solidFill>
                    <w14:schemeClr w14:val="tx1"/>
                  </w14:solidFill>
                </w14:textFill>
              </w:rPr>
              <w:t>制定危险废物暂存间的日常巡查制度，定期指派专人负责巡查。</w:t>
            </w:r>
            <w:r>
              <w:rPr>
                <w:rFonts w:hint="eastAsia" w:ascii="宋体" w:hAnsi="宋体" w:cs="宋体"/>
                <w:bCs/>
                <w:color w:val="000000" w:themeColor="text1"/>
                <w:sz w:val="24"/>
                <w:highlight w:val="none"/>
                <w14:textFill>
                  <w14:solidFill>
                    <w14:schemeClr w14:val="tx1"/>
                  </w14:solidFill>
                </w14:textFill>
              </w:rPr>
              <w:t>⑥</w:t>
            </w:r>
            <w:r>
              <w:rPr>
                <w:bCs/>
                <w:color w:val="000000" w:themeColor="text1"/>
                <w:sz w:val="24"/>
                <w:highlight w:val="none"/>
                <w14:textFill>
                  <w14:solidFill>
                    <w14:schemeClr w14:val="tx1"/>
                  </w14:solidFill>
                </w14:textFill>
              </w:rPr>
              <w:t>加强管理，制定相应的规章制度。运营期杜绝矿物油的跑、冒、滴、漏现象的发生，同时要防火、防爆、防雷击，注意安全，杜绝一切不安全因素造成的对周围环境的影响。</w:t>
            </w:r>
          </w:p>
          <w:p w14:paraId="5DEA0521">
            <w:pPr>
              <w:adjustRightInd w:val="0"/>
              <w:snapToGrid w:val="0"/>
              <w:spacing w:line="48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建设单位已按要求严格落实各项环境风险防范措施。</w:t>
            </w:r>
            <w:r>
              <w:rPr>
                <w:rFonts w:hint="eastAsia"/>
                <w:color w:val="000000" w:themeColor="text1"/>
                <w:sz w:val="24"/>
                <w:highlight w:val="none"/>
                <w14:textFill>
                  <w14:solidFill>
                    <w14:schemeClr w14:val="tx1"/>
                  </w14:solidFill>
                </w14:textFill>
              </w:rPr>
              <w:t>采取上述风险防范措施后，项目环境风险可以防控</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同时建议建设单位按照相关要求及时修订突发环境事件应急预案并备案</w:t>
            </w:r>
            <w:r>
              <w:rPr>
                <w:rFonts w:hint="eastAsia"/>
                <w:color w:val="000000" w:themeColor="text1"/>
                <w:sz w:val="24"/>
                <w:highlight w:val="none"/>
                <w14:textFill>
                  <w14:solidFill>
                    <w14:schemeClr w14:val="tx1"/>
                  </w14:solidFill>
                </w14:textFill>
              </w:rPr>
              <w:t>。</w:t>
            </w:r>
          </w:p>
          <w:p w14:paraId="658F9ABE">
            <w:pPr>
              <w:tabs>
                <w:tab w:val="left" w:pos="7380"/>
              </w:tabs>
              <w:spacing w:line="48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8 污染物排放“三本账”</w:t>
            </w:r>
          </w:p>
          <w:p w14:paraId="1B1759CC">
            <w:pPr>
              <w:tabs>
                <w:tab w:val="left" w:pos="540"/>
              </w:tabs>
              <w:adjustRightInd w:val="0"/>
              <w:snapToGrid w:val="0"/>
              <w:spacing w:line="480" w:lineRule="exact"/>
              <w:ind w:firstLine="840" w:firstLineChars="350"/>
              <w:rPr>
                <w:rFonts w:ascii="黑体" w:hAnsi="黑体" w:eastAsia="黑体"/>
                <w:bCs/>
                <w:color w:val="000000" w:themeColor="text1"/>
                <w:sz w:val="24"/>
                <w:highlight w:val="none"/>
                <w14:textFill>
                  <w14:solidFill>
                    <w14:schemeClr w14:val="tx1"/>
                  </w14:solidFill>
                </w14:textFill>
              </w:rPr>
            </w:pPr>
            <w:r>
              <w:rPr>
                <w:rFonts w:ascii="黑体" w:hAnsi="黑体" w:eastAsia="黑体"/>
                <w:bCs/>
                <w:color w:val="000000" w:themeColor="text1"/>
                <w:sz w:val="24"/>
                <w:highlight w:val="none"/>
                <w14:textFill>
                  <w14:solidFill>
                    <w14:schemeClr w14:val="tx1"/>
                  </w14:solidFill>
                </w14:textFill>
              </w:rPr>
              <w:t>表</w:t>
            </w:r>
            <w:r>
              <w:rPr>
                <w:rFonts w:hint="eastAsia" w:ascii="黑体" w:hAnsi="黑体" w:eastAsia="黑体"/>
                <w:bCs/>
                <w:color w:val="000000" w:themeColor="text1"/>
                <w:sz w:val="24"/>
                <w:highlight w:val="none"/>
                <w14:textFill>
                  <w14:solidFill>
                    <w14:schemeClr w14:val="tx1"/>
                  </w14:solidFill>
                </w14:textFill>
              </w:rPr>
              <w:t xml:space="preserve">4-21 </w:t>
            </w:r>
            <w:r>
              <w:rPr>
                <w:rFonts w:ascii="黑体" w:hAnsi="黑体" w:eastAsia="黑体"/>
                <w:bCs/>
                <w:color w:val="000000" w:themeColor="text1"/>
                <w:sz w:val="24"/>
                <w:highlight w:val="none"/>
                <w14:textFill>
                  <w14:solidFill>
                    <w14:schemeClr w14:val="tx1"/>
                  </w14:solidFill>
                </w14:textFill>
              </w:rPr>
              <w:t xml:space="preserve">   </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 xml:space="preserve"> 工程实施后污染物排放“三本</w:t>
            </w:r>
            <w:r>
              <w:rPr>
                <w:rFonts w:hint="eastAsia" w:ascii="黑体" w:hAnsi="黑体" w:eastAsia="黑体"/>
                <w:bCs/>
                <w:color w:val="000000" w:themeColor="text1"/>
                <w:sz w:val="24"/>
                <w:highlight w:val="none"/>
                <w14:textFill>
                  <w14:solidFill>
                    <w14:schemeClr w14:val="tx1"/>
                  </w14:solidFill>
                </w14:textFill>
              </w:rPr>
              <w:t>账</w:t>
            </w:r>
            <w:r>
              <w:rPr>
                <w:rFonts w:ascii="黑体" w:hAnsi="黑体" w:eastAsia="黑体"/>
                <w:bCs/>
                <w:color w:val="000000" w:themeColor="text1"/>
                <w:sz w:val="24"/>
                <w:highlight w:val="none"/>
                <w14:textFill>
                  <w14:solidFill>
                    <w14:schemeClr w14:val="tx1"/>
                  </w14:solidFill>
                </w14:textFill>
              </w:rPr>
              <w:t xml:space="preserve">”情况 </w:t>
            </w:r>
            <w:r>
              <w:rPr>
                <w:rFonts w:hint="eastAsia" w:ascii="黑体" w:hAnsi="黑体" w:eastAsia="黑体"/>
                <w:bCs/>
                <w:color w:val="000000" w:themeColor="text1"/>
                <w:sz w:val="24"/>
                <w:highlight w:val="none"/>
                <w14:textFill>
                  <w14:solidFill>
                    <w14:schemeClr w14:val="tx1"/>
                  </w14:solidFill>
                </w14:textFill>
              </w:rPr>
              <w:t xml:space="preserve">     </w:t>
            </w:r>
            <w:r>
              <w:rPr>
                <w:rFonts w:ascii="黑体" w:hAnsi="黑体" w:eastAsia="黑体"/>
                <w:bCs/>
                <w:color w:val="000000" w:themeColor="text1"/>
                <w:sz w:val="24"/>
                <w:highlight w:val="none"/>
                <w14:textFill>
                  <w14:solidFill>
                    <w14:schemeClr w14:val="tx1"/>
                  </w14:solidFill>
                </w14:textFill>
              </w:rPr>
              <w:t>（单位：t/a）</w:t>
            </w:r>
          </w:p>
          <w:tbl>
            <w:tblPr>
              <w:tblStyle w:val="24"/>
              <w:tblW w:w="497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66"/>
              <w:gridCol w:w="850"/>
              <w:gridCol w:w="712"/>
              <w:gridCol w:w="1417"/>
              <w:gridCol w:w="1276"/>
              <w:gridCol w:w="1276"/>
              <w:gridCol w:w="1276"/>
              <w:gridCol w:w="1340"/>
            </w:tblGrid>
            <w:tr w14:paraId="48EE5D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3B21CBD5">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项目</w:t>
                  </w:r>
                </w:p>
              </w:tc>
              <w:tc>
                <w:tcPr>
                  <w:tcW w:w="886" w:type="pct"/>
                  <w:gridSpan w:val="2"/>
                  <w:vAlign w:val="center"/>
                </w:tcPr>
                <w:p w14:paraId="0D8C6FC4">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污染物</w:t>
                  </w:r>
                </w:p>
              </w:tc>
              <w:tc>
                <w:tcPr>
                  <w:tcW w:w="803" w:type="pct"/>
                  <w:vAlign w:val="center"/>
                </w:tcPr>
                <w:p w14:paraId="04DB33E9">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现有工程污染物排放量</w:t>
                  </w:r>
                </w:p>
              </w:tc>
              <w:tc>
                <w:tcPr>
                  <w:tcW w:w="723" w:type="pct"/>
                  <w:vAlign w:val="center"/>
                </w:tcPr>
                <w:p w14:paraId="2AA59482">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本项目排放量</w:t>
                  </w:r>
                </w:p>
              </w:tc>
              <w:tc>
                <w:tcPr>
                  <w:tcW w:w="723" w:type="pct"/>
                  <w:vAlign w:val="center"/>
                </w:tcPr>
                <w:p w14:paraId="5F33DAB1">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以新带老削减量</w:t>
                  </w:r>
                </w:p>
              </w:tc>
              <w:tc>
                <w:tcPr>
                  <w:tcW w:w="723" w:type="pct"/>
                  <w:vAlign w:val="center"/>
                </w:tcPr>
                <w:p w14:paraId="60F88E0C">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本项目建成后全厂排放量</w:t>
                  </w:r>
                </w:p>
              </w:tc>
              <w:tc>
                <w:tcPr>
                  <w:tcW w:w="760" w:type="pct"/>
                  <w:vAlign w:val="center"/>
                </w:tcPr>
                <w:p w14:paraId="087BDBB4">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变化量</w:t>
                  </w:r>
                </w:p>
              </w:tc>
            </w:tr>
            <w:tr w14:paraId="14A24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restart"/>
                  <w:vAlign w:val="center"/>
                </w:tcPr>
                <w:p w14:paraId="1CD212D7">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废气</w:t>
                  </w:r>
                </w:p>
              </w:tc>
              <w:tc>
                <w:tcPr>
                  <w:tcW w:w="886" w:type="pct"/>
                  <w:gridSpan w:val="2"/>
                  <w:vAlign w:val="center"/>
                </w:tcPr>
                <w:p w14:paraId="296E06B7">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颗粒物</w:t>
                  </w:r>
                </w:p>
              </w:tc>
              <w:tc>
                <w:tcPr>
                  <w:tcW w:w="803" w:type="pct"/>
                  <w:vAlign w:val="center"/>
                </w:tcPr>
                <w:p w14:paraId="516FFBB0">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5.868</w:t>
                  </w:r>
                </w:p>
              </w:tc>
              <w:tc>
                <w:tcPr>
                  <w:tcW w:w="723" w:type="pct"/>
                  <w:vAlign w:val="center"/>
                </w:tcPr>
                <w:p w14:paraId="309243BE">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10.4505</w:t>
                  </w:r>
                </w:p>
              </w:tc>
              <w:tc>
                <w:tcPr>
                  <w:tcW w:w="723" w:type="pct"/>
                  <w:vAlign w:val="center"/>
                </w:tcPr>
                <w:p w14:paraId="2444194A">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5.868</w:t>
                  </w:r>
                </w:p>
              </w:tc>
              <w:tc>
                <w:tcPr>
                  <w:tcW w:w="723" w:type="pct"/>
                  <w:vAlign w:val="center"/>
                </w:tcPr>
                <w:p w14:paraId="4812330C">
                  <w:pPr>
                    <w:spacing w:line="240" w:lineRule="auto"/>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10.4505</w:t>
                  </w:r>
                </w:p>
              </w:tc>
              <w:tc>
                <w:tcPr>
                  <w:tcW w:w="760" w:type="pct"/>
                  <w:vAlign w:val="center"/>
                </w:tcPr>
                <w:p w14:paraId="3E0E2F6B">
                  <w:pPr>
                    <w:spacing w:line="240" w:lineRule="auto"/>
                    <w:jc w:val="center"/>
                    <w:rPr>
                      <w:rFonts w:hint="default" w:eastAsia="宋体"/>
                      <w:snapToGrid w:val="0"/>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4.5825</w:t>
                  </w:r>
                </w:p>
              </w:tc>
            </w:tr>
            <w:tr w14:paraId="34637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7A79A9F9">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4AE4D5D8">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二氧化硫</w:t>
                  </w:r>
                </w:p>
              </w:tc>
              <w:tc>
                <w:tcPr>
                  <w:tcW w:w="803" w:type="pct"/>
                  <w:vAlign w:val="center"/>
                </w:tcPr>
                <w:p w14:paraId="0D5A086C">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14.47</w:t>
                  </w:r>
                </w:p>
              </w:tc>
              <w:tc>
                <w:tcPr>
                  <w:tcW w:w="723" w:type="pct"/>
                  <w:vAlign w:val="center"/>
                </w:tcPr>
                <w:p w14:paraId="6C24F06E">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17.81</w:t>
                  </w:r>
                </w:p>
              </w:tc>
              <w:tc>
                <w:tcPr>
                  <w:tcW w:w="723" w:type="pct"/>
                  <w:vAlign w:val="center"/>
                </w:tcPr>
                <w:p w14:paraId="3AF5E9F5">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14.47</w:t>
                  </w:r>
                </w:p>
              </w:tc>
              <w:tc>
                <w:tcPr>
                  <w:tcW w:w="723" w:type="pct"/>
                  <w:vAlign w:val="center"/>
                </w:tcPr>
                <w:p w14:paraId="742B5785">
                  <w:pPr>
                    <w:spacing w:line="240" w:lineRule="auto"/>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17.81</w:t>
                  </w:r>
                </w:p>
              </w:tc>
              <w:tc>
                <w:tcPr>
                  <w:tcW w:w="760" w:type="pct"/>
                  <w:vAlign w:val="center"/>
                </w:tcPr>
                <w:p w14:paraId="7816A6FD">
                  <w:pPr>
                    <w:spacing w:line="240" w:lineRule="auto"/>
                    <w:jc w:val="center"/>
                    <w:rPr>
                      <w:rFonts w:hint="default" w:eastAsia="宋体"/>
                      <w:snapToGrid w:val="0"/>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3.34</w:t>
                  </w:r>
                </w:p>
              </w:tc>
            </w:tr>
            <w:tr w14:paraId="74B226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7A1E607D">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5B7F2F99">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氮氧化物</w:t>
                  </w:r>
                </w:p>
              </w:tc>
              <w:tc>
                <w:tcPr>
                  <w:tcW w:w="803" w:type="pct"/>
                  <w:vAlign w:val="center"/>
                </w:tcPr>
                <w:p w14:paraId="313DDBB3">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60.85</w:t>
                  </w:r>
                </w:p>
              </w:tc>
              <w:tc>
                <w:tcPr>
                  <w:tcW w:w="723" w:type="pct"/>
                  <w:vAlign w:val="center"/>
                </w:tcPr>
                <w:p w14:paraId="05CB6F25">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33.3</w:t>
                  </w:r>
                </w:p>
              </w:tc>
              <w:tc>
                <w:tcPr>
                  <w:tcW w:w="723" w:type="pct"/>
                  <w:vAlign w:val="center"/>
                </w:tcPr>
                <w:p w14:paraId="674BFE83">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60.85</w:t>
                  </w:r>
                </w:p>
              </w:tc>
              <w:tc>
                <w:tcPr>
                  <w:tcW w:w="723" w:type="pct"/>
                  <w:vAlign w:val="center"/>
                </w:tcPr>
                <w:p w14:paraId="1122D19D">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33.3</w:t>
                  </w:r>
                </w:p>
              </w:tc>
              <w:tc>
                <w:tcPr>
                  <w:tcW w:w="760" w:type="pct"/>
                  <w:vAlign w:val="center"/>
                </w:tcPr>
                <w:p w14:paraId="5D1A0B79">
                  <w:pPr>
                    <w:spacing w:line="240" w:lineRule="auto"/>
                    <w:jc w:val="center"/>
                    <w:rPr>
                      <w:rFonts w:hint="default" w:eastAsia="宋体"/>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w:t>
                  </w:r>
                  <w:r>
                    <w:rPr>
                      <w:rFonts w:hint="eastAsia"/>
                      <w:snapToGrid w:val="0"/>
                      <w:color w:val="000000" w:themeColor="text1"/>
                      <w:sz w:val="18"/>
                      <w:szCs w:val="18"/>
                      <w:highlight w:val="none"/>
                      <w:lang w:val="en-US" w:eastAsia="zh-CN"/>
                      <w14:textFill>
                        <w14:solidFill>
                          <w14:schemeClr w14:val="tx1"/>
                        </w14:solidFill>
                      </w14:textFill>
                    </w:rPr>
                    <w:t>27.55</w:t>
                  </w:r>
                </w:p>
              </w:tc>
            </w:tr>
            <w:tr w14:paraId="3C54CD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43347484">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268F497F">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氟化物</w:t>
                  </w:r>
                </w:p>
              </w:tc>
              <w:tc>
                <w:tcPr>
                  <w:tcW w:w="803" w:type="pct"/>
                  <w:vAlign w:val="center"/>
                </w:tcPr>
                <w:p w14:paraId="054185AB">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1.48</w:t>
                  </w:r>
                </w:p>
              </w:tc>
              <w:tc>
                <w:tcPr>
                  <w:tcW w:w="723" w:type="pct"/>
                  <w:vAlign w:val="center"/>
                </w:tcPr>
                <w:p w14:paraId="6C590E45">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0.1536</w:t>
                  </w:r>
                </w:p>
              </w:tc>
              <w:tc>
                <w:tcPr>
                  <w:tcW w:w="723" w:type="pct"/>
                  <w:vAlign w:val="center"/>
                </w:tcPr>
                <w:p w14:paraId="297B876D">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1.48</w:t>
                  </w:r>
                </w:p>
              </w:tc>
              <w:tc>
                <w:tcPr>
                  <w:tcW w:w="723" w:type="pct"/>
                  <w:vAlign w:val="center"/>
                </w:tcPr>
                <w:p w14:paraId="2A8F1E26">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0.1536</w:t>
                  </w:r>
                </w:p>
              </w:tc>
              <w:tc>
                <w:tcPr>
                  <w:tcW w:w="760" w:type="pct"/>
                  <w:vAlign w:val="center"/>
                </w:tcPr>
                <w:p w14:paraId="3DD6DEEC">
                  <w:pPr>
                    <w:spacing w:line="240" w:lineRule="auto"/>
                    <w:jc w:val="center"/>
                    <w:rPr>
                      <w:rFonts w:hint="eastAsia"/>
                      <w:snapToGrid w:val="0"/>
                      <w:color w:val="000000" w:themeColor="text1"/>
                      <w:sz w:val="18"/>
                      <w:szCs w:val="18"/>
                      <w:highlight w:val="none"/>
                      <w:lang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-1.3264</w:t>
                  </w:r>
                </w:p>
              </w:tc>
            </w:tr>
            <w:tr w14:paraId="3DAE7B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1DB24FE7">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5A258480">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氯化氢</w:t>
                  </w:r>
                </w:p>
              </w:tc>
              <w:tc>
                <w:tcPr>
                  <w:tcW w:w="803" w:type="pct"/>
                  <w:vAlign w:val="center"/>
                </w:tcPr>
                <w:p w14:paraId="607B4E9C">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0.739</w:t>
                  </w:r>
                </w:p>
              </w:tc>
              <w:tc>
                <w:tcPr>
                  <w:tcW w:w="723" w:type="pct"/>
                  <w:vAlign w:val="center"/>
                </w:tcPr>
                <w:p w14:paraId="376833BF">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0.104</w:t>
                  </w:r>
                </w:p>
              </w:tc>
              <w:tc>
                <w:tcPr>
                  <w:tcW w:w="723" w:type="pct"/>
                  <w:vAlign w:val="center"/>
                </w:tcPr>
                <w:p w14:paraId="08B68748">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0.739</w:t>
                  </w:r>
                </w:p>
              </w:tc>
              <w:tc>
                <w:tcPr>
                  <w:tcW w:w="723" w:type="pct"/>
                  <w:vAlign w:val="center"/>
                </w:tcPr>
                <w:p w14:paraId="54884CE7">
                  <w:pPr>
                    <w:spacing w:line="240" w:lineRule="auto"/>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0.104</w:t>
                  </w:r>
                </w:p>
              </w:tc>
              <w:tc>
                <w:tcPr>
                  <w:tcW w:w="760" w:type="pct"/>
                  <w:vAlign w:val="center"/>
                </w:tcPr>
                <w:p w14:paraId="7A530B25">
                  <w:pPr>
                    <w:spacing w:line="240" w:lineRule="auto"/>
                    <w:jc w:val="center"/>
                    <w:rPr>
                      <w:rFonts w:hint="default"/>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-0.635</w:t>
                  </w:r>
                </w:p>
              </w:tc>
            </w:tr>
            <w:tr w14:paraId="7529A9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71664ACF">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3AFACB64">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二噁英类</w:t>
                  </w:r>
                </w:p>
              </w:tc>
              <w:tc>
                <w:tcPr>
                  <w:tcW w:w="803" w:type="pct"/>
                  <w:vAlign w:val="center"/>
                </w:tcPr>
                <w:p w14:paraId="387BE82A">
                  <w:pPr>
                    <w:spacing w:line="240" w:lineRule="auto"/>
                    <w:jc w:val="center"/>
                    <w:rPr>
                      <w:snapToGrid w:val="0"/>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21.11mgTEQ/a</w:t>
                  </w:r>
                </w:p>
              </w:tc>
              <w:tc>
                <w:tcPr>
                  <w:tcW w:w="723" w:type="pct"/>
                  <w:vAlign w:val="center"/>
                </w:tcPr>
                <w:p w14:paraId="2172BF9A">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77.52mgTEQ/a</w:t>
                  </w:r>
                </w:p>
              </w:tc>
              <w:tc>
                <w:tcPr>
                  <w:tcW w:w="723" w:type="pct"/>
                  <w:vAlign w:val="center"/>
                </w:tcPr>
                <w:p w14:paraId="6F31901A">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21.11mgTEQ/a</w:t>
                  </w:r>
                </w:p>
              </w:tc>
              <w:tc>
                <w:tcPr>
                  <w:tcW w:w="723" w:type="pct"/>
                  <w:vAlign w:val="center"/>
                </w:tcPr>
                <w:p w14:paraId="084C4A77">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77.52mgTEQ/a</w:t>
                  </w:r>
                </w:p>
              </w:tc>
              <w:tc>
                <w:tcPr>
                  <w:tcW w:w="760" w:type="pct"/>
                  <w:vAlign w:val="center"/>
                </w:tcPr>
                <w:p w14:paraId="4D8AA144">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+56.41mgTEQ/a</w:t>
                  </w:r>
                </w:p>
              </w:tc>
            </w:tr>
            <w:tr w14:paraId="059D4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1A58DADE">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349CC919">
                  <w:pPr>
                    <w:spacing w:line="240" w:lineRule="auto"/>
                    <w:jc w:val="center"/>
                    <w:rPr>
                      <w:snapToGrid w:val="0"/>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汞及其化合物（以Hg计）</w:t>
                  </w:r>
                </w:p>
              </w:tc>
              <w:tc>
                <w:tcPr>
                  <w:tcW w:w="803" w:type="pct"/>
                  <w:vAlign w:val="center"/>
                </w:tcPr>
                <w:p w14:paraId="47CDBFA9">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0.00295</w:t>
                  </w:r>
                </w:p>
              </w:tc>
              <w:tc>
                <w:tcPr>
                  <w:tcW w:w="723" w:type="pct"/>
                  <w:vAlign w:val="center"/>
                </w:tcPr>
                <w:p w14:paraId="5F72FE33">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434</w:t>
                  </w:r>
                </w:p>
              </w:tc>
              <w:tc>
                <w:tcPr>
                  <w:tcW w:w="723" w:type="pct"/>
                  <w:vAlign w:val="center"/>
                </w:tcPr>
                <w:p w14:paraId="1B4C80B5">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0.00295</w:t>
                  </w:r>
                </w:p>
              </w:tc>
              <w:tc>
                <w:tcPr>
                  <w:tcW w:w="723" w:type="pct"/>
                  <w:vAlign w:val="center"/>
                </w:tcPr>
                <w:p w14:paraId="36C66B3C">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w:t>
                  </w:r>
                  <w:r>
                    <w:rPr>
                      <w:rFonts w:hint="eastAsia"/>
                      <w:color w:val="000000" w:themeColor="text1"/>
                      <w:sz w:val="18"/>
                      <w:szCs w:val="18"/>
                      <w:highlight w:val="none"/>
                      <w:lang w:val="en-US" w:eastAsia="zh-CN"/>
                      <w14:textFill>
                        <w14:solidFill>
                          <w14:schemeClr w14:val="tx1"/>
                        </w14:solidFill>
                      </w14:textFill>
                    </w:rPr>
                    <w:t>434</w:t>
                  </w:r>
                </w:p>
              </w:tc>
              <w:tc>
                <w:tcPr>
                  <w:tcW w:w="760" w:type="pct"/>
                  <w:vAlign w:val="center"/>
                </w:tcPr>
                <w:p w14:paraId="667B1536">
                  <w:pPr>
                    <w:spacing w:line="240" w:lineRule="auto"/>
                    <w:jc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0.04045</w:t>
                  </w:r>
                </w:p>
              </w:tc>
            </w:tr>
            <w:tr w14:paraId="046AF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78D9C28C">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214EFC9A">
                  <w:pPr>
                    <w:spacing w:line="240" w:lineRule="auto"/>
                    <w:jc w:val="center"/>
                    <w:rPr>
                      <w:snapToGrid w:val="0"/>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镉及其化合物（以Cd计）</w:t>
                  </w:r>
                </w:p>
              </w:tc>
              <w:tc>
                <w:tcPr>
                  <w:tcW w:w="803" w:type="pct"/>
                  <w:vAlign w:val="center"/>
                </w:tcPr>
                <w:p w14:paraId="1F441E7E">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0.000012</w:t>
                  </w:r>
                </w:p>
              </w:tc>
              <w:tc>
                <w:tcPr>
                  <w:tcW w:w="723" w:type="pct"/>
                  <w:vAlign w:val="center"/>
                </w:tcPr>
                <w:p w14:paraId="32E6845A">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33</w:t>
                  </w:r>
                </w:p>
              </w:tc>
              <w:tc>
                <w:tcPr>
                  <w:tcW w:w="723" w:type="pct"/>
                  <w:vAlign w:val="center"/>
                </w:tcPr>
                <w:p w14:paraId="64F0F05E">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0.000012</w:t>
                  </w:r>
                </w:p>
              </w:tc>
              <w:tc>
                <w:tcPr>
                  <w:tcW w:w="723" w:type="pct"/>
                  <w:vAlign w:val="center"/>
                </w:tcPr>
                <w:p w14:paraId="23E7B7BA">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33</w:t>
                  </w:r>
                </w:p>
              </w:tc>
              <w:tc>
                <w:tcPr>
                  <w:tcW w:w="760" w:type="pct"/>
                  <w:vAlign w:val="center"/>
                </w:tcPr>
                <w:p w14:paraId="72650EB5">
                  <w:pPr>
                    <w:spacing w:line="240" w:lineRule="auto"/>
                    <w:jc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0.003288</w:t>
                  </w:r>
                </w:p>
              </w:tc>
            </w:tr>
            <w:tr w14:paraId="333FC1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37FC3E2A">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4A9ED7CB">
                  <w:pPr>
                    <w:spacing w:line="240" w:lineRule="auto"/>
                    <w:jc w:val="center"/>
                    <w:rPr>
                      <w:snapToGrid w:val="0"/>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砷、铅、钴、铜、镍及其化合物（As+Pb+Co+Cu+Ni计）</w:t>
                  </w:r>
                </w:p>
              </w:tc>
              <w:tc>
                <w:tcPr>
                  <w:tcW w:w="803" w:type="pct"/>
                  <w:vAlign w:val="center"/>
                </w:tcPr>
                <w:p w14:paraId="78EA8489">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0.00707</w:t>
                  </w:r>
                </w:p>
              </w:tc>
              <w:tc>
                <w:tcPr>
                  <w:tcW w:w="723" w:type="pct"/>
                  <w:vAlign w:val="center"/>
                </w:tcPr>
                <w:p w14:paraId="5076C37B">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r>
                    <w:rPr>
                      <w:rFonts w:hint="eastAsia"/>
                      <w:color w:val="000000" w:themeColor="text1"/>
                      <w:sz w:val="18"/>
                      <w:szCs w:val="18"/>
                      <w:highlight w:val="none"/>
                      <w:lang w:val="en-US" w:eastAsia="zh-CN"/>
                      <w14:textFill>
                        <w14:solidFill>
                          <w14:schemeClr w14:val="tx1"/>
                        </w14:solidFill>
                      </w14:textFill>
                    </w:rPr>
                    <w:t>1874</w:t>
                  </w:r>
                </w:p>
              </w:tc>
              <w:tc>
                <w:tcPr>
                  <w:tcW w:w="723" w:type="pct"/>
                  <w:vAlign w:val="center"/>
                </w:tcPr>
                <w:p w14:paraId="6B0D8C49">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0.00707</w:t>
                  </w:r>
                </w:p>
              </w:tc>
              <w:tc>
                <w:tcPr>
                  <w:tcW w:w="723" w:type="pct"/>
                  <w:vAlign w:val="center"/>
                </w:tcPr>
                <w:p w14:paraId="3F147AB5">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w:t>
                  </w:r>
                  <w:r>
                    <w:rPr>
                      <w:rFonts w:hint="eastAsia"/>
                      <w:color w:val="000000" w:themeColor="text1"/>
                      <w:sz w:val="18"/>
                      <w:szCs w:val="18"/>
                      <w:highlight w:val="none"/>
                      <w:lang w:val="en-US" w:eastAsia="zh-CN"/>
                      <w14:textFill>
                        <w14:solidFill>
                          <w14:schemeClr w14:val="tx1"/>
                        </w14:solidFill>
                      </w14:textFill>
                    </w:rPr>
                    <w:t>1874</w:t>
                  </w:r>
                </w:p>
              </w:tc>
              <w:tc>
                <w:tcPr>
                  <w:tcW w:w="760" w:type="pct"/>
                  <w:vAlign w:val="center"/>
                </w:tcPr>
                <w:p w14:paraId="0431AE29">
                  <w:pPr>
                    <w:spacing w:line="240" w:lineRule="auto"/>
                    <w:jc w:val="center"/>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0.18033</w:t>
                  </w:r>
                </w:p>
              </w:tc>
            </w:tr>
            <w:tr w14:paraId="05BB9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5023E9CF">
                  <w:pPr>
                    <w:spacing w:line="240" w:lineRule="auto"/>
                    <w:jc w:val="center"/>
                    <w:rPr>
                      <w:snapToGrid w:val="0"/>
                      <w:color w:val="000000" w:themeColor="text1"/>
                      <w:sz w:val="18"/>
                      <w:szCs w:val="18"/>
                      <w:highlight w:val="none"/>
                      <w14:textFill>
                        <w14:solidFill>
                          <w14:schemeClr w14:val="tx1"/>
                        </w14:solidFill>
                      </w14:textFill>
                    </w:rPr>
                  </w:pPr>
                </w:p>
              </w:tc>
              <w:tc>
                <w:tcPr>
                  <w:tcW w:w="482" w:type="pct"/>
                  <w:vAlign w:val="center"/>
                </w:tcPr>
                <w:p w14:paraId="4BA6CE6B">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氨</w:t>
                  </w:r>
                </w:p>
              </w:tc>
              <w:tc>
                <w:tcPr>
                  <w:tcW w:w="403" w:type="pct"/>
                  <w:vMerge w:val="restart"/>
                  <w:vAlign w:val="center"/>
                </w:tcPr>
                <w:p w14:paraId="2E183B3B">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正常生产时</w:t>
                  </w:r>
                </w:p>
              </w:tc>
              <w:tc>
                <w:tcPr>
                  <w:tcW w:w="803" w:type="pct"/>
                  <w:vAlign w:val="center"/>
                </w:tcPr>
                <w:p w14:paraId="418F0439">
                  <w:pPr>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0.307</w:t>
                  </w:r>
                </w:p>
              </w:tc>
              <w:tc>
                <w:tcPr>
                  <w:tcW w:w="723" w:type="pct"/>
                  <w:shd w:val="clear" w:color="auto" w:fill="auto"/>
                  <w:vAlign w:val="center"/>
                </w:tcPr>
                <w:p w14:paraId="7AF5B7AA">
                  <w:pPr>
                    <w:spacing w:line="240" w:lineRule="auto"/>
                    <w:jc w:val="center"/>
                    <w:rPr>
                      <w:rFonts w:hint="default"/>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19.4238</w:t>
                  </w:r>
                </w:p>
              </w:tc>
              <w:tc>
                <w:tcPr>
                  <w:tcW w:w="723" w:type="pct"/>
                  <w:vAlign w:val="center"/>
                </w:tcPr>
                <w:p w14:paraId="4E1DA733">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0.307</w:t>
                  </w:r>
                </w:p>
              </w:tc>
              <w:tc>
                <w:tcPr>
                  <w:tcW w:w="1276" w:type="dxa"/>
                  <w:vAlign w:val="center"/>
                </w:tcPr>
                <w:p w14:paraId="0FD52C7B">
                  <w:pPr>
                    <w:spacing w:line="240" w:lineRule="auto"/>
                    <w:jc w:val="center"/>
                    <w:rPr>
                      <w:rFonts w:hint="default"/>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19.4238</w:t>
                  </w:r>
                </w:p>
              </w:tc>
              <w:tc>
                <w:tcPr>
                  <w:tcW w:w="760" w:type="pct"/>
                  <w:vAlign w:val="center"/>
                </w:tcPr>
                <w:p w14:paraId="31B8DDEB">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+19.1168</w:t>
                  </w:r>
                </w:p>
              </w:tc>
            </w:tr>
            <w:tr w14:paraId="2876CA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1B443CDF">
                  <w:pPr>
                    <w:spacing w:line="240" w:lineRule="auto"/>
                    <w:jc w:val="center"/>
                    <w:rPr>
                      <w:snapToGrid w:val="0"/>
                      <w:color w:val="000000" w:themeColor="text1"/>
                      <w:sz w:val="18"/>
                      <w:szCs w:val="18"/>
                      <w:highlight w:val="none"/>
                      <w14:textFill>
                        <w14:solidFill>
                          <w14:schemeClr w14:val="tx1"/>
                        </w14:solidFill>
                      </w14:textFill>
                    </w:rPr>
                  </w:pPr>
                </w:p>
              </w:tc>
              <w:tc>
                <w:tcPr>
                  <w:tcW w:w="482" w:type="pct"/>
                  <w:vAlign w:val="center"/>
                </w:tcPr>
                <w:p w14:paraId="0D3BF5ED">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硫化氢</w:t>
                  </w:r>
                </w:p>
              </w:tc>
              <w:tc>
                <w:tcPr>
                  <w:tcW w:w="403" w:type="pct"/>
                  <w:vMerge w:val="continue"/>
                  <w:vAlign w:val="center"/>
                </w:tcPr>
                <w:p w14:paraId="26A19B17">
                  <w:pPr>
                    <w:spacing w:line="240" w:lineRule="auto"/>
                    <w:jc w:val="center"/>
                    <w:rPr>
                      <w:color w:val="000000" w:themeColor="text1"/>
                      <w:sz w:val="18"/>
                      <w:szCs w:val="18"/>
                      <w:highlight w:val="none"/>
                      <w14:textFill>
                        <w14:solidFill>
                          <w14:schemeClr w14:val="tx1"/>
                        </w14:solidFill>
                      </w14:textFill>
                    </w:rPr>
                  </w:pPr>
                </w:p>
              </w:tc>
              <w:tc>
                <w:tcPr>
                  <w:tcW w:w="803" w:type="pct"/>
                  <w:vAlign w:val="center"/>
                </w:tcPr>
                <w:p w14:paraId="1B1CCD00">
                  <w:pPr>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0.033</w:t>
                  </w:r>
                </w:p>
              </w:tc>
              <w:tc>
                <w:tcPr>
                  <w:tcW w:w="723" w:type="pct"/>
                  <w:shd w:val="clear" w:color="auto" w:fill="auto"/>
                  <w:vAlign w:val="center"/>
                </w:tcPr>
                <w:p w14:paraId="3075B8EF">
                  <w:pPr>
                    <w:spacing w:line="240" w:lineRule="auto"/>
                    <w:jc w:val="center"/>
                    <w:rPr>
                      <w:rFonts w:hint="eastAsia"/>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w:t>
                  </w:r>
                  <w:r>
                    <w:rPr>
                      <w:rFonts w:hint="eastAsia"/>
                      <w:snapToGrid w:val="0"/>
                      <w:color w:val="000000" w:themeColor="text1"/>
                      <w:sz w:val="18"/>
                      <w:szCs w:val="18"/>
                      <w:highlight w:val="none"/>
                      <w:lang w:val="en-US" w:eastAsia="zh-CN"/>
                      <w14:textFill>
                        <w14:solidFill>
                          <w14:schemeClr w14:val="tx1"/>
                        </w14:solidFill>
                      </w14:textFill>
                    </w:rPr>
                    <w:t>27</w:t>
                  </w:r>
                </w:p>
              </w:tc>
              <w:tc>
                <w:tcPr>
                  <w:tcW w:w="723" w:type="pct"/>
                  <w:vAlign w:val="center"/>
                </w:tcPr>
                <w:p w14:paraId="1BFEB4C5">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0.033</w:t>
                  </w:r>
                </w:p>
              </w:tc>
              <w:tc>
                <w:tcPr>
                  <w:tcW w:w="1276" w:type="dxa"/>
                  <w:vAlign w:val="center"/>
                </w:tcPr>
                <w:p w14:paraId="5039134D">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w:t>
                  </w:r>
                  <w:r>
                    <w:rPr>
                      <w:rFonts w:hint="eastAsia"/>
                      <w:snapToGrid w:val="0"/>
                      <w:color w:val="000000" w:themeColor="text1"/>
                      <w:sz w:val="18"/>
                      <w:szCs w:val="18"/>
                      <w:highlight w:val="none"/>
                      <w:lang w:val="en-US" w:eastAsia="zh-CN"/>
                      <w14:textFill>
                        <w14:solidFill>
                          <w14:schemeClr w14:val="tx1"/>
                        </w14:solidFill>
                      </w14:textFill>
                    </w:rPr>
                    <w:t>27</w:t>
                  </w:r>
                </w:p>
              </w:tc>
              <w:tc>
                <w:tcPr>
                  <w:tcW w:w="760" w:type="pct"/>
                  <w:vAlign w:val="center"/>
                </w:tcPr>
                <w:p w14:paraId="11E70ECD">
                  <w:pPr>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-0.03</w:t>
                  </w:r>
                  <w:r>
                    <w:rPr>
                      <w:rFonts w:hint="eastAsia"/>
                      <w:color w:val="000000" w:themeColor="text1"/>
                      <w:sz w:val="18"/>
                      <w:szCs w:val="18"/>
                      <w:highlight w:val="none"/>
                      <w:lang w:val="en-US" w:eastAsia="zh-CN"/>
                      <w14:textFill>
                        <w14:solidFill>
                          <w14:schemeClr w14:val="tx1"/>
                        </w14:solidFill>
                      </w14:textFill>
                    </w:rPr>
                    <w:t>03</w:t>
                  </w:r>
                </w:p>
              </w:tc>
            </w:tr>
            <w:tr w14:paraId="6DA756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52D3168C">
                  <w:pPr>
                    <w:spacing w:line="240" w:lineRule="auto"/>
                    <w:jc w:val="center"/>
                    <w:rPr>
                      <w:snapToGrid w:val="0"/>
                      <w:color w:val="000000" w:themeColor="text1"/>
                      <w:sz w:val="18"/>
                      <w:szCs w:val="18"/>
                      <w:highlight w:val="none"/>
                      <w14:textFill>
                        <w14:solidFill>
                          <w14:schemeClr w14:val="tx1"/>
                        </w14:solidFill>
                      </w14:textFill>
                    </w:rPr>
                  </w:pPr>
                </w:p>
              </w:tc>
              <w:tc>
                <w:tcPr>
                  <w:tcW w:w="482" w:type="pct"/>
                  <w:vAlign w:val="center"/>
                </w:tcPr>
                <w:p w14:paraId="02FA01BA">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氨</w:t>
                  </w:r>
                </w:p>
              </w:tc>
              <w:tc>
                <w:tcPr>
                  <w:tcW w:w="403" w:type="pct"/>
                  <w:vMerge w:val="restart"/>
                  <w:vAlign w:val="center"/>
                </w:tcPr>
                <w:p w14:paraId="63FD5FCA">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隧道窑停产时</w:t>
                  </w:r>
                </w:p>
              </w:tc>
              <w:tc>
                <w:tcPr>
                  <w:tcW w:w="803" w:type="pct"/>
                  <w:vAlign w:val="center"/>
                </w:tcPr>
                <w:p w14:paraId="096EBCEF">
                  <w:pPr>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0.00072</w:t>
                  </w:r>
                </w:p>
              </w:tc>
              <w:tc>
                <w:tcPr>
                  <w:tcW w:w="723" w:type="pct"/>
                  <w:shd w:val="clear" w:color="auto" w:fill="auto"/>
                  <w:vAlign w:val="center"/>
                </w:tcPr>
                <w:p w14:paraId="15B63B6B">
                  <w:pPr>
                    <w:spacing w:line="240" w:lineRule="auto"/>
                    <w:jc w:val="center"/>
                    <w:rPr>
                      <w:rFonts w:hint="eastAsia"/>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0.1</w:t>
                  </w:r>
                  <w:r>
                    <w:rPr>
                      <w:rFonts w:hint="eastAsia"/>
                      <w:snapToGrid w:val="0"/>
                      <w:color w:val="000000" w:themeColor="text1"/>
                      <w:sz w:val="18"/>
                      <w:szCs w:val="18"/>
                      <w:highlight w:val="none"/>
                      <w:lang w:val="en-US" w:eastAsia="zh-CN"/>
                      <w14:textFill>
                        <w14:solidFill>
                          <w14:schemeClr w14:val="tx1"/>
                        </w14:solidFill>
                      </w14:textFill>
                    </w:rPr>
                    <w:t>45</w:t>
                  </w:r>
                </w:p>
              </w:tc>
              <w:tc>
                <w:tcPr>
                  <w:tcW w:w="723" w:type="pct"/>
                  <w:vAlign w:val="center"/>
                </w:tcPr>
                <w:p w14:paraId="47BF85A4">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0.00072</w:t>
                  </w:r>
                </w:p>
              </w:tc>
              <w:tc>
                <w:tcPr>
                  <w:tcW w:w="1276" w:type="dxa"/>
                  <w:vAlign w:val="center"/>
                </w:tcPr>
                <w:p w14:paraId="68AD2DD8">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0.1</w:t>
                  </w:r>
                  <w:r>
                    <w:rPr>
                      <w:rFonts w:hint="eastAsia"/>
                      <w:snapToGrid w:val="0"/>
                      <w:color w:val="000000" w:themeColor="text1"/>
                      <w:sz w:val="18"/>
                      <w:szCs w:val="18"/>
                      <w:highlight w:val="none"/>
                      <w:lang w:val="en-US" w:eastAsia="zh-CN"/>
                      <w14:textFill>
                        <w14:solidFill>
                          <w14:schemeClr w14:val="tx1"/>
                        </w14:solidFill>
                      </w14:textFill>
                    </w:rPr>
                    <w:t>45</w:t>
                  </w:r>
                </w:p>
              </w:tc>
              <w:tc>
                <w:tcPr>
                  <w:tcW w:w="760" w:type="pct"/>
                  <w:vAlign w:val="center"/>
                </w:tcPr>
                <w:p w14:paraId="4594A16E">
                  <w:pPr>
                    <w:spacing w:line="240" w:lineRule="auto"/>
                    <w:jc w:val="center"/>
                    <w:rPr>
                      <w:rFonts w:hint="default"/>
                      <w:color w:val="000000" w:themeColor="text1"/>
                      <w:sz w:val="18"/>
                      <w:szCs w:val="18"/>
                      <w:highlight w:val="none"/>
                      <w:lang w:val="en-US"/>
                      <w14:textFill>
                        <w14:solidFill>
                          <w14:schemeClr w14:val="tx1"/>
                        </w14:solidFill>
                      </w14:textFill>
                    </w:rPr>
                  </w:pPr>
                  <w:r>
                    <w:rPr>
                      <w:rFonts w:hint="eastAsia"/>
                      <w:color w:val="000000" w:themeColor="text1"/>
                      <w:sz w:val="18"/>
                      <w:szCs w:val="18"/>
                      <w:highlight w:val="none"/>
                      <w14:textFill>
                        <w14:solidFill>
                          <w14:schemeClr w14:val="tx1"/>
                        </w14:solidFill>
                      </w14:textFill>
                    </w:rPr>
                    <w:t>+0.1</w:t>
                  </w:r>
                  <w:r>
                    <w:rPr>
                      <w:rFonts w:hint="eastAsia"/>
                      <w:color w:val="000000" w:themeColor="text1"/>
                      <w:sz w:val="18"/>
                      <w:szCs w:val="18"/>
                      <w:highlight w:val="none"/>
                      <w:lang w:val="en-US" w:eastAsia="zh-CN"/>
                      <w14:textFill>
                        <w14:solidFill>
                          <w14:schemeClr w14:val="tx1"/>
                        </w14:solidFill>
                      </w14:textFill>
                    </w:rPr>
                    <w:t>4428</w:t>
                  </w:r>
                </w:p>
              </w:tc>
            </w:tr>
            <w:tr w14:paraId="4C8D4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0F9D5914">
                  <w:pPr>
                    <w:spacing w:line="240" w:lineRule="auto"/>
                    <w:jc w:val="center"/>
                    <w:rPr>
                      <w:snapToGrid w:val="0"/>
                      <w:color w:val="000000" w:themeColor="text1"/>
                      <w:sz w:val="18"/>
                      <w:szCs w:val="18"/>
                      <w:highlight w:val="none"/>
                      <w14:textFill>
                        <w14:solidFill>
                          <w14:schemeClr w14:val="tx1"/>
                        </w14:solidFill>
                      </w14:textFill>
                    </w:rPr>
                  </w:pPr>
                </w:p>
              </w:tc>
              <w:tc>
                <w:tcPr>
                  <w:tcW w:w="482" w:type="pct"/>
                  <w:vAlign w:val="center"/>
                </w:tcPr>
                <w:p w14:paraId="09E986A1">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硫化氢</w:t>
                  </w:r>
                </w:p>
              </w:tc>
              <w:tc>
                <w:tcPr>
                  <w:tcW w:w="403" w:type="pct"/>
                  <w:vMerge w:val="continue"/>
                  <w:vAlign w:val="center"/>
                </w:tcPr>
                <w:p w14:paraId="1D3DAD76">
                  <w:pPr>
                    <w:spacing w:line="240" w:lineRule="auto"/>
                    <w:jc w:val="center"/>
                    <w:rPr>
                      <w:color w:val="000000" w:themeColor="text1"/>
                      <w:sz w:val="18"/>
                      <w:szCs w:val="18"/>
                      <w:highlight w:val="none"/>
                      <w14:textFill>
                        <w14:solidFill>
                          <w14:schemeClr w14:val="tx1"/>
                        </w14:solidFill>
                      </w14:textFill>
                    </w:rPr>
                  </w:pPr>
                </w:p>
              </w:tc>
              <w:tc>
                <w:tcPr>
                  <w:tcW w:w="803" w:type="pct"/>
                  <w:vAlign w:val="center"/>
                </w:tcPr>
                <w:p w14:paraId="7FF669FD">
                  <w:pPr>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0.000072</w:t>
                  </w:r>
                </w:p>
              </w:tc>
              <w:tc>
                <w:tcPr>
                  <w:tcW w:w="723" w:type="pct"/>
                  <w:shd w:val="clear" w:color="auto" w:fill="auto"/>
                  <w:vAlign w:val="center"/>
                </w:tcPr>
                <w:p w14:paraId="559D8886">
                  <w:pPr>
                    <w:spacing w:line="240" w:lineRule="auto"/>
                    <w:jc w:val="center"/>
                    <w:rPr>
                      <w:rFonts w:hint="eastAsia"/>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w:t>
                  </w:r>
                  <w:r>
                    <w:rPr>
                      <w:rFonts w:hint="eastAsia"/>
                      <w:snapToGrid w:val="0"/>
                      <w:color w:val="000000" w:themeColor="text1"/>
                      <w:sz w:val="18"/>
                      <w:szCs w:val="18"/>
                      <w:highlight w:val="none"/>
                      <w:lang w:val="en-US" w:eastAsia="zh-CN"/>
                      <w14:textFill>
                        <w14:solidFill>
                          <w14:schemeClr w14:val="tx1"/>
                        </w14:solidFill>
                      </w14:textFill>
                    </w:rPr>
                    <w:t>67</w:t>
                  </w:r>
                </w:p>
              </w:tc>
              <w:tc>
                <w:tcPr>
                  <w:tcW w:w="723" w:type="pct"/>
                  <w:vAlign w:val="center"/>
                </w:tcPr>
                <w:p w14:paraId="68B07A69">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0.000072</w:t>
                  </w:r>
                </w:p>
              </w:tc>
              <w:tc>
                <w:tcPr>
                  <w:tcW w:w="1276" w:type="dxa"/>
                  <w:vAlign w:val="center"/>
                </w:tcPr>
                <w:p w14:paraId="7FD2EFEC">
                  <w:pPr>
                    <w:spacing w:line="240" w:lineRule="auto"/>
                    <w:jc w:val="center"/>
                    <w:rPr>
                      <w:rFonts w:hint="eastAsia"/>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0.00</w:t>
                  </w:r>
                  <w:r>
                    <w:rPr>
                      <w:rFonts w:hint="eastAsia"/>
                      <w:snapToGrid w:val="0"/>
                      <w:color w:val="000000" w:themeColor="text1"/>
                      <w:sz w:val="18"/>
                      <w:szCs w:val="18"/>
                      <w:highlight w:val="none"/>
                      <w:lang w:val="en-US" w:eastAsia="zh-CN"/>
                      <w14:textFill>
                        <w14:solidFill>
                          <w14:schemeClr w14:val="tx1"/>
                        </w14:solidFill>
                      </w14:textFill>
                    </w:rPr>
                    <w:t>67</w:t>
                  </w:r>
                </w:p>
              </w:tc>
              <w:tc>
                <w:tcPr>
                  <w:tcW w:w="760" w:type="pct"/>
                  <w:vAlign w:val="center"/>
                </w:tcPr>
                <w:p w14:paraId="3650CD49">
                  <w:pPr>
                    <w:spacing w:line="240" w:lineRule="auto"/>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+0.00</w:t>
                  </w:r>
                  <w:r>
                    <w:rPr>
                      <w:rFonts w:hint="eastAsia"/>
                      <w:color w:val="000000" w:themeColor="text1"/>
                      <w:sz w:val="18"/>
                      <w:szCs w:val="18"/>
                      <w:highlight w:val="none"/>
                      <w:lang w:val="en-US" w:eastAsia="zh-CN"/>
                      <w14:textFill>
                        <w14:solidFill>
                          <w14:schemeClr w14:val="tx1"/>
                        </w14:solidFill>
                      </w14:textFill>
                    </w:rPr>
                    <w:t>66</w:t>
                  </w:r>
                  <w:r>
                    <w:rPr>
                      <w:rFonts w:hint="eastAsia"/>
                      <w:color w:val="000000" w:themeColor="text1"/>
                      <w:sz w:val="18"/>
                      <w:szCs w:val="18"/>
                      <w:highlight w:val="none"/>
                      <w14:textFill>
                        <w14:solidFill>
                          <w14:schemeClr w14:val="tx1"/>
                        </w14:solidFill>
                      </w14:textFill>
                    </w:rPr>
                    <w:t>28</w:t>
                  </w:r>
                </w:p>
              </w:tc>
            </w:tr>
            <w:tr w14:paraId="45305A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restart"/>
                  <w:vAlign w:val="center"/>
                </w:tcPr>
                <w:p w14:paraId="7EA5C7C6">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废水</w:t>
                  </w:r>
                </w:p>
              </w:tc>
              <w:tc>
                <w:tcPr>
                  <w:tcW w:w="886" w:type="pct"/>
                  <w:gridSpan w:val="2"/>
                  <w:vAlign w:val="center"/>
                </w:tcPr>
                <w:p w14:paraId="6A74C4DC">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COD</w:t>
                  </w:r>
                </w:p>
              </w:tc>
              <w:tc>
                <w:tcPr>
                  <w:tcW w:w="803" w:type="pct"/>
                  <w:vAlign w:val="center"/>
                </w:tcPr>
                <w:p w14:paraId="16EC0F17">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23" w:type="pct"/>
                  <w:vAlign w:val="center"/>
                </w:tcPr>
                <w:p w14:paraId="01FD5864">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23" w:type="pct"/>
                  <w:vAlign w:val="center"/>
                </w:tcPr>
                <w:p w14:paraId="21E53241">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23" w:type="pct"/>
                  <w:vAlign w:val="center"/>
                </w:tcPr>
                <w:p w14:paraId="0176083F">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60" w:type="pct"/>
                  <w:vAlign w:val="center"/>
                </w:tcPr>
                <w:p w14:paraId="08B5DBC0">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r>
            <w:tr w14:paraId="74AE9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Merge w:val="continue"/>
                  <w:vAlign w:val="center"/>
                </w:tcPr>
                <w:p w14:paraId="11F1584F">
                  <w:pPr>
                    <w:spacing w:line="240" w:lineRule="auto"/>
                    <w:jc w:val="center"/>
                    <w:rPr>
                      <w:snapToGrid w:val="0"/>
                      <w:color w:val="000000" w:themeColor="text1"/>
                      <w:sz w:val="18"/>
                      <w:szCs w:val="18"/>
                      <w:highlight w:val="none"/>
                      <w14:textFill>
                        <w14:solidFill>
                          <w14:schemeClr w14:val="tx1"/>
                        </w14:solidFill>
                      </w14:textFill>
                    </w:rPr>
                  </w:pPr>
                </w:p>
              </w:tc>
              <w:tc>
                <w:tcPr>
                  <w:tcW w:w="886" w:type="pct"/>
                  <w:gridSpan w:val="2"/>
                  <w:vAlign w:val="center"/>
                </w:tcPr>
                <w:p w14:paraId="560F12D9">
                  <w:pPr>
                    <w:spacing w:line="240" w:lineRule="auto"/>
                    <w:jc w:val="center"/>
                    <w:rPr>
                      <w:snapToGrid w:val="0"/>
                      <w:color w:val="000000" w:themeColor="text1"/>
                      <w:sz w:val="18"/>
                      <w:szCs w:val="18"/>
                      <w:highlight w:val="none"/>
                      <w14:textFill>
                        <w14:solidFill>
                          <w14:schemeClr w14:val="tx1"/>
                        </w14:solidFill>
                      </w14:textFill>
                    </w:rPr>
                  </w:pPr>
                  <w:r>
                    <w:rPr>
                      <w:snapToGrid w:val="0"/>
                      <w:color w:val="000000" w:themeColor="text1"/>
                      <w:sz w:val="18"/>
                      <w:szCs w:val="18"/>
                      <w:highlight w:val="none"/>
                      <w14:textFill>
                        <w14:solidFill>
                          <w14:schemeClr w14:val="tx1"/>
                        </w14:solidFill>
                      </w14:textFill>
                    </w:rPr>
                    <w:t>氨氮</w:t>
                  </w:r>
                </w:p>
              </w:tc>
              <w:tc>
                <w:tcPr>
                  <w:tcW w:w="803" w:type="pct"/>
                  <w:vAlign w:val="center"/>
                </w:tcPr>
                <w:p w14:paraId="52EA1444">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23" w:type="pct"/>
                  <w:vAlign w:val="center"/>
                </w:tcPr>
                <w:p w14:paraId="52D6694C">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23" w:type="pct"/>
                  <w:vAlign w:val="center"/>
                </w:tcPr>
                <w:p w14:paraId="5059747D">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23" w:type="pct"/>
                  <w:vAlign w:val="center"/>
                </w:tcPr>
                <w:p w14:paraId="667D8817">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c>
                <w:tcPr>
                  <w:tcW w:w="760" w:type="pct"/>
                  <w:vAlign w:val="center"/>
                </w:tcPr>
                <w:p w14:paraId="3C294E3C">
                  <w:pPr>
                    <w:spacing w:line="240" w:lineRule="auto"/>
                    <w:jc w:val="center"/>
                    <w:rPr>
                      <w:snapToGrid w:val="0"/>
                      <w:color w:val="000000" w:themeColor="text1"/>
                      <w:sz w:val="18"/>
                      <w:szCs w:val="18"/>
                      <w:highlight w:val="none"/>
                      <w14:textFill>
                        <w14:solidFill>
                          <w14:schemeClr w14:val="tx1"/>
                        </w14:solidFill>
                      </w14:textFill>
                    </w:rPr>
                  </w:pPr>
                  <w:r>
                    <w:rPr>
                      <w:rFonts w:hint="eastAsia"/>
                      <w:snapToGrid w:val="0"/>
                      <w:color w:val="000000" w:themeColor="text1"/>
                      <w:sz w:val="18"/>
                      <w:szCs w:val="18"/>
                      <w:highlight w:val="none"/>
                      <w14:textFill>
                        <w14:solidFill>
                          <w14:schemeClr w14:val="tx1"/>
                        </w14:solidFill>
                      </w14:textFill>
                    </w:rPr>
                    <w:t>0</w:t>
                  </w:r>
                </w:p>
              </w:tc>
            </w:tr>
          </w:tbl>
          <w:p w14:paraId="0F9F58E3">
            <w:pPr>
              <w:tabs>
                <w:tab w:val="left" w:pos="7380"/>
              </w:tabs>
              <w:spacing w:line="480" w:lineRule="exact"/>
              <w:rPr>
                <w:color w:val="000000" w:themeColor="text1"/>
                <w:sz w:val="24"/>
                <w:highlight w:val="none"/>
                <w14:textFill>
                  <w14:solidFill>
                    <w14:schemeClr w14:val="tx1"/>
                  </w14:solidFill>
                </w14:textFill>
              </w:rPr>
            </w:pPr>
          </w:p>
          <w:p w14:paraId="26B47F75">
            <w:pPr>
              <w:tabs>
                <w:tab w:val="left" w:pos="7380"/>
              </w:tabs>
              <w:spacing w:line="480" w:lineRule="exact"/>
              <w:ind w:firstLine="480" w:firstLineChars="200"/>
              <w:rPr>
                <w:color w:val="000000" w:themeColor="text1"/>
                <w:sz w:val="24"/>
                <w:highlight w:val="none"/>
                <w14:textFill>
                  <w14:solidFill>
                    <w14:schemeClr w14:val="tx1"/>
                  </w14:solidFill>
                </w14:textFill>
              </w:rPr>
            </w:pPr>
          </w:p>
          <w:p w14:paraId="34C49BC8">
            <w:pPr>
              <w:tabs>
                <w:tab w:val="left" w:pos="7380"/>
              </w:tabs>
              <w:spacing w:line="480" w:lineRule="exact"/>
              <w:rPr>
                <w:color w:val="000000" w:themeColor="text1"/>
                <w:sz w:val="24"/>
                <w:highlight w:val="none"/>
                <w14:textFill>
                  <w14:solidFill>
                    <w14:schemeClr w14:val="tx1"/>
                  </w14:solidFill>
                </w14:textFill>
              </w:rPr>
            </w:pPr>
          </w:p>
        </w:tc>
      </w:tr>
    </w:tbl>
    <w:p w14:paraId="685DE050">
      <w:pPr>
        <w:adjustRightInd w:val="0"/>
        <w:snapToGrid w:val="0"/>
        <w:spacing w:line="360" w:lineRule="auto"/>
        <w:ind w:left="-105" w:right="-105"/>
        <w:rPr>
          <w:rFonts w:ascii="宋体" w:cs="宋体"/>
          <w:b/>
          <w:color w:val="000000" w:themeColor="text1"/>
          <w:kern w:val="0"/>
          <w:sz w:val="28"/>
          <w:szCs w:val="28"/>
          <w:highlight w:val="green"/>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48CA35FA">
      <w:pPr>
        <w:pStyle w:val="20"/>
        <w:ind w:left="-105" w:right="-105"/>
        <w:jc w:val="center"/>
        <w:outlineLvl w:val="0"/>
        <w:rPr>
          <w:rFonts w:ascii="黑体" w:hAnsi="黑体" w:eastAsia="黑体"/>
          <w:snapToGrid w:val="0"/>
          <w:color w:val="000000" w:themeColor="text1"/>
          <w:sz w:val="30"/>
          <w:szCs w:val="30"/>
          <w:highlight w:val="none"/>
          <w14:textFill>
            <w14:solidFill>
              <w14:schemeClr w14:val="tx1"/>
            </w14:solidFill>
          </w14:textFill>
        </w:rPr>
      </w:pPr>
      <w:bookmarkStart w:id="18" w:name="_Toc112747267"/>
      <w:r>
        <w:rPr>
          <w:rFonts w:hint="eastAsia" w:ascii="黑体" w:hAnsi="黑体" w:eastAsia="黑体"/>
          <w:snapToGrid w:val="0"/>
          <w:color w:val="000000" w:themeColor="text1"/>
          <w:sz w:val="30"/>
          <w:szCs w:val="30"/>
          <w:highlight w:val="none"/>
          <w14:textFill>
            <w14:solidFill>
              <w14:schemeClr w14:val="tx1"/>
            </w14:solidFill>
          </w14:textFill>
        </w:rPr>
        <w:t>五、</w:t>
      </w:r>
      <w:bookmarkStart w:id="19" w:name="_Hlk54167917"/>
      <w:r>
        <w:rPr>
          <w:rFonts w:hint="eastAsia" w:ascii="黑体" w:hAnsi="黑体" w:eastAsia="黑体"/>
          <w:snapToGrid w:val="0"/>
          <w:color w:val="000000" w:themeColor="text1"/>
          <w:sz w:val="30"/>
          <w:szCs w:val="30"/>
          <w:highlight w:val="none"/>
          <w14:textFill>
            <w14:solidFill>
              <w14:schemeClr w14:val="tx1"/>
            </w14:solidFill>
          </w14:textFill>
        </w:rPr>
        <w:t>环境保护措施监督检查清单</w:t>
      </w:r>
      <w:bookmarkEnd w:id="18"/>
      <w:bookmarkEnd w:id="19"/>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7"/>
        <w:gridCol w:w="709"/>
        <w:gridCol w:w="1559"/>
        <w:gridCol w:w="1276"/>
        <w:gridCol w:w="1701"/>
        <w:gridCol w:w="2868"/>
      </w:tblGrid>
      <w:tr w14:paraId="0F6BF3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96" w:type="dxa"/>
            <w:gridSpan w:val="2"/>
            <w:tcBorders>
              <w:tl2br w:val="single" w:color="auto" w:sz="4" w:space="0"/>
            </w:tcBorders>
          </w:tcPr>
          <w:p w14:paraId="483D85F9">
            <w:pPr>
              <w:adjustRightInd w:val="0"/>
              <w:snapToGrid w:val="0"/>
              <w:spacing w:line="320" w:lineRule="exact"/>
              <w:ind w:left="-105" w:leftChars="-50" w:right="-105" w:rightChars="-50" w:firstLine="84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内容</w:t>
            </w:r>
          </w:p>
          <w:p w14:paraId="01A6A849">
            <w:pPr>
              <w:adjustRightInd w:val="0"/>
              <w:snapToGrid w:val="0"/>
              <w:spacing w:line="320" w:lineRule="exact"/>
              <w:ind w:left="-105" w:leftChars="-50" w:right="-105" w:rightChars="-5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要素</w:t>
            </w:r>
          </w:p>
        </w:tc>
        <w:tc>
          <w:tcPr>
            <w:tcW w:w="1559" w:type="dxa"/>
            <w:vAlign w:val="center"/>
          </w:tcPr>
          <w:p w14:paraId="40162A00">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排放口</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编号、</w:t>
            </w:r>
          </w:p>
          <w:p w14:paraId="4592B3F9">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名称</w:t>
            </w:r>
            <w:r>
              <w:rPr>
                <w:color w:val="000000" w:themeColor="text1"/>
                <w:szCs w:val="21"/>
                <w:highlight w:val="none"/>
                <w14:textFill>
                  <w14:solidFill>
                    <w14:schemeClr w14:val="tx1"/>
                  </w14:solidFill>
                </w14:textFill>
              </w:rPr>
              <w:t>)/</w:t>
            </w:r>
            <w:r>
              <w:rPr>
                <w:rFonts w:hAnsi="宋体"/>
                <w:color w:val="000000" w:themeColor="text1"/>
                <w:szCs w:val="21"/>
                <w:highlight w:val="none"/>
                <w14:textFill>
                  <w14:solidFill>
                    <w14:schemeClr w14:val="tx1"/>
                  </w14:solidFill>
                </w14:textFill>
              </w:rPr>
              <w:t>污染源</w:t>
            </w:r>
          </w:p>
        </w:tc>
        <w:tc>
          <w:tcPr>
            <w:tcW w:w="1276" w:type="dxa"/>
            <w:vAlign w:val="center"/>
          </w:tcPr>
          <w:p w14:paraId="57A6937B">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污染物项目</w:t>
            </w:r>
          </w:p>
        </w:tc>
        <w:tc>
          <w:tcPr>
            <w:tcW w:w="1701" w:type="dxa"/>
            <w:vAlign w:val="center"/>
          </w:tcPr>
          <w:p w14:paraId="7F9B8E87">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环境保护措施</w:t>
            </w:r>
          </w:p>
        </w:tc>
        <w:tc>
          <w:tcPr>
            <w:tcW w:w="2868" w:type="dxa"/>
            <w:vAlign w:val="center"/>
          </w:tcPr>
          <w:p w14:paraId="530317BD">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执行标准</w:t>
            </w:r>
          </w:p>
        </w:tc>
      </w:tr>
      <w:tr w14:paraId="77677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396" w:type="dxa"/>
            <w:gridSpan w:val="2"/>
            <w:vMerge w:val="restart"/>
            <w:vAlign w:val="center"/>
          </w:tcPr>
          <w:p w14:paraId="23FD841F">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大气环境</w:t>
            </w:r>
          </w:p>
        </w:tc>
        <w:tc>
          <w:tcPr>
            <w:tcW w:w="1559" w:type="dxa"/>
            <w:vAlign w:val="center"/>
          </w:tcPr>
          <w:p w14:paraId="476963CE">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干燥及焙烧隧道窑（1#、2#、3#、4#隧道窑）废气</w:t>
            </w:r>
            <w:r>
              <w:rPr>
                <w:rFonts w:hint="eastAsia"/>
                <w:color w:val="000000" w:themeColor="text1"/>
                <w:szCs w:val="21"/>
                <w:highlight w:val="none"/>
                <w14:textFill>
                  <w14:solidFill>
                    <w14:schemeClr w14:val="tx1"/>
                  </w14:solidFill>
                </w14:textFill>
              </w:rPr>
              <w:t>、工业污泥库和生活污泥库污泥储存</w:t>
            </w:r>
          </w:p>
        </w:tc>
        <w:tc>
          <w:tcPr>
            <w:tcW w:w="1276" w:type="dxa"/>
            <w:vAlign w:val="center"/>
          </w:tcPr>
          <w:p w14:paraId="2C8D2058">
            <w:pPr>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颗粒物</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NOx</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氟化物</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氯化氢</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二噁英类</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汞及其化合物</w:t>
            </w:r>
            <w:r>
              <w:rPr>
                <w:rFonts w:hint="eastAsia"/>
                <w:color w:val="000000" w:themeColor="text1"/>
                <w:szCs w:val="21"/>
                <w:highlight w:val="none"/>
                <w14:textFill>
                  <w14:solidFill>
                    <w14:schemeClr w14:val="tx1"/>
                  </w14:solidFill>
                </w14:textFill>
              </w:rPr>
              <w:t>、镉、铊及其化合物</w:t>
            </w:r>
            <w:r>
              <w:rPr>
                <w:color w:val="000000" w:themeColor="text1"/>
                <w:szCs w:val="21"/>
                <w:highlight w:val="none"/>
                <w14:textFill>
                  <w14:solidFill>
                    <w14:schemeClr w14:val="tx1"/>
                  </w14:solidFill>
                </w14:textFill>
              </w:rPr>
              <w:t>（以Cd+Tl计）</w:t>
            </w:r>
            <w:r>
              <w:rPr>
                <w:rFonts w:hint="eastAsia"/>
                <w:color w:val="000000" w:themeColor="text1"/>
                <w:szCs w:val="21"/>
                <w:highlight w:val="none"/>
                <w14:textFill>
                  <w14:solidFill>
                    <w14:schemeClr w14:val="tx1"/>
                  </w14:solidFill>
                </w14:textFill>
              </w:rPr>
              <w:t>、锑、砷、铅、铬、钴、铜、锰、镍及其化合物</w:t>
            </w:r>
            <w:r>
              <w:rPr>
                <w:color w:val="000000" w:themeColor="text1"/>
                <w:szCs w:val="21"/>
                <w:highlight w:val="none"/>
                <w14:textFill>
                  <w14:solidFill>
                    <w14:schemeClr w14:val="tx1"/>
                  </w14:solidFill>
                </w14:textFill>
              </w:rPr>
              <w:t>（以Sb+As+Pb+Cr+Co+Cu+Mn+Ni计）</w:t>
            </w:r>
            <w:r>
              <w:rPr>
                <w:rFonts w:hint="eastAsia"/>
                <w:color w:val="000000" w:themeColor="text1"/>
                <w:szCs w:val="21"/>
                <w:highlight w:val="none"/>
                <w14:textFill>
                  <w14:solidFill>
                    <w14:schemeClr w14:val="tx1"/>
                  </w14:solidFill>
                </w14:textFill>
              </w:rPr>
              <w:t>、氨、硫化氢、臭气浓度</w:t>
            </w:r>
          </w:p>
        </w:tc>
        <w:tc>
          <w:tcPr>
            <w:tcW w:w="1701" w:type="dxa"/>
            <w:tcBorders>
              <w:bottom w:val="single" w:color="auto" w:sz="4" w:space="0"/>
            </w:tcBorders>
            <w:vAlign w:val="center"/>
          </w:tcPr>
          <w:p w14:paraId="65417277">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隧道窑窑体全封闭，通过窑体内置烟道，废气</w:t>
            </w:r>
            <w:r>
              <w:rPr>
                <w:rFonts w:hint="eastAsia"/>
                <w:color w:val="000000" w:themeColor="text1"/>
                <w:szCs w:val="21"/>
                <w:highlight w:val="none"/>
                <w:lang w:val="en-US" w:eastAsia="zh-CN"/>
                <w14:textFill>
                  <w14:solidFill>
                    <w14:schemeClr w14:val="tx1"/>
                  </w14:solidFill>
                </w14:textFill>
              </w:rPr>
              <w:t>经SNCR脱硝+</w:t>
            </w:r>
            <w:r>
              <w:rPr>
                <w:color w:val="000000" w:themeColor="text1"/>
                <w:szCs w:val="21"/>
                <w:highlight w:val="none"/>
                <w14:textFill>
                  <w14:solidFill>
                    <w14:schemeClr w14:val="tx1"/>
                  </w14:solidFill>
                </w14:textFill>
              </w:rPr>
              <w:t>石灰-石膏法脱硫+湿式静电除尘器处理</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2#隧道窑</w:t>
            </w:r>
            <w:r>
              <w:rPr>
                <w:rFonts w:hint="eastAsia"/>
                <w:color w:val="000000" w:themeColor="text1"/>
                <w:szCs w:val="21"/>
                <w:highlight w:val="none"/>
                <w14:textFill>
                  <w14:solidFill>
                    <w14:schemeClr w14:val="tx1"/>
                  </w14:solidFill>
                </w14:textFill>
              </w:rPr>
              <w:t>共用1套</w:t>
            </w:r>
            <w:r>
              <w:rPr>
                <w:rFonts w:hint="eastAsia"/>
                <w:color w:val="000000" w:themeColor="text1"/>
                <w:szCs w:val="21"/>
                <w:highlight w:val="none"/>
                <w:lang w:val="en-US" w:eastAsia="zh-CN"/>
                <w14:textFill>
                  <w14:solidFill>
                    <w14:schemeClr w14:val="tx1"/>
                  </w14:solidFill>
                </w14:textFill>
              </w:rPr>
              <w:t>脱硝</w:t>
            </w:r>
            <w:r>
              <w:rPr>
                <w:rFonts w:hint="eastAsia"/>
                <w:color w:val="000000" w:themeColor="text1"/>
                <w:szCs w:val="21"/>
                <w:highlight w:val="none"/>
                <w14:textFill>
                  <w14:solidFill>
                    <w14:schemeClr w14:val="tx1"/>
                  </w14:solidFill>
                </w14:textFill>
              </w:rPr>
              <w:t>脱硫除尘</w:t>
            </w:r>
            <w:r>
              <w:rPr>
                <w:color w:val="000000" w:themeColor="text1"/>
                <w:szCs w:val="21"/>
                <w:highlight w:val="none"/>
                <w14:textFill>
                  <w14:solidFill>
                    <w14:schemeClr w14:val="tx1"/>
                  </w14:solidFill>
                </w14:textFill>
              </w:rPr>
              <w:t>、3#、4#隧道窑</w:t>
            </w:r>
            <w:r>
              <w:rPr>
                <w:rFonts w:hint="eastAsia"/>
                <w:color w:val="000000" w:themeColor="text1"/>
                <w:szCs w:val="21"/>
                <w:highlight w:val="none"/>
                <w14:textFill>
                  <w14:solidFill>
                    <w14:schemeClr w14:val="tx1"/>
                  </w14:solidFill>
                </w14:textFill>
              </w:rPr>
              <w:t>共用1套</w:t>
            </w:r>
            <w:r>
              <w:rPr>
                <w:rFonts w:hint="eastAsia"/>
                <w:color w:val="000000" w:themeColor="text1"/>
                <w:szCs w:val="21"/>
                <w:highlight w:val="none"/>
                <w:lang w:val="en-US" w:eastAsia="zh-CN"/>
                <w14:textFill>
                  <w14:solidFill>
                    <w14:schemeClr w14:val="tx1"/>
                  </w14:solidFill>
                </w14:textFill>
              </w:rPr>
              <w:t>脱硝</w:t>
            </w:r>
            <w:r>
              <w:rPr>
                <w:rFonts w:hint="eastAsia"/>
                <w:color w:val="000000" w:themeColor="text1"/>
                <w:szCs w:val="21"/>
                <w:highlight w:val="none"/>
                <w14:textFill>
                  <w14:solidFill>
                    <w14:schemeClr w14:val="tx1"/>
                  </w14:solidFill>
                </w14:textFill>
              </w:rPr>
              <w:t>脱硫除尘，每套脱硫除尘设施处理能力170000m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/h）</w:t>
            </w:r>
            <w:r>
              <w:rPr>
                <w:color w:val="000000" w:themeColor="text1"/>
                <w:szCs w:val="21"/>
                <w:highlight w:val="none"/>
                <w14:textFill>
                  <w14:solidFill>
                    <w14:schemeClr w14:val="tx1"/>
                  </w14:solidFill>
                </w14:textFill>
              </w:rPr>
              <w:t>后经</w:t>
            </w:r>
            <w:r>
              <w:rPr>
                <w:rFonts w:hint="eastAsia"/>
                <w:color w:val="000000" w:themeColor="text1"/>
                <w:szCs w:val="21"/>
                <w:highlight w:val="none"/>
                <w14:textFill>
                  <w14:solidFill>
                    <w14:schemeClr w14:val="tx1"/>
                  </w14:solidFill>
                </w14:textFill>
              </w:rPr>
              <w:t>2根</w:t>
            </w:r>
            <w:r>
              <w:rPr>
                <w:color w:val="000000" w:themeColor="text1"/>
                <w:szCs w:val="21"/>
                <w:highlight w:val="none"/>
                <w14:textFill>
                  <w14:solidFill>
                    <w14:schemeClr w14:val="tx1"/>
                  </w14:solidFill>
                </w14:textFill>
              </w:rPr>
              <w:t>38m高排气筒（DA00</w:t>
            </w: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DA00</w:t>
            </w: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）排放</w:t>
            </w:r>
            <w:r>
              <w:rPr>
                <w:rFonts w:hint="eastAsia"/>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正常生产时将</w:t>
            </w:r>
            <w:r>
              <w:rPr>
                <w:rFonts w:hint="eastAsia"/>
                <w:bCs/>
                <w:color w:val="000000" w:themeColor="text1"/>
                <w:szCs w:val="21"/>
                <w:highlight w:val="none"/>
                <w14:textFill>
                  <w14:solidFill>
                    <w14:schemeClr w14:val="tx1"/>
                  </w14:solidFill>
                </w14:textFill>
              </w:rPr>
              <w:t>2座污泥库污泥储存</w:t>
            </w:r>
            <w:r>
              <w:rPr>
                <w:bCs/>
                <w:color w:val="000000" w:themeColor="text1"/>
                <w:szCs w:val="21"/>
                <w:highlight w:val="none"/>
                <w14:textFill>
                  <w14:solidFill>
                    <w14:schemeClr w14:val="tx1"/>
                  </w14:solidFill>
                </w14:textFill>
              </w:rPr>
              <w:t>恶臭气体引至1#隧道窑进行高温焙烧处理，随隧道窑废气经过</w:t>
            </w:r>
            <w:r>
              <w:rPr>
                <w:rFonts w:hint="eastAsia"/>
                <w:bCs/>
                <w:color w:val="000000" w:themeColor="text1"/>
                <w:szCs w:val="21"/>
                <w:highlight w:val="none"/>
                <w14:textFill>
                  <w14:solidFill>
                    <w14:schemeClr w14:val="tx1"/>
                  </w14:solidFill>
                </w14:textFill>
              </w:rPr>
              <w:t>废气治理设施处理</w:t>
            </w:r>
            <w:r>
              <w:rPr>
                <w:bCs/>
                <w:color w:val="000000" w:themeColor="text1"/>
                <w:szCs w:val="21"/>
                <w:highlight w:val="none"/>
                <w14:textFill>
                  <w14:solidFill>
                    <w14:schemeClr w14:val="tx1"/>
                  </w14:solidFill>
                </w14:textFill>
              </w:rPr>
              <w:t>后经38m高排气筒</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DA00</w:t>
            </w:r>
            <w:r>
              <w:rPr>
                <w:rFonts w:hint="eastAsia"/>
                <w:bCs/>
                <w:color w:val="000000" w:themeColor="text1"/>
                <w:szCs w:val="21"/>
                <w:highlight w:val="none"/>
                <w14:textFill>
                  <w14:solidFill>
                    <w14:schemeClr w14:val="tx1"/>
                  </w14:solidFill>
                </w14:textFill>
              </w:rPr>
              <w:t>3）</w:t>
            </w:r>
            <w:r>
              <w:rPr>
                <w:bCs/>
                <w:color w:val="000000" w:themeColor="text1"/>
                <w:szCs w:val="21"/>
                <w:highlight w:val="none"/>
                <w14:textFill>
                  <w14:solidFill>
                    <w14:schemeClr w14:val="tx1"/>
                  </w14:solidFill>
                </w14:textFill>
              </w:rPr>
              <w:t>排放</w:t>
            </w:r>
          </w:p>
        </w:tc>
        <w:tc>
          <w:tcPr>
            <w:tcW w:w="2868" w:type="dxa"/>
            <w:vAlign w:val="center"/>
          </w:tcPr>
          <w:p w14:paraId="68E49404">
            <w:pPr>
              <w:adjustRightInd w:val="0"/>
              <w:snapToGrid w:val="0"/>
              <w:spacing w:line="320" w:lineRule="exact"/>
              <w:ind w:left="-105" w:leftChars="-50" w:right="-105" w:rightChars="-50"/>
              <w:jc w:val="center"/>
              <w:rPr>
                <w:rFonts w:hint="eastAsia" w:eastAsia="宋体"/>
                <w:bCs/>
                <w:color w:val="000000" w:themeColor="text1"/>
                <w:szCs w:val="21"/>
                <w:highlight w:val="none"/>
                <w:lang w:eastAsia="zh-CN"/>
                <w14:textFill>
                  <w14:solidFill>
                    <w14:schemeClr w14:val="tx1"/>
                  </w14:solidFill>
                </w14:textFill>
              </w:rPr>
            </w:pPr>
            <w:r>
              <w:rPr>
                <w:bCs/>
                <w:color w:val="000000" w:themeColor="text1"/>
                <w:szCs w:val="21"/>
                <w:highlight w:val="none"/>
                <w14:textFill>
                  <w14:solidFill>
                    <w14:schemeClr w14:val="tx1"/>
                  </w14:solidFill>
                </w14:textFill>
              </w:rPr>
              <w:t>颗粒物、SO</w:t>
            </w:r>
            <w:r>
              <w:rPr>
                <w:bCs/>
                <w:color w:val="000000" w:themeColor="text1"/>
                <w:szCs w:val="21"/>
                <w:highlight w:val="none"/>
                <w:vertAlign w:val="subscript"/>
                <w14:textFill>
                  <w14:solidFill>
                    <w14:schemeClr w14:val="tx1"/>
                  </w14:solidFill>
                </w14:textFill>
              </w:rPr>
              <w:t>2</w:t>
            </w:r>
            <w:r>
              <w:rPr>
                <w:bCs/>
                <w:color w:val="000000" w:themeColor="text1"/>
                <w:szCs w:val="21"/>
                <w:highlight w:val="none"/>
                <w14:textFill>
                  <w14:solidFill>
                    <w14:schemeClr w14:val="tx1"/>
                  </w14:solidFill>
                </w14:textFill>
              </w:rPr>
              <w:t>、NOx、</w:t>
            </w:r>
            <w:r>
              <w:rPr>
                <w:rFonts w:hint="eastAsia"/>
                <w:bCs/>
                <w:color w:val="000000" w:themeColor="text1"/>
                <w:szCs w:val="21"/>
                <w:highlight w:val="none"/>
                <w:lang w:val="en-US" w:eastAsia="zh-CN"/>
                <w14:textFill>
                  <w14:solidFill>
                    <w14:schemeClr w14:val="tx1"/>
                  </w14:solidFill>
                </w14:textFill>
              </w:rPr>
              <w:t>氟化物执行《砖瓦工业大气污染物排放标准》（DB13/6185-2025）表2大气污染物排放限值</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氯化氢、二噁英类、重金属排放参照执行《生活垃圾焚烧大气污染控制标准》(DB13/5325-2021)表2污染物排放限值要求，同时</w:t>
            </w:r>
            <w:r>
              <w:rPr>
                <w:rFonts w:hint="eastAsia"/>
                <w:bCs/>
                <w:color w:val="000000" w:themeColor="text1"/>
                <w:szCs w:val="21"/>
                <w:highlight w:val="none"/>
                <w:lang w:val="en-US" w:eastAsia="zh-CN"/>
                <w14:textFill>
                  <w14:solidFill>
                    <w14:schemeClr w14:val="tx1"/>
                  </w14:solidFill>
                </w14:textFill>
              </w:rPr>
              <w:t>企业自愿承诺</w:t>
            </w:r>
            <w:r>
              <w:rPr>
                <w:bCs/>
                <w:color w:val="000000" w:themeColor="text1"/>
                <w:szCs w:val="21"/>
                <w:highlight w:val="none"/>
                <w14:textFill>
                  <w14:solidFill>
                    <w14:schemeClr w14:val="tx1"/>
                  </w14:solidFill>
                </w14:textFill>
              </w:rPr>
              <w:t>SO</w:t>
            </w:r>
            <w:r>
              <w:rPr>
                <w:bCs/>
                <w:color w:val="000000" w:themeColor="text1"/>
                <w:szCs w:val="21"/>
                <w:highlight w:val="none"/>
                <w:vertAlign w:val="subscript"/>
                <w14:textFill>
                  <w14:solidFill>
                    <w14:schemeClr w14:val="tx1"/>
                  </w14:solidFill>
                </w14:textFill>
              </w:rPr>
              <w:t>2</w:t>
            </w:r>
            <w:r>
              <w:rPr>
                <w:rFonts w:hint="eastAsia"/>
                <w:bCs/>
                <w:color w:val="000000" w:themeColor="text1"/>
                <w:szCs w:val="21"/>
                <w:highlight w:val="none"/>
                <w:lang w:val="en-US" w:eastAsia="zh-CN"/>
                <w14:textFill>
                  <w14:solidFill>
                    <w14:schemeClr w14:val="tx1"/>
                  </w14:solidFill>
                </w14:textFill>
              </w:rPr>
              <w:t>不超过13mg/m</w:t>
            </w:r>
            <w:r>
              <w:rPr>
                <w:rFonts w:hint="eastAsia"/>
                <w:bCs/>
                <w:color w:val="000000" w:themeColor="text1"/>
                <w:szCs w:val="21"/>
                <w:highlight w:val="none"/>
                <w:vertAlign w:val="superscript"/>
                <w:lang w:val="en-US" w:eastAsia="zh-CN"/>
                <w14:textFill>
                  <w14:solidFill>
                    <w14:schemeClr w14:val="tx1"/>
                  </w14:solidFill>
                </w14:textFill>
              </w:rPr>
              <w:t>3</w:t>
            </w:r>
            <w:r>
              <w:rPr>
                <w:rFonts w:hint="eastAsia"/>
                <w:bCs/>
                <w:color w:val="000000" w:themeColor="text1"/>
                <w:szCs w:val="21"/>
                <w:highlight w:val="none"/>
                <w:lang w:val="en-US" w:eastAsia="zh-CN"/>
                <w14:textFill>
                  <w14:solidFill>
                    <w14:schemeClr w14:val="tx1"/>
                  </w14:solidFill>
                </w14:textFill>
              </w:rPr>
              <w:t>的限值要求</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正常生产时经隧道窑排气筒排放的</w:t>
            </w:r>
            <w:r>
              <w:rPr>
                <w:bCs/>
                <w:color w:val="000000" w:themeColor="text1"/>
                <w:szCs w:val="21"/>
                <w:highlight w:val="none"/>
                <w14:textFill>
                  <w14:solidFill>
                    <w14:schemeClr w14:val="tx1"/>
                  </w14:solidFill>
                </w14:textFill>
              </w:rPr>
              <w:t>恶臭气体硫化氢、臭气浓度排放</w:t>
            </w:r>
            <w:r>
              <w:rPr>
                <w:rFonts w:hint="eastAsia"/>
                <w:bCs/>
                <w:color w:val="000000" w:themeColor="text1"/>
                <w:szCs w:val="21"/>
                <w:highlight w:val="none"/>
                <w14:textFill>
                  <w14:solidFill>
                    <w14:schemeClr w14:val="tx1"/>
                  </w14:solidFill>
                </w14:textFill>
              </w:rPr>
              <w:t>执行</w:t>
            </w:r>
            <w:r>
              <w:rPr>
                <w:bCs/>
                <w:color w:val="000000" w:themeColor="text1"/>
                <w:szCs w:val="21"/>
                <w:highlight w:val="none"/>
                <w14:textFill>
                  <w14:solidFill>
                    <w14:schemeClr w14:val="tx1"/>
                  </w14:solidFill>
                </w14:textFill>
              </w:rPr>
              <w:t>《恶臭污染物排放标准》（GB14554-93）表2中污染物排放限值要求（排气筒高度40m），即、硫化氢≤2.3kg/h、臭气浓度≤20000（无量纲）</w:t>
            </w:r>
            <w:r>
              <w:rPr>
                <w:rFonts w:hint="eastAsia"/>
                <w:bCs/>
                <w:color w:val="000000" w:themeColor="text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氨排放</w:t>
            </w:r>
            <w:r>
              <w:rPr>
                <w:rFonts w:hint="eastAsia" w:cs="Times New Roman"/>
                <w:color w:val="000000" w:themeColor="text1"/>
                <w:kern w:val="2"/>
                <w:sz w:val="21"/>
                <w:szCs w:val="21"/>
                <w:highlight w:val="none"/>
                <w:lang w:val="en-US" w:eastAsia="zh-CN" w:bidi="ar-SA"/>
                <w14:textFill>
                  <w14:solidFill>
                    <w14:schemeClr w14:val="tx1"/>
                  </w14:solidFill>
                </w14:textFill>
              </w:rPr>
              <w:t>执行</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《砖瓦工业大气污染物排放标准》（DB13/6185-2025）表2大气污染物排放限值以及《恶臭污染物排放标准》（GB14554-93）表2恶臭污染物排放限值要求（40m高排气筒），即氨排放浓度≤8.0mg/m</w:t>
            </w:r>
            <w:r>
              <w:rPr>
                <w:rFonts w:hint="eastAsia" w:ascii="Times New Roman" w:hAnsi="Times New Roman" w:eastAsia="宋体" w:cs="Times New Roman"/>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，氨排放速率≤35kg/h。</w:t>
            </w:r>
          </w:p>
        </w:tc>
      </w:tr>
      <w:tr w14:paraId="35DDB1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396" w:type="dxa"/>
            <w:gridSpan w:val="2"/>
            <w:vMerge w:val="continue"/>
            <w:vAlign w:val="center"/>
          </w:tcPr>
          <w:p w14:paraId="67C719BD">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5C18C0E6">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原料给料、破碎、筛分、搅拌</w:t>
            </w:r>
          </w:p>
        </w:tc>
        <w:tc>
          <w:tcPr>
            <w:tcW w:w="1276" w:type="dxa"/>
            <w:vAlign w:val="center"/>
          </w:tcPr>
          <w:p w14:paraId="4C7958A3">
            <w:pPr>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701" w:type="dxa"/>
            <w:tcBorders>
              <w:bottom w:val="single" w:color="auto" w:sz="4" w:space="0"/>
            </w:tcBorders>
            <w:vAlign w:val="center"/>
          </w:tcPr>
          <w:p w14:paraId="0FFCC00A">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上料口采取三面封闭+喷淋</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颚式破碎机、锤式破碎机、圆滚筛、搅拌机均封闭处理+集尘管；</w:t>
            </w:r>
            <w:r>
              <w:rPr>
                <w:rFonts w:hint="eastAsia"/>
                <w:color w:val="000000" w:themeColor="text1"/>
                <w:szCs w:val="21"/>
                <w:highlight w:val="none"/>
                <w14:textFill>
                  <w14:solidFill>
                    <w14:schemeClr w14:val="tx1"/>
                  </w14:solidFill>
                </w14:textFill>
              </w:rPr>
              <w:t>煤矸石储料仓封闭设集尘管，</w:t>
            </w:r>
            <w:r>
              <w:rPr>
                <w:color w:val="000000" w:themeColor="text1"/>
                <w:szCs w:val="21"/>
                <w:highlight w:val="none"/>
                <w14:textFill>
                  <w14:solidFill>
                    <w14:schemeClr w14:val="tx1"/>
                  </w14:solidFill>
                </w14:textFill>
              </w:rPr>
              <w:t>皮带通廊全封闭</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皮带转运点均设置集气罩，收集后经脉冲布袋除尘器</w:t>
            </w:r>
            <w:r>
              <w:rPr>
                <w:rFonts w:hint="eastAsia"/>
                <w:color w:val="000000" w:themeColor="text1"/>
                <w:szCs w:val="21"/>
                <w:highlight w:val="none"/>
                <w14:textFill>
                  <w14:solidFill>
                    <w14:schemeClr w14:val="tx1"/>
                  </w14:solidFill>
                </w14:textFill>
              </w:rPr>
              <w:t>（2套，每套处理能力50000m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/h）</w:t>
            </w:r>
            <w:r>
              <w:rPr>
                <w:color w:val="000000" w:themeColor="text1"/>
                <w:szCs w:val="21"/>
                <w:highlight w:val="none"/>
                <w14:textFill>
                  <w14:solidFill>
                    <w14:schemeClr w14:val="tx1"/>
                  </w14:solidFill>
                </w14:textFill>
              </w:rPr>
              <w:t>处理后</w:t>
            </w:r>
            <w:r>
              <w:rPr>
                <w:rFonts w:hint="eastAsia"/>
                <w:color w:val="000000" w:themeColor="text1"/>
                <w:szCs w:val="21"/>
                <w:highlight w:val="none"/>
                <w14:textFill>
                  <w14:solidFill>
                    <w14:schemeClr w14:val="tx1"/>
                  </w14:solidFill>
                </w14:textFill>
              </w:rPr>
              <w:t>经2根</w:t>
            </w:r>
            <w:r>
              <w:rPr>
                <w:color w:val="000000" w:themeColor="text1"/>
                <w:szCs w:val="21"/>
                <w:highlight w:val="none"/>
                <w14:textFill>
                  <w14:solidFill>
                    <w14:schemeClr w14:val="tx1"/>
                  </w14:solidFill>
                </w14:textFill>
              </w:rPr>
              <w:t>15m高排气筒（DA00</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DA00</w:t>
            </w: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）排放</w:t>
            </w:r>
          </w:p>
        </w:tc>
        <w:tc>
          <w:tcPr>
            <w:tcW w:w="2868" w:type="dxa"/>
            <w:vMerge w:val="restart"/>
            <w:vAlign w:val="center"/>
          </w:tcPr>
          <w:p w14:paraId="53BD260B">
            <w:pPr>
              <w:adjustRightInd w:val="0"/>
              <w:snapToGrid w:val="0"/>
              <w:spacing w:line="320" w:lineRule="exact"/>
              <w:ind w:left="-105" w:leftChars="-50" w:right="-105" w:rightChars="-50"/>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执行《砖瓦工业大气污染物排放标准》（DB13/6185-2025）表2大气污染物排放限值</w:t>
            </w:r>
          </w:p>
        </w:tc>
      </w:tr>
      <w:tr w14:paraId="7ACE54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396" w:type="dxa"/>
            <w:gridSpan w:val="2"/>
            <w:vMerge w:val="continue"/>
            <w:vAlign w:val="center"/>
          </w:tcPr>
          <w:p w14:paraId="5B24020B">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5BA57309">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窑车吹扫工序</w:t>
            </w:r>
          </w:p>
        </w:tc>
        <w:tc>
          <w:tcPr>
            <w:tcW w:w="1276" w:type="dxa"/>
            <w:vAlign w:val="center"/>
          </w:tcPr>
          <w:p w14:paraId="7079ECA6">
            <w:pPr>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701" w:type="dxa"/>
            <w:tcBorders>
              <w:bottom w:val="single" w:color="auto" w:sz="4" w:space="0"/>
            </w:tcBorders>
            <w:vAlign w:val="center"/>
          </w:tcPr>
          <w:p w14:paraId="06661148">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窑车吹扫工位固定，全封闭处理</w:t>
            </w:r>
            <w:r>
              <w:rPr>
                <w:rFonts w:hint="eastAsia"/>
                <w:color w:val="000000" w:themeColor="text1"/>
                <w:szCs w:val="21"/>
                <w:highlight w:val="none"/>
                <w14:textFill>
                  <w14:solidFill>
                    <w14:schemeClr w14:val="tx1"/>
                  </w14:solidFill>
                </w14:textFill>
              </w:rPr>
              <w:t>，废气分别引入2套脉冲布袋除尘器（每套处理能力12000m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/h）处理后通过15m高排气筒（DA005、DA006）排放</w:t>
            </w:r>
          </w:p>
        </w:tc>
        <w:tc>
          <w:tcPr>
            <w:tcW w:w="2868" w:type="dxa"/>
            <w:vMerge w:val="continue"/>
            <w:vAlign w:val="center"/>
          </w:tcPr>
          <w:p w14:paraId="62E9B448">
            <w:pPr>
              <w:adjustRightInd w:val="0"/>
              <w:snapToGrid w:val="0"/>
              <w:spacing w:line="320" w:lineRule="exact"/>
              <w:ind w:left="-105" w:leftChars="-50" w:right="-105" w:rightChars="-50"/>
              <w:jc w:val="center"/>
              <w:rPr>
                <w:bCs/>
                <w:color w:val="000000" w:themeColor="text1"/>
                <w:szCs w:val="21"/>
                <w:highlight w:val="none"/>
                <w14:textFill>
                  <w14:solidFill>
                    <w14:schemeClr w14:val="tx1"/>
                  </w14:solidFill>
                </w14:textFill>
              </w:rPr>
            </w:pPr>
          </w:p>
        </w:tc>
      </w:tr>
      <w:tr w14:paraId="15542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396" w:type="dxa"/>
            <w:gridSpan w:val="2"/>
            <w:vMerge w:val="continue"/>
            <w:vAlign w:val="center"/>
          </w:tcPr>
          <w:p w14:paraId="60E5D9FF">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356A2512">
            <w:pPr>
              <w:pStyle w:val="53"/>
              <w:spacing w:line="32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污泥储存</w:t>
            </w:r>
            <w:r>
              <w:rPr>
                <w:rFonts w:hint="eastAsia"/>
                <w:bCs/>
                <w:color w:val="000000" w:themeColor="text1"/>
                <w:szCs w:val="21"/>
                <w:highlight w:val="none"/>
                <w14:textFill>
                  <w14:solidFill>
                    <w14:schemeClr w14:val="tx1"/>
                  </w14:solidFill>
                </w14:textFill>
              </w:rPr>
              <w:t>（工业污泥库、生活污泥库）</w:t>
            </w:r>
          </w:p>
        </w:tc>
        <w:tc>
          <w:tcPr>
            <w:tcW w:w="1276" w:type="dxa"/>
            <w:vAlign w:val="center"/>
          </w:tcPr>
          <w:p w14:paraId="557AA951">
            <w:pPr>
              <w:pStyle w:val="53"/>
              <w:spacing w:line="32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氨、硫化氢、臭气浓度</w:t>
            </w:r>
          </w:p>
        </w:tc>
        <w:tc>
          <w:tcPr>
            <w:tcW w:w="1701" w:type="dxa"/>
            <w:tcBorders>
              <w:bottom w:val="single" w:color="auto" w:sz="4" w:space="0"/>
            </w:tcBorders>
            <w:vAlign w:val="center"/>
          </w:tcPr>
          <w:p w14:paraId="41BF532F">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隧道窑停工</w:t>
            </w:r>
            <w:r>
              <w:rPr>
                <w:rFonts w:hint="eastAsia"/>
                <w:bCs/>
                <w:color w:val="000000" w:themeColor="text1"/>
                <w:szCs w:val="21"/>
                <w:highlight w:val="none"/>
                <w14:textFill>
                  <w14:solidFill>
                    <w14:schemeClr w14:val="tx1"/>
                  </w14:solidFill>
                </w14:textFill>
              </w:rPr>
              <w:t>且有污泥贮存</w:t>
            </w:r>
            <w:r>
              <w:rPr>
                <w:bCs/>
                <w:color w:val="000000" w:themeColor="text1"/>
                <w:szCs w:val="21"/>
                <w:highlight w:val="none"/>
                <w14:textFill>
                  <w14:solidFill>
                    <w14:schemeClr w14:val="tx1"/>
                  </w14:solidFill>
                </w14:textFill>
              </w:rPr>
              <w:t>时将恶臭气体引至两级活性炭吸附装置</w:t>
            </w:r>
            <w:r>
              <w:rPr>
                <w:rFonts w:hint="eastAsia"/>
                <w:bCs/>
                <w:color w:val="000000" w:themeColor="text1"/>
                <w:szCs w:val="21"/>
                <w:highlight w:val="none"/>
                <w14:textFill>
                  <w14:solidFill>
                    <w14:schemeClr w14:val="tx1"/>
                  </w14:solidFill>
                </w14:textFill>
              </w:rPr>
              <w:t>（处理能力20000</w:t>
            </w:r>
            <w:r>
              <w:rPr>
                <w:rFonts w:hint="eastAsia"/>
                <w:color w:val="000000" w:themeColor="text1"/>
                <w:szCs w:val="21"/>
                <w:highlight w:val="none"/>
                <w14:textFill>
                  <w14:solidFill>
                    <w14:schemeClr w14:val="tx1"/>
                  </w14:solidFill>
                </w14:textFill>
              </w:rPr>
              <w:t>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/h</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处理后经1根15m高排气筒（DA007）排放</w:t>
            </w:r>
          </w:p>
        </w:tc>
        <w:tc>
          <w:tcPr>
            <w:tcW w:w="2868" w:type="dxa"/>
            <w:vAlign w:val="center"/>
          </w:tcPr>
          <w:p w14:paraId="2261E748">
            <w:pPr>
              <w:adjustRightInd w:val="0"/>
              <w:snapToGrid w:val="0"/>
              <w:spacing w:line="32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隧道窑停工</w:t>
            </w:r>
            <w:r>
              <w:rPr>
                <w:rFonts w:hint="eastAsia"/>
                <w:bCs/>
                <w:color w:val="000000" w:themeColor="text1"/>
                <w:szCs w:val="21"/>
                <w:highlight w:val="none"/>
                <w14:textFill>
                  <w14:solidFill>
                    <w14:schemeClr w14:val="tx1"/>
                  </w14:solidFill>
                </w14:textFill>
              </w:rPr>
              <w:t>且有污泥贮存</w:t>
            </w:r>
            <w:r>
              <w:rPr>
                <w:bCs/>
                <w:color w:val="000000" w:themeColor="text1"/>
                <w:szCs w:val="21"/>
                <w:highlight w:val="none"/>
                <w14:textFill>
                  <w14:solidFill>
                    <w14:schemeClr w14:val="tx1"/>
                  </w14:solidFill>
                </w14:textFill>
              </w:rPr>
              <w:t>时</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恶臭气体氨、硫化氢、臭气浓度排放</w:t>
            </w:r>
            <w:r>
              <w:rPr>
                <w:rFonts w:hint="eastAsia"/>
                <w:bCs/>
                <w:color w:val="000000" w:themeColor="text1"/>
                <w:szCs w:val="21"/>
                <w:highlight w:val="none"/>
                <w14:textFill>
                  <w14:solidFill>
                    <w14:schemeClr w14:val="tx1"/>
                  </w14:solidFill>
                </w14:textFill>
              </w:rPr>
              <w:t>执行</w:t>
            </w:r>
            <w:r>
              <w:rPr>
                <w:bCs/>
                <w:color w:val="000000" w:themeColor="text1"/>
                <w:szCs w:val="21"/>
                <w:highlight w:val="none"/>
                <w14:textFill>
                  <w14:solidFill>
                    <w14:schemeClr w14:val="tx1"/>
                  </w14:solidFill>
                </w14:textFill>
              </w:rPr>
              <w:t>《恶臭污染物排放标准》（GB14554-93）表2中污染物排放限值要求（排气筒高度15m），即氨≤4.9kg/h、硫化氢≤0.33kg/h、臭气浓度≤2000（无量纲）</w:t>
            </w:r>
          </w:p>
        </w:tc>
      </w:tr>
      <w:tr w14:paraId="26899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396" w:type="dxa"/>
            <w:gridSpan w:val="2"/>
            <w:vMerge w:val="continue"/>
            <w:vAlign w:val="center"/>
          </w:tcPr>
          <w:p w14:paraId="6E4D219A">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196D9932">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无组织废气</w:t>
            </w:r>
          </w:p>
        </w:tc>
        <w:tc>
          <w:tcPr>
            <w:tcW w:w="1276" w:type="dxa"/>
            <w:vAlign w:val="center"/>
          </w:tcPr>
          <w:p w14:paraId="31DD5BAB">
            <w:pPr>
              <w:spacing w:line="32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颗粒物</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SO</w:t>
            </w:r>
            <w:r>
              <w:rPr>
                <w:bCs/>
                <w:color w:val="000000" w:themeColor="text1"/>
                <w:szCs w:val="21"/>
                <w:highlight w:val="none"/>
                <w:vertAlign w:val="subscript"/>
                <w14:textFill>
                  <w14:solidFill>
                    <w14:schemeClr w14:val="tx1"/>
                  </w14:solidFill>
                </w14:textFill>
              </w:rPr>
              <w:t>2</w:t>
            </w:r>
            <w:r>
              <w:rPr>
                <w:bCs/>
                <w:color w:val="000000" w:themeColor="text1"/>
                <w:szCs w:val="21"/>
                <w:highlight w:val="none"/>
                <w14:textFill>
                  <w14:solidFill>
                    <w14:schemeClr w14:val="tx1"/>
                  </w14:solidFill>
                </w14:textFill>
              </w:rPr>
              <w:t>、氟化物</w:t>
            </w:r>
          </w:p>
        </w:tc>
        <w:tc>
          <w:tcPr>
            <w:tcW w:w="1701" w:type="dxa"/>
            <w:tcBorders>
              <w:bottom w:val="single" w:color="auto" w:sz="4" w:space="0"/>
            </w:tcBorders>
            <w:vAlign w:val="center"/>
          </w:tcPr>
          <w:p w14:paraId="21B8E6AB">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为封闭库房，顶部设置可覆盖整个</w:t>
            </w:r>
            <w:r>
              <w:rPr>
                <w:rFonts w:hint="eastAsia"/>
                <w:color w:val="000000" w:themeColor="text1"/>
                <w:szCs w:val="21"/>
                <w:highlight w:val="none"/>
                <w14:textFill>
                  <w14:solidFill>
                    <w14:schemeClr w14:val="tx1"/>
                  </w14:solidFill>
                </w14:textFill>
              </w:rPr>
              <w:t>原料库</w:t>
            </w:r>
            <w:r>
              <w:rPr>
                <w:color w:val="000000" w:themeColor="text1"/>
                <w:szCs w:val="21"/>
                <w:highlight w:val="none"/>
                <w14:textFill>
                  <w14:solidFill>
                    <w14:schemeClr w14:val="tx1"/>
                  </w14:solidFill>
                </w14:textFill>
              </w:rPr>
              <w:t>的喷淋装置；物料转运采用全封闭皮带通廊；厂区内汽车运输采取苫盖措施，装载机卸料及倒运均在已封闭的原料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内进行</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厂区出入口、封闭原料</w:t>
            </w:r>
            <w:r>
              <w:rPr>
                <w:rFonts w:hint="eastAsia"/>
                <w:color w:val="000000" w:themeColor="text1"/>
                <w:szCs w:val="21"/>
                <w:highlight w:val="none"/>
                <w14:textFill>
                  <w14:solidFill>
                    <w14:schemeClr w14:val="tx1"/>
                  </w14:solidFill>
                </w14:textFill>
              </w:rPr>
              <w:t>库</w:t>
            </w:r>
            <w:r>
              <w:rPr>
                <w:color w:val="000000" w:themeColor="text1"/>
                <w:szCs w:val="21"/>
                <w:highlight w:val="none"/>
                <w14:textFill>
                  <w14:solidFill>
                    <w14:schemeClr w14:val="tx1"/>
                  </w14:solidFill>
                </w14:textFill>
              </w:rPr>
              <w:t>出口</w:t>
            </w:r>
            <w:r>
              <w:rPr>
                <w:rFonts w:hint="eastAsia"/>
                <w:color w:val="000000" w:themeColor="text1"/>
                <w:szCs w:val="21"/>
                <w:highlight w:val="none"/>
                <w14:textFill>
                  <w14:solidFill>
                    <w14:schemeClr w14:val="tx1"/>
                  </w14:solidFill>
                </w14:textFill>
              </w:rPr>
              <w:t>处设置洗车平台，对车辆进行冲洗，防止带泥上路</w:t>
            </w:r>
          </w:p>
        </w:tc>
        <w:tc>
          <w:tcPr>
            <w:tcW w:w="2868" w:type="dxa"/>
            <w:vAlign w:val="center"/>
          </w:tcPr>
          <w:p w14:paraId="033C1A15">
            <w:pPr>
              <w:adjustRightInd w:val="0"/>
              <w:snapToGrid w:val="0"/>
              <w:spacing w:line="32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《砖瓦工业大气污染物排放标准》（GB29620-2013）表3中企业边界大气污染物浓度限值要求，即颗粒物≤1.0mg/m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、SO</w:t>
            </w:r>
            <w:r>
              <w:rPr>
                <w:bCs/>
                <w:color w:val="000000" w:themeColor="text1"/>
                <w:szCs w:val="21"/>
                <w:highlight w:val="none"/>
                <w:vertAlign w:val="subscript"/>
                <w14:textFill>
                  <w14:solidFill>
                    <w14:schemeClr w14:val="tx1"/>
                  </w14:solidFill>
                </w14:textFill>
              </w:rPr>
              <w:t>2</w:t>
            </w:r>
            <w:r>
              <w:rPr>
                <w:bCs/>
                <w:color w:val="000000" w:themeColor="text1"/>
                <w:szCs w:val="21"/>
                <w:highlight w:val="none"/>
                <w14:textFill>
                  <w14:solidFill>
                    <w14:schemeClr w14:val="tx1"/>
                  </w14:solidFill>
                </w14:textFill>
              </w:rPr>
              <w:t>≤0.5mg/m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、氟化物≤0.02mg/m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《砖瓦工业大气污染物排放标准》（DB13/6185-2025）表</w:t>
            </w:r>
            <w:r>
              <w:rPr>
                <w:rFonts w:hint="eastAsia"/>
                <w:bCs/>
                <w:color w:val="000000" w:themeColor="text1"/>
                <w:szCs w:val="21"/>
                <w:highlight w:val="none"/>
                <w:lang w:val="en-US" w:eastAsia="zh-CN"/>
                <w14:textFill>
                  <w14:solidFill>
                    <w14:schemeClr w14:val="tx1"/>
                  </w14:solidFill>
                </w14:textFill>
              </w:rPr>
              <w:t>3厂区内</w:t>
            </w:r>
            <w:r>
              <w:rPr>
                <w:rFonts w:hint="eastAsia"/>
                <w:bCs/>
                <w:color w:val="000000" w:themeColor="text1"/>
                <w:szCs w:val="21"/>
                <w:highlight w:val="none"/>
                <w14:textFill>
                  <w14:solidFill>
                    <w14:schemeClr w14:val="tx1"/>
                  </w14:solidFill>
                </w14:textFill>
              </w:rPr>
              <w:t>大气污染物</w:t>
            </w:r>
            <w:r>
              <w:rPr>
                <w:rFonts w:hint="eastAsia"/>
                <w:bCs/>
                <w:color w:val="000000" w:themeColor="text1"/>
                <w:szCs w:val="21"/>
                <w:highlight w:val="none"/>
                <w:lang w:val="en-US" w:eastAsia="zh-CN"/>
                <w14:textFill>
                  <w14:solidFill>
                    <w14:schemeClr w14:val="tx1"/>
                  </w14:solidFill>
                </w14:textFill>
              </w:rPr>
              <w:t>无组织排放限值，</w:t>
            </w:r>
            <w:r>
              <w:rPr>
                <w:bCs/>
                <w:color w:val="000000" w:themeColor="text1"/>
                <w:szCs w:val="21"/>
                <w:highlight w:val="none"/>
                <w14:textFill>
                  <w14:solidFill>
                    <w14:schemeClr w14:val="tx1"/>
                  </w14:solidFill>
                </w14:textFill>
              </w:rPr>
              <w:t>颗粒物≤</w:t>
            </w:r>
            <w:r>
              <w:rPr>
                <w:rFonts w:hint="eastAsia"/>
                <w:bCs/>
                <w:color w:val="000000" w:themeColor="text1"/>
                <w:szCs w:val="21"/>
                <w:highlight w:val="none"/>
                <w:lang w:val="en-US" w:eastAsia="zh-CN"/>
                <w14:textFill>
                  <w14:solidFill>
                    <w14:schemeClr w14:val="tx1"/>
                  </w14:solidFill>
                </w14:textFill>
              </w:rPr>
              <w:t>5</w:t>
            </w:r>
            <w:r>
              <w:rPr>
                <w:bCs/>
                <w:color w:val="000000" w:themeColor="text1"/>
                <w:szCs w:val="21"/>
                <w:highlight w:val="none"/>
                <w14:textFill>
                  <w14:solidFill>
                    <w14:schemeClr w14:val="tx1"/>
                  </w14:solidFill>
                </w14:textFill>
              </w:rPr>
              <w:t>.0mg/m</w:t>
            </w:r>
            <w:r>
              <w:rPr>
                <w:bCs/>
                <w:color w:val="000000" w:themeColor="text1"/>
                <w:szCs w:val="21"/>
                <w:highlight w:val="none"/>
                <w:vertAlign w:val="superscript"/>
                <w14:textFill>
                  <w14:solidFill>
                    <w14:schemeClr w14:val="tx1"/>
                  </w14:solidFill>
                </w14:textFill>
              </w:rPr>
              <w:t>3</w:t>
            </w:r>
            <w:r>
              <w:rPr>
                <w:rFonts w:hint="eastAsia"/>
                <w:bCs/>
                <w:color w:val="000000" w:themeColor="text1"/>
                <w:szCs w:val="21"/>
                <w:highlight w:val="none"/>
                <w:lang w:eastAsia="zh-CN"/>
                <w14:textFill>
                  <w14:solidFill>
                    <w14:schemeClr w14:val="tx1"/>
                  </w14:solidFill>
                </w14:textFill>
              </w:rPr>
              <w:t>；</w:t>
            </w:r>
            <w:r>
              <w:rPr>
                <w:bCs/>
                <w:color w:val="000000" w:themeColor="text1"/>
                <w:szCs w:val="21"/>
                <w:highlight w:val="none"/>
                <w14:textFill>
                  <w14:solidFill>
                    <w14:schemeClr w14:val="tx1"/>
                  </w14:solidFill>
                </w14:textFill>
              </w:rPr>
              <w:t>同时满</w:t>
            </w:r>
            <w:r>
              <w:rPr>
                <w:rFonts w:hint="eastAsia"/>
                <w:bCs/>
                <w:color w:val="000000" w:themeColor="text1"/>
                <w:szCs w:val="21"/>
                <w:highlight w:val="none"/>
                <w14:textFill>
                  <w14:solidFill>
                    <w14:schemeClr w14:val="tx1"/>
                  </w14:solidFill>
                </w14:textFill>
              </w:rPr>
              <w:t>足《唐山市生态环境局</w:t>
            </w:r>
            <w:r>
              <w:rPr>
                <w:bCs/>
                <w:color w:val="000000" w:themeColor="text1"/>
                <w:szCs w:val="21"/>
                <w:highlight w:val="none"/>
                <w14:textFill>
                  <w14:solidFill>
                    <w14:schemeClr w14:val="tx1"/>
                  </w14:solidFill>
                </w14:textFill>
              </w:rPr>
              <w:t>关于印发独立石灰窑等五个行业工业炉窑烟气达标治理工作方案的通知</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唐环气〔2019〕2号</w:t>
            </w:r>
            <w:r>
              <w:rPr>
                <w:rFonts w:hint="eastAsia"/>
                <w:bCs/>
                <w:color w:val="000000" w:themeColor="text1"/>
                <w:szCs w:val="21"/>
                <w:highlight w:val="none"/>
                <w14:textFill>
                  <w14:solidFill>
                    <w14:schemeClr w14:val="tx1"/>
                  </w14:solidFill>
                </w14:textFill>
              </w:rPr>
              <w:t>）中附件5《唐山市砖瓦行业烟气达标治理工作方案》中“</w:t>
            </w:r>
            <w:r>
              <w:rPr>
                <w:bCs/>
                <w:color w:val="000000" w:themeColor="text1"/>
                <w:szCs w:val="21"/>
                <w:highlight w:val="none"/>
                <w14:textFill>
                  <w14:solidFill>
                    <w14:schemeClr w14:val="tx1"/>
                  </w14:solidFill>
                </w14:textFill>
              </w:rPr>
              <w:t>厂区边界颗粒物</w:t>
            </w:r>
            <w:r>
              <w:rPr>
                <w:rFonts w:hint="eastAsia"/>
                <w:bCs/>
                <w:color w:val="000000" w:themeColor="text1"/>
                <w:szCs w:val="21"/>
                <w:highlight w:val="none"/>
                <w14:textFill>
                  <w14:solidFill>
                    <w14:schemeClr w14:val="tx1"/>
                  </w14:solidFill>
                </w14:textFill>
              </w:rPr>
              <w:t>浓度不高于</w:t>
            </w:r>
            <w:r>
              <w:rPr>
                <w:bCs/>
                <w:color w:val="000000" w:themeColor="text1"/>
                <w:szCs w:val="21"/>
                <w:highlight w:val="none"/>
                <w14:textFill>
                  <w14:solidFill>
                    <w14:schemeClr w14:val="tx1"/>
                  </w14:solidFill>
                </w14:textFill>
              </w:rPr>
              <w:t>0.5mg/m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w:t>
            </w:r>
            <w:r>
              <w:rPr>
                <w:rFonts w:hint="eastAsia"/>
                <w:bCs/>
                <w:color w:val="000000" w:themeColor="text1"/>
                <w:szCs w:val="21"/>
                <w:highlight w:val="none"/>
                <w14:textFill>
                  <w14:solidFill>
                    <w14:schemeClr w14:val="tx1"/>
                  </w14:solidFill>
                </w14:textFill>
              </w:rPr>
              <w:t>炉窑车间外1米处颗粒物浓度不高于1.0mg/Nm</w:t>
            </w:r>
            <w:r>
              <w:rPr>
                <w:rFonts w:hint="eastAsia"/>
                <w:bCs/>
                <w:color w:val="000000" w:themeColor="text1"/>
                <w:szCs w:val="21"/>
                <w:highlight w:val="none"/>
                <w:vertAlign w:val="superscript"/>
                <w14:textFill>
                  <w14:solidFill>
                    <w14:schemeClr w14:val="tx1"/>
                  </w14:solidFill>
                </w14:textFill>
              </w:rPr>
              <w:t>3</w:t>
            </w:r>
            <w:r>
              <w:rPr>
                <w:rFonts w:hint="eastAsia"/>
                <w:bCs/>
                <w:color w:val="000000" w:themeColor="text1"/>
                <w:szCs w:val="21"/>
                <w:highlight w:val="none"/>
                <w14:textFill>
                  <w14:solidFill>
                    <w14:schemeClr w14:val="tx1"/>
                  </w14:solidFill>
                </w14:textFill>
              </w:rPr>
              <w:t>”的要求</w:t>
            </w:r>
          </w:p>
        </w:tc>
      </w:tr>
      <w:tr w14:paraId="1BDE81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396" w:type="dxa"/>
            <w:gridSpan w:val="2"/>
            <w:vMerge w:val="continue"/>
            <w:vAlign w:val="center"/>
          </w:tcPr>
          <w:p w14:paraId="652005C3">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7E758B2A">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无组织废气：未被收集的污泥储存恶臭废气</w:t>
            </w:r>
          </w:p>
        </w:tc>
        <w:tc>
          <w:tcPr>
            <w:tcW w:w="1276" w:type="dxa"/>
            <w:vAlign w:val="center"/>
          </w:tcPr>
          <w:p w14:paraId="5699E518">
            <w:pPr>
              <w:spacing w:line="320" w:lineRule="exact"/>
              <w:ind w:left="-105" w:leftChars="-50" w:right="-105" w:rightChars="-5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氨、硫化氢、臭气浓度</w:t>
            </w:r>
          </w:p>
        </w:tc>
        <w:tc>
          <w:tcPr>
            <w:tcW w:w="1701" w:type="dxa"/>
            <w:tcBorders>
              <w:bottom w:val="single" w:color="auto" w:sz="4" w:space="0"/>
            </w:tcBorders>
            <w:vAlign w:val="center"/>
          </w:tcPr>
          <w:p w14:paraId="78B17E44">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封闭生产车间，工业污泥库、生活污泥库</w:t>
            </w:r>
            <w:r>
              <w:rPr>
                <w:bCs/>
                <w:color w:val="000000" w:themeColor="text1"/>
                <w:szCs w:val="21"/>
                <w:highlight w:val="none"/>
                <w14:textFill>
                  <w14:solidFill>
                    <w14:schemeClr w14:val="tx1"/>
                  </w14:solidFill>
                </w14:textFill>
              </w:rPr>
              <w:t>整体密闭，</w:t>
            </w:r>
            <w:r>
              <w:rPr>
                <w:rFonts w:hint="eastAsia"/>
                <w:bCs/>
                <w:color w:val="000000" w:themeColor="text1"/>
                <w:szCs w:val="21"/>
                <w:highlight w:val="none"/>
                <w14:textFill>
                  <w14:solidFill>
                    <w14:schemeClr w14:val="tx1"/>
                  </w14:solidFill>
                </w14:textFill>
              </w:rPr>
              <w:t>设自动感应门，仅车辆进出时开启</w:t>
            </w:r>
          </w:p>
        </w:tc>
        <w:tc>
          <w:tcPr>
            <w:tcW w:w="2868" w:type="dxa"/>
            <w:vAlign w:val="center"/>
          </w:tcPr>
          <w:p w14:paraId="65B73341">
            <w:pPr>
              <w:adjustRightInd w:val="0"/>
              <w:snapToGrid w:val="0"/>
              <w:spacing w:line="320" w:lineRule="exact"/>
              <w:ind w:left="-105" w:leftChars="-50" w:right="-105" w:rightChars="-5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《恶臭污染物排放标准》（GB14554-93）表1厂界二级标准限值要求，即氨≤1.5mg/m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、硫化氢≤0.06mg/m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、臭气浓度≤20（无量纲）</w:t>
            </w:r>
          </w:p>
        </w:tc>
      </w:tr>
      <w:tr w14:paraId="1960D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396" w:type="dxa"/>
            <w:gridSpan w:val="2"/>
            <w:vMerge w:val="restart"/>
            <w:vAlign w:val="center"/>
          </w:tcPr>
          <w:p w14:paraId="38A91BC7">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水环境</w:t>
            </w:r>
          </w:p>
        </w:tc>
        <w:tc>
          <w:tcPr>
            <w:tcW w:w="1559" w:type="dxa"/>
            <w:vAlign w:val="center"/>
          </w:tcPr>
          <w:p w14:paraId="24C76F7A">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设备清洗废水</w:t>
            </w:r>
          </w:p>
        </w:tc>
        <w:tc>
          <w:tcPr>
            <w:tcW w:w="1276" w:type="dxa"/>
            <w:vAlign w:val="center"/>
          </w:tcPr>
          <w:p w14:paraId="3583858A">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SS</w:t>
            </w:r>
          </w:p>
        </w:tc>
        <w:tc>
          <w:tcPr>
            <w:tcW w:w="1701" w:type="dxa"/>
            <w:vAlign w:val="center"/>
          </w:tcPr>
          <w:p w14:paraId="607CF731">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经沉淀池沉淀后，回用于设备清洗</w:t>
            </w:r>
          </w:p>
        </w:tc>
        <w:tc>
          <w:tcPr>
            <w:tcW w:w="2868" w:type="dxa"/>
            <w:vMerge w:val="restart"/>
            <w:vAlign w:val="center"/>
          </w:tcPr>
          <w:p w14:paraId="62854732">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不外排</w:t>
            </w:r>
          </w:p>
        </w:tc>
      </w:tr>
      <w:tr w14:paraId="00D00D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396" w:type="dxa"/>
            <w:gridSpan w:val="2"/>
            <w:vMerge w:val="continue"/>
            <w:vAlign w:val="center"/>
          </w:tcPr>
          <w:p w14:paraId="1B5669C1">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5CD03117">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脱硫废水</w:t>
            </w:r>
          </w:p>
        </w:tc>
        <w:tc>
          <w:tcPr>
            <w:tcW w:w="1276" w:type="dxa"/>
            <w:vAlign w:val="center"/>
          </w:tcPr>
          <w:p w14:paraId="2F6926A8">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p</w:t>
            </w:r>
            <w:r>
              <w:rPr>
                <w:color w:val="000000" w:themeColor="text1"/>
                <w:szCs w:val="21"/>
                <w:highlight w:val="none"/>
                <w14:textFill>
                  <w14:solidFill>
                    <w14:schemeClr w14:val="tx1"/>
                  </w14:solidFill>
                </w14:textFill>
              </w:rPr>
              <w:t>H、SS、COD、氨氮</w:t>
            </w:r>
          </w:p>
        </w:tc>
        <w:tc>
          <w:tcPr>
            <w:tcW w:w="1701" w:type="dxa"/>
            <w:vAlign w:val="center"/>
          </w:tcPr>
          <w:p w14:paraId="23E0B029">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经脱硫池沉淀后，回用于脱硫</w:t>
            </w:r>
          </w:p>
        </w:tc>
        <w:tc>
          <w:tcPr>
            <w:tcW w:w="2868" w:type="dxa"/>
            <w:vMerge w:val="continue"/>
            <w:vAlign w:val="center"/>
          </w:tcPr>
          <w:p w14:paraId="039028ED">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r>
      <w:tr w14:paraId="32FFB5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1396" w:type="dxa"/>
            <w:gridSpan w:val="2"/>
            <w:vMerge w:val="continue"/>
            <w:vAlign w:val="center"/>
          </w:tcPr>
          <w:p w14:paraId="40691726">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2E3A8F8A">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洗车废水</w:t>
            </w:r>
          </w:p>
        </w:tc>
        <w:tc>
          <w:tcPr>
            <w:tcW w:w="1276" w:type="dxa"/>
            <w:vAlign w:val="center"/>
          </w:tcPr>
          <w:p w14:paraId="203D881D">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SS</w:t>
            </w:r>
          </w:p>
        </w:tc>
        <w:tc>
          <w:tcPr>
            <w:tcW w:w="1701" w:type="dxa"/>
            <w:vAlign w:val="center"/>
          </w:tcPr>
          <w:p w14:paraId="71E85421">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经洗车平台沉淀池沉淀处理后，回用于洗车</w:t>
            </w:r>
          </w:p>
        </w:tc>
        <w:tc>
          <w:tcPr>
            <w:tcW w:w="2868" w:type="dxa"/>
            <w:vMerge w:val="continue"/>
            <w:vAlign w:val="center"/>
          </w:tcPr>
          <w:p w14:paraId="2EA05522">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r>
      <w:tr w14:paraId="7A16A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396" w:type="dxa"/>
            <w:gridSpan w:val="2"/>
            <w:vMerge w:val="continue"/>
            <w:vAlign w:val="center"/>
          </w:tcPr>
          <w:p w14:paraId="1E46377E">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c>
          <w:tcPr>
            <w:tcW w:w="1559" w:type="dxa"/>
            <w:vAlign w:val="center"/>
          </w:tcPr>
          <w:p w14:paraId="0D28212F">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职工生活污水</w:t>
            </w:r>
          </w:p>
        </w:tc>
        <w:tc>
          <w:tcPr>
            <w:tcW w:w="1276" w:type="dxa"/>
            <w:vAlign w:val="center"/>
          </w:tcPr>
          <w:p w14:paraId="6C08DEC3">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SS、COD、氨氮</w:t>
            </w:r>
          </w:p>
        </w:tc>
        <w:tc>
          <w:tcPr>
            <w:tcW w:w="1701" w:type="dxa"/>
            <w:vAlign w:val="center"/>
          </w:tcPr>
          <w:p w14:paraId="304F4834">
            <w:pPr>
              <w:pStyle w:val="53"/>
              <w:spacing w:line="32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厂区内泼洒地面抑尘</w:t>
            </w:r>
          </w:p>
        </w:tc>
        <w:tc>
          <w:tcPr>
            <w:tcW w:w="2868" w:type="dxa"/>
            <w:vMerge w:val="continue"/>
            <w:vAlign w:val="center"/>
          </w:tcPr>
          <w:p w14:paraId="77944462">
            <w:pPr>
              <w:adjustRightInd w:val="0"/>
              <w:snapToGrid w:val="0"/>
              <w:spacing w:line="320" w:lineRule="exact"/>
              <w:ind w:left="-105" w:leftChars="-50" w:right="-105" w:rightChars="-50"/>
              <w:jc w:val="center"/>
              <w:rPr>
                <w:rFonts w:hAnsi="宋体"/>
                <w:color w:val="000000" w:themeColor="text1"/>
                <w:szCs w:val="21"/>
                <w:highlight w:val="none"/>
                <w14:textFill>
                  <w14:solidFill>
                    <w14:schemeClr w14:val="tx1"/>
                  </w14:solidFill>
                </w14:textFill>
              </w:rPr>
            </w:pPr>
          </w:p>
        </w:tc>
      </w:tr>
      <w:tr w14:paraId="2EB384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96" w:type="dxa"/>
            <w:gridSpan w:val="2"/>
            <w:vAlign w:val="center"/>
          </w:tcPr>
          <w:p w14:paraId="775C4B6A">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声环境</w:t>
            </w:r>
          </w:p>
        </w:tc>
        <w:tc>
          <w:tcPr>
            <w:tcW w:w="1559" w:type="dxa"/>
            <w:vAlign w:val="center"/>
          </w:tcPr>
          <w:p w14:paraId="5EA7FD48">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颚式破碎机、锤式破碎机、圆滚筛、搅拌机、风机等设备</w:t>
            </w:r>
          </w:p>
        </w:tc>
        <w:tc>
          <w:tcPr>
            <w:tcW w:w="1276" w:type="dxa"/>
            <w:vAlign w:val="center"/>
          </w:tcPr>
          <w:p w14:paraId="32D61ED3">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等效连续</w:t>
            </w:r>
            <w:r>
              <w:rPr>
                <w:color w:val="000000" w:themeColor="text1"/>
                <w:szCs w:val="21"/>
                <w:highlight w:val="none"/>
                <w14:textFill>
                  <w14:solidFill>
                    <w14:schemeClr w14:val="tx1"/>
                  </w14:solidFill>
                </w14:textFill>
              </w:rPr>
              <w:t>A</w:t>
            </w:r>
            <w:r>
              <w:rPr>
                <w:rFonts w:hAnsi="宋体"/>
                <w:color w:val="000000" w:themeColor="text1"/>
                <w:szCs w:val="21"/>
                <w:highlight w:val="none"/>
                <w14:textFill>
                  <w14:solidFill>
                    <w14:schemeClr w14:val="tx1"/>
                  </w14:solidFill>
                </w14:textFill>
              </w:rPr>
              <w:t>声级</w:t>
            </w:r>
          </w:p>
        </w:tc>
        <w:tc>
          <w:tcPr>
            <w:tcW w:w="1701" w:type="dxa"/>
            <w:vAlign w:val="center"/>
          </w:tcPr>
          <w:p w14:paraId="10015961">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选用低噪声设备、</w:t>
            </w:r>
            <w:r>
              <w:rPr>
                <w:rFonts w:hAnsi="宋体"/>
                <w:color w:val="000000" w:themeColor="text1"/>
                <w:szCs w:val="21"/>
                <w:highlight w:val="none"/>
                <w14:textFill>
                  <w14:solidFill>
                    <w14:schemeClr w14:val="tx1"/>
                  </w14:solidFill>
                </w14:textFill>
              </w:rPr>
              <w:t>厂房隔声、基础减振</w:t>
            </w:r>
          </w:p>
        </w:tc>
        <w:tc>
          <w:tcPr>
            <w:tcW w:w="2868" w:type="dxa"/>
            <w:vAlign w:val="center"/>
          </w:tcPr>
          <w:p w14:paraId="423830CE">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《工业企业厂界环境噪声排放标准》（</w:t>
            </w:r>
            <w:r>
              <w:rPr>
                <w:color w:val="000000" w:themeColor="text1"/>
                <w:szCs w:val="21"/>
                <w:highlight w:val="none"/>
                <w14:textFill>
                  <w14:solidFill>
                    <w14:schemeClr w14:val="tx1"/>
                  </w14:solidFill>
                </w14:textFill>
              </w:rPr>
              <w:t>GB12348-2008</w:t>
            </w:r>
            <w:r>
              <w:rPr>
                <w:rFonts w:hAnsi="宋体"/>
                <w:color w:val="000000" w:themeColor="text1"/>
                <w:szCs w:val="21"/>
                <w:highlight w:val="none"/>
                <w14:textFill>
                  <w14:solidFill>
                    <w14:schemeClr w14:val="tx1"/>
                  </w14:solidFill>
                </w14:textFill>
              </w:rPr>
              <w:t>）</w:t>
            </w:r>
            <w:r>
              <w:rPr>
                <w:rFonts w:hint="eastAsia" w:hAnsi="宋体"/>
                <w:color w:val="000000" w:themeColor="text1"/>
                <w:szCs w:val="21"/>
                <w:highlight w:val="none"/>
                <w14:textFill>
                  <w14:solidFill>
                    <w14:schemeClr w14:val="tx1"/>
                  </w14:solidFill>
                </w14:textFill>
              </w:rPr>
              <w:t>表1</w:t>
            </w:r>
            <w:r>
              <w:rPr>
                <w:rFonts w:hAnsi="宋体"/>
                <w:bCs/>
                <w:color w:val="000000" w:themeColor="text1"/>
                <w:szCs w:val="21"/>
                <w:highlight w:val="none"/>
                <w14:textFill>
                  <w14:solidFill>
                    <w14:schemeClr w14:val="tx1"/>
                  </w14:solidFill>
                </w14:textFill>
              </w:rPr>
              <w:t>中</w:t>
            </w:r>
            <w:r>
              <w:rPr>
                <w:rFonts w:hint="eastAsia"/>
                <w:bCs/>
                <w:color w:val="000000" w:themeColor="text1"/>
                <w:szCs w:val="21"/>
                <w:highlight w:val="none"/>
                <w14:textFill>
                  <w14:solidFill>
                    <w14:schemeClr w14:val="tx1"/>
                  </w14:solidFill>
                </w14:textFill>
              </w:rPr>
              <w:t>2</w:t>
            </w:r>
            <w:r>
              <w:rPr>
                <w:rFonts w:hAnsi="宋体"/>
                <w:bCs/>
                <w:color w:val="000000" w:themeColor="text1"/>
                <w:szCs w:val="21"/>
                <w:highlight w:val="none"/>
                <w14:textFill>
                  <w14:solidFill>
                    <w14:schemeClr w14:val="tx1"/>
                  </w14:solidFill>
                </w14:textFill>
              </w:rPr>
              <w:t>类</w:t>
            </w:r>
          </w:p>
        </w:tc>
      </w:tr>
      <w:tr w14:paraId="2B223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396" w:type="dxa"/>
            <w:gridSpan w:val="2"/>
            <w:vAlign w:val="center"/>
          </w:tcPr>
          <w:p w14:paraId="420D365D">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电磁辐射</w:t>
            </w:r>
          </w:p>
        </w:tc>
        <w:tc>
          <w:tcPr>
            <w:tcW w:w="1559" w:type="dxa"/>
            <w:vAlign w:val="center"/>
          </w:tcPr>
          <w:p w14:paraId="353998C2">
            <w:pPr>
              <w:adjustRightInd w:val="0"/>
              <w:snapToGrid w:val="0"/>
              <w:spacing w:line="4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276" w:type="dxa"/>
            <w:vAlign w:val="center"/>
          </w:tcPr>
          <w:p w14:paraId="0EFBE940">
            <w:pPr>
              <w:adjustRightInd w:val="0"/>
              <w:snapToGrid w:val="0"/>
              <w:spacing w:line="4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701" w:type="dxa"/>
            <w:vAlign w:val="center"/>
          </w:tcPr>
          <w:p w14:paraId="2AE1C5D4">
            <w:pPr>
              <w:adjustRightInd w:val="0"/>
              <w:snapToGrid w:val="0"/>
              <w:spacing w:line="4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868" w:type="dxa"/>
            <w:vAlign w:val="center"/>
          </w:tcPr>
          <w:p w14:paraId="571E2F61">
            <w:pPr>
              <w:adjustRightInd w:val="0"/>
              <w:snapToGrid w:val="0"/>
              <w:spacing w:line="400" w:lineRule="exact"/>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r>
      <w:tr w14:paraId="3B6BC7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396" w:type="dxa"/>
            <w:gridSpan w:val="2"/>
            <w:vAlign w:val="center"/>
          </w:tcPr>
          <w:p w14:paraId="02AEAB7D">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固体废物</w:t>
            </w:r>
          </w:p>
        </w:tc>
        <w:tc>
          <w:tcPr>
            <w:tcW w:w="7404" w:type="dxa"/>
            <w:gridSpan w:val="4"/>
            <w:vAlign w:val="center"/>
          </w:tcPr>
          <w:p w14:paraId="0B3D1B5A">
            <w:pPr>
              <w:adjustRightInd w:val="0"/>
              <w:snapToGrid w:val="0"/>
              <w:spacing w:line="340" w:lineRule="exact"/>
              <w:ind w:left="-105" w:leftChars="-50" w:right="-105" w:rightChars="-50"/>
              <w:jc w:val="left"/>
              <w:rPr>
                <w:color w:val="000000" w:themeColor="text1"/>
                <w:szCs w:val="21"/>
                <w:highlight w:val="none"/>
                <w14:textFill>
                  <w14:solidFill>
                    <w14:schemeClr w14:val="tx1"/>
                  </w14:solidFill>
                </w14:textFill>
              </w:rPr>
            </w:pPr>
            <w:r>
              <w:rPr>
                <w:rFonts w:hAnsi="宋体"/>
                <w:b/>
                <w:bCs/>
                <w:color w:val="000000" w:themeColor="text1"/>
                <w:szCs w:val="21"/>
                <w:highlight w:val="none"/>
                <w14:textFill>
                  <w14:solidFill>
                    <w14:schemeClr w14:val="tx1"/>
                  </w14:solidFill>
                </w14:textFill>
              </w:rPr>
              <w:t>一般固废</w:t>
            </w:r>
            <w:r>
              <w:rPr>
                <w:rFonts w:hAnsi="宋体"/>
                <w:color w:val="000000" w:themeColor="text1"/>
                <w:szCs w:val="21"/>
                <w:highlight w:val="none"/>
                <w14:textFill>
                  <w14:solidFill>
                    <w14:schemeClr w14:val="tx1"/>
                  </w14:solidFill>
                </w14:textFill>
              </w:rPr>
              <w:t>：检验工序产生的废砖</w:t>
            </w:r>
            <w:r>
              <w:rPr>
                <w:rFonts w:hint="eastAsia" w:hAnsi="宋体"/>
                <w:color w:val="000000" w:themeColor="text1"/>
                <w:szCs w:val="21"/>
                <w:highlight w:val="none"/>
                <w14:textFill>
                  <w14:solidFill>
                    <w14:schemeClr w14:val="tx1"/>
                  </w14:solidFill>
                </w14:textFill>
              </w:rPr>
              <w:t>、袋式除尘器产生的</w:t>
            </w:r>
            <w:r>
              <w:rPr>
                <w:rFonts w:hAnsi="宋体"/>
                <w:color w:val="000000" w:themeColor="text1"/>
                <w:szCs w:val="21"/>
                <w:highlight w:val="none"/>
                <w14:textFill>
                  <w14:solidFill>
                    <w14:schemeClr w14:val="tx1"/>
                  </w14:solidFill>
                </w14:textFill>
              </w:rPr>
              <w:t>废滤袋</w:t>
            </w:r>
            <w:r>
              <w:rPr>
                <w:rFonts w:hint="eastAsia" w:hAnsi="宋体"/>
                <w:color w:val="000000" w:themeColor="text1"/>
                <w:szCs w:val="21"/>
                <w:highlight w:val="none"/>
                <w14:textFill>
                  <w14:solidFill>
                    <w14:schemeClr w14:val="tx1"/>
                  </w14:solidFill>
                </w14:textFill>
              </w:rPr>
              <w:t>、脱硫脱硝产生的废包装袋集中收集暂存车间一般固废区，定期外售</w:t>
            </w:r>
            <w:r>
              <w:rPr>
                <w:rFonts w:hAnsi="宋体"/>
                <w:color w:val="000000" w:themeColor="text1"/>
                <w:szCs w:val="21"/>
                <w:highlight w:val="none"/>
                <w14:textFill>
                  <w14:solidFill>
                    <w14:schemeClr w14:val="tx1"/>
                  </w14:solidFill>
                </w14:textFill>
              </w:rPr>
              <w:t>；切坯工序产生的废</w:t>
            </w:r>
            <w:r>
              <w:rPr>
                <w:rFonts w:hint="eastAsia" w:hAnsi="宋体"/>
                <w:color w:val="000000" w:themeColor="text1"/>
                <w:szCs w:val="21"/>
                <w:highlight w:val="none"/>
                <w14:textFill>
                  <w14:solidFill>
                    <w14:schemeClr w14:val="tx1"/>
                  </w14:solidFill>
                </w14:textFill>
              </w:rPr>
              <w:t>砖坯、</w:t>
            </w:r>
            <w:r>
              <w:rPr>
                <w:rFonts w:hAnsi="宋体"/>
                <w:color w:val="000000" w:themeColor="text1"/>
                <w:szCs w:val="21"/>
                <w:highlight w:val="none"/>
                <w14:textFill>
                  <w14:solidFill>
                    <w14:schemeClr w14:val="tx1"/>
                  </w14:solidFill>
                </w14:textFill>
              </w:rPr>
              <w:t>布袋除尘器</w:t>
            </w:r>
            <w:r>
              <w:rPr>
                <w:rFonts w:hint="eastAsia" w:hAnsi="宋体"/>
                <w:color w:val="000000" w:themeColor="text1"/>
                <w:szCs w:val="21"/>
                <w:highlight w:val="none"/>
                <w14:textFill>
                  <w14:solidFill>
                    <w14:schemeClr w14:val="tx1"/>
                  </w14:solidFill>
                </w14:textFill>
              </w:rPr>
              <w:t>收集</w:t>
            </w:r>
            <w:r>
              <w:rPr>
                <w:rFonts w:hAnsi="宋体"/>
                <w:color w:val="000000" w:themeColor="text1"/>
                <w:szCs w:val="21"/>
                <w:highlight w:val="none"/>
                <w14:textFill>
                  <w14:solidFill>
                    <w14:schemeClr w14:val="tx1"/>
                  </w14:solidFill>
                </w14:textFill>
              </w:rPr>
              <w:t>的除尘灰、烟气脱硫产生的脱硫石膏、湿式电除尘产生的除尘灰浆</w:t>
            </w:r>
            <w:r>
              <w:rPr>
                <w:rFonts w:hint="eastAsia" w:hAnsi="宋体"/>
                <w:color w:val="000000" w:themeColor="text1"/>
                <w:szCs w:val="21"/>
                <w:highlight w:val="none"/>
                <w14:textFill>
                  <w14:solidFill>
                    <w14:schemeClr w14:val="tx1"/>
                  </w14:solidFill>
                </w14:textFill>
              </w:rPr>
              <w:t>收集后送入</w:t>
            </w:r>
            <w:r>
              <w:rPr>
                <w:rFonts w:hAnsi="宋体"/>
                <w:color w:val="000000" w:themeColor="text1"/>
                <w:szCs w:val="21"/>
                <w:highlight w:val="none"/>
                <w14:textFill>
                  <w14:solidFill>
                    <w14:schemeClr w14:val="tx1"/>
                  </w14:solidFill>
                </w14:textFill>
              </w:rPr>
              <w:t>搅拌工序，回用于生产；</w:t>
            </w:r>
            <w:r>
              <w:rPr>
                <w:rFonts w:hint="eastAsia" w:hAnsi="宋体"/>
                <w:color w:val="000000" w:themeColor="text1"/>
                <w:szCs w:val="21"/>
                <w:highlight w:val="none"/>
                <w14:textFill>
                  <w14:solidFill>
                    <w14:schemeClr w14:val="tx1"/>
                  </w14:solidFill>
                </w14:textFill>
              </w:rPr>
              <w:t>洗车平台产生的污泥定期清理，回用于生产。</w:t>
            </w:r>
            <w:r>
              <w:rPr>
                <w:rFonts w:hint="eastAsia"/>
                <w:color w:val="000000" w:themeColor="text1"/>
                <w:szCs w:val="21"/>
                <w:highlight w:val="none"/>
                <w14:textFill>
                  <w14:solidFill>
                    <w14:schemeClr w14:val="tx1"/>
                  </w14:solidFill>
                </w14:textFill>
              </w:rPr>
              <w:t>一般固废的存储应满足相应防渗漏、防雨淋、防扬尘等环境保护要求，一般固废贮存、处理满足《中华人民共和国固体废物污染环境防治法》、《河北省固体废物污染环境防治条例（2022）》、《排污许可证申请与核发技术规范 工业固体废物（试行）》（</w:t>
            </w:r>
            <w:r>
              <w:rPr>
                <w:color w:val="000000" w:themeColor="text1"/>
                <w:szCs w:val="21"/>
                <w:highlight w:val="none"/>
                <w14:textFill>
                  <w14:solidFill>
                    <w14:schemeClr w14:val="tx1"/>
                  </w14:solidFill>
                </w14:textFill>
              </w:rPr>
              <w:t>HJ</w:t>
            </w:r>
            <w:r>
              <w:rPr>
                <w:rFonts w:hint="eastAsia"/>
                <w:color w:val="000000" w:themeColor="text1"/>
                <w:szCs w:val="21"/>
                <w:highlight w:val="none"/>
                <w14:textFill>
                  <w14:solidFill>
                    <w14:schemeClr w14:val="tx1"/>
                  </w14:solidFill>
                </w14:textFill>
              </w:rPr>
              <w:t>1200</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2021）等相关要求。</w:t>
            </w:r>
          </w:p>
          <w:p w14:paraId="0A15FF21">
            <w:pPr>
              <w:adjustRightInd w:val="0"/>
              <w:snapToGrid w:val="0"/>
              <w:spacing w:line="340" w:lineRule="exact"/>
              <w:ind w:left="-105" w:leftChars="-50" w:right="-105" w:rightChars="-50"/>
              <w:jc w:val="left"/>
              <w:rPr>
                <w:snapToGrid w:val="0"/>
                <w:color w:val="000000" w:themeColor="text1"/>
                <w:kern w:val="0"/>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危险废物：</w:t>
            </w:r>
            <w:r>
              <w:rPr>
                <w:bCs/>
                <w:snapToGrid w:val="0"/>
                <w:color w:val="000000" w:themeColor="text1"/>
                <w:kern w:val="0"/>
                <w:szCs w:val="21"/>
                <w:highlight w:val="none"/>
                <w14:textFill>
                  <w14:solidFill>
                    <w14:schemeClr w14:val="tx1"/>
                  </w14:solidFill>
                </w14:textFill>
              </w:rPr>
              <w:t>废润滑油</w:t>
            </w:r>
            <w:r>
              <w:rPr>
                <w:rFonts w:hint="eastAsia"/>
                <w:bCs/>
                <w:snapToGrid w:val="0"/>
                <w:color w:val="000000" w:themeColor="text1"/>
                <w:kern w:val="0"/>
                <w:szCs w:val="21"/>
                <w:highlight w:val="none"/>
                <w14:textFill>
                  <w14:solidFill>
                    <w14:schemeClr w14:val="tx1"/>
                  </w14:solidFill>
                </w14:textFill>
              </w:rPr>
              <w:t>采用专用容器贮存</w:t>
            </w:r>
            <w:r>
              <w:rPr>
                <w:rFonts w:hint="eastAsia"/>
                <w:snapToGrid w:val="0"/>
                <w:color w:val="000000" w:themeColor="text1"/>
                <w:kern w:val="0"/>
                <w:szCs w:val="21"/>
                <w:highlight w:val="none"/>
                <w14:textFill>
                  <w14:solidFill>
                    <w14:schemeClr w14:val="tx1"/>
                  </w14:solidFill>
                </w14:textFill>
              </w:rPr>
              <w:t>，</w:t>
            </w:r>
            <w:r>
              <w:rPr>
                <w:rFonts w:hint="eastAsia"/>
                <w:bCs/>
                <w:snapToGrid w:val="0"/>
                <w:color w:val="000000" w:themeColor="text1"/>
                <w:kern w:val="0"/>
                <w:szCs w:val="21"/>
                <w:highlight w:val="none"/>
                <w14:textFill>
                  <w14:solidFill>
                    <w14:schemeClr w14:val="tx1"/>
                  </w14:solidFill>
                </w14:textFill>
              </w:rPr>
              <w:t>废活性炭</w:t>
            </w:r>
            <w:r>
              <w:rPr>
                <w:rFonts w:hint="eastAsia"/>
                <w:snapToGrid w:val="0"/>
                <w:color w:val="000000" w:themeColor="text1"/>
                <w:kern w:val="0"/>
                <w:szCs w:val="21"/>
                <w:highlight w:val="none"/>
                <w14:textFill>
                  <w14:solidFill>
                    <w14:schemeClr w14:val="tx1"/>
                  </w14:solidFill>
                </w14:textFill>
              </w:rPr>
              <w:t>采用内塑外编的包装袋收集封口，废油桶密封，以上危废暂存</w:t>
            </w:r>
            <w:r>
              <w:rPr>
                <w:rFonts w:hint="eastAsia"/>
                <w:snapToGrid w:val="0"/>
                <w:color w:val="000000" w:themeColor="text1"/>
                <w:kern w:val="0"/>
                <w:szCs w:val="21"/>
                <w:highlight w:val="none"/>
                <w:lang w:val="en-US" w:eastAsia="zh-CN"/>
                <w14:textFill>
                  <w14:solidFill>
                    <w14:schemeClr w14:val="tx1"/>
                  </w14:solidFill>
                </w14:textFill>
              </w:rPr>
              <w:t>于</w:t>
            </w:r>
            <w:r>
              <w:rPr>
                <w:rFonts w:hint="eastAsia"/>
                <w:snapToGrid w:val="0"/>
                <w:color w:val="000000" w:themeColor="text1"/>
                <w:kern w:val="0"/>
                <w:szCs w:val="21"/>
                <w:highlight w:val="none"/>
                <w14:textFill>
                  <w14:solidFill>
                    <w14:schemeClr w14:val="tx1"/>
                  </w14:solidFill>
                </w14:textFill>
              </w:rPr>
              <w:t>危废间，交有资质单位处理，</w:t>
            </w:r>
            <w:r>
              <w:rPr>
                <w:snapToGrid w:val="0"/>
                <w:color w:val="000000" w:themeColor="text1"/>
                <w:kern w:val="0"/>
                <w:szCs w:val="21"/>
                <w:highlight w:val="none"/>
                <w14:textFill>
                  <w14:solidFill>
                    <w14:schemeClr w14:val="tx1"/>
                  </w14:solidFill>
                </w14:textFill>
              </w:rPr>
              <w:t>满足</w:t>
            </w:r>
            <w:r>
              <w:rPr>
                <w:rFonts w:hint="eastAsia"/>
                <w:snapToGrid w:val="0"/>
                <w:color w:val="000000" w:themeColor="text1"/>
                <w:kern w:val="0"/>
                <w:szCs w:val="21"/>
                <w:highlight w:val="none"/>
                <w14:textFill>
                  <w14:solidFill>
                    <w14:schemeClr w14:val="tx1"/>
                  </w14:solidFill>
                </w14:textFill>
              </w:rPr>
              <w:t>《危险废物贮存污染控制标准》（GB18597-2023）</w:t>
            </w:r>
            <w:r>
              <w:rPr>
                <w:snapToGrid w:val="0"/>
                <w:color w:val="000000" w:themeColor="text1"/>
                <w:kern w:val="0"/>
                <w:szCs w:val="21"/>
                <w:highlight w:val="none"/>
                <w14:textFill>
                  <w14:solidFill>
                    <w14:schemeClr w14:val="tx1"/>
                  </w14:solidFill>
                </w14:textFill>
              </w:rPr>
              <w:t>的要求</w:t>
            </w:r>
            <w:r>
              <w:rPr>
                <w:rFonts w:hint="eastAsia"/>
                <w:snapToGrid w:val="0"/>
                <w:color w:val="000000" w:themeColor="text1"/>
                <w:kern w:val="0"/>
                <w:szCs w:val="21"/>
                <w:highlight w:val="none"/>
                <w14:textFill>
                  <w14:solidFill>
                    <w14:schemeClr w14:val="tx1"/>
                  </w14:solidFill>
                </w14:textFill>
              </w:rPr>
              <w:t>。</w:t>
            </w:r>
          </w:p>
        </w:tc>
      </w:tr>
      <w:tr w14:paraId="70497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396" w:type="dxa"/>
            <w:gridSpan w:val="2"/>
            <w:vAlign w:val="center"/>
          </w:tcPr>
          <w:p w14:paraId="42A3D082">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土壤及地下水</w:t>
            </w:r>
          </w:p>
          <w:p w14:paraId="6F276A02">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污染防治措施</w:t>
            </w:r>
          </w:p>
        </w:tc>
        <w:tc>
          <w:tcPr>
            <w:tcW w:w="7404" w:type="dxa"/>
            <w:gridSpan w:val="4"/>
            <w:vAlign w:val="center"/>
          </w:tcPr>
          <w:p w14:paraId="5ABC40DC">
            <w:pPr>
              <w:adjustRightInd w:val="0"/>
              <w:snapToGrid w:val="0"/>
              <w:spacing w:line="340" w:lineRule="exact"/>
              <w:ind w:left="-105" w:leftChars="-50" w:right="-105" w:rightChars="-50"/>
              <w:jc w:val="left"/>
              <w:rPr>
                <w:rFonts w:hAnsi="宋体"/>
                <w:bCs/>
                <w:color w:val="000000" w:themeColor="text1"/>
                <w:szCs w:val="21"/>
                <w:highlight w:val="none"/>
                <w14:textFill>
                  <w14:solidFill>
                    <w14:schemeClr w14:val="tx1"/>
                  </w14:solidFill>
                </w14:textFill>
              </w:rPr>
            </w:pPr>
            <w:r>
              <w:rPr>
                <w:rFonts w:hint="eastAsia" w:hAnsi="宋体"/>
                <w:bCs/>
                <w:color w:val="000000" w:themeColor="text1"/>
                <w:szCs w:val="21"/>
                <w:highlight w:val="none"/>
                <w14:textFill>
                  <w14:solidFill>
                    <w14:schemeClr w14:val="tx1"/>
                  </w14:solidFill>
                </w14:textFill>
              </w:rPr>
              <w:t>重点防渗：危废间</w:t>
            </w:r>
            <w:r>
              <w:rPr>
                <w:rFonts w:hAnsi="宋体"/>
                <w:bCs/>
                <w:color w:val="000000" w:themeColor="text1"/>
                <w:szCs w:val="21"/>
                <w:highlight w:val="none"/>
                <w14:textFill>
                  <w14:solidFill>
                    <w14:schemeClr w14:val="tx1"/>
                  </w14:solidFill>
                </w14:textFill>
              </w:rPr>
              <w:t>底部铺设30</w:t>
            </w:r>
            <w:r>
              <w:rPr>
                <w:rFonts w:hint="eastAsia" w:hAnsi="宋体"/>
                <w:bCs/>
                <w:color w:val="000000" w:themeColor="text1"/>
                <w:szCs w:val="21"/>
                <w:highlight w:val="none"/>
                <w14:textFill>
                  <w14:solidFill>
                    <w14:schemeClr w14:val="tx1"/>
                  </w14:solidFill>
                </w14:textFill>
              </w:rPr>
              <w:t>0</w:t>
            </w:r>
            <w:r>
              <w:rPr>
                <w:rFonts w:hAnsi="宋体"/>
                <w:bCs/>
                <w:color w:val="000000" w:themeColor="text1"/>
                <w:szCs w:val="21"/>
                <w:highlight w:val="none"/>
                <w14:textFill>
                  <w14:solidFill>
                    <w14:schemeClr w14:val="tx1"/>
                  </w14:solidFill>
                </w14:textFill>
              </w:rPr>
              <w:t>mm粘土层（保护层，同时作为辅助防渗层）压实平整，粘土层上铺设HDPE-GCL复合防渗系统（2mm</w:t>
            </w:r>
            <w:r>
              <w:rPr>
                <w:rFonts w:hint="eastAsia" w:hAnsi="宋体"/>
                <w:bCs/>
                <w:color w:val="000000" w:themeColor="text1"/>
                <w:szCs w:val="21"/>
                <w:highlight w:val="none"/>
                <w14:textFill>
                  <w14:solidFill>
                    <w14:schemeClr w14:val="tx1"/>
                  </w14:solidFill>
                </w14:textFill>
              </w:rPr>
              <w:t>厚</w:t>
            </w:r>
            <w:r>
              <w:rPr>
                <w:rFonts w:hAnsi="宋体"/>
                <w:bCs/>
                <w:color w:val="000000" w:themeColor="text1"/>
                <w:szCs w:val="21"/>
                <w:highlight w:val="none"/>
                <w14:textFill>
                  <w14:solidFill>
                    <w14:schemeClr w14:val="tx1"/>
                  </w14:solidFill>
                </w14:textFill>
              </w:rPr>
              <w:t>高密度聚乙烯膜、300g/m</w:t>
            </w:r>
            <w:r>
              <w:rPr>
                <w:rFonts w:hAnsi="宋体"/>
                <w:bCs/>
                <w:color w:val="000000" w:themeColor="text1"/>
                <w:szCs w:val="21"/>
                <w:highlight w:val="none"/>
                <w:vertAlign w:val="superscript"/>
                <w14:textFill>
                  <w14:solidFill>
                    <w14:schemeClr w14:val="tx1"/>
                  </w14:solidFill>
                </w14:textFill>
              </w:rPr>
              <w:t>2</w:t>
            </w:r>
            <w:r>
              <w:rPr>
                <w:rFonts w:hAnsi="宋体"/>
                <w:bCs/>
                <w:color w:val="000000" w:themeColor="text1"/>
                <w:szCs w:val="21"/>
                <w:highlight w:val="none"/>
                <w14:textFill>
                  <w14:solidFill>
                    <w14:schemeClr w14:val="tx1"/>
                  </w14:solidFill>
                </w14:textFill>
              </w:rPr>
              <w:t>土工织物膨润土垫）、上部外加耐腐蚀混凝土15cm（保护层）防渗</w:t>
            </w:r>
            <w:r>
              <w:rPr>
                <w:rFonts w:hint="eastAsia" w:hAnsi="宋体"/>
                <w:bCs/>
                <w:color w:val="000000" w:themeColor="text1"/>
                <w:szCs w:val="21"/>
                <w:highlight w:val="none"/>
                <w14:textFill>
                  <w14:solidFill>
                    <w14:schemeClr w14:val="tx1"/>
                  </w14:solidFill>
                </w14:textFill>
              </w:rPr>
              <w:t>，</w:t>
            </w:r>
            <w:r>
              <w:rPr>
                <w:rFonts w:hAnsi="宋体"/>
                <w:bCs/>
                <w:color w:val="000000" w:themeColor="text1"/>
                <w:szCs w:val="21"/>
                <w:highlight w:val="none"/>
                <w14:textFill>
                  <w14:solidFill>
                    <w14:schemeClr w14:val="tx1"/>
                  </w14:solidFill>
                </w14:textFill>
              </w:rPr>
              <w:t>渗透系数≤10</w:t>
            </w:r>
            <w:r>
              <w:rPr>
                <w:rFonts w:hAnsi="宋体"/>
                <w:bCs/>
                <w:color w:val="000000" w:themeColor="text1"/>
                <w:szCs w:val="21"/>
                <w:highlight w:val="none"/>
                <w:vertAlign w:val="superscript"/>
                <w14:textFill>
                  <w14:solidFill>
                    <w14:schemeClr w14:val="tx1"/>
                  </w14:solidFill>
                </w14:textFill>
              </w:rPr>
              <w:t>-10</w:t>
            </w:r>
            <w:r>
              <w:rPr>
                <w:rFonts w:hAnsi="宋体"/>
                <w:bCs/>
                <w:color w:val="000000" w:themeColor="text1"/>
                <w:szCs w:val="21"/>
                <w:highlight w:val="none"/>
                <w14:textFill>
                  <w14:solidFill>
                    <w14:schemeClr w14:val="tx1"/>
                  </w14:solidFill>
                </w14:textFill>
              </w:rPr>
              <w:t>cm/s</w:t>
            </w:r>
            <w:r>
              <w:rPr>
                <w:rFonts w:hint="eastAsia" w:hAnsi="宋体"/>
                <w:bCs/>
                <w:color w:val="000000" w:themeColor="text1"/>
                <w:szCs w:val="21"/>
                <w:highlight w:val="none"/>
                <w14:textFill>
                  <w14:solidFill>
                    <w14:schemeClr w14:val="tx1"/>
                  </w14:solidFill>
                </w14:textFill>
              </w:rPr>
              <w:t>；现有</w:t>
            </w:r>
            <w:r>
              <w:rPr>
                <w:rFonts w:hint="eastAsia" w:hAnsi="宋体"/>
                <w:bCs/>
                <w:color w:val="000000" w:themeColor="text1"/>
                <w:szCs w:val="21"/>
                <w:highlight w:val="none"/>
                <w:lang w:val="en-US" w:eastAsia="zh-CN"/>
                <w14:textFill>
                  <w14:solidFill>
                    <w14:schemeClr w14:val="tx1"/>
                  </w14:solidFill>
                </w14:textFill>
              </w:rPr>
              <w:t>脱硫水池、</w:t>
            </w:r>
            <w:r>
              <w:rPr>
                <w:rFonts w:hint="eastAsia" w:hAnsi="宋体"/>
                <w:bCs/>
                <w:color w:val="000000" w:themeColor="text1"/>
                <w:szCs w:val="21"/>
                <w:highlight w:val="none"/>
                <w14:textFill>
                  <w14:solidFill>
                    <w14:schemeClr w14:val="tx1"/>
                  </w14:solidFill>
                </w14:textFill>
              </w:rPr>
              <w:t>污泥库及本次新建污泥库</w:t>
            </w:r>
            <w:r>
              <w:rPr>
                <w:rFonts w:hAnsi="宋体"/>
                <w:bCs/>
                <w:color w:val="000000" w:themeColor="text1"/>
                <w:szCs w:val="21"/>
                <w:highlight w:val="none"/>
                <w14:textFill>
                  <w14:solidFill>
                    <w14:schemeClr w14:val="tx1"/>
                  </w14:solidFill>
                </w14:textFill>
              </w:rPr>
              <w:t>底部铺设300mm粘土层（保护层，同时作为辅助防渗层）压实平整，粘土层上铺设2mm厚的高密度聚乙烯膜，上部外加耐腐蚀混凝土15cm（保护层）防渗，表面涂2-4mm厚防腐、抗渗环氧树脂，渗透系数≤10</w:t>
            </w:r>
            <w:r>
              <w:rPr>
                <w:rFonts w:hAnsi="宋体"/>
                <w:bCs/>
                <w:color w:val="000000" w:themeColor="text1"/>
                <w:szCs w:val="21"/>
                <w:highlight w:val="none"/>
                <w:vertAlign w:val="superscript"/>
                <w14:textFill>
                  <w14:solidFill>
                    <w14:schemeClr w14:val="tx1"/>
                  </w14:solidFill>
                </w14:textFill>
              </w:rPr>
              <w:t>-</w:t>
            </w:r>
            <w:r>
              <w:rPr>
                <w:rFonts w:hint="eastAsia" w:hAnsi="宋体"/>
                <w:bCs/>
                <w:color w:val="000000" w:themeColor="text1"/>
                <w:szCs w:val="21"/>
                <w:highlight w:val="none"/>
                <w:vertAlign w:val="superscript"/>
                <w14:textFill>
                  <w14:solidFill>
                    <w14:schemeClr w14:val="tx1"/>
                  </w14:solidFill>
                </w14:textFill>
              </w:rPr>
              <w:t>7</w:t>
            </w:r>
            <w:r>
              <w:rPr>
                <w:rFonts w:hAnsi="宋体"/>
                <w:bCs/>
                <w:color w:val="000000" w:themeColor="text1"/>
                <w:szCs w:val="21"/>
                <w:highlight w:val="none"/>
                <w14:textFill>
                  <w14:solidFill>
                    <w14:schemeClr w14:val="tx1"/>
                  </w14:solidFill>
                </w14:textFill>
              </w:rPr>
              <w:t>cm/s，同时设置防雨、防渗漏、防流失等措施</w:t>
            </w:r>
            <w:r>
              <w:rPr>
                <w:rFonts w:hint="eastAsia" w:hAnsi="宋体"/>
                <w:bCs/>
                <w:color w:val="000000" w:themeColor="text1"/>
                <w:szCs w:val="21"/>
                <w:highlight w:val="none"/>
                <w14:textFill>
                  <w14:solidFill>
                    <w14:schemeClr w14:val="tx1"/>
                  </w14:solidFill>
                </w14:textFill>
              </w:rPr>
              <w:t>。</w:t>
            </w:r>
          </w:p>
          <w:p w14:paraId="270EEE1F">
            <w:pPr>
              <w:adjustRightInd w:val="0"/>
              <w:snapToGrid w:val="0"/>
              <w:spacing w:line="340" w:lineRule="exact"/>
              <w:ind w:left="-105" w:leftChars="-50" w:right="-105" w:rightChars="-50"/>
              <w:jc w:val="left"/>
              <w:rPr>
                <w:rFonts w:hAnsi="宋体"/>
                <w:bCs/>
                <w:color w:val="000000" w:themeColor="text1"/>
                <w:szCs w:val="21"/>
                <w:highlight w:val="none"/>
                <w14:textFill>
                  <w14:solidFill>
                    <w14:schemeClr w14:val="tx1"/>
                  </w14:solidFill>
                </w14:textFill>
              </w:rPr>
            </w:pPr>
            <w:r>
              <w:rPr>
                <w:rFonts w:hint="eastAsia" w:hAnsi="宋体"/>
                <w:bCs/>
                <w:color w:val="000000" w:themeColor="text1"/>
                <w:szCs w:val="21"/>
                <w:highlight w:val="none"/>
                <w14:textFill>
                  <w14:solidFill>
                    <w14:schemeClr w14:val="tx1"/>
                  </w14:solidFill>
                </w14:textFill>
              </w:rPr>
              <w:t>一般防渗：生产车间、原料库、一般固废区地面</w:t>
            </w:r>
            <w:r>
              <w:rPr>
                <w:rFonts w:hAnsi="宋体"/>
                <w:bCs/>
                <w:color w:val="000000" w:themeColor="text1"/>
                <w:szCs w:val="21"/>
                <w:highlight w:val="none"/>
                <w14:textFill>
                  <w14:solidFill>
                    <w14:schemeClr w14:val="tx1"/>
                  </w14:solidFill>
                </w14:textFill>
              </w:rPr>
              <w:t>采用防渗钢筋混凝土结构，结构厚度不小于250mm，混凝土的抗渗等级不低于P8</w:t>
            </w:r>
            <w:r>
              <w:rPr>
                <w:rFonts w:hint="eastAsia" w:hAnsi="宋体"/>
                <w:bCs/>
                <w:color w:val="000000" w:themeColor="text1"/>
                <w:szCs w:val="21"/>
                <w:highlight w:val="none"/>
                <w14:textFill>
                  <w14:solidFill>
                    <w14:schemeClr w14:val="tx1"/>
                  </w14:solidFill>
                </w14:textFill>
              </w:rPr>
              <w:t>。洗车平台池体采用抗渗混凝土结构。</w:t>
            </w:r>
          </w:p>
          <w:p w14:paraId="293690E6">
            <w:pPr>
              <w:adjustRightInd w:val="0"/>
              <w:snapToGrid w:val="0"/>
              <w:spacing w:line="340" w:lineRule="exact"/>
              <w:ind w:left="-105" w:leftChars="-50" w:right="-105" w:rightChars="-50"/>
              <w:jc w:val="left"/>
              <w:rPr>
                <w:rFonts w:hAnsi="宋体"/>
                <w:bCs/>
                <w:color w:val="000000" w:themeColor="text1"/>
                <w:szCs w:val="21"/>
                <w:highlight w:val="none"/>
                <w14:textFill>
                  <w14:solidFill>
                    <w14:schemeClr w14:val="tx1"/>
                  </w14:solidFill>
                </w14:textFill>
              </w:rPr>
            </w:pPr>
            <w:r>
              <w:rPr>
                <w:rFonts w:hint="eastAsia" w:hAnsi="宋体"/>
                <w:bCs/>
                <w:color w:val="000000" w:themeColor="text1"/>
                <w:szCs w:val="21"/>
                <w:highlight w:val="none"/>
                <w14:textFill>
                  <w14:solidFill>
                    <w14:schemeClr w14:val="tx1"/>
                  </w14:solidFill>
                </w14:textFill>
              </w:rPr>
              <w:t>简单防渗：厂区内道路全部硬化。</w:t>
            </w:r>
          </w:p>
        </w:tc>
      </w:tr>
      <w:tr w14:paraId="0D61BD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87" w:type="dxa"/>
            <w:vAlign w:val="center"/>
          </w:tcPr>
          <w:p w14:paraId="08B046CB">
            <w:pPr>
              <w:adjustRightInd w:val="0"/>
              <w:snapToGrid w:val="0"/>
              <w:spacing w:line="320" w:lineRule="exact"/>
              <w:ind w:left="-105" w:leftChars="-50" w:right="-105" w:rightChars="-50"/>
              <w:jc w:val="center"/>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生态保护措施</w:t>
            </w:r>
          </w:p>
        </w:tc>
        <w:tc>
          <w:tcPr>
            <w:tcW w:w="8113" w:type="dxa"/>
            <w:gridSpan w:val="5"/>
            <w:vAlign w:val="center"/>
          </w:tcPr>
          <w:p w14:paraId="4C51F3B3">
            <w:pPr>
              <w:adjustRightInd w:val="0"/>
              <w:snapToGrid w:val="0"/>
              <w:spacing w:line="400" w:lineRule="exact"/>
              <w:ind w:left="-105" w:leftChars="-50" w:right="-105" w:rightChars="-50"/>
              <w:jc w:val="left"/>
              <w:rPr>
                <w:color w:val="000000" w:themeColor="text1"/>
                <w:szCs w:val="21"/>
                <w:highlight w:val="none"/>
                <w14:textFill>
                  <w14:solidFill>
                    <w14:schemeClr w14:val="tx1"/>
                  </w14:solidFill>
                </w14:textFill>
              </w:rPr>
            </w:pPr>
            <w:r>
              <w:rPr>
                <w:rFonts w:hAnsi="宋体"/>
                <w:bCs/>
                <w:color w:val="000000" w:themeColor="text1"/>
                <w:szCs w:val="21"/>
                <w:highlight w:val="none"/>
                <w14:textFill>
                  <w14:solidFill>
                    <w14:schemeClr w14:val="tx1"/>
                  </w14:solidFill>
                </w14:textFill>
              </w:rPr>
              <w:t>本项目</w:t>
            </w:r>
            <w:r>
              <w:rPr>
                <w:rFonts w:hint="eastAsia" w:hAnsi="宋体"/>
                <w:bCs/>
                <w:color w:val="000000" w:themeColor="text1"/>
                <w:szCs w:val="21"/>
                <w:highlight w:val="none"/>
                <w14:textFill>
                  <w14:solidFill>
                    <w14:schemeClr w14:val="tx1"/>
                  </w14:solidFill>
                </w14:textFill>
              </w:rPr>
              <w:t>位于现有厂区，不新增占地，无生态保护目标。</w:t>
            </w:r>
            <w:r>
              <w:rPr>
                <w:rFonts w:hint="eastAsia" w:hAnsi="宋体"/>
                <w:color w:val="000000" w:themeColor="text1"/>
                <w:szCs w:val="21"/>
                <w:highlight w:val="none"/>
                <w14:textFill>
                  <w14:solidFill>
                    <w14:schemeClr w14:val="tx1"/>
                  </w14:solidFill>
                </w14:textFill>
              </w:rPr>
              <w:t>厂房</w:t>
            </w:r>
            <w:r>
              <w:rPr>
                <w:rFonts w:hAnsi="宋体"/>
                <w:color w:val="000000" w:themeColor="text1"/>
                <w:szCs w:val="21"/>
                <w:highlight w:val="none"/>
                <w14:textFill>
                  <w14:solidFill>
                    <w14:schemeClr w14:val="tx1"/>
                  </w14:solidFill>
                </w14:textFill>
              </w:rPr>
              <w:t>、道路</w:t>
            </w:r>
            <w:r>
              <w:rPr>
                <w:rFonts w:hint="eastAsia" w:hAnsi="宋体"/>
                <w:color w:val="000000" w:themeColor="text1"/>
                <w:szCs w:val="21"/>
                <w:highlight w:val="none"/>
                <w14:textFill>
                  <w14:solidFill>
                    <w14:schemeClr w14:val="tx1"/>
                  </w14:solidFill>
                </w14:textFill>
              </w:rPr>
              <w:t>已</w:t>
            </w:r>
            <w:r>
              <w:rPr>
                <w:rFonts w:hAnsi="宋体"/>
                <w:color w:val="000000" w:themeColor="text1"/>
                <w:szCs w:val="21"/>
                <w:highlight w:val="none"/>
                <w14:textFill>
                  <w14:solidFill>
                    <w14:schemeClr w14:val="tx1"/>
                  </w14:solidFill>
                </w14:textFill>
              </w:rPr>
              <w:t>进行硬化处理，不会产生生态影响。</w:t>
            </w:r>
          </w:p>
        </w:tc>
      </w:tr>
      <w:tr w14:paraId="6D5B1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687" w:type="dxa"/>
            <w:vAlign w:val="center"/>
          </w:tcPr>
          <w:p w14:paraId="11095A6B">
            <w:pPr>
              <w:adjustRightInd w:val="0"/>
              <w:snapToGrid w:val="0"/>
              <w:spacing w:line="320" w:lineRule="exact"/>
              <w:ind w:left="-105" w:leftChars="-50" w:right="-105" w:rightChars="-50"/>
              <w:jc w:val="center"/>
              <w:rPr>
                <w:color w:val="000000" w:themeColor="text1"/>
                <w:spacing w:val="-8"/>
                <w:szCs w:val="21"/>
                <w:highlight w:val="none"/>
                <w14:textFill>
                  <w14:solidFill>
                    <w14:schemeClr w14:val="tx1"/>
                  </w14:solidFill>
                </w14:textFill>
              </w:rPr>
            </w:pPr>
            <w:r>
              <w:rPr>
                <w:rFonts w:hAnsi="宋体"/>
                <w:color w:val="000000" w:themeColor="text1"/>
                <w:spacing w:val="-8"/>
                <w:szCs w:val="21"/>
                <w:highlight w:val="none"/>
                <w14:textFill>
                  <w14:solidFill>
                    <w14:schemeClr w14:val="tx1"/>
                  </w14:solidFill>
                </w14:textFill>
              </w:rPr>
              <w:t>环境风险防范措施</w:t>
            </w:r>
          </w:p>
        </w:tc>
        <w:tc>
          <w:tcPr>
            <w:tcW w:w="8113" w:type="dxa"/>
            <w:gridSpan w:val="5"/>
            <w:vAlign w:val="center"/>
          </w:tcPr>
          <w:p w14:paraId="493B57AB">
            <w:pPr>
              <w:adjustRightInd w:val="0"/>
              <w:snapToGrid w:val="0"/>
              <w:spacing w:line="400" w:lineRule="exact"/>
              <w:ind w:left="-105" w:leftChars="-50" w:right="-105" w:rightChars="-50"/>
              <w:jc w:val="left"/>
              <w:rPr>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①</w:t>
            </w:r>
            <w:r>
              <w:rPr>
                <w:bCs/>
                <w:color w:val="000000" w:themeColor="text1"/>
                <w:szCs w:val="21"/>
                <w:highlight w:val="none"/>
                <w14:textFill>
                  <w14:solidFill>
                    <w14:schemeClr w14:val="tx1"/>
                  </w14:solidFill>
                </w14:textFill>
              </w:rPr>
              <w:t>建立定时巡查制度，对天然气各泄漏点：法兰、阀门、泵、仪表、管道、设备等相连接之处，定时检查记录，建立台</w:t>
            </w:r>
            <w:r>
              <w:rPr>
                <w:rFonts w:hint="eastAsia"/>
                <w:bCs/>
                <w:color w:val="000000" w:themeColor="text1"/>
                <w:szCs w:val="21"/>
                <w:highlight w:val="none"/>
                <w14:textFill>
                  <w14:solidFill>
                    <w14:schemeClr w14:val="tx1"/>
                  </w14:solidFill>
                </w14:textFill>
              </w:rPr>
              <w:t>账</w:t>
            </w:r>
            <w:r>
              <w:rPr>
                <w:bCs/>
                <w:color w:val="000000" w:themeColor="text1"/>
                <w:szCs w:val="21"/>
                <w:highlight w:val="none"/>
                <w14:textFill>
                  <w14:solidFill>
                    <w14:schemeClr w14:val="tx1"/>
                  </w14:solidFill>
                </w14:textFill>
              </w:rPr>
              <w:t>；对有泄漏现象和迹象者及时采取处理措施。</w:t>
            </w:r>
            <w:r>
              <w:rPr>
                <w:rFonts w:hint="eastAsia"/>
                <w:bCs/>
                <w:color w:val="000000" w:themeColor="text1"/>
                <w:szCs w:val="21"/>
                <w:highlight w:val="none"/>
                <w14:textFill>
                  <w14:solidFill>
                    <w14:schemeClr w14:val="tx1"/>
                  </w14:solidFill>
                </w14:textFill>
              </w:rPr>
              <w:t>②</w:t>
            </w:r>
            <w:r>
              <w:rPr>
                <w:bCs/>
                <w:color w:val="000000" w:themeColor="text1"/>
                <w:szCs w:val="21"/>
                <w:highlight w:val="none"/>
                <w14:textFill>
                  <w14:solidFill>
                    <w14:schemeClr w14:val="tx1"/>
                  </w14:solidFill>
                </w14:textFill>
              </w:rPr>
              <w:t>天然气泄漏后立即切断气源，停止供气关闭阀门。</w:t>
            </w:r>
            <w:r>
              <w:rPr>
                <w:rFonts w:hint="eastAsia"/>
                <w:bCs/>
                <w:color w:val="000000" w:themeColor="text1"/>
                <w:szCs w:val="21"/>
                <w:highlight w:val="none"/>
                <w14:textFill>
                  <w14:solidFill>
                    <w14:schemeClr w14:val="tx1"/>
                  </w14:solidFill>
                </w14:textFill>
              </w:rPr>
              <w:t>③</w:t>
            </w:r>
            <w:r>
              <w:rPr>
                <w:bCs/>
                <w:color w:val="000000" w:themeColor="text1"/>
                <w:szCs w:val="21"/>
                <w:highlight w:val="none"/>
                <w14:textFill>
                  <w14:solidFill>
                    <w14:schemeClr w14:val="tx1"/>
                  </w14:solidFill>
                </w14:textFill>
              </w:rPr>
              <w:t>配备相应品种和数量的消防器材及泄漏应急处理设备。制定风险应急措施，一旦发生泄漏，及时采取措施。</w:t>
            </w:r>
            <w:r>
              <w:rPr>
                <w:rFonts w:hint="eastAsia"/>
                <w:bCs/>
                <w:color w:val="000000" w:themeColor="text1"/>
                <w:szCs w:val="21"/>
                <w:highlight w:val="none"/>
                <w14:textFill>
                  <w14:solidFill>
                    <w14:schemeClr w14:val="tx1"/>
                  </w14:solidFill>
                </w14:textFill>
              </w:rPr>
              <w:t>④</w:t>
            </w:r>
            <w:r>
              <w:rPr>
                <w:bCs/>
                <w:color w:val="000000" w:themeColor="text1"/>
                <w:szCs w:val="21"/>
                <w:highlight w:val="none"/>
                <w14:textFill>
                  <w14:solidFill>
                    <w14:schemeClr w14:val="tx1"/>
                  </w14:solidFill>
                </w14:textFill>
              </w:rPr>
              <w:t>在废润滑油的转移、运输过程中，重点通过一些管理措施来预防转移和运输过程中发生的泄漏风险，如运输单位或个人应按规定申办准运手续，驾驶员、押运员应经专门培训，使用达到规定的技术标准运输车辆，严禁超载和不按规定时段、路线运行，禁止违章驾驶等。</w:t>
            </w:r>
            <w:r>
              <w:rPr>
                <w:rFonts w:hint="eastAsia"/>
                <w:bCs/>
                <w:color w:val="000000" w:themeColor="text1"/>
                <w:szCs w:val="21"/>
                <w:highlight w:val="none"/>
                <w14:textFill>
                  <w14:solidFill>
                    <w14:schemeClr w14:val="tx1"/>
                  </w14:solidFill>
                </w14:textFill>
              </w:rPr>
              <w:t>⑤</w:t>
            </w:r>
            <w:r>
              <w:rPr>
                <w:bCs/>
                <w:color w:val="000000" w:themeColor="text1"/>
                <w:szCs w:val="21"/>
                <w:highlight w:val="none"/>
                <w14:textFill>
                  <w14:solidFill>
                    <w14:schemeClr w14:val="tx1"/>
                  </w14:solidFill>
                </w14:textFill>
              </w:rPr>
              <w:t>制定危险废物暂存间的日常巡查制度，定期指派专人负责巡查。</w:t>
            </w:r>
            <w:r>
              <w:rPr>
                <w:rFonts w:hint="eastAsia"/>
                <w:bCs/>
                <w:color w:val="000000" w:themeColor="text1"/>
                <w:szCs w:val="21"/>
                <w:highlight w:val="none"/>
                <w14:textFill>
                  <w14:solidFill>
                    <w14:schemeClr w14:val="tx1"/>
                  </w14:solidFill>
                </w14:textFill>
              </w:rPr>
              <w:t>⑥</w:t>
            </w:r>
            <w:r>
              <w:rPr>
                <w:bCs/>
                <w:color w:val="000000" w:themeColor="text1"/>
                <w:szCs w:val="21"/>
                <w:highlight w:val="none"/>
                <w14:textFill>
                  <w14:solidFill>
                    <w14:schemeClr w14:val="tx1"/>
                  </w14:solidFill>
                </w14:textFill>
              </w:rPr>
              <w:t>加强管理，制定相应的规章制度。运营期严格杜绝矿物油的跑、冒、滴、漏现象的发生，同时要防火、防爆、防雷击，注意安全，杜绝一切不安全因素造成的对周围环境的影响。</w:t>
            </w:r>
          </w:p>
        </w:tc>
      </w:tr>
      <w:tr w14:paraId="73996B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687" w:type="dxa"/>
            <w:vAlign w:val="center"/>
          </w:tcPr>
          <w:p w14:paraId="08346639">
            <w:pPr>
              <w:adjustRightInd w:val="0"/>
              <w:snapToGrid w:val="0"/>
              <w:spacing w:line="320" w:lineRule="exact"/>
              <w:ind w:left="-105" w:leftChars="-50" w:right="-105" w:rightChars="-50"/>
              <w:jc w:val="center"/>
              <w:rPr>
                <w:color w:val="000000" w:themeColor="text1"/>
                <w:spacing w:val="-8"/>
                <w:szCs w:val="21"/>
                <w:highlight w:val="none"/>
                <w14:textFill>
                  <w14:solidFill>
                    <w14:schemeClr w14:val="tx1"/>
                  </w14:solidFill>
                </w14:textFill>
              </w:rPr>
            </w:pPr>
            <w:r>
              <w:rPr>
                <w:rFonts w:hAnsi="宋体"/>
                <w:color w:val="000000" w:themeColor="text1"/>
                <w:spacing w:val="-8"/>
                <w:szCs w:val="21"/>
                <w:highlight w:val="none"/>
                <w14:textFill>
                  <w14:solidFill>
                    <w14:schemeClr w14:val="tx1"/>
                  </w14:solidFill>
                </w14:textFill>
              </w:rPr>
              <w:t>其他环境管理要求</w:t>
            </w:r>
          </w:p>
        </w:tc>
        <w:tc>
          <w:tcPr>
            <w:tcW w:w="8113" w:type="dxa"/>
            <w:gridSpan w:val="5"/>
            <w:vAlign w:val="center"/>
          </w:tcPr>
          <w:p w14:paraId="68080377">
            <w:pPr>
              <w:adjustRightInd w:val="0"/>
              <w:snapToGrid w:val="0"/>
              <w:spacing w:line="440" w:lineRule="exact"/>
              <w:ind w:left="-105" w:leftChars="-50" w:right="-105" w:rightChars="-5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rFonts w:hAnsi="宋体"/>
                <w:color w:val="000000" w:themeColor="text1"/>
                <w:szCs w:val="21"/>
                <w:highlight w:val="none"/>
                <w14:textFill>
                  <w14:solidFill>
                    <w14:schemeClr w14:val="tx1"/>
                  </w14:solidFill>
                </w14:textFill>
              </w:rPr>
              <w:t>、环境管理机构及主要职责</w:t>
            </w:r>
          </w:p>
          <w:p w14:paraId="510660A2">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根据有关环境管理和环境监测的规定，企业应设立环保管理机构，配备环保管理专业人员</w:t>
            </w:r>
            <w:r>
              <w:rPr>
                <w:color w:val="000000" w:themeColor="text1"/>
                <w:szCs w:val="21"/>
                <w:highlight w:val="none"/>
                <w14:textFill>
                  <w14:solidFill>
                    <w14:schemeClr w14:val="tx1"/>
                  </w14:solidFill>
                </w14:textFill>
              </w:rPr>
              <w:t>1</w:t>
            </w:r>
            <w:r>
              <w:rPr>
                <w:rFonts w:hAnsi="宋体"/>
                <w:color w:val="000000" w:themeColor="text1"/>
                <w:szCs w:val="21"/>
                <w:highlight w:val="none"/>
                <w14:textFill>
                  <w14:solidFill>
                    <w14:schemeClr w14:val="tx1"/>
                  </w14:solidFill>
                </w14:textFill>
              </w:rPr>
              <w:t>名，负责全场的环境管理、污染源治理及监测管理工作。</w:t>
            </w:r>
          </w:p>
          <w:p w14:paraId="0A9A545B">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①贯彻执行《中华人民共和国环境保护法》及其相关法律法规，建立污染控制管理档案。</w:t>
            </w:r>
          </w:p>
          <w:p w14:paraId="7BF204DD">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②掌握本企业污染源治理工艺原理，设备运行及运行维修资料，建立污染控制管理档案。</w:t>
            </w:r>
          </w:p>
          <w:p w14:paraId="2A5DF75B">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③定期检查企业环保设施的运行，即时进行维修，确保环保设施的正常运行，领导和组织本企业的环境监测工作，防止污染事故的发生。</w:t>
            </w:r>
          </w:p>
          <w:p w14:paraId="149975ED">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④制定生产项目中各污染物的排放指标和各项环保设施的运行指标，定期考核统计。</w:t>
            </w:r>
          </w:p>
          <w:p w14:paraId="141584CB">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⑤推广应用先进的污染源治理技术和环保管理经验，定期培训全厂员工。搞好环境保护的宣传工作，提高员工的环境保护意识。</w:t>
            </w:r>
          </w:p>
          <w:p w14:paraId="6B087554">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⑥监督项目环保设施的安装调试工作。</w:t>
            </w:r>
          </w:p>
          <w:p w14:paraId="32854CB5">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⑦搞好场区绿化工作。</w:t>
            </w:r>
          </w:p>
          <w:p w14:paraId="568E8129">
            <w:pPr>
              <w:adjustRightInd w:val="0"/>
              <w:snapToGrid w:val="0"/>
              <w:spacing w:line="440" w:lineRule="exact"/>
              <w:ind w:left="-105" w:leftChars="-50" w:right="-105" w:rightChars="-50"/>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w:t>
            </w:r>
            <w:r>
              <w:rPr>
                <w:rFonts w:hAnsi="宋体"/>
                <w:bCs/>
                <w:color w:val="000000" w:themeColor="text1"/>
                <w:szCs w:val="21"/>
                <w:highlight w:val="none"/>
                <w14:textFill>
                  <w14:solidFill>
                    <w14:schemeClr w14:val="tx1"/>
                  </w14:solidFill>
                </w14:textFill>
              </w:rPr>
              <w:t>、</w:t>
            </w:r>
            <w:r>
              <w:rPr>
                <w:rFonts w:hint="eastAsia" w:hAnsi="宋体"/>
                <w:bCs/>
                <w:color w:val="000000" w:themeColor="text1"/>
                <w:szCs w:val="21"/>
                <w:highlight w:val="none"/>
                <w14:textFill>
                  <w14:solidFill>
                    <w14:schemeClr w14:val="tx1"/>
                  </w14:solidFill>
                </w14:textFill>
              </w:rPr>
              <w:t>企业环境信息披露</w:t>
            </w:r>
          </w:p>
          <w:p w14:paraId="310662EA">
            <w:pPr>
              <w:adjustRightInd w:val="0"/>
              <w:snapToGrid w:val="0"/>
              <w:spacing w:line="440" w:lineRule="exact"/>
              <w:ind w:left="-105" w:leftChars="-50" w:right="-105" w:rightChars="-5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2.1 企业年度环境信息依法披露</w:t>
            </w:r>
          </w:p>
          <w:p w14:paraId="6FB5E9F0">
            <w:pPr>
              <w:adjustRightInd w:val="0"/>
              <w:snapToGrid w:val="0"/>
              <w:spacing w:line="440" w:lineRule="exact"/>
              <w:ind w:left="-105" w:leftChars="-50" w:right="-105" w:rightChars="-50" w:firstLine="42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根据《企业环境信息依法披露管理办法》（生态环境部令第24号）规定，企业是环境信息依法披露的责任主体，应当建立健全环境信息依法披露管理制度，规范工作规程，明确工作职责，建立准确的环境信息管理台账，妥善保存相关原始记录，科学统计归集相关环境信息。企业披露涉及国家秘密、战略高新技术和重要领域核心关键技术、商业秘密的环境信息，依照有关法律法规的规定执行；涉及重大环境信息披露的，应当按照国家有关规定请示报告。</w:t>
            </w:r>
          </w:p>
          <w:p w14:paraId="5C8AA191">
            <w:pPr>
              <w:adjustRightInd w:val="0"/>
              <w:snapToGrid w:val="0"/>
              <w:spacing w:line="440" w:lineRule="exact"/>
              <w:ind w:left="-105" w:leftChars="-50" w:right="-105" w:rightChars="-5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2.2 企业年度环境信息依法披露报告应当包括内容</w:t>
            </w:r>
          </w:p>
          <w:p w14:paraId="62ABA8DE">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⑴</w:t>
            </w:r>
            <w:r>
              <w:rPr>
                <w:rFonts w:hint="eastAsia" w:hAnsi="宋体"/>
                <w:color w:val="000000" w:themeColor="text1"/>
                <w:szCs w:val="21"/>
                <w:highlight w:val="none"/>
                <w14:textFill>
                  <w14:solidFill>
                    <w14:schemeClr w14:val="tx1"/>
                  </w14:solidFill>
                </w14:textFill>
              </w:rPr>
              <w:t>企业基本信息，包括企业生产和生态环境保护等方面的基础信息；</w:t>
            </w:r>
          </w:p>
          <w:p w14:paraId="6025DBFA">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⑵</w:t>
            </w:r>
            <w:r>
              <w:rPr>
                <w:rFonts w:hint="eastAsia" w:hAnsi="宋体"/>
                <w:color w:val="000000" w:themeColor="text1"/>
                <w:szCs w:val="21"/>
                <w:highlight w:val="none"/>
                <w14:textFill>
                  <w14:solidFill>
                    <w14:schemeClr w14:val="tx1"/>
                  </w14:solidFill>
                </w14:textFill>
              </w:rPr>
              <w:t>企业环境管理信息，包括生态环境行政许可、环境保护税、环境污染责任保险、环保信用评价等方面的信息；</w:t>
            </w:r>
          </w:p>
          <w:p w14:paraId="2289677E">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⑶</w:t>
            </w:r>
            <w:r>
              <w:rPr>
                <w:rFonts w:hint="eastAsia" w:hAnsi="宋体"/>
                <w:color w:val="000000" w:themeColor="text1"/>
                <w:szCs w:val="21"/>
                <w:highlight w:val="none"/>
                <w14:textFill>
                  <w14:solidFill>
                    <w14:schemeClr w14:val="tx1"/>
                  </w14:solidFill>
                </w14:textFill>
              </w:rPr>
              <w:t>污染物产生、治理与排放信息，包括污染防治设施，污染物排放，有毒有害物质排放，工业固体废物和危险废物产生、贮存、流向、利用、处置，自行监测等方面的信息；</w:t>
            </w:r>
          </w:p>
          <w:p w14:paraId="37361E70">
            <w:pPr>
              <w:adjustRightInd w:val="0"/>
              <w:snapToGrid w:val="0"/>
              <w:spacing w:line="440" w:lineRule="exact"/>
              <w:ind w:left="-105" w:leftChars="-50" w:right="-105" w:rightChars="-50" w:firstLine="42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⑷</w:t>
            </w:r>
            <w:r>
              <w:rPr>
                <w:rFonts w:hint="eastAsia" w:hAnsi="宋体"/>
                <w:color w:val="000000" w:themeColor="text1"/>
                <w:szCs w:val="21"/>
                <w:highlight w:val="none"/>
                <w14:textFill>
                  <w14:solidFill>
                    <w14:schemeClr w14:val="tx1"/>
                  </w14:solidFill>
                </w14:textFill>
              </w:rPr>
              <w:t>碳排放信息，包括排放量、排放设施等方面的信息；</w:t>
            </w:r>
          </w:p>
          <w:p w14:paraId="290BBC33">
            <w:pPr>
              <w:adjustRightInd w:val="0"/>
              <w:snapToGrid w:val="0"/>
              <w:spacing w:line="440" w:lineRule="exact"/>
              <w:ind w:left="-105" w:leftChars="-50" w:right="-105" w:rightChars="-50" w:firstLine="42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⑸</w:t>
            </w:r>
            <w:r>
              <w:rPr>
                <w:rFonts w:hint="eastAsia" w:hAnsi="宋体"/>
                <w:color w:val="000000" w:themeColor="text1"/>
                <w:szCs w:val="21"/>
                <w:highlight w:val="none"/>
                <w14:textFill>
                  <w14:solidFill>
                    <w14:schemeClr w14:val="tx1"/>
                  </w14:solidFill>
                </w14:textFill>
              </w:rPr>
              <w:t>生态环境应急信息，包括突发环境事件应急预案、重污染天气应急响应等方面的信息；</w:t>
            </w:r>
          </w:p>
          <w:p w14:paraId="08D1A0BE">
            <w:pPr>
              <w:adjustRightInd w:val="0"/>
              <w:snapToGrid w:val="0"/>
              <w:spacing w:line="440" w:lineRule="exact"/>
              <w:ind w:left="-105" w:leftChars="-50" w:right="-105" w:rightChars="-50" w:firstLine="42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⑹</w:t>
            </w:r>
            <w:r>
              <w:rPr>
                <w:rFonts w:hint="eastAsia" w:hAnsi="宋体"/>
                <w:color w:val="000000" w:themeColor="text1"/>
                <w:szCs w:val="21"/>
                <w:highlight w:val="none"/>
                <w14:textFill>
                  <w14:solidFill>
                    <w14:schemeClr w14:val="tx1"/>
                  </w14:solidFill>
                </w14:textFill>
              </w:rPr>
              <w:t>生态环境违法信息；</w:t>
            </w:r>
          </w:p>
          <w:p w14:paraId="240DF7DA">
            <w:pPr>
              <w:adjustRightInd w:val="0"/>
              <w:snapToGrid w:val="0"/>
              <w:spacing w:line="440" w:lineRule="exact"/>
              <w:ind w:left="-105" w:leftChars="-50" w:right="-105" w:rightChars="-50" w:firstLine="420"/>
              <w:rPr>
                <w:rFonts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⑺</w:t>
            </w:r>
            <w:r>
              <w:rPr>
                <w:rFonts w:hint="eastAsia" w:hAnsi="宋体"/>
                <w:color w:val="000000" w:themeColor="text1"/>
                <w:szCs w:val="21"/>
                <w:highlight w:val="none"/>
                <w14:textFill>
                  <w14:solidFill>
                    <w14:schemeClr w14:val="tx1"/>
                  </w14:solidFill>
                </w14:textFill>
              </w:rPr>
              <w:t>本年度临时环境信息依法披露情况；</w:t>
            </w:r>
          </w:p>
          <w:p w14:paraId="085505DB">
            <w:pPr>
              <w:adjustRightInd w:val="0"/>
              <w:snapToGrid w:val="0"/>
              <w:spacing w:line="440" w:lineRule="exact"/>
              <w:ind w:left="-105" w:leftChars="-50" w:right="-105" w:rightChars="-50" w:firstLine="420"/>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⑻</w:t>
            </w:r>
            <w:r>
              <w:rPr>
                <w:color w:val="000000" w:themeColor="text1"/>
                <w:highlight w:val="none"/>
                <w14:textFill>
                  <w14:solidFill>
                    <w14:schemeClr w14:val="tx1"/>
                  </w14:solidFill>
                </w14:textFill>
              </w:rPr>
              <w:t>法律法规规定的其他环境信息。</w:t>
            </w:r>
          </w:p>
          <w:p w14:paraId="427C10DE">
            <w:pPr>
              <w:adjustRightInd w:val="0"/>
              <w:snapToGrid w:val="0"/>
              <w:spacing w:line="440" w:lineRule="exact"/>
              <w:ind w:left="-105" w:leftChars="-50" w:right="-105" w:rightChar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.3 企业年度环境信息依法披露报告要求及时限</w:t>
            </w:r>
          </w:p>
          <w:p w14:paraId="2A87B1A2">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设区的市级生态环境主管部门组织制定本行政区域内的环境信息依法披露企业名单，企业根据名单要求，应当于每年3月15日前披露上一年度1月1日至12月31日的环境信息。</w:t>
            </w:r>
          </w:p>
          <w:p w14:paraId="7B3215B4">
            <w:pPr>
              <w:adjustRightInd w:val="0"/>
              <w:snapToGrid w:val="0"/>
              <w:spacing w:line="440" w:lineRule="exact"/>
              <w:ind w:left="-105" w:leftChars="-50" w:right="-105" w:rightChars="-5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rFonts w:hAnsi="宋体"/>
                <w:color w:val="000000" w:themeColor="text1"/>
                <w:szCs w:val="21"/>
                <w:highlight w:val="none"/>
                <w14:textFill>
                  <w14:solidFill>
                    <w14:schemeClr w14:val="tx1"/>
                  </w14:solidFill>
                </w14:textFill>
              </w:rPr>
              <w:t>、排污口规范化管理</w:t>
            </w:r>
          </w:p>
          <w:p w14:paraId="6CBEE89F">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排污口是企业污染物进入受纳环境的通道，做好排污口管理是实施污染物总量控制和达标排放的基础工作之一，必须实行规范化管理。</w:t>
            </w:r>
          </w:p>
          <w:p w14:paraId="72E16642">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⑴排污口的设置</w:t>
            </w:r>
          </w:p>
          <w:p w14:paraId="09AAB477">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废气：</w:t>
            </w:r>
            <w:r>
              <w:rPr>
                <w:rFonts w:hint="eastAsia" w:hAnsi="宋体"/>
                <w:color w:val="000000" w:themeColor="text1"/>
                <w:szCs w:val="21"/>
                <w:highlight w:val="none"/>
                <w14:textFill>
                  <w14:solidFill>
                    <w14:schemeClr w14:val="tx1"/>
                  </w14:solidFill>
                </w14:textFill>
              </w:rPr>
              <w:t>本项目利用现有7</w:t>
            </w:r>
            <w:r>
              <w:rPr>
                <w:rFonts w:hAnsi="宋体"/>
                <w:color w:val="000000" w:themeColor="text1"/>
                <w:szCs w:val="21"/>
                <w:highlight w:val="none"/>
                <w14:textFill>
                  <w14:solidFill>
                    <w14:schemeClr w14:val="tx1"/>
                  </w14:solidFill>
                </w14:textFill>
              </w:rPr>
              <w:t>个废气排放口，</w:t>
            </w:r>
            <w:r>
              <w:rPr>
                <w:rFonts w:hint="eastAsia" w:hAnsi="宋体"/>
                <w:color w:val="000000" w:themeColor="text1"/>
                <w:szCs w:val="21"/>
                <w:highlight w:val="none"/>
                <w14:textFill>
                  <w14:solidFill>
                    <w14:schemeClr w14:val="tx1"/>
                  </w14:solidFill>
                </w14:textFill>
              </w:rPr>
              <w:t>不新增排气筒</w:t>
            </w:r>
            <w:r>
              <w:rPr>
                <w:rFonts w:hAnsi="宋体"/>
                <w:color w:val="000000" w:themeColor="text1"/>
                <w:szCs w:val="21"/>
                <w:highlight w:val="none"/>
                <w14:textFill>
                  <w14:solidFill>
                    <w14:schemeClr w14:val="tx1"/>
                  </w14:solidFill>
                </w14:textFill>
              </w:rPr>
              <w:t>。</w:t>
            </w:r>
          </w:p>
          <w:p w14:paraId="3B3AD061">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废水：</w:t>
            </w:r>
            <w:r>
              <w:rPr>
                <w:rFonts w:hint="eastAsia" w:hAnsi="宋体"/>
                <w:color w:val="000000" w:themeColor="text1"/>
                <w:szCs w:val="21"/>
                <w:highlight w:val="none"/>
                <w14:textFill>
                  <w14:solidFill>
                    <w14:schemeClr w14:val="tx1"/>
                  </w14:solidFill>
                </w14:textFill>
              </w:rPr>
              <w:t>本项目无废水</w:t>
            </w:r>
            <w:r>
              <w:rPr>
                <w:rFonts w:hAnsi="宋体"/>
                <w:color w:val="000000" w:themeColor="text1"/>
                <w:szCs w:val="21"/>
                <w:highlight w:val="none"/>
                <w14:textFill>
                  <w14:solidFill>
                    <w14:schemeClr w14:val="tx1"/>
                  </w14:solidFill>
                </w14:textFill>
              </w:rPr>
              <w:t>排放口。</w:t>
            </w:r>
          </w:p>
          <w:p w14:paraId="06BB7616">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⑵排污口管理的原则</w:t>
            </w:r>
          </w:p>
          <w:p w14:paraId="6F2BBDB6">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①向环境排放污染物的排污口必须规范化。</w:t>
            </w:r>
          </w:p>
          <w:p w14:paraId="5F2BD350">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②排污口应便于采样与计量监测，便于日常监督检查。</w:t>
            </w:r>
          </w:p>
          <w:p w14:paraId="42AEA3AF">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⑶排污口立标和建档</w:t>
            </w:r>
          </w:p>
          <w:p w14:paraId="0534311B">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p>
          <w:p w14:paraId="3C095148">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①排污口立标管理</w:t>
            </w:r>
          </w:p>
          <w:p w14:paraId="74D1212A">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污染物排放口和固体废物贮存场所应按《环境保护图形标志－排污口(源)》（GBl5562.1-1995）</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《环境保护图形标志—固体废物贮存（处置）场》（GB 15562.2-1995）</w:t>
            </w:r>
            <w:r>
              <w:rPr>
                <w:rFonts w:hint="eastAsia"/>
                <w:color w:val="000000" w:themeColor="text1"/>
                <w:highlight w:val="none"/>
                <w14:textFill>
                  <w14:solidFill>
                    <w14:schemeClr w14:val="tx1"/>
                  </w14:solidFill>
                </w14:textFill>
              </w:rPr>
              <w:t>及</w:t>
            </w:r>
            <w:r>
              <w:rPr>
                <w:color w:val="000000" w:themeColor="text1"/>
                <w:highlight w:val="none"/>
                <w14:textFill>
                  <w14:solidFill>
                    <w14:schemeClr w14:val="tx1"/>
                  </w14:solidFill>
                </w14:textFill>
              </w:rPr>
              <w:t>修改单</w:t>
            </w:r>
            <w:r>
              <w:rPr>
                <w:color w:val="000000" w:themeColor="text1"/>
                <w:szCs w:val="21"/>
                <w:highlight w:val="none"/>
                <w14:textFill>
                  <w14:solidFill>
                    <w14:schemeClr w14:val="tx1"/>
                  </w14:solidFill>
                </w14:textFill>
              </w:rPr>
              <w:t>规定，设置统一制作的环境保护图形标志牌，污染物排放口设置提示性环境保护图形标志牌。</w:t>
            </w:r>
            <w:r>
              <w:rPr>
                <w:rFonts w:hint="eastAsia"/>
                <w:color w:val="000000" w:themeColor="text1"/>
                <w:szCs w:val="21"/>
                <w:highlight w:val="none"/>
                <w14:textFill>
                  <w14:solidFill>
                    <w14:schemeClr w14:val="tx1"/>
                  </w14:solidFill>
                </w14:textFill>
              </w:rPr>
              <w:t>标志牌设置位置在排污口(采样点)附近且醒目处，高度为标志牌上缘离地面2m。排污口附近1m范围内有建筑物的，设平面式标志牌，无建筑物的设立式标志牌。</w:t>
            </w:r>
          </w:p>
          <w:p w14:paraId="7A697D22">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各排放口设置标志牌见表5-1。</w:t>
            </w:r>
          </w:p>
          <w:p w14:paraId="2C7C0D96">
            <w:pPr>
              <w:tabs>
                <w:tab w:val="left" w:pos="1617"/>
              </w:tabs>
              <w:adjustRightInd w:val="0"/>
              <w:snapToGrid w:val="0"/>
              <w:spacing w:line="400" w:lineRule="exact"/>
              <w:ind w:left="-105" w:leftChars="-50" w:right="-105" w:rightChars="-50"/>
              <w:jc w:val="center"/>
              <w:rPr>
                <w:rFonts w:eastAsia="黑体"/>
                <w:bCs/>
                <w:color w:val="000000" w:themeColor="text1"/>
                <w:szCs w:val="21"/>
                <w:highlight w:val="none"/>
                <w14:textFill>
                  <w14:solidFill>
                    <w14:schemeClr w14:val="tx1"/>
                  </w14:solidFill>
                </w14:textFill>
              </w:rPr>
            </w:pPr>
            <w:r>
              <w:rPr>
                <w:rFonts w:eastAsia="黑体"/>
                <w:bCs/>
                <w:color w:val="000000" w:themeColor="text1"/>
                <w:szCs w:val="21"/>
                <w:highlight w:val="none"/>
                <w14:textFill>
                  <w14:solidFill>
                    <w14:schemeClr w14:val="tx1"/>
                  </w14:solidFill>
                </w14:textFill>
              </w:rPr>
              <w:t>表</w:t>
            </w:r>
            <w:r>
              <w:rPr>
                <w:rFonts w:hint="eastAsia" w:eastAsia="黑体"/>
                <w:bCs/>
                <w:color w:val="000000" w:themeColor="text1"/>
                <w:szCs w:val="21"/>
                <w:highlight w:val="none"/>
                <w14:textFill>
                  <w14:solidFill>
                    <w14:schemeClr w14:val="tx1"/>
                  </w14:solidFill>
                </w14:textFill>
              </w:rPr>
              <w:t>5-1</w:t>
            </w:r>
            <w:r>
              <w:rPr>
                <w:rFonts w:eastAsia="黑体"/>
                <w:bCs/>
                <w:color w:val="000000" w:themeColor="text1"/>
                <w:szCs w:val="21"/>
                <w:highlight w:val="none"/>
                <w14:textFill>
                  <w14:solidFill>
                    <w14:schemeClr w14:val="tx1"/>
                  </w14:solidFill>
                </w14:textFill>
              </w:rPr>
              <w:t xml:space="preserve">  排污口规范化要求及环保图形标识</w:t>
            </w:r>
          </w:p>
          <w:tbl>
            <w:tblPr>
              <w:tblStyle w:val="24"/>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19"/>
              <w:gridCol w:w="719"/>
              <w:gridCol w:w="3761"/>
              <w:gridCol w:w="2765"/>
            </w:tblGrid>
            <w:tr w14:paraId="75E26F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93" w:type="pct"/>
                  <w:vAlign w:val="center"/>
                </w:tcPr>
                <w:p w14:paraId="78D5F335">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序号</w:t>
                  </w:r>
                </w:p>
              </w:tc>
              <w:tc>
                <w:tcPr>
                  <w:tcW w:w="457" w:type="pct"/>
                  <w:vAlign w:val="center"/>
                </w:tcPr>
                <w:p w14:paraId="458C08F7">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w:t>
                  </w:r>
                </w:p>
              </w:tc>
              <w:tc>
                <w:tcPr>
                  <w:tcW w:w="2391" w:type="pct"/>
                  <w:vAlign w:val="center"/>
                </w:tcPr>
                <w:p w14:paraId="18D54076">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要求</w:t>
                  </w:r>
                </w:p>
              </w:tc>
              <w:tc>
                <w:tcPr>
                  <w:tcW w:w="1758" w:type="pct"/>
                  <w:vAlign w:val="center"/>
                </w:tcPr>
                <w:p w14:paraId="5EE6704D">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环保图形标志</w:t>
                  </w:r>
                </w:p>
              </w:tc>
            </w:tr>
            <w:tr w14:paraId="33BE0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485" w:hRule="atLeast"/>
                <w:jc w:val="center"/>
              </w:trPr>
              <w:tc>
                <w:tcPr>
                  <w:tcW w:w="393" w:type="pct"/>
                  <w:vAlign w:val="center"/>
                </w:tcPr>
                <w:p w14:paraId="0FB3BFCE">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457" w:type="pct"/>
                  <w:vAlign w:val="center"/>
                </w:tcPr>
                <w:p w14:paraId="5A7E04D4">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w:t>
                  </w:r>
                </w:p>
              </w:tc>
              <w:tc>
                <w:tcPr>
                  <w:tcW w:w="2391" w:type="pct"/>
                  <w:vAlign w:val="center"/>
                </w:tcPr>
                <w:p w14:paraId="12FBEAF6">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排气筒应设置便于采样、监测的采样口，采样口的设置应符合《污染源监测技术规范》要求</w:t>
                  </w:r>
                  <w:r>
                    <w:rPr>
                      <w:rFonts w:hint="eastAsia"/>
                      <w:color w:val="000000" w:themeColor="text1"/>
                      <w:szCs w:val="21"/>
                      <w:highlight w:val="none"/>
                      <w14:textFill>
                        <w14:solidFill>
                          <w14:schemeClr w14:val="tx1"/>
                        </w14:solidFill>
                      </w14:textFill>
                    </w:rPr>
                    <w:t>。</w:t>
                  </w:r>
                </w:p>
              </w:tc>
              <w:tc>
                <w:tcPr>
                  <w:tcW w:w="1758" w:type="pct"/>
                  <w:vAlign w:val="center"/>
                </w:tcPr>
                <w:p w14:paraId="6A20B4EF">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drawing>
                      <wp:inline distT="0" distB="0" distL="0" distR="0">
                        <wp:extent cx="1257300" cy="933450"/>
                        <wp:effectExtent l="19050" t="0" r="0" b="0"/>
                        <wp:docPr id="1" name="图片 2" descr="废气标示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废气标示牌"/>
                                <pic:cNvPicPr>
                                  <a:picLocks noChangeAspect="1" noChangeArrowheads="1"/>
                                </pic:cNvPicPr>
                              </pic:nvPicPr>
                              <pic:blipFill>
                                <a:blip r:embed="rId12"/>
                                <a:srcRect/>
                                <a:stretch>
                                  <a:fillRect/>
                                </a:stretch>
                              </pic:blipFill>
                              <pic:spPr>
                                <a:xfrm>
                                  <a:off x="0" y="0"/>
                                  <a:ext cx="1257300" cy="933450"/>
                                </a:xfrm>
                                <a:prstGeom prst="rect">
                                  <a:avLst/>
                                </a:prstGeom>
                                <a:noFill/>
                                <a:ln w="9525">
                                  <a:noFill/>
                                  <a:miter lim="800000"/>
                                  <a:headEnd/>
                                  <a:tailEnd/>
                                </a:ln>
                              </pic:spPr>
                            </pic:pic>
                          </a:graphicData>
                        </a:graphic>
                      </wp:inline>
                    </w:drawing>
                  </w:r>
                </w:p>
              </w:tc>
            </w:tr>
            <w:tr w14:paraId="5E1384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393" w:type="pct"/>
                  <w:vAlign w:val="center"/>
                </w:tcPr>
                <w:p w14:paraId="17EA875E">
                  <w:pPr>
                    <w:spacing w:line="240" w:lineRule="auto"/>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w:t>
                  </w:r>
                </w:p>
              </w:tc>
              <w:tc>
                <w:tcPr>
                  <w:tcW w:w="457" w:type="pct"/>
                  <w:vAlign w:val="center"/>
                </w:tcPr>
                <w:p w14:paraId="75C9BCF7">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噪声</w:t>
                  </w:r>
                </w:p>
              </w:tc>
              <w:tc>
                <w:tcPr>
                  <w:tcW w:w="2391" w:type="pct"/>
                  <w:vAlign w:val="center"/>
                </w:tcPr>
                <w:p w14:paraId="24995536">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应按照《工业企业厂界噪声测量方法》（GB12349）的规定，设置环境噪声监测点，并在该处附近醒目位置设置与之相符的环境保护图形标示牌</w:t>
                  </w:r>
                </w:p>
              </w:tc>
              <w:tc>
                <w:tcPr>
                  <w:tcW w:w="1758" w:type="pct"/>
                  <w:vAlign w:val="center"/>
                </w:tcPr>
                <w:p w14:paraId="18A66222">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drawing>
                      <wp:inline distT="0" distB="0" distL="0" distR="0">
                        <wp:extent cx="1285875" cy="990600"/>
                        <wp:effectExtent l="19050" t="0" r="9525" b="0"/>
                        <wp:docPr id="3" name="图片 4" descr="13592101_14052502835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13592101_140525028352_2"/>
                                <pic:cNvPicPr>
                                  <a:picLocks noChangeAspect="1" noChangeArrowheads="1"/>
                                </pic:cNvPicPr>
                              </pic:nvPicPr>
                              <pic:blipFill>
                                <a:blip r:embed="rId13"/>
                                <a:srcRect/>
                                <a:stretch>
                                  <a:fillRect/>
                                </a:stretch>
                              </pic:blipFill>
                              <pic:spPr>
                                <a:xfrm>
                                  <a:off x="0" y="0"/>
                                  <a:ext cx="1285875" cy="990600"/>
                                </a:xfrm>
                                <a:prstGeom prst="rect">
                                  <a:avLst/>
                                </a:prstGeom>
                                <a:noFill/>
                                <a:ln w="9525">
                                  <a:noFill/>
                                  <a:miter lim="800000"/>
                                  <a:headEnd/>
                                  <a:tailEnd/>
                                </a:ln>
                              </pic:spPr>
                            </pic:pic>
                          </a:graphicData>
                        </a:graphic>
                      </wp:inline>
                    </w:drawing>
                  </w:r>
                </w:p>
              </w:tc>
            </w:tr>
            <w:tr w14:paraId="5EB7B2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441" w:hRule="atLeast"/>
                <w:jc w:val="center"/>
              </w:trPr>
              <w:tc>
                <w:tcPr>
                  <w:tcW w:w="393" w:type="pct"/>
                  <w:vMerge w:val="restart"/>
                  <w:vAlign w:val="center"/>
                </w:tcPr>
                <w:p w14:paraId="5DD423BC">
                  <w:pPr>
                    <w:spacing w:line="240" w:lineRule="auto"/>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w:t>
                  </w:r>
                </w:p>
              </w:tc>
              <w:tc>
                <w:tcPr>
                  <w:tcW w:w="457" w:type="pct"/>
                  <w:vMerge w:val="restart"/>
                  <w:vAlign w:val="center"/>
                </w:tcPr>
                <w:p w14:paraId="14DC89BE">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固体</w:t>
                  </w:r>
                </w:p>
                <w:p w14:paraId="1F07A6EA">
                  <w:pPr>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废物</w:t>
                  </w:r>
                </w:p>
              </w:tc>
              <w:tc>
                <w:tcPr>
                  <w:tcW w:w="2391" w:type="pct"/>
                  <w:vAlign w:val="center"/>
                </w:tcPr>
                <w:p w14:paraId="3D83185D">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项目一般固体废物应设置专用储存、处置场所。固体废物贮存必须规范化，并设置与之相符的环境保护图形标示牌</w:t>
                  </w:r>
                </w:p>
              </w:tc>
              <w:tc>
                <w:tcPr>
                  <w:tcW w:w="1758" w:type="pct"/>
                  <w:vAlign w:val="center"/>
                </w:tcPr>
                <w:p w14:paraId="6B78C0AE">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drawing>
                      <wp:inline distT="0" distB="0" distL="0" distR="0">
                        <wp:extent cx="1323975" cy="819150"/>
                        <wp:effectExtent l="19050" t="0" r="9525" b="0"/>
                        <wp:docPr id="4" name="图片 5" descr="TB2.Mf3g4hmpuFjSZFyXXcLdFXa_!!759074892.png_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TB2.Mf3g4hmpuFjSZFyXXcLdFXa_!!759074892.png_300x300"/>
                                <pic:cNvPicPr>
                                  <a:picLocks noChangeAspect="1" noChangeArrowheads="1"/>
                                </pic:cNvPicPr>
                              </pic:nvPicPr>
                              <pic:blipFill>
                                <a:blip r:embed="rId14"/>
                                <a:srcRect/>
                                <a:stretch>
                                  <a:fillRect/>
                                </a:stretch>
                              </pic:blipFill>
                              <pic:spPr>
                                <a:xfrm>
                                  <a:off x="0" y="0"/>
                                  <a:ext cx="1323975" cy="819150"/>
                                </a:xfrm>
                                <a:prstGeom prst="rect">
                                  <a:avLst/>
                                </a:prstGeom>
                                <a:noFill/>
                                <a:ln w="9525">
                                  <a:noFill/>
                                  <a:miter lim="800000"/>
                                  <a:headEnd/>
                                  <a:tailEnd/>
                                </a:ln>
                              </pic:spPr>
                            </pic:pic>
                          </a:graphicData>
                        </a:graphic>
                      </wp:inline>
                    </w:drawing>
                  </w:r>
                </w:p>
              </w:tc>
            </w:tr>
            <w:tr w14:paraId="4D9A0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441" w:hRule="atLeast"/>
                <w:jc w:val="center"/>
              </w:trPr>
              <w:tc>
                <w:tcPr>
                  <w:tcW w:w="393" w:type="pct"/>
                  <w:vMerge w:val="continue"/>
                  <w:vAlign w:val="center"/>
                </w:tcPr>
                <w:p w14:paraId="1E4E7898">
                  <w:pPr>
                    <w:spacing w:line="240" w:lineRule="auto"/>
                    <w:jc w:val="center"/>
                    <w:rPr>
                      <w:color w:val="000000" w:themeColor="text1"/>
                      <w:szCs w:val="21"/>
                      <w:highlight w:val="none"/>
                      <w14:textFill>
                        <w14:solidFill>
                          <w14:schemeClr w14:val="tx1"/>
                        </w14:solidFill>
                      </w14:textFill>
                    </w:rPr>
                  </w:pPr>
                </w:p>
              </w:tc>
              <w:tc>
                <w:tcPr>
                  <w:tcW w:w="457" w:type="pct"/>
                  <w:vMerge w:val="continue"/>
                  <w:vAlign w:val="center"/>
                </w:tcPr>
                <w:p w14:paraId="45975BC0">
                  <w:pPr>
                    <w:spacing w:line="240" w:lineRule="auto"/>
                    <w:jc w:val="center"/>
                    <w:rPr>
                      <w:color w:val="000000" w:themeColor="text1"/>
                      <w:szCs w:val="21"/>
                      <w:highlight w:val="none"/>
                      <w14:textFill>
                        <w14:solidFill>
                          <w14:schemeClr w14:val="tx1"/>
                        </w14:solidFill>
                      </w14:textFill>
                    </w:rPr>
                  </w:pPr>
                </w:p>
              </w:tc>
              <w:tc>
                <w:tcPr>
                  <w:tcW w:w="2391" w:type="pct"/>
                  <w:vAlign w:val="center"/>
                </w:tcPr>
                <w:p w14:paraId="799C9712">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项目危险废物应设置专用</w:t>
                  </w:r>
                  <w:r>
                    <w:rPr>
                      <w:rFonts w:hint="eastAsia"/>
                      <w:color w:val="000000" w:themeColor="text1"/>
                      <w:szCs w:val="21"/>
                      <w:highlight w:val="none"/>
                      <w14:textFill>
                        <w14:solidFill>
                          <w14:schemeClr w14:val="tx1"/>
                        </w14:solidFill>
                      </w14:textFill>
                    </w:rPr>
                    <w:t>贮存</w:t>
                  </w:r>
                  <w:r>
                    <w:rPr>
                      <w:color w:val="000000" w:themeColor="text1"/>
                      <w:szCs w:val="21"/>
                      <w:highlight w:val="none"/>
                      <w14:textFill>
                        <w14:solidFill>
                          <w14:schemeClr w14:val="tx1"/>
                        </w14:solidFill>
                      </w14:textFill>
                    </w:rPr>
                    <w:t>场所。危险废物贮存必须规范化，并设置与之相符的环境保护图形标示牌</w:t>
                  </w:r>
                  <w:r>
                    <w:rPr>
                      <w:rFonts w:hint="eastAsia"/>
                      <w:color w:val="000000" w:themeColor="text1"/>
                      <w:szCs w:val="21"/>
                      <w:highlight w:val="none"/>
                      <w14:textFill>
                        <w14:solidFill>
                          <w14:schemeClr w14:val="tx1"/>
                        </w14:solidFill>
                      </w14:textFill>
                    </w:rPr>
                    <w:t>。</w:t>
                  </w:r>
                </w:p>
              </w:tc>
              <w:tc>
                <w:tcPr>
                  <w:tcW w:w="1758" w:type="pct"/>
                  <w:vAlign w:val="center"/>
                </w:tcPr>
                <w:p w14:paraId="4059F8BE">
                  <w:pPr>
                    <w:autoSpaceDE w:val="0"/>
                    <w:autoSpaceDN w:val="0"/>
                    <w:adjustRightInd w:val="0"/>
                    <w:spacing w:line="240" w:lineRule="auto"/>
                    <w:jc w:val="center"/>
                    <w:rPr>
                      <w:color w:val="000000" w:themeColor="text1"/>
                      <w:szCs w:val="21"/>
                      <w:highlight w:val="none"/>
                      <w14:textFill>
                        <w14:solidFill>
                          <w14:schemeClr w14:val="tx1"/>
                        </w14:solidFill>
                      </w14:textFill>
                    </w:rPr>
                  </w:pPr>
                  <w:r>
                    <w:rPr>
                      <w:color w:val="000000" w:themeColor="text1"/>
                      <w:sz w:val="18"/>
                      <w:szCs w:val="18"/>
                      <w:highlight w:val="none"/>
                      <w14:textFill>
                        <w14:solidFill>
                          <w14:schemeClr w14:val="tx1"/>
                        </w14:solidFill>
                      </w14:textFill>
                    </w:rPr>
                    <w:drawing>
                      <wp:inline distT="0" distB="0" distL="0" distR="0">
                        <wp:extent cx="1371600" cy="866775"/>
                        <wp:effectExtent l="19050" t="0" r="0" b="0"/>
                        <wp:docPr id="5" name="图片 5" descr="新标识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新标识3"/>
                                <pic:cNvPicPr>
                                  <a:picLocks noChangeAspect="1" noChangeArrowheads="1"/>
                                </pic:cNvPicPr>
                              </pic:nvPicPr>
                              <pic:blipFill>
                                <a:blip r:embed="rId15" cstate="print"/>
                                <a:srcRect/>
                                <a:stretch>
                                  <a:fillRect/>
                                </a:stretch>
                              </pic:blipFill>
                              <pic:spPr>
                                <a:xfrm>
                                  <a:off x="0" y="0"/>
                                  <a:ext cx="1371600" cy="866775"/>
                                </a:xfrm>
                                <a:prstGeom prst="rect">
                                  <a:avLst/>
                                </a:prstGeom>
                                <a:noFill/>
                                <a:ln w="9525">
                                  <a:noFill/>
                                  <a:miter lim="800000"/>
                                  <a:headEnd/>
                                  <a:tailEnd/>
                                </a:ln>
                              </pic:spPr>
                            </pic:pic>
                          </a:graphicData>
                        </a:graphic>
                      </wp:inline>
                    </w:drawing>
                  </w:r>
                </w:p>
              </w:tc>
            </w:tr>
          </w:tbl>
          <w:p w14:paraId="48FE8539">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②排污口建档管理</w:t>
            </w:r>
          </w:p>
          <w:p w14:paraId="24766694">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使用国家环保局统一印制的《中华人民共和国规范化排污口标志登记证》，并按要求填写有关内容，项目建成后，应将主要污染物种类、数量、浓度、排放去向、立标情况及设施运行情况记录于档案。</w:t>
            </w:r>
          </w:p>
          <w:p w14:paraId="597C3E2A">
            <w:pPr>
              <w:adjustRightInd w:val="0"/>
              <w:snapToGrid w:val="0"/>
              <w:spacing w:line="440" w:lineRule="exact"/>
              <w:ind w:left="-105" w:leftChars="-50" w:right="-105" w:rightChars="-5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r>
              <w:rPr>
                <w:rFonts w:hAnsi="宋体"/>
                <w:color w:val="000000" w:themeColor="text1"/>
                <w:szCs w:val="21"/>
                <w:highlight w:val="none"/>
                <w14:textFill>
                  <w14:solidFill>
                    <w14:schemeClr w14:val="tx1"/>
                  </w14:solidFill>
                </w14:textFill>
              </w:rPr>
              <w:t>、排污许可管理</w:t>
            </w:r>
          </w:p>
          <w:p w14:paraId="6041C4BB">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国家实行排污许可制度，环境保护部门通过对企事业单位发放排污许可证并依证监管实施排污许可制。实行排污许可管理的企业事业单位和其他生产经营者应当按照排污许可证的要求排放污染物；未取得排污许可证的，不得排放污染物。</w:t>
            </w:r>
          </w:p>
          <w:p w14:paraId="5A5EEFF1">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r>
              <w:rPr>
                <w:rFonts w:hint="eastAsia" w:hAnsi="宋体"/>
                <w:bCs/>
                <w:color w:val="000000" w:themeColor="text1"/>
                <w:szCs w:val="21"/>
                <w:highlight w:val="none"/>
                <w14:textFill>
                  <w14:solidFill>
                    <w14:schemeClr w14:val="tx1"/>
                  </w14:solidFill>
                </w14:textFill>
              </w:rPr>
              <w:t>本项目主</w:t>
            </w:r>
            <w:r>
              <w:rPr>
                <w:rFonts w:hAnsi="宋体"/>
                <w:bCs/>
                <w:color w:val="000000" w:themeColor="text1"/>
                <w:szCs w:val="21"/>
                <w:highlight w:val="none"/>
                <w14:textFill>
                  <w14:solidFill>
                    <w14:schemeClr w14:val="tx1"/>
                  </w14:solidFill>
                </w14:textFill>
              </w:rPr>
              <w:t>行业类别</w:t>
            </w:r>
            <w:r>
              <w:rPr>
                <w:rFonts w:hint="eastAsia" w:hAnsi="宋体"/>
                <w:bCs/>
                <w:color w:val="000000" w:themeColor="text1"/>
                <w:szCs w:val="21"/>
                <w:highlight w:val="none"/>
                <w14:textFill>
                  <w14:solidFill>
                    <w14:schemeClr w14:val="tx1"/>
                  </w14:solidFill>
                </w14:textFill>
              </w:rPr>
              <w:t>不变，建设单位已取得排污许可证，</w:t>
            </w:r>
            <w:r>
              <w:rPr>
                <w:rFonts w:hAnsi="宋体"/>
                <w:bCs/>
                <w:color w:val="000000" w:themeColor="text1"/>
                <w:szCs w:val="21"/>
                <w:highlight w:val="none"/>
                <w14:textFill>
                  <w14:solidFill>
                    <w14:schemeClr w14:val="tx1"/>
                  </w14:solidFill>
                </w14:textFill>
              </w:rPr>
              <w:t>（</w:t>
            </w:r>
            <w:r>
              <w:rPr>
                <w:rFonts w:hint="eastAsia" w:hAnsi="宋体"/>
                <w:bCs/>
                <w:color w:val="000000" w:themeColor="text1"/>
                <w:szCs w:val="21"/>
                <w:highlight w:val="none"/>
                <w14:textFill>
                  <w14:solidFill>
                    <w14:schemeClr w14:val="tx1"/>
                  </w14:solidFill>
                </w14:textFill>
              </w:rPr>
              <w:t>证书编号：911302235560610877001V，有效期限：自202</w:t>
            </w:r>
            <w:r>
              <w:rPr>
                <w:rFonts w:hint="eastAsia" w:hAnsi="宋体"/>
                <w:bCs/>
                <w:color w:val="000000" w:themeColor="text1"/>
                <w:szCs w:val="21"/>
                <w:highlight w:val="none"/>
                <w:lang w:val="en-US" w:eastAsia="zh-CN"/>
                <w14:textFill>
                  <w14:solidFill>
                    <w14:schemeClr w14:val="tx1"/>
                  </w14:solidFill>
                </w14:textFill>
              </w:rPr>
              <w:t>5</w:t>
            </w:r>
            <w:r>
              <w:rPr>
                <w:rFonts w:hint="eastAsia" w:hAnsi="宋体"/>
                <w:bCs/>
                <w:color w:val="000000" w:themeColor="text1"/>
                <w:szCs w:val="21"/>
                <w:highlight w:val="none"/>
                <w14:textFill>
                  <w14:solidFill>
                    <w14:schemeClr w14:val="tx1"/>
                  </w14:solidFill>
                </w14:textFill>
              </w:rPr>
              <w:t>年0</w:t>
            </w:r>
            <w:r>
              <w:rPr>
                <w:rFonts w:hint="eastAsia" w:hAnsi="宋体"/>
                <w:bCs/>
                <w:color w:val="000000" w:themeColor="text1"/>
                <w:szCs w:val="21"/>
                <w:highlight w:val="none"/>
                <w:lang w:val="en-US" w:eastAsia="zh-CN"/>
                <w14:textFill>
                  <w14:solidFill>
                    <w14:schemeClr w14:val="tx1"/>
                  </w14:solidFill>
                </w14:textFill>
              </w:rPr>
              <w:t>7</w:t>
            </w:r>
            <w:r>
              <w:rPr>
                <w:rFonts w:hint="eastAsia" w:hAnsi="宋体"/>
                <w:bCs/>
                <w:color w:val="000000" w:themeColor="text1"/>
                <w:szCs w:val="21"/>
                <w:highlight w:val="none"/>
                <w14:textFill>
                  <w14:solidFill>
                    <w14:schemeClr w14:val="tx1"/>
                  </w14:solidFill>
                </w14:textFill>
              </w:rPr>
              <w:t>月</w:t>
            </w:r>
            <w:r>
              <w:rPr>
                <w:rFonts w:hint="eastAsia" w:hAnsi="宋体"/>
                <w:bCs/>
                <w:color w:val="000000" w:themeColor="text1"/>
                <w:szCs w:val="21"/>
                <w:highlight w:val="none"/>
                <w:lang w:val="en-US" w:eastAsia="zh-CN"/>
                <w14:textFill>
                  <w14:solidFill>
                    <w14:schemeClr w14:val="tx1"/>
                  </w14:solidFill>
                </w14:textFill>
              </w:rPr>
              <w:t>11</w:t>
            </w:r>
            <w:r>
              <w:rPr>
                <w:rFonts w:hint="eastAsia" w:hAnsi="宋体"/>
                <w:bCs/>
                <w:color w:val="000000" w:themeColor="text1"/>
                <w:szCs w:val="21"/>
                <w:highlight w:val="none"/>
                <w14:textFill>
                  <w14:solidFill>
                    <w14:schemeClr w14:val="tx1"/>
                  </w14:solidFill>
                </w14:textFill>
              </w:rPr>
              <w:t>日至20</w:t>
            </w:r>
            <w:r>
              <w:rPr>
                <w:rFonts w:hint="eastAsia" w:hAnsi="宋体"/>
                <w:bCs/>
                <w:color w:val="000000" w:themeColor="text1"/>
                <w:szCs w:val="21"/>
                <w:highlight w:val="none"/>
                <w:lang w:val="en-US" w:eastAsia="zh-CN"/>
                <w14:textFill>
                  <w14:solidFill>
                    <w14:schemeClr w14:val="tx1"/>
                  </w14:solidFill>
                </w14:textFill>
              </w:rPr>
              <w:t>30</w:t>
            </w:r>
            <w:r>
              <w:rPr>
                <w:rFonts w:hint="eastAsia" w:hAnsi="宋体"/>
                <w:bCs/>
                <w:color w:val="000000" w:themeColor="text1"/>
                <w:szCs w:val="21"/>
                <w:highlight w:val="none"/>
                <w14:textFill>
                  <w14:solidFill>
                    <w14:schemeClr w14:val="tx1"/>
                  </w14:solidFill>
                </w14:textFill>
              </w:rPr>
              <w:t>年0</w:t>
            </w:r>
            <w:r>
              <w:rPr>
                <w:rFonts w:hint="eastAsia" w:hAnsi="宋体"/>
                <w:bCs/>
                <w:color w:val="000000" w:themeColor="text1"/>
                <w:szCs w:val="21"/>
                <w:highlight w:val="none"/>
                <w:lang w:val="en-US" w:eastAsia="zh-CN"/>
                <w14:textFill>
                  <w14:solidFill>
                    <w14:schemeClr w14:val="tx1"/>
                  </w14:solidFill>
                </w14:textFill>
              </w:rPr>
              <w:t>7</w:t>
            </w:r>
            <w:r>
              <w:rPr>
                <w:rFonts w:hint="eastAsia" w:hAnsi="宋体"/>
                <w:bCs/>
                <w:color w:val="000000" w:themeColor="text1"/>
                <w:szCs w:val="21"/>
                <w:highlight w:val="none"/>
                <w14:textFill>
                  <w14:solidFill>
                    <w14:schemeClr w14:val="tx1"/>
                  </w14:solidFill>
                </w14:textFill>
              </w:rPr>
              <w:t>月</w:t>
            </w:r>
            <w:r>
              <w:rPr>
                <w:rFonts w:hint="eastAsia" w:hAnsi="宋体"/>
                <w:bCs/>
                <w:color w:val="000000" w:themeColor="text1"/>
                <w:szCs w:val="21"/>
                <w:highlight w:val="none"/>
                <w:lang w:val="en-US" w:eastAsia="zh-CN"/>
                <w14:textFill>
                  <w14:solidFill>
                    <w14:schemeClr w14:val="tx1"/>
                  </w14:solidFill>
                </w14:textFill>
              </w:rPr>
              <w:t>10</w:t>
            </w:r>
            <w:r>
              <w:rPr>
                <w:rFonts w:hint="eastAsia" w:hAnsi="宋体"/>
                <w:bCs/>
                <w:color w:val="000000" w:themeColor="text1"/>
                <w:szCs w:val="21"/>
                <w:highlight w:val="none"/>
                <w14:textFill>
                  <w14:solidFill>
                    <w14:schemeClr w14:val="tx1"/>
                  </w14:solidFill>
                </w14:textFill>
              </w:rPr>
              <w:t>日止</w:t>
            </w:r>
            <w:r>
              <w:rPr>
                <w:rFonts w:hAnsi="宋体"/>
                <w:bCs/>
                <w:color w:val="000000" w:themeColor="text1"/>
                <w:szCs w:val="21"/>
                <w:highlight w:val="none"/>
                <w14:textFill>
                  <w14:solidFill>
                    <w14:schemeClr w14:val="tx1"/>
                  </w14:solidFill>
                </w14:textFill>
              </w:rPr>
              <w:t>）。</w:t>
            </w:r>
          </w:p>
          <w:p w14:paraId="2C5120BF">
            <w:pPr>
              <w:adjustRightInd w:val="0"/>
              <w:snapToGrid w:val="0"/>
              <w:spacing w:line="440" w:lineRule="exact"/>
              <w:ind w:left="-105" w:leftChars="-50" w:right="-105" w:rightChars="-50" w:firstLine="420" w:firstLineChars="200"/>
              <w:rPr>
                <w:color w:val="000000" w:themeColor="text1"/>
                <w:szCs w:val="21"/>
                <w:highlight w:val="none"/>
                <w14:textFill>
                  <w14:solidFill>
                    <w14:schemeClr w14:val="tx1"/>
                  </w14:solidFill>
                </w14:textFill>
              </w:rPr>
            </w:pPr>
            <w:r>
              <w:rPr>
                <w:rFonts w:hAnsi="宋体"/>
                <w:bCs/>
                <w:color w:val="000000" w:themeColor="text1"/>
                <w:szCs w:val="21"/>
                <w:highlight w:val="none"/>
                <w14:textFill>
                  <w14:solidFill>
                    <w14:schemeClr w14:val="tx1"/>
                  </w14:solidFill>
                </w14:textFill>
              </w:rPr>
              <w:t>按照《河北省控制污染物排放许可制实施细则（试行）》，新、改（扩）建建设项目排污单位通过排污权交易或有偿方式获得排污权，在投入生产或使用并产生实际排污行为之前</w:t>
            </w:r>
            <w:r>
              <w:rPr>
                <w:bCs/>
                <w:color w:val="000000" w:themeColor="text1"/>
                <w:szCs w:val="21"/>
                <w:highlight w:val="none"/>
                <w14:textFill>
                  <w14:solidFill>
                    <w14:schemeClr w14:val="tx1"/>
                  </w14:solidFill>
                </w14:textFill>
              </w:rPr>
              <w:t>30</w:t>
            </w:r>
            <w:r>
              <w:rPr>
                <w:rFonts w:hAnsi="宋体"/>
                <w:bCs/>
                <w:color w:val="000000" w:themeColor="text1"/>
                <w:szCs w:val="21"/>
                <w:highlight w:val="none"/>
                <w14:textFill>
                  <w14:solidFill>
                    <w14:schemeClr w14:val="tx1"/>
                  </w14:solidFill>
                </w14:textFill>
              </w:rPr>
              <w:t>日内申请领取排污许可证。</w:t>
            </w:r>
          </w:p>
          <w:p w14:paraId="4AD9709D">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本项目为改扩建项目，产品产量、原辅料用量等发生变化，</w:t>
            </w:r>
            <w:r>
              <w:rPr>
                <w:rFonts w:hAnsi="宋体"/>
                <w:color w:val="000000" w:themeColor="text1"/>
                <w:szCs w:val="21"/>
                <w:highlight w:val="none"/>
                <w14:textFill>
                  <w14:solidFill>
                    <w14:schemeClr w14:val="tx1"/>
                  </w14:solidFill>
                </w14:textFill>
              </w:rPr>
              <w:t>建设单位应在本项目建成投入生产前按要求在</w:t>
            </w:r>
            <w:r>
              <w:rPr>
                <w:rFonts w:hAnsi="宋体"/>
                <w:bCs/>
                <w:color w:val="000000" w:themeColor="text1"/>
                <w:szCs w:val="21"/>
                <w:highlight w:val="none"/>
                <w14:textFill>
                  <w14:solidFill>
                    <w14:schemeClr w14:val="tx1"/>
                  </w14:solidFill>
                </w14:textFill>
              </w:rPr>
              <w:t>全国排污许可证管理信息平台</w:t>
            </w:r>
            <w:r>
              <w:rPr>
                <w:rFonts w:hint="eastAsia" w:hAnsi="宋体"/>
                <w:bCs/>
                <w:color w:val="000000" w:themeColor="text1"/>
                <w:szCs w:val="21"/>
                <w:highlight w:val="none"/>
                <w14:textFill>
                  <w14:solidFill>
                    <w14:schemeClr w14:val="tx1"/>
                  </w14:solidFill>
                </w14:textFill>
              </w:rPr>
              <w:t>及时重新申请排污许可证</w:t>
            </w:r>
            <w:r>
              <w:rPr>
                <w:rFonts w:hAnsi="宋体"/>
                <w:bCs/>
                <w:color w:val="000000" w:themeColor="text1"/>
                <w:szCs w:val="21"/>
                <w:highlight w:val="none"/>
                <w14:textFill>
                  <w14:solidFill>
                    <w14:schemeClr w14:val="tx1"/>
                  </w14:solidFill>
                </w14:textFill>
              </w:rPr>
              <w:t>。要求建设单位及时进行</w:t>
            </w:r>
            <w:r>
              <w:rPr>
                <w:rFonts w:hint="eastAsia" w:hAnsi="宋体"/>
                <w:bCs/>
                <w:color w:val="000000" w:themeColor="text1"/>
                <w:szCs w:val="21"/>
                <w:highlight w:val="none"/>
                <w14:textFill>
                  <w14:solidFill>
                    <w14:schemeClr w14:val="tx1"/>
                  </w14:solidFill>
                </w14:textFill>
              </w:rPr>
              <w:t>变更</w:t>
            </w:r>
            <w:r>
              <w:rPr>
                <w:rFonts w:hAnsi="宋体"/>
                <w:bCs/>
                <w:color w:val="000000" w:themeColor="text1"/>
                <w:szCs w:val="21"/>
                <w:highlight w:val="none"/>
                <w14:textFill>
                  <w14:solidFill>
                    <w14:schemeClr w14:val="tx1"/>
                  </w14:solidFill>
                </w14:textFill>
              </w:rPr>
              <w:t>，并按照</w:t>
            </w:r>
            <w:r>
              <w:rPr>
                <w:rFonts w:hint="eastAsia" w:hAnsi="宋体"/>
                <w:bCs/>
                <w:color w:val="000000" w:themeColor="text1"/>
                <w:szCs w:val="21"/>
                <w:highlight w:val="none"/>
                <w14:textFill>
                  <w14:solidFill>
                    <w14:schemeClr w14:val="tx1"/>
                  </w14:solidFill>
                </w14:textFill>
              </w:rPr>
              <w:t>重点</w:t>
            </w:r>
            <w:r>
              <w:rPr>
                <w:rFonts w:hAnsi="宋体"/>
                <w:bCs/>
                <w:color w:val="000000" w:themeColor="text1"/>
                <w:szCs w:val="21"/>
                <w:highlight w:val="none"/>
                <w14:textFill>
                  <w14:solidFill>
                    <w14:schemeClr w14:val="tx1"/>
                  </w14:solidFill>
                </w14:textFill>
              </w:rPr>
              <w:t>管理相关要求及主管部门要求进行管理和开展自行监测等。</w:t>
            </w:r>
          </w:p>
          <w:p w14:paraId="15D69330">
            <w:pPr>
              <w:adjustRightInd w:val="0"/>
              <w:snapToGrid w:val="0"/>
              <w:spacing w:line="440" w:lineRule="exact"/>
              <w:ind w:left="-105" w:leftChars="-50" w:right="-105" w:rightChars="-50"/>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5、环保竣工验收管理</w:t>
            </w:r>
          </w:p>
          <w:p w14:paraId="4D55ED44">
            <w:pPr>
              <w:adjustRightInd w:val="0"/>
              <w:snapToGrid w:val="0"/>
              <w:spacing w:line="440" w:lineRule="exact"/>
              <w:ind w:left="-105" w:leftChars="-50" w:right="-105" w:rightChars="-50" w:firstLine="420" w:firstLineChars="20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建设单位是建设项目竣工环境保护验收的责任主体，应当按照《建设项目竣工环境保护验收暂行办法》（国环规环评</w:t>
            </w:r>
            <w:r>
              <w:rPr>
                <w:rFonts w:hAnsi="宋体"/>
                <w:color w:val="000000" w:themeColor="text1"/>
                <w:szCs w:val="21"/>
                <w:highlight w:val="none"/>
                <w14:textFill>
                  <w14:solidFill>
                    <w14:schemeClr w14:val="tx1"/>
                  </w14:solidFill>
                </w14:textFill>
              </w:rPr>
              <w:t>[2017]4</w:t>
            </w:r>
            <w:r>
              <w:rPr>
                <w:rFonts w:hint="eastAsia" w:hAnsi="宋体"/>
                <w:color w:val="000000" w:themeColor="text1"/>
                <w:szCs w:val="21"/>
                <w:highlight w:val="none"/>
                <w14:textFill>
                  <w14:solidFill>
                    <w14:schemeClr w14:val="tx1"/>
                  </w14:solidFill>
                </w14:textFill>
              </w:rPr>
              <w:t>号）、《建设项目竣工环境保护验收技术指南 污染影响类》（生态环境部办公厅</w:t>
            </w:r>
            <w:r>
              <w:rPr>
                <w:rFonts w:hAnsi="宋体"/>
                <w:color w:val="000000" w:themeColor="text1"/>
                <w:szCs w:val="21"/>
                <w:highlight w:val="none"/>
                <w14:textFill>
                  <w14:solidFill>
                    <w14:schemeClr w14:val="tx1"/>
                  </w14:solidFill>
                </w14:textFill>
              </w:rPr>
              <w:t>2018</w:t>
            </w:r>
            <w:r>
              <w:rPr>
                <w:rFonts w:hint="eastAsia" w:hAnsi="宋体"/>
                <w:color w:val="000000" w:themeColor="text1"/>
                <w:szCs w:val="21"/>
                <w:highlight w:val="none"/>
                <w14:textFill>
                  <w14:solidFill>
                    <w14:schemeClr w14:val="tx1"/>
                  </w14:solidFill>
                </w14:textFill>
              </w:rPr>
              <w:t>年</w:t>
            </w:r>
            <w:r>
              <w:rPr>
                <w:rFonts w:hAnsi="宋体"/>
                <w:color w:val="000000" w:themeColor="text1"/>
                <w:szCs w:val="21"/>
                <w:highlight w:val="none"/>
                <w14:textFill>
                  <w14:solidFill>
                    <w14:schemeClr w14:val="tx1"/>
                  </w14:solidFill>
                </w14:textFill>
              </w:rPr>
              <w:t>5</w:t>
            </w:r>
            <w:r>
              <w:rPr>
                <w:rFonts w:hint="eastAsia" w:hAnsi="宋体"/>
                <w:color w:val="000000" w:themeColor="text1"/>
                <w:szCs w:val="21"/>
                <w:highlight w:val="none"/>
                <w14:textFill>
                  <w14:solidFill>
                    <w14:schemeClr w14:val="tx1"/>
                  </w14:solidFill>
                </w14:textFill>
              </w:rPr>
              <w:t>月</w:t>
            </w:r>
            <w:r>
              <w:rPr>
                <w:rFonts w:hAnsi="宋体"/>
                <w:color w:val="000000" w:themeColor="text1"/>
                <w:szCs w:val="21"/>
                <w:highlight w:val="none"/>
                <w14:textFill>
                  <w14:solidFill>
                    <w14:schemeClr w14:val="tx1"/>
                  </w14:solidFill>
                </w14:textFill>
              </w:rPr>
              <w:t>16</w:t>
            </w:r>
            <w:r>
              <w:rPr>
                <w:rFonts w:hint="eastAsia" w:hAnsi="宋体"/>
                <w:color w:val="000000" w:themeColor="text1"/>
                <w:szCs w:val="21"/>
                <w:highlight w:val="none"/>
                <w14:textFill>
                  <w14:solidFill>
                    <w14:schemeClr w14:val="tx1"/>
                  </w14:solidFill>
                </w14:textFill>
              </w:rPr>
              <w:t>日印发）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不得在验收中弄虚作假。</w:t>
            </w:r>
          </w:p>
          <w:p w14:paraId="3D4AF200">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p w14:paraId="476BFCE5">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p w14:paraId="40B1E611">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p w14:paraId="5657C272">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p w14:paraId="14A3F671">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p w14:paraId="73EE4FC9">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p w14:paraId="78E2520C">
            <w:pPr>
              <w:adjustRightInd w:val="0"/>
              <w:snapToGrid w:val="0"/>
              <w:spacing w:line="440" w:lineRule="exact"/>
              <w:ind w:right="-105" w:rightChars="-50"/>
              <w:rPr>
                <w:rFonts w:hAnsi="宋体"/>
                <w:bCs/>
                <w:color w:val="000000" w:themeColor="text1"/>
                <w:szCs w:val="21"/>
                <w:highlight w:val="none"/>
                <w14:textFill>
                  <w14:solidFill>
                    <w14:schemeClr w14:val="tx1"/>
                  </w14:solidFill>
                </w14:textFill>
              </w:rPr>
            </w:pPr>
          </w:p>
          <w:p w14:paraId="577BEC02">
            <w:pPr>
              <w:adjustRightInd w:val="0"/>
              <w:snapToGrid w:val="0"/>
              <w:spacing w:line="440" w:lineRule="exact"/>
              <w:ind w:left="-105" w:leftChars="-50" w:right="-105" w:rightChars="-50" w:firstLine="420" w:firstLineChars="200"/>
              <w:rPr>
                <w:rFonts w:hAnsi="宋体"/>
                <w:bCs/>
                <w:color w:val="000000" w:themeColor="text1"/>
                <w:szCs w:val="21"/>
                <w:highlight w:val="none"/>
                <w14:textFill>
                  <w14:solidFill>
                    <w14:schemeClr w14:val="tx1"/>
                  </w14:solidFill>
                </w14:textFill>
              </w:rPr>
            </w:pPr>
          </w:p>
        </w:tc>
      </w:tr>
    </w:tbl>
    <w:p w14:paraId="4954EA7B">
      <w:pPr>
        <w:pStyle w:val="20"/>
        <w:ind w:left="-105" w:right="-105"/>
        <w:jc w:val="center"/>
        <w:outlineLvl w:val="0"/>
        <w:rPr>
          <w:rFonts w:ascii="黑体" w:hAnsi="黑体" w:eastAsia="黑体"/>
          <w:snapToGrid w:val="0"/>
          <w:color w:val="000000" w:themeColor="text1"/>
          <w:sz w:val="30"/>
          <w:szCs w:val="30"/>
          <w:highlight w:val="green"/>
          <w14:textFill>
            <w14:solidFill>
              <w14:schemeClr w14:val="tx1"/>
            </w14:solidFill>
          </w14:textFill>
        </w:rPr>
      </w:pPr>
      <w:r>
        <w:rPr>
          <w:snapToGrid w:val="0"/>
          <w:color w:val="000000" w:themeColor="text1"/>
          <w:highlight w:val="green"/>
          <w14:textFill>
            <w14:solidFill>
              <w14:schemeClr w14:val="tx1"/>
            </w14:solidFill>
          </w14:textFill>
        </w:rPr>
        <w:br w:type="page"/>
      </w:r>
      <w:bookmarkStart w:id="20" w:name="_Toc112747268"/>
      <w:r>
        <w:rPr>
          <w:rFonts w:hint="eastAsia" w:ascii="黑体" w:hAnsi="黑体" w:eastAsia="黑体"/>
          <w:snapToGrid w:val="0"/>
          <w:color w:val="000000" w:themeColor="text1"/>
          <w:sz w:val="30"/>
          <w:szCs w:val="30"/>
          <w:highlight w:val="none"/>
          <w14:textFill>
            <w14:solidFill>
              <w14:schemeClr w14:val="tx1"/>
            </w14:solidFill>
          </w14:textFill>
        </w:rPr>
        <w:t>六、结论</w:t>
      </w:r>
      <w:bookmarkEnd w:id="20"/>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2B538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21DAA3C3">
            <w:pPr>
              <w:spacing w:line="480" w:lineRule="exact"/>
              <w:ind w:firstLine="480" w:firstLineChars="200"/>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w:t>
            </w:r>
            <w:r>
              <w:rPr>
                <w:rFonts w:hint="eastAsia"/>
                <w:color w:val="000000" w:themeColor="text1"/>
                <w:kern w:val="0"/>
                <w:sz w:val="24"/>
                <w:highlight w:val="none"/>
                <w14:textFill>
                  <w14:solidFill>
                    <w14:schemeClr w14:val="tx1"/>
                  </w14:solidFill>
                </w14:textFill>
              </w:rPr>
              <w:t>项目属于</w:t>
            </w:r>
            <w:r>
              <w:rPr>
                <w:bCs/>
                <w:color w:val="000000" w:themeColor="text1"/>
                <w:sz w:val="24"/>
                <w:highlight w:val="none"/>
                <w14:textFill>
                  <w14:solidFill>
                    <w14:schemeClr w14:val="tx1"/>
                  </w14:solidFill>
                </w14:textFill>
              </w:rPr>
              <w:t>《产业结构调整指导目录</w:t>
            </w:r>
            <w:r>
              <w:rPr>
                <w:rFonts w:hint="eastAsia"/>
                <w:color w:val="000000" w:themeColor="text1"/>
                <w:kern w:val="0"/>
                <w:sz w:val="24"/>
                <w:highlight w:val="none"/>
                <w14:textFill>
                  <w14:solidFill>
                    <w14:schemeClr w14:val="tx1"/>
                  </w14:solidFill>
                </w14:textFill>
              </w:rPr>
              <w:t>（2024年本）</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中</w:t>
            </w:r>
            <w:r>
              <w:rPr>
                <w:color w:val="000000" w:themeColor="text1"/>
                <w:kern w:val="0"/>
                <w:sz w:val="24"/>
                <w:highlight w:val="none"/>
                <w14:textFill>
                  <w14:solidFill>
                    <w14:schemeClr w14:val="tx1"/>
                  </w14:solidFill>
                </w14:textFill>
              </w:rPr>
              <w:t>鼓励类</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项目</w:t>
            </w:r>
            <w:r>
              <w:rPr>
                <w:bCs/>
                <w:color w:val="000000" w:themeColor="text1"/>
                <w:sz w:val="24"/>
                <w:highlight w:val="none"/>
                <w14:textFill>
                  <w14:solidFill>
                    <w14:schemeClr w14:val="tx1"/>
                  </w14:solidFill>
                </w14:textFill>
              </w:rPr>
              <w:t>符合国家产业政策。项目</w:t>
            </w:r>
            <w:r>
              <w:rPr>
                <w:rFonts w:hint="eastAsia"/>
                <w:bCs/>
                <w:color w:val="000000" w:themeColor="text1"/>
                <w:sz w:val="24"/>
                <w:highlight w:val="none"/>
                <w14:textFill>
                  <w14:solidFill>
                    <w14:schemeClr w14:val="tx1"/>
                  </w14:solidFill>
                </w14:textFill>
              </w:rPr>
              <w:t>位于</w:t>
            </w:r>
            <w:r>
              <w:rPr>
                <w:bCs/>
                <w:color w:val="000000" w:themeColor="text1"/>
                <w:sz w:val="24"/>
                <w:highlight w:val="none"/>
                <w14:textFill>
                  <w14:solidFill>
                    <w14:schemeClr w14:val="tx1"/>
                  </w14:solidFill>
                </w14:textFill>
              </w:rPr>
              <w:t>唐山市滦州市响嘡街道田疃村滦县翼翔新型建材有限公司</w:t>
            </w:r>
            <w:r>
              <w:rPr>
                <w:rFonts w:hint="eastAsia"/>
                <w:color w:val="000000" w:themeColor="text1"/>
                <w:kern w:val="0"/>
                <w:sz w:val="24"/>
                <w:highlight w:val="none"/>
                <w14:textFill>
                  <w14:solidFill>
                    <w14:schemeClr w14:val="tx1"/>
                  </w14:solidFill>
                </w14:textFill>
              </w:rPr>
              <w:t>现有厂区</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项目不新增占地，用地符合要求，</w:t>
            </w:r>
            <w:r>
              <w:rPr>
                <w:bCs/>
                <w:color w:val="000000" w:themeColor="text1"/>
                <w:sz w:val="24"/>
                <w:highlight w:val="none"/>
                <w14:textFill>
                  <w14:solidFill>
                    <w14:schemeClr w14:val="tx1"/>
                  </w14:solidFill>
                </w14:textFill>
              </w:rPr>
              <w:t>选址合理。评价区域内不涉及基本农田保护区、地质公园、重要湿地、天然林、生活饮用水水源保护区、风景名胜区、自然保护区等环境敏感区域。</w:t>
            </w:r>
            <w:r>
              <w:rPr>
                <w:rFonts w:hint="eastAsia"/>
                <w:bCs/>
                <w:color w:val="000000" w:themeColor="text1"/>
                <w:sz w:val="24"/>
                <w:highlight w:val="none"/>
                <w14:textFill>
                  <w14:solidFill>
                    <w14:schemeClr w14:val="tx1"/>
                  </w14:solidFill>
                </w14:textFill>
              </w:rPr>
              <w:t>符合“三线一单”要求</w:t>
            </w:r>
            <w:r>
              <w:rPr>
                <w:bCs/>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工程的生产规模、工艺技术路线及产品符合国家的产业政策；采用的污染防治措施可实现各类污染物达标排放，污染物排放总量满足总量控制指标的要求；工程投产后对区域环境质量影响较小；从环保角度出发，项目</w:t>
            </w:r>
            <w:r>
              <w:rPr>
                <w:rFonts w:hint="eastAsia"/>
                <w:color w:val="000000" w:themeColor="text1"/>
                <w:sz w:val="24"/>
                <w:highlight w:val="none"/>
                <w14:textFill>
                  <w14:solidFill>
                    <w14:schemeClr w14:val="tx1"/>
                  </w14:solidFill>
                </w14:textFill>
              </w:rPr>
              <w:t>环境影响</w:t>
            </w:r>
            <w:r>
              <w:rPr>
                <w:color w:val="000000" w:themeColor="text1"/>
                <w:sz w:val="24"/>
                <w:highlight w:val="none"/>
                <w14:textFill>
                  <w14:solidFill>
                    <w14:schemeClr w14:val="tx1"/>
                  </w14:solidFill>
                </w14:textFill>
              </w:rPr>
              <w:t>可行。</w:t>
            </w:r>
          </w:p>
          <w:p w14:paraId="17939E97">
            <w:pPr>
              <w:spacing w:line="400" w:lineRule="exact"/>
              <w:ind w:firstLine="480" w:firstLineChars="200"/>
              <w:rPr>
                <w:color w:val="000000" w:themeColor="text1"/>
                <w:sz w:val="24"/>
                <w:highlight w:val="green"/>
                <w14:textFill>
                  <w14:solidFill>
                    <w14:schemeClr w14:val="tx1"/>
                  </w14:solidFill>
                </w14:textFill>
              </w:rPr>
            </w:pPr>
          </w:p>
          <w:p w14:paraId="53D0A9B3">
            <w:pPr>
              <w:spacing w:line="400" w:lineRule="exact"/>
              <w:ind w:firstLine="480" w:firstLineChars="200"/>
              <w:rPr>
                <w:color w:val="000000" w:themeColor="text1"/>
                <w:sz w:val="24"/>
                <w:highlight w:val="green"/>
                <w14:textFill>
                  <w14:solidFill>
                    <w14:schemeClr w14:val="tx1"/>
                  </w14:solidFill>
                </w14:textFill>
              </w:rPr>
            </w:pPr>
          </w:p>
          <w:p w14:paraId="7794E455">
            <w:pPr>
              <w:spacing w:line="480" w:lineRule="exact"/>
              <w:ind w:firstLine="480" w:firstLineChars="200"/>
              <w:rPr>
                <w:rFonts w:ascii="宋体" w:cs="宋体"/>
                <w:color w:val="000000" w:themeColor="text1"/>
                <w:sz w:val="24"/>
                <w:highlight w:val="green"/>
                <w14:textFill>
                  <w14:solidFill>
                    <w14:schemeClr w14:val="tx1"/>
                  </w14:solidFill>
                </w14:textFill>
              </w:rPr>
            </w:pPr>
          </w:p>
        </w:tc>
      </w:tr>
    </w:tbl>
    <w:p w14:paraId="2D2576BC">
      <w:pPr>
        <w:ind w:left="-105" w:right="-105"/>
        <w:rPr>
          <w:rFonts w:ascii="宋体"/>
          <w:color w:val="000000" w:themeColor="text1"/>
          <w:highlight w:val="green"/>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01574CDE">
      <w:pPr>
        <w:pStyle w:val="20"/>
        <w:adjustRightInd w:val="0"/>
        <w:snapToGrid w:val="0"/>
        <w:spacing w:before="0" w:beforeAutospacing="0" w:after="0" w:afterAutospacing="0" w:line="240" w:lineRule="auto"/>
        <w:ind w:left="-105" w:right="-105"/>
        <w:outlineLvl w:val="0"/>
        <w:rPr>
          <w:rFonts w:ascii="黑体" w:hAnsi="黑体" w:eastAsia="黑体"/>
          <w:snapToGrid w:val="0"/>
          <w:color w:val="000000" w:themeColor="text1"/>
          <w:sz w:val="32"/>
          <w:szCs w:val="32"/>
          <w:highlight w:val="none"/>
          <w14:textFill>
            <w14:solidFill>
              <w14:schemeClr w14:val="tx1"/>
            </w14:solidFill>
          </w14:textFill>
        </w:rPr>
      </w:pPr>
      <w:bookmarkStart w:id="21" w:name="_Toc112747269"/>
      <w:r>
        <w:rPr>
          <w:rFonts w:hint="eastAsia" w:ascii="黑体" w:hAnsi="黑体" w:eastAsia="黑体"/>
          <w:snapToGrid w:val="0"/>
          <w:color w:val="000000" w:themeColor="text1"/>
          <w:sz w:val="32"/>
          <w:szCs w:val="32"/>
          <w:highlight w:val="none"/>
          <w14:textFill>
            <w14:solidFill>
              <w14:schemeClr w14:val="tx1"/>
            </w14:solidFill>
          </w14:textFill>
        </w:rPr>
        <w:t>附表</w:t>
      </w:r>
      <w:bookmarkEnd w:id="21"/>
    </w:p>
    <w:p w14:paraId="48F07C18">
      <w:pPr>
        <w:pStyle w:val="20"/>
        <w:adjustRightInd w:val="0"/>
        <w:snapToGrid w:val="0"/>
        <w:spacing w:before="0" w:beforeAutospacing="0" w:after="0" w:afterAutospacing="0" w:line="240" w:lineRule="atLeast"/>
        <w:ind w:left="-105" w:right="-105"/>
        <w:jc w:val="center"/>
        <w:outlineLvl w:val="0"/>
        <w:rPr>
          <w:rFonts w:ascii="方正小标宋_GBK" w:hAnsi="黑体" w:eastAsia="方正小标宋_GBK"/>
          <w:snapToGrid w:val="0"/>
          <w:color w:val="000000" w:themeColor="text1"/>
          <w:sz w:val="38"/>
          <w:szCs w:val="38"/>
          <w:highlight w:val="none"/>
          <w14:textFill>
            <w14:solidFill>
              <w14:schemeClr w14:val="tx1"/>
            </w14:solidFill>
          </w14:textFill>
        </w:rPr>
      </w:pPr>
      <w:bookmarkStart w:id="22" w:name="_Toc112747270"/>
      <w:r>
        <w:rPr>
          <w:rFonts w:hint="eastAsia" w:ascii="方正小标宋_GBK" w:hAnsi="黑体" w:eastAsia="方正小标宋_GBK"/>
          <w:snapToGrid w:val="0"/>
          <w:color w:val="000000" w:themeColor="text1"/>
          <w:sz w:val="38"/>
          <w:szCs w:val="38"/>
          <w:highlight w:val="none"/>
          <w14:textFill>
            <w14:solidFill>
              <w14:schemeClr w14:val="tx1"/>
            </w14:solidFill>
          </w14:textFill>
        </w:rPr>
        <w:t>建设项目污染物排放量汇总表</w:t>
      </w:r>
      <w:bookmarkEnd w:id="22"/>
    </w:p>
    <w:tbl>
      <w:tblPr>
        <w:tblStyle w:val="24"/>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992"/>
        <w:gridCol w:w="851"/>
        <w:gridCol w:w="1559"/>
        <w:gridCol w:w="1276"/>
        <w:gridCol w:w="1701"/>
        <w:gridCol w:w="1559"/>
        <w:gridCol w:w="1418"/>
        <w:gridCol w:w="1701"/>
        <w:gridCol w:w="1427"/>
      </w:tblGrid>
      <w:tr w14:paraId="62823D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tcBorders>
              <w:tl2br w:val="single" w:color="auto" w:sz="4" w:space="0"/>
            </w:tcBorders>
            <w:tcMar>
              <w:left w:w="28" w:type="dxa"/>
              <w:right w:w="28" w:type="dxa"/>
            </w:tcMar>
            <w:vAlign w:val="center"/>
          </w:tcPr>
          <w:p w14:paraId="32C9296E">
            <w:pPr>
              <w:pStyle w:val="39"/>
              <w:spacing w:beforeLines="0" w:afterLines="0" w:line="240" w:lineRule="auto"/>
              <w:jc w:val="right"/>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项目</w:t>
            </w:r>
          </w:p>
          <w:p w14:paraId="557454B5">
            <w:pPr>
              <w:pStyle w:val="39"/>
              <w:spacing w:beforeLines="0" w:afterLines="0" w:line="240" w:lineRule="auto"/>
              <w:jc w:val="left"/>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分类</w:t>
            </w:r>
          </w:p>
        </w:tc>
        <w:tc>
          <w:tcPr>
            <w:tcW w:w="1843" w:type="dxa"/>
            <w:gridSpan w:val="2"/>
            <w:vAlign w:val="center"/>
          </w:tcPr>
          <w:p w14:paraId="75458C10">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污染物名称</w:t>
            </w:r>
          </w:p>
        </w:tc>
        <w:tc>
          <w:tcPr>
            <w:tcW w:w="1559" w:type="dxa"/>
            <w:vAlign w:val="center"/>
          </w:tcPr>
          <w:p w14:paraId="61B8E794">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现有工程</w:t>
            </w:r>
          </w:p>
          <w:p w14:paraId="488C2A90">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排放量（固体废物产生量）</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6"/>
                <w:kern w:val="21"/>
                <w:sz w:val="24"/>
                <w:szCs w:val="24"/>
                <w:highlight w:val="none"/>
                <w14:textFill>
                  <w14:solidFill>
                    <w14:schemeClr w14:val="tx1"/>
                  </w14:solidFill>
                </w14:textFill>
              </w:rPr>
              <w:instrText xml:space="preserve"> = 1 \* GB3 \* MERGEFORMAT </w:instrTex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separate"/>
            </w:r>
            <w:r>
              <w:rPr>
                <w:rFonts w:ascii="Times New Roman" w:hAnsi="黑体" w:eastAsia="黑体"/>
                <w:color w:val="000000" w:themeColor="text1"/>
                <w:kern w:val="2"/>
                <w:sz w:val="24"/>
                <w:szCs w:val="24"/>
                <w:highlight w:val="none"/>
                <w14:textFill>
                  <w14:solidFill>
                    <w14:schemeClr w14:val="tx1"/>
                  </w14:solidFill>
                </w14:textFill>
              </w:rPr>
              <w:t>①</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end"/>
            </w:r>
          </w:p>
        </w:tc>
        <w:tc>
          <w:tcPr>
            <w:tcW w:w="1276" w:type="dxa"/>
            <w:vAlign w:val="center"/>
          </w:tcPr>
          <w:p w14:paraId="645FA4E8">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现有工程</w:t>
            </w:r>
          </w:p>
          <w:p w14:paraId="57A4C693">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许可排放量</w:t>
            </w:r>
          </w:p>
          <w:p w14:paraId="14F4AB00">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6"/>
                <w:kern w:val="21"/>
                <w:sz w:val="24"/>
                <w:szCs w:val="24"/>
                <w:highlight w:val="none"/>
                <w14:textFill>
                  <w14:solidFill>
                    <w14:schemeClr w14:val="tx1"/>
                  </w14:solidFill>
                </w14:textFill>
              </w:rPr>
              <w:instrText xml:space="preserve"> = 2 \* GB3 \* MERGEFORMAT </w:instrTex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separate"/>
            </w:r>
            <w:r>
              <w:rPr>
                <w:rFonts w:ascii="Times New Roman" w:hAnsi="黑体" w:eastAsia="黑体"/>
                <w:snapToGrid w:val="0"/>
                <w:color w:val="000000" w:themeColor="text1"/>
                <w:spacing w:val="-6"/>
                <w:kern w:val="21"/>
                <w:sz w:val="24"/>
                <w:szCs w:val="24"/>
                <w:highlight w:val="none"/>
                <w14:textFill>
                  <w14:solidFill>
                    <w14:schemeClr w14:val="tx1"/>
                  </w14:solidFill>
                </w14:textFill>
              </w:rPr>
              <w:t>②</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end"/>
            </w:r>
          </w:p>
        </w:tc>
        <w:tc>
          <w:tcPr>
            <w:tcW w:w="1701" w:type="dxa"/>
            <w:vAlign w:val="center"/>
          </w:tcPr>
          <w:p w14:paraId="5D981D0B">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在建工程</w:t>
            </w:r>
          </w:p>
          <w:p w14:paraId="18D256F7">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排放量（固体废物产生量）</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6"/>
                <w:kern w:val="21"/>
                <w:sz w:val="24"/>
                <w:szCs w:val="24"/>
                <w:highlight w:val="none"/>
                <w14:textFill>
                  <w14:solidFill>
                    <w14:schemeClr w14:val="tx1"/>
                  </w14:solidFill>
                </w14:textFill>
              </w:rPr>
              <w:instrText xml:space="preserve"> = 3 \* GB3 \* MERGEFORMAT </w:instrTex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separate"/>
            </w:r>
            <w:r>
              <w:rPr>
                <w:rFonts w:ascii="Times New Roman" w:hAnsi="黑体" w:eastAsia="黑体"/>
                <w:color w:val="000000" w:themeColor="text1"/>
                <w:kern w:val="2"/>
                <w:sz w:val="24"/>
                <w:szCs w:val="24"/>
                <w:highlight w:val="none"/>
                <w14:textFill>
                  <w14:solidFill>
                    <w14:schemeClr w14:val="tx1"/>
                  </w14:solidFill>
                </w14:textFill>
              </w:rPr>
              <w:t>③</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end"/>
            </w:r>
          </w:p>
        </w:tc>
        <w:tc>
          <w:tcPr>
            <w:tcW w:w="1559" w:type="dxa"/>
            <w:vAlign w:val="center"/>
          </w:tcPr>
          <w:p w14:paraId="6D6094A8">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本项目</w:t>
            </w:r>
          </w:p>
          <w:p w14:paraId="1340F760">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排放量（固体废物产生量）</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6"/>
                <w:kern w:val="21"/>
                <w:sz w:val="24"/>
                <w:szCs w:val="24"/>
                <w:highlight w:val="none"/>
                <w14:textFill>
                  <w14:solidFill>
                    <w14:schemeClr w14:val="tx1"/>
                  </w14:solidFill>
                </w14:textFill>
              </w:rPr>
              <w:instrText xml:space="preserve"> = 4 \* GB3 \* MERGEFORMAT </w:instrTex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separate"/>
            </w:r>
            <w:r>
              <w:rPr>
                <w:rFonts w:ascii="Times New Roman" w:hAnsi="黑体" w:eastAsia="黑体"/>
                <w:color w:val="000000" w:themeColor="text1"/>
                <w:kern w:val="2"/>
                <w:sz w:val="24"/>
                <w:szCs w:val="24"/>
                <w:highlight w:val="none"/>
                <w14:textFill>
                  <w14:solidFill>
                    <w14:schemeClr w14:val="tx1"/>
                  </w14:solidFill>
                </w14:textFill>
              </w:rPr>
              <w:t>④</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end"/>
            </w:r>
          </w:p>
        </w:tc>
        <w:tc>
          <w:tcPr>
            <w:tcW w:w="1418" w:type="dxa"/>
            <w:vAlign w:val="center"/>
          </w:tcPr>
          <w:p w14:paraId="3BA82B99">
            <w:pPr>
              <w:pStyle w:val="39"/>
              <w:spacing w:beforeLines="0" w:afterLines="0" w:line="240" w:lineRule="auto"/>
              <w:ind w:left="-105" w:leftChars="-50" w:right="-105" w:rightChars="-50"/>
              <w:rPr>
                <w:rFonts w:ascii="Times New Roman" w:eastAsia="黑体"/>
                <w:snapToGrid w:val="0"/>
                <w:color w:val="000000" w:themeColor="text1"/>
                <w:spacing w:val="-16"/>
                <w:kern w:val="21"/>
                <w:sz w:val="24"/>
                <w:szCs w:val="24"/>
                <w:highlight w:val="none"/>
                <w14:textFill>
                  <w14:solidFill>
                    <w14:schemeClr w14:val="tx1"/>
                  </w14:solidFill>
                </w14:textFill>
              </w:rPr>
            </w:pPr>
            <w:r>
              <w:rPr>
                <w:rFonts w:ascii="Times New Roman" w:hAnsi="黑体" w:eastAsia="黑体"/>
                <w:snapToGrid w:val="0"/>
                <w:color w:val="000000" w:themeColor="text1"/>
                <w:spacing w:val="-16"/>
                <w:kern w:val="21"/>
                <w:sz w:val="24"/>
                <w:szCs w:val="24"/>
                <w:highlight w:val="none"/>
                <w14:textFill>
                  <w14:solidFill>
                    <w14:schemeClr w14:val="tx1"/>
                  </w14:solidFill>
                </w14:textFill>
              </w:rPr>
              <w:t>以新带老削减量（新建项目不填）</w:t>
            </w:r>
            <w:r>
              <w:rPr>
                <w:rFonts w:ascii="Times New Roman" w:eastAsia="黑体"/>
                <w:snapToGrid w:val="0"/>
                <w:color w:val="000000" w:themeColor="text1"/>
                <w:spacing w:val="-1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16"/>
                <w:kern w:val="21"/>
                <w:sz w:val="24"/>
                <w:szCs w:val="24"/>
                <w:highlight w:val="none"/>
                <w14:textFill>
                  <w14:solidFill>
                    <w14:schemeClr w14:val="tx1"/>
                  </w14:solidFill>
                </w14:textFill>
              </w:rPr>
              <w:instrText xml:space="preserve"> = 5 \* GB3 \* MERGEFORMAT </w:instrText>
            </w:r>
            <w:r>
              <w:rPr>
                <w:rFonts w:ascii="Times New Roman" w:eastAsia="黑体"/>
                <w:snapToGrid w:val="0"/>
                <w:color w:val="000000" w:themeColor="text1"/>
                <w:spacing w:val="-16"/>
                <w:kern w:val="21"/>
                <w:sz w:val="24"/>
                <w:szCs w:val="24"/>
                <w:highlight w:val="none"/>
                <w14:textFill>
                  <w14:solidFill>
                    <w14:schemeClr w14:val="tx1"/>
                  </w14:solidFill>
                </w14:textFill>
              </w:rPr>
              <w:fldChar w:fldCharType="separate"/>
            </w:r>
            <w:r>
              <w:rPr>
                <w:rFonts w:ascii="Times New Roman" w:hAnsi="黑体" w:eastAsia="黑体"/>
                <w:color w:val="000000" w:themeColor="text1"/>
                <w:kern w:val="2"/>
                <w:sz w:val="24"/>
                <w:szCs w:val="24"/>
                <w:highlight w:val="none"/>
                <w14:textFill>
                  <w14:solidFill>
                    <w14:schemeClr w14:val="tx1"/>
                  </w14:solidFill>
                </w14:textFill>
              </w:rPr>
              <w:t>⑤</w:t>
            </w:r>
            <w:r>
              <w:rPr>
                <w:rFonts w:ascii="Times New Roman" w:eastAsia="黑体"/>
                <w:snapToGrid w:val="0"/>
                <w:color w:val="000000" w:themeColor="text1"/>
                <w:spacing w:val="-16"/>
                <w:kern w:val="21"/>
                <w:sz w:val="24"/>
                <w:szCs w:val="24"/>
                <w:highlight w:val="none"/>
                <w14:textFill>
                  <w14:solidFill>
                    <w14:schemeClr w14:val="tx1"/>
                  </w14:solidFill>
                </w14:textFill>
              </w:rPr>
              <w:fldChar w:fldCharType="end"/>
            </w:r>
          </w:p>
        </w:tc>
        <w:tc>
          <w:tcPr>
            <w:tcW w:w="1701" w:type="dxa"/>
            <w:vAlign w:val="center"/>
          </w:tcPr>
          <w:p w14:paraId="615D9CE4">
            <w:pPr>
              <w:pStyle w:val="39"/>
              <w:spacing w:beforeLines="0" w:afterLines="0" w:line="240" w:lineRule="auto"/>
              <w:ind w:left="-105" w:leftChars="-50" w:right="-105" w:rightChars="-50"/>
              <w:rPr>
                <w:rFonts w:ascii="Times New Roman" w:eastAsia="黑体"/>
                <w:snapToGrid w:val="0"/>
                <w:color w:val="000000" w:themeColor="text1"/>
                <w:spacing w:val="-16"/>
                <w:kern w:val="21"/>
                <w:sz w:val="24"/>
                <w:szCs w:val="24"/>
                <w:highlight w:val="none"/>
                <w14:textFill>
                  <w14:solidFill>
                    <w14:schemeClr w14:val="tx1"/>
                  </w14:solidFill>
                </w14:textFill>
              </w:rPr>
            </w:pPr>
            <w:r>
              <w:rPr>
                <w:rFonts w:ascii="Times New Roman" w:hAnsi="黑体" w:eastAsia="黑体"/>
                <w:snapToGrid w:val="0"/>
                <w:color w:val="000000" w:themeColor="text1"/>
                <w:spacing w:val="-16"/>
                <w:kern w:val="21"/>
                <w:sz w:val="24"/>
                <w:szCs w:val="24"/>
                <w:highlight w:val="none"/>
                <w14:textFill>
                  <w14:solidFill>
                    <w14:schemeClr w14:val="tx1"/>
                  </w14:solidFill>
                </w14:textFill>
              </w:rPr>
              <w:t>本项目建成后</w:t>
            </w:r>
          </w:p>
          <w:p w14:paraId="4CA498DC">
            <w:pPr>
              <w:pStyle w:val="39"/>
              <w:spacing w:beforeLines="0" w:afterLines="0" w:line="240" w:lineRule="auto"/>
              <w:ind w:left="-105" w:leftChars="-50" w:right="-105" w:rightChars="-50"/>
              <w:rPr>
                <w:rFonts w:ascii="Times New Roman" w:eastAsia="黑体"/>
                <w:snapToGrid w:val="0"/>
                <w:color w:val="000000" w:themeColor="text1"/>
                <w:spacing w:val="-16"/>
                <w:kern w:val="21"/>
                <w:sz w:val="24"/>
                <w:szCs w:val="24"/>
                <w:highlight w:val="none"/>
                <w14:textFill>
                  <w14:solidFill>
                    <w14:schemeClr w14:val="tx1"/>
                  </w14:solidFill>
                </w14:textFill>
              </w:rPr>
            </w:pPr>
            <w:r>
              <w:rPr>
                <w:rFonts w:ascii="Times New Roman" w:hAnsi="黑体" w:eastAsia="黑体"/>
                <w:snapToGrid w:val="0"/>
                <w:color w:val="000000" w:themeColor="text1"/>
                <w:spacing w:val="-16"/>
                <w:kern w:val="21"/>
                <w:sz w:val="24"/>
                <w:szCs w:val="24"/>
                <w:highlight w:val="none"/>
                <w14:textFill>
                  <w14:solidFill>
                    <w14:schemeClr w14:val="tx1"/>
                  </w14:solidFill>
                </w14:textFill>
              </w:rPr>
              <w:t>全厂排放量（固体废物产生量）</w:t>
            </w:r>
            <w:r>
              <w:rPr>
                <w:rFonts w:ascii="Times New Roman" w:eastAsia="黑体"/>
                <w:snapToGrid w:val="0"/>
                <w:color w:val="000000" w:themeColor="text1"/>
                <w:spacing w:val="-1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16"/>
                <w:kern w:val="21"/>
                <w:sz w:val="24"/>
                <w:szCs w:val="24"/>
                <w:highlight w:val="none"/>
                <w14:textFill>
                  <w14:solidFill>
                    <w14:schemeClr w14:val="tx1"/>
                  </w14:solidFill>
                </w14:textFill>
              </w:rPr>
              <w:instrText xml:space="preserve"> = 6 \* GB3 \* MERGEFORMAT </w:instrText>
            </w:r>
            <w:r>
              <w:rPr>
                <w:rFonts w:ascii="Times New Roman" w:eastAsia="黑体"/>
                <w:snapToGrid w:val="0"/>
                <w:color w:val="000000" w:themeColor="text1"/>
                <w:spacing w:val="-16"/>
                <w:kern w:val="21"/>
                <w:sz w:val="24"/>
                <w:szCs w:val="24"/>
                <w:highlight w:val="none"/>
                <w14:textFill>
                  <w14:solidFill>
                    <w14:schemeClr w14:val="tx1"/>
                  </w14:solidFill>
                </w14:textFill>
              </w:rPr>
              <w:fldChar w:fldCharType="separate"/>
            </w:r>
            <w:r>
              <w:rPr>
                <w:rFonts w:ascii="Times New Roman" w:hAnsi="黑体" w:eastAsia="黑体"/>
                <w:color w:val="000000" w:themeColor="text1"/>
                <w:kern w:val="2"/>
                <w:sz w:val="24"/>
                <w:szCs w:val="24"/>
                <w:highlight w:val="none"/>
                <w14:textFill>
                  <w14:solidFill>
                    <w14:schemeClr w14:val="tx1"/>
                  </w14:solidFill>
                </w14:textFill>
              </w:rPr>
              <w:t>⑥</w:t>
            </w:r>
            <w:r>
              <w:rPr>
                <w:rFonts w:ascii="Times New Roman" w:eastAsia="黑体"/>
                <w:snapToGrid w:val="0"/>
                <w:color w:val="000000" w:themeColor="text1"/>
                <w:spacing w:val="-16"/>
                <w:kern w:val="21"/>
                <w:sz w:val="24"/>
                <w:szCs w:val="24"/>
                <w:highlight w:val="none"/>
                <w14:textFill>
                  <w14:solidFill>
                    <w14:schemeClr w14:val="tx1"/>
                  </w14:solidFill>
                </w14:textFill>
              </w:rPr>
              <w:fldChar w:fldCharType="end"/>
            </w:r>
          </w:p>
        </w:tc>
        <w:tc>
          <w:tcPr>
            <w:tcW w:w="1427" w:type="dxa"/>
            <w:vAlign w:val="center"/>
          </w:tcPr>
          <w:p w14:paraId="2704E693">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hAnsi="黑体" w:eastAsia="黑体"/>
                <w:snapToGrid w:val="0"/>
                <w:color w:val="000000" w:themeColor="text1"/>
                <w:spacing w:val="-6"/>
                <w:kern w:val="21"/>
                <w:sz w:val="24"/>
                <w:szCs w:val="24"/>
                <w:highlight w:val="none"/>
                <w14:textFill>
                  <w14:solidFill>
                    <w14:schemeClr w14:val="tx1"/>
                  </w14:solidFill>
                </w14:textFill>
              </w:rPr>
              <w:t>变化量</w:t>
            </w:r>
          </w:p>
          <w:p w14:paraId="089E15F7">
            <w:pPr>
              <w:pStyle w:val="39"/>
              <w:spacing w:beforeLines="0" w:afterLines="0" w:line="240" w:lineRule="auto"/>
              <w:ind w:left="-105" w:leftChars="-50" w:right="-105" w:rightChars="-50"/>
              <w:rPr>
                <w:rFonts w:ascii="Times New Roman" w:eastAsia="黑体"/>
                <w:snapToGrid w:val="0"/>
                <w:color w:val="000000" w:themeColor="text1"/>
                <w:spacing w:val="-6"/>
                <w:kern w:val="21"/>
                <w:sz w:val="24"/>
                <w:szCs w:val="24"/>
                <w:highlight w:val="none"/>
                <w14:textFill>
                  <w14:solidFill>
                    <w14:schemeClr w14:val="tx1"/>
                  </w14:solidFill>
                </w14:textFill>
              </w:rPr>
            </w:pP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begin"/>
            </w:r>
            <w:r>
              <w:rPr>
                <w:rFonts w:ascii="Times New Roman" w:eastAsia="黑体"/>
                <w:snapToGrid w:val="0"/>
                <w:color w:val="000000" w:themeColor="text1"/>
                <w:spacing w:val="-6"/>
                <w:kern w:val="21"/>
                <w:sz w:val="24"/>
                <w:szCs w:val="24"/>
                <w:highlight w:val="none"/>
                <w14:textFill>
                  <w14:solidFill>
                    <w14:schemeClr w14:val="tx1"/>
                  </w14:solidFill>
                </w14:textFill>
              </w:rPr>
              <w:instrText xml:space="preserve"> = 7 \* GB3 \* MERGEFORMAT </w:instrTex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separate"/>
            </w:r>
            <w:r>
              <w:rPr>
                <w:rFonts w:ascii="Times New Roman" w:hAnsi="黑体" w:eastAsia="黑体"/>
                <w:color w:val="000000" w:themeColor="text1"/>
                <w:kern w:val="2"/>
                <w:sz w:val="24"/>
                <w:szCs w:val="24"/>
                <w:highlight w:val="none"/>
                <w14:textFill>
                  <w14:solidFill>
                    <w14:schemeClr w14:val="tx1"/>
                  </w14:solidFill>
                </w14:textFill>
              </w:rPr>
              <w:t>⑦</w:t>
            </w:r>
            <w:r>
              <w:rPr>
                <w:rFonts w:ascii="Times New Roman" w:eastAsia="黑体"/>
                <w:snapToGrid w:val="0"/>
                <w:color w:val="000000" w:themeColor="text1"/>
                <w:spacing w:val="-6"/>
                <w:kern w:val="21"/>
                <w:sz w:val="24"/>
                <w:szCs w:val="24"/>
                <w:highlight w:val="none"/>
                <w14:textFill>
                  <w14:solidFill>
                    <w14:schemeClr w14:val="tx1"/>
                  </w14:solidFill>
                </w14:textFill>
              </w:rPr>
              <w:fldChar w:fldCharType="end"/>
            </w:r>
          </w:p>
        </w:tc>
      </w:tr>
      <w:tr w14:paraId="58F076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restart"/>
            <w:vAlign w:val="center"/>
          </w:tcPr>
          <w:p w14:paraId="676664E8">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r>
              <w:rPr>
                <w:rFonts w:ascii="Times New Roman" w:hAnsi="宋体"/>
                <w:snapToGrid w:val="0"/>
                <w:color w:val="000000" w:themeColor="text1"/>
                <w:kern w:val="21"/>
                <w:sz w:val="24"/>
                <w:szCs w:val="24"/>
                <w:highlight w:val="none"/>
                <w14:textFill>
                  <w14:solidFill>
                    <w14:schemeClr w14:val="tx1"/>
                  </w14:solidFill>
                </w14:textFill>
              </w:rPr>
              <w:t>废气</w:t>
            </w:r>
          </w:p>
        </w:tc>
        <w:tc>
          <w:tcPr>
            <w:tcW w:w="1843" w:type="dxa"/>
            <w:gridSpan w:val="2"/>
            <w:vAlign w:val="center"/>
          </w:tcPr>
          <w:p w14:paraId="2AD0ED3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hAnsi="宋体"/>
                <w:snapToGrid w:val="0"/>
                <w:color w:val="000000" w:themeColor="text1"/>
                <w:kern w:val="21"/>
                <w:szCs w:val="21"/>
                <w:highlight w:val="none"/>
                <w14:textFill>
                  <w14:solidFill>
                    <w14:schemeClr w14:val="tx1"/>
                  </w14:solidFill>
                </w14:textFill>
              </w:rPr>
              <w:t>颗粒物</w:t>
            </w:r>
          </w:p>
        </w:tc>
        <w:tc>
          <w:tcPr>
            <w:tcW w:w="1559" w:type="dxa"/>
            <w:vAlign w:val="center"/>
          </w:tcPr>
          <w:p w14:paraId="59D77B2B">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5.868</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485D4C6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2311A1E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1A95DEF4">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10.4505</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62761DAB">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5.868</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1892E723">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10.4505</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1D4DD0AB">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+4.5825</w:t>
            </w:r>
            <w:r>
              <w:rPr>
                <w:rFonts w:hint="eastAsia" w:ascii="Times New Roman"/>
                <w:bCs/>
                <w:snapToGrid w:val="0"/>
                <w:color w:val="000000" w:themeColor="text1"/>
                <w:kern w:val="21"/>
                <w:szCs w:val="21"/>
                <w:highlight w:val="none"/>
                <w14:textFill>
                  <w14:solidFill>
                    <w14:schemeClr w14:val="tx1"/>
                  </w14:solidFill>
                </w14:textFill>
              </w:rPr>
              <w:t>t/a</w:t>
            </w:r>
          </w:p>
        </w:tc>
      </w:tr>
      <w:tr w14:paraId="2EEB08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33E1A9C7">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00E1A27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SO</w:t>
            </w:r>
            <w:r>
              <w:rPr>
                <w:rFonts w:ascii="Times New Roman"/>
                <w:snapToGrid w:val="0"/>
                <w:color w:val="000000" w:themeColor="text1"/>
                <w:kern w:val="21"/>
                <w:szCs w:val="21"/>
                <w:highlight w:val="none"/>
                <w:vertAlign w:val="subscript"/>
                <w14:textFill>
                  <w14:solidFill>
                    <w14:schemeClr w14:val="tx1"/>
                  </w14:solidFill>
                </w14:textFill>
              </w:rPr>
              <w:t>2</w:t>
            </w:r>
          </w:p>
        </w:tc>
        <w:tc>
          <w:tcPr>
            <w:tcW w:w="1559" w:type="dxa"/>
            <w:vAlign w:val="center"/>
          </w:tcPr>
          <w:p w14:paraId="1EB15C1C">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14.47</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6C96914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2F8A5EE2">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06DCF188">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17.81</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453E0497">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14.47</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41C38ACD">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17.81</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12D29CFE">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+3.34</w:t>
            </w:r>
            <w:r>
              <w:rPr>
                <w:rFonts w:hint="eastAsia" w:ascii="Times New Roman"/>
                <w:bCs/>
                <w:snapToGrid w:val="0"/>
                <w:color w:val="000000" w:themeColor="text1"/>
                <w:kern w:val="21"/>
                <w:szCs w:val="21"/>
                <w:highlight w:val="none"/>
                <w14:textFill>
                  <w14:solidFill>
                    <w14:schemeClr w14:val="tx1"/>
                  </w14:solidFill>
                </w14:textFill>
              </w:rPr>
              <w:t>t/a</w:t>
            </w:r>
          </w:p>
        </w:tc>
      </w:tr>
      <w:tr w14:paraId="66176C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69510E95">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23A7E34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NOx</w:t>
            </w:r>
          </w:p>
        </w:tc>
        <w:tc>
          <w:tcPr>
            <w:tcW w:w="1559" w:type="dxa"/>
            <w:vAlign w:val="center"/>
          </w:tcPr>
          <w:p w14:paraId="226FE982">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60.85</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28E8DCC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2DE6CDA7">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716CAB15">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33.3</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386BB989">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60.85</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07BC20FE">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33.3</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4ABBF9FC">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-27.55</w:t>
            </w:r>
            <w:r>
              <w:rPr>
                <w:rFonts w:hint="eastAsia" w:ascii="Times New Roman"/>
                <w:bCs/>
                <w:snapToGrid w:val="0"/>
                <w:color w:val="000000" w:themeColor="text1"/>
                <w:kern w:val="21"/>
                <w:szCs w:val="21"/>
                <w:highlight w:val="none"/>
                <w14:textFill>
                  <w14:solidFill>
                    <w14:schemeClr w14:val="tx1"/>
                  </w14:solidFill>
                </w14:textFill>
              </w:rPr>
              <w:t>t/a</w:t>
            </w:r>
          </w:p>
        </w:tc>
      </w:tr>
      <w:tr w14:paraId="361E13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11020CB2">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74559346">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ascii="Times New Roman" w:hAnsi="宋体"/>
                <w:snapToGrid w:val="0"/>
                <w:color w:val="000000" w:themeColor="text1"/>
                <w:kern w:val="21"/>
                <w:szCs w:val="21"/>
                <w:highlight w:val="none"/>
                <w14:textFill>
                  <w14:solidFill>
                    <w14:schemeClr w14:val="tx1"/>
                  </w14:solidFill>
                </w14:textFill>
              </w:rPr>
              <w:t>氟化物</w:t>
            </w:r>
          </w:p>
        </w:tc>
        <w:tc>
          <w:tcPr>
            <w:tcW w:w="1559" w:type="dxa"/>
            <w:vAlign w:val="center"/>
          </w:tcPr>
          <w:p w14:paraId="05CA897B">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1.48</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65D5AB6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33F1117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p>
        </w:tc>
        <w:tc>
          <w:tcPr>
            <w:tcW w:w="1559" w:type="dxa"/>
            <w:vAlign w:val="center"/>
          </w:tcPr>
          <w:p w14:paraId="19242839">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0.1536</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2853FFE6">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1.48</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559E5B0B">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0.1536</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15246740">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-1.3264</w:t>
            </w:r>
            <w:r>
              <w:rPr>
                <w:rFonts w:hint="eastAsia" w:ascii="Times New Roman"/>
                <w:bCs/>
                <w:snapToGrid w:val="0"/>
                <w:color w:val="000000" w:themeColor="text1"/>
                <w:kern w:val="21"/>
                <w:szCs w:val="21"/>
                <w:highlight w:val="none"/>
                <w14:textFill>
                  <w14:solidFill>
                    <w14:schemeClr w14:val="tx1"/>
                  </w14:solidFill>
                </w14:textFill>
              </w:rPr>
              <w:t>t/a</w:t>
            </w:r>
          </w:p>
        </w:tc>
      </w:tr>
      <w:tr w14:paraId="7194C1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45BD5D45">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0B6B54D9">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氯化氢</w:t>
            </w:r>
          </w:p>
        </w:tc>
        <w:tc>
          <w:tcPr>
            <w:tcW w:w="1559" w:type="dxa"/>
            <w:vAlign w:val="center"/>
          </w:tcPr>
          <w:p w14:paraId="0C260FB0">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0.739</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072DE3E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99D979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p>
        </w:tc>
        <w:tc>
          <w:tcPr>
            <w:tcW w:w="1559" w:type="dxa"/>
            <w:vAlign w:val="center"/>
          </w:tcPr>
          <w:p w14:paraId="717F91EE">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0.104</w:t>
            </w:r>
            <w:r>
              <w:rPr>
                <w:rFonts w:hint="eastAsia" w:ascii="Times New Roman"/>
                <w:bCs/>
                <w:snapToGrid w:val="0"/>
                <w:color w:val="000000" w:themeColor="text1"/>
                <w:kern w:val="21"/>
                <w:szCs w:val="21"/>
                <w:highlight w:val="none"/>
                <w14:textFill>
                  <w14:solidFill>
                    <w14:schemeClr w14:val="tx1"/>
                  </w14:solidFill>
                </w14:textFill>
              </w:rPr>
              <w:t>t/a</w:t>
            </w:r>
          </w:p>
        </w:tc>
        <w:tc>
          <w:tcPr>
            <w:tcW w:w="1418" w:type="dxa"/>
            <w:vAlign w:val="center"/>
          </w:tcPr>
          <w:p w14:paraId="0BF84F89">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0.739</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1DDC1ED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0.104</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05E15A6F">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-0.635</w:t>
            </w:r>
            <w:r>
              <w:rPr>
                <w:rFonts w:hint="eastAsia" w:ascii="Times New Roman"/>
                <w:bCs/>
                <w:snapToGrid w:val="0"/>
                <w:color w:val="000000" w:themeColor="text1"/>
                <w:kern w:val="21"/>
                <w:szCs w:val="21"/>
                <w:highlight w:val="none"/>
                <w14:textFill>
                  <w14:solidFill>
                    <w14:schemeClr w14:val="tx1"/>
                  </w14:solidFill>
                </w14:textFill>
              </w:rPr>
              <w:t>t/a</w:t>
            </w:r>
          </w:p>
        </w:tc>
      </w:tr>
      <w:tr w14:paraId="6B036D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18C2E29D">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334ED06A">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二噁英类</w:t>
            </w:r>
          </w:p>
        </w:tc>
        <w:tc>
          <w:tcPr>
            <w:tcW w:w="1559" w:type="dxa"/>
            <w:vAlign w:val="center"/>
          </w:tcPr>
          <w:p w14:paraId="7607F2B4">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21.11mgTEQ/a</w:t>
            </w:r>
          </w:p>
        </w:tc>
        <w:tc>
          <w:tcPr>
            <w:tcW w:w="1276" w:type="dxa"/>
            <w:vAlign w:val="center"/>
          </w:tcPr>
          <w:p w14:paraId="1B3BAA0E">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2E71435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5421D14D">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77.52mgTEQ/a</w:t>
            </w:r>
          </w:p>
        </w:tc>
        <w:tc>
          <w:tcPr>
            <w:tcW w:w="1418" w:type="dxa"/>
            <w:vAlign w:val="center"/>
          </w:tcPr>
          <w:p w14:paraId="07105353">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21.11mgTEQ/a</w:t>
            </w:r>
          </w:p>
        </w:tc>
        <w:tc>
          <w:tcPr>
            <w:tcW w:w="1701" w:type="dxa"/>
            <w:vAlign w:val="center"/>
          </w:tcPr>
          <w:p w14:paraId="2B68FCA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77.52mgTEQ/a</w:t>
            </w:r>
          </w:p>
        </w:tc>
        <w:tc>
          <w:tcPr>
            <w:tcW w:w="1427" w:type="dxa"/>
            <w:vAlign w:val="center"/>
          </w:tcPr>
          <w:p w14:paraId="6469F8BA">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+56.41mgTEQ/a</w:t>
            </w:r>
          </w:p>
        </w:tc>
      </w:tr>
      <w:tr w14:paraId="45EF3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067C0BD3">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7ABAA96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汞及其化合物（以Hg计）</w:t>
            </w:r>
          </w:p>
        </w:tc>
        <w:tc>
          <w:tcPr>
            <w:tcW w:w="1559" w:type="dxa"/>
            <w:vAlign w:val="center"/>
          </w:tcPr>
          <w:p w14:paraId="7C00EC7C">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0.00295</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3F11796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42D0C2A">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15B72B95">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434</w:t>
            </w:r>
            <w:r>
              <w:rPr>
                <w:rFonts w:hint="eastAsia" w:ascii="Times New Roman"/>
                <w:bCs/>
                <w:snapToGrid w:val="0"/>
                <w:color w:val="000000" w:themeColor="text1"/>
                <w:kern w:val="21"/>
                <w:szCs w:val="21"/>
                <w:highlight w:val="none"/>
                <w14:textFill>
                  <w14:solidFill>
                    <w14:schemeClr w14:val="tx1"/>
                  </w14:solidFill>
                </w14:textFill>
              </w:rPr>
              <w:t>t/a</w:t>
            </w:r>
          </w:p>
        </w:tc>
        <w:tc>
          <w:tcPr>
            <w:tcW w:w="1418" w:type="dxa"/>
            <w:vAlign w:val="center"/>
          </w:tcPr>
          <w:p w14:paraId="4A100DC7">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0.00295</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33E5B457">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434</w:t>
            </w:r>
            <w:r>
              <w:rPr>
                <w:rFonts w:hint="eastAsia" w:ascii="Times New Roman"/>
                <w:bCs/>
                <w:snapToGrid w:val="0"/>
                <w:color w:val="000000" w:themeColor="text1"/>
                <w:kern w:val="21"/>
                <w:szCs w:val="21"/>
                <w:highlight w:val="none"/>
                <w14:textFill>
                  <w14:solidFill>
                    <w14:schemeClr w14:val="tx1"/>
                  </w14:solidFill>
                </w14:textFill>
              </w:rPr>
              <w:t>t/a</w:t>
            </w:r>
          </w:p>
        </w:tc>
        <w:tc>
          <w:tcPr>
            <w:tcW w:w="1427" w:type="dxa"/>
            <w:vAlign w:val="center"/>
          </w:tcPr>
          <w:p w14:paraId="771C0E24">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+0.04045</w:t>
            </w:r>
            <w:r>
              <w:rPr>
                <w:rFonts w:hint="eastAsia" w:ascii="Times New Roman"/>
                <w:bCs/>
                <w:snapToGrid w:val="0"/>
                <w:color w:val="000000" w:themeColor="text1"/>
                <w:kern w:val="21"/>
                <w:szCs w:val="21"/>
                <w:highlight w:val="none"/>
                <w14:textFill>
                  <w14:solidFill>
                    <w14:schemeClr w14:val="tx1"/>
                  </w14:solidFill>
                </w14:textFill>
              </w:rPr>
              <w:t>t/a</w:t>
            </w:r>
          </w:p>
        </w:tc>
      </w:tr>
      <w:tr w14:paraId="253BD0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1CAEF039">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5A28908B">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镉及其化合物（以Cd计）</w:t>
            </w:r>
          </w:p>
        </w:tc>
        <w:tc>
          <w:tcPr>
            <w:tcW w:w="1559" w:type="dxa"/>
            <w:vAlign w:val="center"/>
          </w:tcPr>
          <w:p w14:paraId="33C011F0">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0.000012</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7E7E874C">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2FA8DC79">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19FACBBF">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33</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4E958AD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0.000012</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12799159">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33</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0E56B41A">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+0.003288</w:t>
            </w:r>
            <w:r>
              <w:rPr>
                <w:rFonts w:hint="eastAsia" w:ascii="Times New Roman"/>
                <w:bCs/>
                <w:snapToGrid w:val="0"/>
                <w:color w:val="000000" w:themeColor="text1"/>
                <w:kern w:val="21"/>
                <w:szCs w:val="21"/>
                <w:highlight w:val="none"/>
                <w14:textFill>
                  <w14:solidFill>
                    <w14:schemeClr w14:val="tx1"/>
                  </w14:solidFill>
                </w14:textFill>
              </w:rPr>
              <w:t>t/a</w:t>
            </w:r>
          </w:p>
        </w:tc>
      </w:tr>
      <w:tr w14:paraId="30C80A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7FEC7EAB">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2E648E3D">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砷、铅、钴、铜、镍及其化合物（As+Pb+Co+Cu+Ni计）</w:t>
            </w:r>
          </w:p>
        </w:tc>
        <w:tc>
          <w:tcPr>
            <w:tcW w:w="1559" w:type="dxa"/>
            <w:vAlign w:val="center"/>
          </w:tcPr>
          <w:p w14:paraId="53E4BC92">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0.00707</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6AB3E437">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0A15D4EC">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0AF68E55">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1874</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118933F5">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0.00707</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72BBA233">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1874</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548D7349">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+0.18033</w:t>
            </w:r>
            <w:r>
              <w:rPr>
                <w:rFonts w:hint="eastAsia" w:ascii="Times New Roman"/>
                <w:bCs/>
                <w:snapToGrid w:val="0"/>
                <w:color w:val="000000" w:themeColor="text1"/>
                <w:kern w:val="21"/>
                <w:szCs w:val="21"/>
                <w:highlight w:val="none"/>
                <w14:textFill>
                  <w14:solidFill>
                    <w14:schemeClr w14:val="tx1"/>
                  </w14:solidFill>
                </w14:textFill>
              </w:rPr>
              <w:t>t/a</w:t>
            </w:r>
          </w:p>
        </w:tc>
      </w:tr>
      <w:tr w14:paraId="2BF644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11A79A85">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992" w:type="dxa"/>
            <w:vAlign w:val="center"/>
          </w:tcPr>
          <w:p w14:paraId="3C5D3F51">
            <w:pPr>
              <w:spacing w:line="240" w:lineRule="auto"/>
              <w:jc w:val="center"/>
              <w:rPr>
                <w:rFonts w:hAnsi="宋体"/>
                <w:snapToGrid w:val="0"/>
                <w:color w:val="000000" w:themeColor="text1"/>
                <w:kern w:val="21"/>
                <w:szCs w:val="21"/>
                <w:highlight w:val="none"/>
                <w14:textFill>
                  <w14:solidFill>
                    <w14:schemeClr w14:val="tx1"/>
                  </w14:solidFill>
                </w14:textFill>
              </w:rPr>
            </w:pPr>
            <w:r>
              <w:rPr>
                <w:rFonts w:hint="eastAsia" w:hAnsi="宋体"/>
                <w:snapToGrid w:val="0"/>
                <w:color w:val="000000" w:themeColor="text1"/>
                <w:kern w:val="21"/>
                <w:szCs w:val="21"/>
                <w:highlight w:val="none"/>
                <w14:textFill>
                  <w14:solidFill>
                    <w14:schemeClr w14:val="tx1"/>
                  </w14:solidFill>
                </w14:textFill>
              </w:rPr>
              <w:t>氨</w:t>
            </w:r>
          </w:p>
        </w:tc>
        <w:tc>
          <w:tcPr>
            <w:tcW w:w="851" w:type="dxa"/>
            <w:vMerge w:val="restart"/>
            <w:vAlign w:val="center"/>
          </w:tcPr>
          <w:p w14:paraId="281E4A9D">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正常生产时</w:t>
            </w:r>
          </w:p>
        </w:tc>
        <w:tc>
          <w:tcPr>
            <w:tcW w:w="1559" w:type="dxa"/>
            <w:vAlign w:val="center"/>
          </w:tcPr>
          <w:p w14:paraId="6C0B3D10">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0.307</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46BEDE47">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0743361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shd w:val="clear" w:color="auto" w:fill="auto"/>
            <w:vAlign w:val="center"/>
          </w:tcPr>
          <w:p w14:paraId="20EBA3B7">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19.4238</w:t>
            </w:r>
            <w:r>
              <w:rPr>
                <w:rFonts w:hint="eastAsia" w:ascii="Times New Roman"/>
                <w:bCs/>
                <w:snapToGrid w:val="0"/>
                <w:color w:val="000000" w:themeColor="text1"/>
                <w:kern w:val="21"/>
                <w:szCs w:val="21"/>
                <w:highlight w:val="none"/>
                <w14:textFill>
                  <w14:solidFill>
                    <w14:schemeClr w14:val="tx1"/>
                  </w14:solidFill>
                </w14:textFill>
              </w:rPr>
              <w:t>t/a</w:t>
            </w:r>
          </w:p>
        </w:tc>
        <w:tc>
          <w:tcPr>
            <w:tcW w:w="1418" w:type="dxa"/>
            <w:vAlign w:val="center"/>
          </w:tcPr>
          <w:p w14:paraId="76C21A29">
            <w:pPr>
              <w:pStyle w:val="39"/>
              <w:spacing w:beforeLines="0" w:afterLines="0" w:line="280" w:lineRule="exact"/>
              <w:ind w:left="-105" w:leftChars="-50" w:right="-105" w:rightChars="-50"/>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0.307t/a</w:t>
            </w:r>
          </w:p>
        </w:tc>
        <w:tc>
          <w:tcPr>
            <w:tcW w:w="1701" w:type="dxa"/>
            <w:vAlign w:val="center"/>
          </w:tcPr>
          <w:p w14:paraId="29BEE5A8">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19.4238</w:t>
            </w:r>
            <w:r>
              <w:rPr>
                <w:rFonts w:hint="eastAsia" w:ascii="Times New Roman"/>
                <w:bCs/>
                <w:snapToGrid w:val="0"/>
                <w:color w:val="000000" w:themeColor="text1"/>
                <w:kern w:val="21"/>
                <w:szCs w:val="21"/>
                <w:highlight w:val="none"/>
                <w14:textFill>
                  <w14:solidFill>
                    <w14:schemeClr w14:val="tx1"/>
                  </w14:solidFill>
                </w14:textFill>
              </w:rPr>
              <w:t>t/a</w:t>
            </w:r>
          </w:p>
        </w:tc>
        <w:tc>
          <w:tcPr>
            <w:tcW w:w="1427" w:type="dxa"/>
            <w:shd w:val="clear" w:color="auto" w:fill="auto"/>
            <w:vAlign w:val="center"/>
          </w:tcPr>
          <w:p w14:paraId="00F88862">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+19.1168</w:t>
            </w:r>
            <w:r>
              <w:rPr>
                <w:rFonts w:hint="eastAsia" w:ascii="Times New Roman"/>
                <w:bCs/>
                <w:snapToGrid w:val="0"/>
                <w:color w:val="000000" w:themeColor="text1"/>
                <w:kern w:val="21"/>
                <w:szCs w:val="21"/>
                <w:highlight w:val="none"/>
                <w14:textFill>
                  <w14:solidFill>
                    <w14:schemeClr w14:val="tx1"/>
                  </w14:solidFill>
                </w14:textFill>
              </w:rPr>
              <w:t>t/a</w:t>
            </w:r>
          </w:p>
        </w:tc>
      </w:tr>
      <w:tr w14:paraId="3DA406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58308D7C">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992" w:type="dxa"/>
            <w:vAlign w:val="center"/>
          </w:tcPr>
          <w:p w14:paraId="376A599B">
            <w:pPr>
              <w:spacing w:line="240" w:lineRule="auto"/>
              <w:jc w:val="center"/>
              <w:rPr>
                <w:rFonts w:hAnsi="宋体"/>
                <w:snapToGrid w:val="0"/>
                <w:color w:val="000000" w:themeColor="text1"/>
                <w:kern w:val="21"/>
                <w:szCs w:val="21"/>
                <w:highlight w:val="none"/>
                <w14:textFill>
                  <w14:solidFill>
                    <w14:schemeClr w14:val="tx1"/>
                  </w14:solidFill>
                </w14:textFill>
              </w:rPr>
            </w:pPr>
            <w:r>
              <w:rPr>
                <w:rFonts w:hint="eastAsia" w:hAnsi="宋体"/>
                <w:snapToGrid w:val="0"/>
                <w:color w:val="000000" w:themeColor="text1"/>
                <w:kern w:val="21"/>
                <w:szCs w:val="21"/>
                <w:highlight w:val="none"/>
                <w14:textFill>
                  <w14:solidFill>
                    <w14:schemeClr w14:val="tx1"/>
                  </w14:solidFill>
                </w14:textFill>
              </w:rPr>
              <w:t>硫化氢</w:t>
            </w:r>
          </w:p>
        </w:tc>
        <w:tc>
          <w:tcPr>
            <w:tcW w:w="851" w:type="dxa"/>
            <w:vMerge w:val="continue"/>
            <w:vAlign w:val="center"/>
          </w:tcPr>
          <w:p w14:paraId="6DF02FDE">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p>
        </w:tc>
        <w:tc>
          <w:tcPr>
            <w:tcW w:w="1559" w:type="dxa"/>
            <w:vAlign w:val="center"/>
          </w:tcPr>
          <w:p w14:paraId="006FED31">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0.033</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75C34A3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9EC0569">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shd w:val="clear" w:color="auto" w:fill="auto"/>
            <w:vAlign w:val="center"/>
          </w:tcPr>
          <w:p w14:paraId="6E2C4827">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27</w:t>
            </w:r>
            <w:r>
              <w:rPr>
                <w:rFonts w:hint="eastAsia" w:ascii="Times New Roman"/>
                <w:bCs/>
                <w:snapToGrid w:val="0"/>
                <w:color w:val="000000" w:themeColor="text1"/>
                <w:kern w:val="21"/>
                <w:szCs w:val="21"/>
                <w:highlight w:val="none"/>
                <w14:textFill>
                  <w14:solidFill>
                    <w14:schemeClr w14:val="tx1"/>
                  </w14:solidFill>
                </w14:textFill>
              </w:rPr>
              <w:t>t/a</w:t>
            </w:r>
          </w:p>
        </w:tc>
        <w:tc>
          <w:tcPr>
            <w:tcW w:w="1418" w:type="dxa"/>
            <w:vAlign w:val="center"/>
          </w:tcPr>
          <w:p w14:paraId="07E504F1">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0.033</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5D17FAB0">
            <w:pPr>
              <w:pStyle w:val="39"/>
              <w:spacing w:beforeLines="0" w:afterLines="0" w:line="280" w:lineRule="exact"/>
              <w:ind w:left="-105" w:leftChars="-50" w:right="-105" w:rightChars="-50"/>
              <w:jc w:val="center"/>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27</w:t>
            </w:r>
            <w:r>
              <w:rPr>
                <w:rFonts w:hint="eastAsia" w:ascii="Times New Roman"/>
                <w:bCs/>
                <w:snapToGrid w:val="0"/>
                <w:color w:val="000000" w:themeColor="text1"/>
                <w:kern w:val="21"/>
                <w:szCs w:val="21"/>
                <w:highlight w:val="none"/>
                <w14:textFill>
                  <w14:solidFill>
                    <w14:schemeClr w14:val="tx1"/>
                  </w14:solidFill>
                </w14:textFill>
              </w:rPr>
              <w:t>t/a</w:t>
            </w:r>
          </w:p>
        </w:tc>
        <w:tc>
          <w:tcPr>
            <w:tcW w:w="1427" w:type="dxa"/>
            <w:shd w:val="clear" w:color="auto" w:fill="auto"/>
            <w:vAlign w:val="center"/>
          </w:tcPr>
          <w:p w14:paraId="02530322">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-0.0303</w:t>
            </w:r>
            <w:r>
              <w:rPr>
                <w:rFonts w:hint="eastAsia" w:ascii="Times New Roman"/>
                <w:bCs/>
                <w:snapToGrid w:val="0"/>
                <w:color w:val="000000" w:themeColor="text1"/>
                <w:kern w:val="21"/>
                <w:szCs w:val="21"/>
                <w:highlight w:val="none"/>
                <w14:textFill>
                  <w14:solidFill>
                    <w14:schemeClr w14:val="tx1"/>
                  </w14:solidFill>
                </w14:textFill>
              </w:rPr>
              <w:t>t/a</w:t>
            </w:r>
          </w:p>
        </w:tc>
      </w:tr>
      <w:tr w14:paraId="5DC8B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7516F7F3">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992" w:type="dxa"/>
            <w:vAlign w:val="center"/>
          </w:tcPr>
          <w:p w14:paraId="1460D106">
            <w:pPr>
              <w:spacing w:line="240" w:lineRule="auto"/>
              <w:jc w:val="center"/>
              <w:rPr>
                <w:rFonts w:hAnsi="宋体"/>
                <w:snapToGrid w:val="0"/>
                <w:color w:val="000000" w:themeColor="text1"/>
                <w:kern w:val="21"/>
                <w:szCs w:val="21"/>
                <w:highlight w:val="none"/>
                <w14:textFill>
                  <w14:solidFill>
                    <w14:schemeClr w14:val="tx1"/>
                  </w14:solidFill>
                </w14:textFill>
              </w:rPr>
            </w:pPr>
            <w:r>
              <w:rPr>
                <w:rFonts w:hint="eastAsia" w:hAnsi="宋体"/>
                <w:snapToGrid w:val="0"/>
                <w:color w:val="000000" w:themeColor="text1"/>
                <w:kern w:val="21"/>
                <w:szCs w:val="21"/>
                <w:highlight w:val="none"/>
                <w14:textFill>
                  <w14:solidFill>
                    <w14:schemeClr w14:val="tx1"/>
                  </w14:solidFill>
                </w14:textFill>
              </w:rPr>
              <w:t>氨</w:t>
            </w:r>
          </w:p>
        </w:tc>
        <w:tc>
          <w:tcPr>
            <w:tcW w:w="851" w:type="dxa"/>
            <w:vMerge w:val="restart"/>
            <w:vAlign w:val="center"/>
          </w:tcPr>
          <w:p w14:paraId="04B28952">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隧道窑停产时</w:t>
            </w:r>
          </w:p>
        </w:tc>
        <w:tc>
          <w:tcPr>
            <w:tcW w:w="1559" w:type="dxa"/>
            <w:vAlign w:val="center"/>
          </w:tcPr>
          <w:p w14:paraId="08EFDF7A">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0.00072</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035DB8C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61A825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shd w:val="clear" w:color="auto" w:fill="auto"/>
            <w:vAlign w:val="center"/>
          </w:tcPr>
          <w:p w14:paraId="39EA19E3">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0.1</w:t>
            </w:r>
            <w:r>
              <w:rPr>
                <w:rFonts w:hint="eastAsia" w:ascii="Times New Roman" w:hAnsi="宋体"/>
                <w:snapToGrid w:val="0"/>
                <w:color w:val="000000" w:themeColor="text1"/>
                <w:kern w:val="21"/>
                <w:szCs w:val="21"/>
                <w:highlight w:val="none"/>
                <w:lang w:val="en-US" w:eastAsia="zh-CN"/>
                <w14:textFill>
                  <w14:solidFill>
                    <w14:schemeClr w14:val="tx1"/>
                  </w14:solidFill>
                </w14:textFill>
              </w:rPr>
              <w:t>45</w:t>
            </w:r>
            <w:r>
              <w:rPr>
                <w:rFonts w:hint="eastAsia" w:ascii="Times New Roman"/>
                <w:bCs/>
                <w:snapToGrid w:val="0"/>
                <w:color w:val="000000" w:themeColor="text1"/>
                <w:kern w:val="21"/>
                <w:szCs w:val="21"/>
                <w:highlight w:val="none"/>
                <w14:textFill>
                  <w14:solidFill>
                    <w14:schemeClr w14:val="tx1"/>
                  </w14:solidFill>
                </w14:textFill>
              </w:rPr>
              <w:t>t/a</w:t>
            </w:r>
          </w:p>
        </w:tc>
        <w:tc>
          <w:tcPr>
            <w:tcW w:w="1418" w:type="dxa"/>
            <w:vAlign w:val="center"/>
          </w:tcPr>
          <w:p w14:paraId="3B3ABC49">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0.00072</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6A272FDE">
            <w:pPr>
              <w:pStyle w:val="39"/>
              <w:spacing w:beforeLines="0" w:afterLines="0" w:line="280" w:lineRule="exact"/>
              <w:ind w:left="-105" w:leftChars="-50" w:right="-105" w:rightChars="-50"/>
              <w:jc w:val="center"/>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0.1</w:t>
            </w:r>
            <w:r>
              <w:rPr>
                <w:rFonts w:hint="eastAsia" w:ascii="Times New Roman" w:hAnsi="宋体"/>
                <w:snapToGrid w:val="0"/>
                <w:color w:val="000000" w:themeColor="text1"/>
                <w:kern w:val="21"/>
                <w:szCs w:val="21"/>
                <w:highlight w:val="none"/>
                <w:lang w:val="en-US" w:eastAsia="zh-CN"/>
                <w14:textFill>
                  <w14:solidFill>
                    <w14:schemeClr w14:val="tx1"/>
                  </w14:solidFill>
                </w14:textFill>
              </w:rPr>
              <w:t>45</w:t>
            </w:r>
            <w:r>
              <w:rPr>
                <w:rFonts w:hint="eastAsia" w:ascii="Times New Roman"/>
                <w:bCs/>
                <w:snapToGrid w:val="0"/>
                <w:color w:val="000000" w:themeColor="text1"/>
                <w:kern w:val="21"/>
                <w:szCs w:val="21"/>
                <w:highlight w:val="none"/>
                <w14:textFill>
                  <w14:solidFill>
                    <w14:schemeClr w14:val="tx1"/>
                  </w14:solidFill>
                </w14:textFill>
              </w:rPr>
              <w:t>t/a</w:t>
            </w:r>
          </w:p>
        </w:tc>
        <w:tc>
          <w:tcPr>
            <w:tcW w:w="1427" w:type="dxa"/>
            <w:shd w:val="clear" w:color="auto" w:fill="auto"/>
            <w:vAlign w:val="center"/>
          </w:tcPr>
          <w:p w14:paraId="709CCF27">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+0.14428</w:t>
            </w:r>
            <w:r>
              <w:rPr>
                <w:rFonts w:hint="eastAsia" w:ascii="Times New Roman"/>
                <w:bCs/>
                <w:snapToGrid w:val="0"/>
                <w:color w:val="000000" w:themeColor="text1"/>
                <w:kern w:val="21"/>
                <w:szCs w:val="21"/>
                <w:highlight w:val="none"/>
                <w14:textFill>
                  <w14:solidFill>
                    <w14:schemeClr w14:val="tx1"/>
                  </w14:solidFill>
                </w14:textFill>
              </w:rPr>
              <w:t>t/a</w:t>
            </w:r>
          </w:p>
        </w:tc>
      </w:tr>
      <w:tr w14:paraId="29FC6D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4188C3BB">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992" w:type="dxa"/>
            <w:vAlign w:val="center"/>
          </w:tcPr>
          <w:p w14:paraId="6337D20F">
            <w:pPr>
              <w:spacing w:line="240" w:lineRule="auto"/>
              <w:jc w:val="center"/>
              <w:rPr>
                <w:rFonts w:hAnsi="宋体"/>
                <w:snapToGrid w:val="0"/>
                <w:color w:val="000000" w:themeColor="text1"/>
                <w:kern w:val="21"/>
                <w:szCs w:val="21"/>
                <w:highlight w:val="none"/>
                <w14:textFill>
                  <w14:solidFill>
                    <w14:schemeClr w14:val="tx1"/>
                  </w14:solidFill>
                </w14:textFill>
              </w:rPr>
            </w:pPr>
            <w:r>
              <w:rPr>
                <w:rFonts w:hint="eastAsia" w:hAnsi="宋体"/>
                <w:snapToGrid w:val="0"/>
                <w:color w:val="000000" w:themeColor="text1"/>
                <w:kern w:val="21"/>
                <w:szCs w:val="21"/>
                <w:highlight w:val="none"/>
                <w14:textFill>
                  <w14:solidFill>
                    <w14:schemeClr w14:val="tx1"/>
                  </w14:solidFill>
                </w14:textFill>
              </w:rPr>
              <w:t>硫化氢</w:t>
            </w:r>
          </w:p>
        </w:tc>
        <w:tc>
          <w:tcPr>
            <w:tcW w:w="851" w:type="dxa"/>
            <w:vMerge w:val="continue"/>
            <w:vAlign w:val="center"/>
          </w:tcPr>
          <w:p w14:paraId="56D63C8B">
            <w:pPr>
              <w:spacing w:line="240" w:lineRule="auto"/>
              <w:jc w:val="center"/>
              <w:rPr>
                <w:rFonts w:hAnsi="宋体"/>
                <w:snapToGrid w:val="0"/>
                <w:color w:val="000000" w:themeColor="text1"/>
                <w:kern w:val="21"/>
                <w:szCs w:val="21"/>
                <w:highlight w:val="none"/>
                <w14:textFill>
                  <w14:solidFill>
                    <w14:schemeClr w14:val="tx1"/>
                  </w14:solidFill>
                </w14:textFill>
              </w:rPr>
            </w:pPr>
          </w:p>
        </w:tc>
        <w:tc>
          <w:tcPr>
            <w:tcW w:w="1559" w:type="dxa"/>
            <w:vAlign w:val="center"/>
          </w:tcPr>
          <w:p w14:paraId="55E193C9">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0.000072</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276" w:type="dxa"/>
            <w:vAlign w:val="center"/>
          </w:tcPr>
          <w:p w14:paraId="5AE64552">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E07C64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shd w:val="clear" w:color="auto" w:fill="auto"/>
            <w:vAlign w:val="center"/>
          </w:tcPr>
          <w:p w14:paraId="5BE4D0D6">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67</w:t>
            </w:r>
            <w:r>
              <w:rPr>
                <w:rFonts w:hint="eastAsia" w:ascii="Times New Roman"/>
                <w:bCs/>
                <w:snapToGrid w:val="0"/>
                <w:color w:val="000000" w:themeColor="text1"/>
                <w:kern w:val="21"/>
                <w:szCs w:val="21"/>
                <w:highlight w:val="none"/>
                <w14:textFill>
                  <w14:solidFill>
                    <w14:schemeClr w14:val="tx1"/>
                  </w14:solidFill>
                </w14:textFill>
              </w:rPr>
              <w:t>t/a</w:t>
            </w:r>
          </w:p>
        </w:tc>
        <w:tc>
          <w:tcPr>
            <w:tcW w:w="1418" w:type="dxa"/>
            <w:vAlign w:val="center"/>
          </w:tcPr>
          <w:p w14:paraId="2D3FEECF">
            <w:pPr>
              <w:pStyle w:val="39"/>
              <w:spacing w:beforeLines="0" w:afterLines="0" w:line="280" w:lineRule="exact"/>
              <w:ind w:left="-105" w:leftChars="-50" w:right="-105" w:rightChars="-50"/>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0.000072</w:t>
            </w:r>
            <w:r>
              <w:rPr>
                <w:rFonts w:hint="eastAsia" w:ascii="Times New Roman"/>
                <w:bCs/>
                <w:snapToGrid w:val="0"/>
                <w:color w:val="000000" w:themeColor="text1"/>
                <w:kern w:val="21"/>
                <w:szCs w:val="21"/>
                <w:highlight w:val="none"/>
                <w14:textFill>
                  <w14:solidFill>
                    <w14:schemeClr w14:val="tx1"/>
                  </w14:solidFill>
                </w14:textFill>
              </w:rPr>
              <w:t xml:space="preserve"> t/a</w:t>
            </w:r>
          </w:p>
        </w:tc>
        <w:tc>
          <w:tcPr>
            <w:tcW w:w="1701" w:type="dxa"/>
            <w:vAlign w:val="center"/>
          </w:tcPr>
          <w:p w14:paraId="4EC60FD1">
            <w:pPr>
              <w:pStyle w:val="39"/>
              <w:spacing w:beforeLines="0" w:afterLines="0" w:line="280" w:lineRule="exact"/>
              <w:ind w:left="-105" w:leftChars="-50" w:right="-105" w:rightChars="-50"/>
              <w:jc w:val="center"/>
              <w:rPr>
                <w:rFonts w:ascii="Times New Roman" w:hAnsi="宋体"/>
                <w:snapToGrid w:val="0"/>
                <w:color w:val="000000" w:themeColor="text1"/>
                <w:kern w:val="21"/>
                <w:szCs w:val="21"/>
                <w:highlight w:val="none"/>
                <w14:textFill>
                  <w14:solidFill>
                    <w14:schemeClr w14:val="tx1"/>
                  </w14:solidFill>
                </w14:textFill>
              </w:rPr>
            </w:pPr>
            <w:r>
              <w:rPr>
                <w:rFonts w:hint="eastAsia" w:ascii="Times New Roman" w:hAnsi="宋体"/>
                <w:snapToGrid w:val="0"/>
                <w:color w:val="000000" w:themeColor="text1"/>
                <w:kern w:val="21"/>
                <w:szCs w:val="21"/>
                <w:highlight w:val="none"/>
                <w14:textFill>
                  <w14:solidFill>
                    <w14:schemeClr w14:val="tx1"/>
                  </w14:solidFill>
                </w14:textFill>
              </w:rPr>
              <w:t>0.00</w:t>
            </w:r>
            <w:r>
              <w:rPr>
                <w:rFonts w:hint="eastAsia" w:ascii="Times New Roman" w:hAnsi="宋体"/>
                <w:snapToGrid w:val="0"/>
                <w:color w:val="000000" w:themeColor="text1"/>
                <w:kern w:val="21"/>
                <w:szCs w:val="21"/>
                <w:highlight w:val="none"/>
                <w:lang w:val="en-US" w:eastAsia="zh-CN"/>
                <w14:textFill>
                  <w14:solidFill>
                    <w14:schemeClr w14:val="tx1"/>
                  </w14:solidFill>
                </w14:textFill>
              </w:rPr>
              <w:t>67</w:t>
            </w:r>
            <w:r>
              <w:rPr>
                <w:rFonts w:hint="eastAsia" w:ascii="Times New Roman"/>
                <w:bCs/>
                <w:snapToGrid w:val="0"/>
                <w:color w:val="000000" w:themeColor="text1"/>
                <w:kern w:val="21"/>
                <w:szCs w:val="21"/>
                <w:highlight w:val="none"/>
                <w14:textFill>
                  <w14:solidFill>
                    <w14:schemeClr w14:val="tx1"/>
                  </w14:solidFill>
                </w14:textFill>
              </w:rPr>
              <w:t>t/a</w:t>
            </w:r>
          </w:p>
        </w:tc>
        <w:tc>
          <w:tcPr>
            <w:tcW w:w="1427" w:type="dxa"/>
            <w:shd w:val="clear" w:color="auto" w:fill="auto"/>
            <w:vAlign w:val="center"/>
          </w:tcPr>
          <w:p w14:paraId="58E56540">
            <w:pPr>
              <w:pStyle w:val="39"/>
              <w:spacing w:beforeLines="0" w:afterLines="0" w:line="280" w:lineRule="exact"/>
              <w:ind w:left="-105" w:leftChars="-50" w:right="-105" w:rightChars="-50"/>
              <w:jc w:val="center"/>
              <w:rPr>
                <w:rFonts w:hint="eastAsia" w:ascii="Times New Roman" w:hAnsi="宋体"/>
                <w:snapToGrid w:val="0"/>
                <w:color w:val="000000" w:themeColor="text1"/>
                <w:kern w:val="21"/>
                <w:szCs w:val="21"/>
                <w:highlight w:val="none"/>
                <w:lang w:val="en-US" w:eastAsia="zh-CN"/>
                <w14:textFill>
                  <w14:solidFill>
                    <w14:schemeClr w14:val="tx1"/>
                  </w14:solidFill>
                </w14:textFill>
              </w:rPr>
            </w:pPr>
            <w:r>
              <w:rPr>
                <w:rFonts w:hint="eastAsia" w:ascii="Times New Roman" w:hAnsi="宋体"/>
                <w:snapToGrid w:val="0"/>
                <w:color w:val="000000" w:themeColor="text1"/>
                <w:kern w:val="21"/>
                <w:szCs w:val="21"/>
                <w:highlight w:val="none"/>
                <w:lang w:val="en-US" w:eastAsia="zh-CN"/>
                <w14:textFill>
                  <w14:solidFill>
                    <w14:schemeClr w14:val="tx1"/>
                  </w14:solidFill>
                </w14:textFill>
              </w:rPr>
              <w:t>+0.006628</w:t>
            </w:r>
            <w:r>
              <w:rPr>
                <w:rFonts w:hint="eastAsia" w:ascii="Times New Roman"/>
                <w:bCs/>
                <w:snapToGrid w:val="0"/>
                <w:color w:val="000000" w:themeColor="text1"/>
                <w:kern w:val="21"/>
                <w:szCs w:val="21"/>
                <w:highlight w:val="none"/>
                <w14:textFill>
                  <w14:solidFill>
                    <w14:schemeClr w14:val="tx1"/>
                  </w14:solidFill>
                </w14:textFill>
              </w:rPr>
              <w:t>t/a</w:t>
            </w:r>
          </w:p>
        </w:tc>
      </w:tr>
      <w:tr w14:paraId="1ACCD8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restart"/>
            <w:vAlign w:val="center"/>
          </w:tcPr>
          <w:p w14:paraId="533D3E03">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r>
              <w:rPr>
                <w:rFonts w:ascii="Times New Roman" w:hAnsi="宋体"/>
                <w:snapToGrid w:val="0"/>
                <w:color w:val="000000" w:themeColor="text1"/>
                <w:kern w:val="21"/>
                <w:sz w:val="24"/>
                <w:szCs w:val="24"/>
                <w:highlight w:val="none"/>
                <w14:textFill>
                  <w14:solidFill>
                    <w14:schemeClr w14:val="tx1"/>
                  </w14:solidFill>
                </w14:textFill>
              </w:rPr>
              <w:t>废水</w:t>
            </w:r>
          </w:p>
        </w:tc>
        <w:tc>
          <w:tcPr>
            <w:tcW w:w="1843" w:type="dxa"/>
            <w:gridSpan w:val="2"/>
            <w:vAlign w:val="center"/>
          </w:tcPr>
          <w:p w14:paraId="335340E7">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COD</w:t>
            </w:r>
          </w:p>
        </w:tc>
        <w:tc>
          <w:tcPr>
            <w:tcW w:w="1559" w:type="dxa"/>
            <w:vAlign w:val="center"/>
          </w:tcPr>
          <w:p w14:paraId="0D290AA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276" w:type="dxa"/>
            <w:vAlign w:val="center"/>
          </w:tcPr>
          <w:p w14:paraId="0E1F2BF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309A08C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6409DD0C">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418" w:type="dxa"/>
            <w:vAlign w:val="center"/>
          </w:tcPr>
          <w:p w14:paraId="263B2C4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0FA8249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427" w:type="dxa"/>
            <w:vAlign w:val="center"/>
          </w:tcPr>
          <w:p w14:paraId="37C1B113">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r>
      <w:tr w14:paraId="00C90B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6511B3FD">
            <w:pPr>
              <w:pStyle w:val="39"/>
              <w:spacing w:beforeLines="0" w:afterLines="0" w:line="240" w:lineRule="auto"/>
              <w:ind w:left="-105" w:leftChars="-50" w:right="-105" w:rightChars="-50"/>
              <w:rPr>
                <w:rFonts w:ascii="Times New Roman"/>
                <w:snapToGrid w:val="0"/>
                <w:color w:val="000000" w:themeColor="text1"/>
                <w:kern w:val="21"/>
                <w:sz w:val="24"/>
                <w:szCs w:val="24"/>
                <w:highlight w:val="green"/>
                <w14:textFill>
                  <w14:solidFill>
                    <w14:schemeClr w14:val="tx1"/>
                  </w14:solidFill>
                </w14:textFill>
              </w:rPr>
            </w:pPr>
          </w:p>
        </w:tc>
        <w:tc>
          <w:tcPr>
            <w:tcW w:w="1843" w:type="dxa"/>
            <w:gridSpan w:val="2"/>
            <w:vAlign w:val="center"/>
          </w:tcPr>
          <w:p w14:paraId="2ACE027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NH</w:t>
            </w:r>
            <w:r>
              <w:rPr>
                <w:rFonts w:hint="eastAsia" w:ascii="Times New Roman"/>
                <w:bCs/>
                <w:snapToGrid w:val="0"/>
                <w:color w:val="000000" w:themeColor="text1"/>
                <w:kern w:val="21"/>
                <w:szCs w:val="21"/>
                <w:highlight w:val="none"/>
                <w:vertAlign w:val="subscript"/>
                <w14:textFill>
                  <w14:solidFill>
                    <w14:schemeClr w14:val="tx1"/>
                  </w14:solidFill>
                </w14:textFill>
              </w:rPr>
              <w:t>3</w:t>
            </w:r>
            <w:r>
              <w:rPr>
                <w:rFonts w:hint="eastAsia" w:ascii="Times New Roman"/>
                <w:bCs/>
                <w:snapToGrid w:val="0"/>
                <w:color w:val="000000" w:themeColor="text1"/>
                <w:kern w:val="21"/>
                <w:szCs w:val="21"/>
                <w:highlight w:val="none"/>
                <w14:textFill>
                  <w14:solidFill>
                    <w14:schemeClr w14:val="tx1"/>
                  </w14:solidFill>
                </w14:textFill>
              </w:rPr>
              <w:t>-N</w:t>
            </w:r>
          </w:p>
        </w:tc>
        <w:tc>
          <w:tcPr>
            <w:tcW w:w="1559" w:type="dxa"/>
            <w:vAlign w:val="center"/>
          </w:tcPr>
          <w:p w14:paraId="32082F9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276" w:type="dxa"/>
            <w:vAlign w:val="center"/>
          </w:tcPr>
          <w:p w14:paraId="4279B79A">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269BDE6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6414EDA7">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418" w:type="dxa"/>
            <w:vAlign w:val="center"/>
          </w:tcPr>
          <w:p w14:paraId="519A98FC">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274F32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427" w:type="dxa"/>
            <w:vAlign w:val="center"/>
          </w:tcPr>
          <w:p w14:paraId="696B2F3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r>
      <w:tr w14:paraId="5B075D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restart"/>
            <w:vAlign w:val="center"/>
          </w:tcPr>
          <w:p w14:paraId="52D9C9D5">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r>
              <w:rPr>
                <w:rFonts w:ascii="Times New Roman" w:hAnsi="宋体"/>
                <w:snapToGrid w:val="0"/>
                <w:color w:val="000000" w:themeColor="text1"/>
                <w:kern w:val="21"/>
                <w:sz w:val="24"/>
                <w:szCs w:val="24"/>
                <w:highlight w:val="none"/>
                <w14:textFill>
                  <w14:solidFill>
                    <w14:schemeClr w14:val="tx1"/>
                  </w14:solidFill>
                </w14:textFill>
              </w:rPr>
              <w:t>一般工业</w:t>
            </w:r>
          </w:p>
          <w:p w14:paraId="7A969437">
            <w:pPr>
              <w:pStyle w:val="39"/>
              <w:spacing w:beforeLines="0" w:afterLines="0"/>
              <w:ind w:left="-105" w:leftChars="-50" w:right="-105" w:rightChars="-50"/>
              <w:rPr>
                <w:rFonts w:ascii="Times New Roman" w:hAnsi="宋体"/>
                <w:snapToGrid w:val="0"/>
                <w:color w:val="000000" w:themeColor="text1"/>
                <w:kern w:val="21"/>
                <w:sz w:val="24"/>
                <w:szCs w:val="24"/>
                <w:highlight w:val="none"/>
                <w14:textFill>
                  <w14:solidFill>
                    <w14:schemeClr w14:val="tx1"/>
                  </w14:solidFill>
                </w14:textFill>
              </w:rPr>
            </w:pPr>
            <w:r>
              <w:rPr>
                <w:rFonts w:ascii="Times New Roman" w:hAnsi="宋体"/>
                <w:snapToGrid w:val="0"/>
                <w:color w:val="000000" w:themeColor="text1"/>
                <w:kern w:val="21"/>
                <w:sz w:val="24"/>
                <w:szCs w:val="24"/>
                <w:highlight w:val="none"/>
                <w14:textFill>
                  <w14:solidFill>
                    <w14:schemeClr w14:val="tx1"/>
                  </w14:solidFill>
                </w14:textFill>
              </w:rPr>
              <w:t>固体废物</w:t>
            </w:r>
          </w:p>
        </w:tc>
        <w:tc>
          <w:tcPr>
            <w:tcW w:w="1843" w:type="dxa"/>
            <w:gridSpan w:val="2"/>
            <w:vAlign w:val="center"/>
          </w:tcPr>
          <w:p w14:paraId="3EDC08E8">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废砖坯</w:t>
            </w:r>
          </w:p>
        </w:tc>
        <w:tc>
          <w:tcPr>
            <w:tcW w:w="1559" w:type="dxa"/>
            <w:vAlign w:val="center"/>
          </w:tcPr>
          <w:p w14:paraId="022582E1">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700</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76053EA6">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78F439BA">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3720F85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48</w:t>
            </w:r>
            <w:r>
              <w:rPr>
                <w:rFonts w:hint="eastAsia" w:ascii="Times New Roman"/>
                <w:snapToGrid w:val="0"/>
                <w:color w:val="000000" w:themeColor="text1"/>
                <w:kern w:val="21"/>
                <w:szCs w:val="21"/>
                <w:highlight w:val="none"/>
                <w14:textFill>
                  <w14:solidFill>
                    <w14:schemeClr w14:val="tx1"/>
                  </w14:solidFill>
                </w14:textFill>
              </w:rPr>
              <w:t>00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16329C62">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700</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6C1BBA6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48</w:t>
            </w:r>
            <w:r>
              <w:rPr>
                <w:rFonts w:hint="eastAsia" w:ascii="Times New Roman"/>
                <w:snapToGrid w:val="0"/>
                <w:color w:val="000000" w:themeColor="text1"/>
                <w:kern w:val="21"/>
                <w:szCs w:val="21"/>
                <w:highlight w:val="none"/>
                <w14:textFill>
                  <w14:solidFill>
                    <w14:schemeClr w14:val="tx1"/>
                  </w14:solidFill>
                </w14:textFill>
              </w:rPr>
              <w:t>00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43A76BB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r>
              <w:rPr>
                <w:rFonts w:hint="eastAsia" w:ascii="Times New Roman"/>
                <w:snapToGrid w:val="0"/>
                <w:color w:val="000000" w:themeColor="text1"/>
                <w:kern w:val="21"/>
                <w:szCs w:val="21"/>
                <w:highlight w:val="none"/>
                <w:lang w:val="en-US" w:eastAsia="zh-CN"/>
                <w14:textFill>
                  <w14:solidFill>
                    <w14:schemeClr w14:val="tx1"/>
                  </w14:solidFill>
                </w14:textFill>
              </w:rPr>
              <w:t>41</w:t>
            </w:r>
            <w:r>
              <w:rPr>
                <w:rFonts w:hint="eastAsia" w:ascii="Times New Roman"/>
                <w:snapToGrid w:val="0"/>
                <w:color w:val="000000" w:themeColor="text1"/>
                <w:kern w:val="21"/>
                <w:szCs w:val="21"/>
                <w:highlight w:val="none"/>
                <w14:textFill>
                  <w14:solidFill>
                    <w14:schemeClr w14:val="tx1"/>
                  </w14:solidFill>
                </w14:textFill>
              </w:rPr>
              <w:t>00 t</w:t>
            </w:r>
            <w:r>
              <w:rPr>
                <w:rFonts w:ascii="Times New Roman"/>
                <w:snapToGrid w:val="0"/>
                <w:color w:val="000000" w:themeColor="text1"/>
                <w:kern w:val="21"/>
                <w:szCs w:val="21"/>
                <w:highlight w:val="none"/>
                <w14:textFill>
                  <w14:solidFill>
                    <w14:schemeClr w14:val="tx1"/>
                  </w14:solidFill>
                </w14:textFill>
              </w:rPr>
              <w:t>/a</w:t>
            </w:r>
          </w:p>
        </w:tc>
      </w:tr>
      <w:tr w14:paraId="6C686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6CC8588F">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2A4F95DC">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废砖</w:t>
            </w:r>
          </w:p>
        </w:tc>
        <w:tc>
          <w:tcPr>
            <w:tcW w:w="1559" w:type="dxa"/>
            <w:vAlign w:val="center"/>
          </w:tcPr>
          <w:p w14:paraId="3C2A78F8">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200</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28F563D3">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7DCB7DC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2A3DC173">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18</w:t>
            </w:r>
            <w:r>
              <w:rPr>
                <w:rFonts w:hint="eastAsia" w:ascii="Times New Roman"/>
                <w:snapToGrid w:val="0"/>
                <w:color w:val="000000" w:themeColor="text1"/>
                <w:kern w:val="21"/>
                <w:szCs w:val="21"/>
                <w:highlight w:val="none"/>
                <w14:textFill>
                  <w14:solidFill>
                    <w14:schemeClr w14:val="tx1"/>
                  </w14:solidFill>
                </w14:textFill>
              </w:rPr>
              <w:t>00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33E9A6D9">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200</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418AADB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18</w:t>
            </w:r>
            <w:r>
              <w:rPr>
                <w:rFonts w:hint="eastAsia" w:ascii="Times New Roman"/>
                <w:snapToGrid w:val="0"/>
                <w:color w:val="000000" w:themeColor="text1"/>
                <w:kern w:val="21"/>
                <w:szCs w:val="21"/>
                <w:highlight w:val="none"/>
                <w14:textFill>
                  <w14:solidFill>
                    <w14:schemeClr w14:val="tx1"/>
                  </w14:solidFill>
                </w14:textFill>
              </w:rPr>
              <w:t>00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52B9C42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r>
              <w:rPr>
                <w:rFonts w:hint="eastAsia" w:ascii="Times New Roman"/>
                <w:snapToGrid w:val="0"/>
                <w:color w:val="000000" w:themeColor="text1"/>
                <w:kern w:val="21"/>
                <w:szCs w:val="21"/>
                <w:highlight w:val="none"/>
                <w:lang w:val="en-US" w:eastAsia="zh-CN"/>
                <w14:textFill>
                  <w14:solidFill>
                    <w14:schemeClr w14:val="tx1"/>
                  </w14:solidFill>
                </w14:textFill>
              </w:rPr>
              <w:t>16</w:t>
            </w:r>
            <w:r>
              <w:rPr>
                <w:rFonts w:hint="eastAsia" w:ascii="Times New Roman"/>
                <w:snapToGrid w:val="0"/>
                <w:color w:val="000000" w:themeColor="text1"/>
                <w:kern w:val="21"/>
                <w:szCs w:val="21"/>
                <w:highlight w:val="none"/>
                <w14:textFill>
                  <w14:solidFill>
                    <w14:schemeClr w14:val="tx1"/>
                  </w14:solidFill>
                </w14:textFill>
              </w:rPr>
              <w:t>00 t</w:t>
            </w:r>
            <w:r>
              <w:rPr>
                <w:rFonts w:ascii="Times New Roman"/>
                <w:snapToGrid w:val="0"/>
                <w:color w:val="000000" w:themeColor="text1"/>
                <w:kern w:val="21"/>
                <w:szCs w:val="21"/>
                <w:highlight w:val="none"/>
                <w14:textFill>
                  <w14:solidFill>
                    <w14:schemeClr w14:val="tx1"/>
                  </w14:solidFill>
                </w14:textFill>
              </w:rPr>
              <w:t>/a</w:t>
            </w:r>
          </w:p>
        </w:tc>
      </w:tr>
      <w:tr w14:paraId="4AA640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2A076162">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0678B2C1">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除尘灰</w:t>
            </w:r>
          </w:p>
        </w:tc>
        <w:tc>
          <w:tcPr>
            <w:tcW w:w="1559" w:type="dxa"/>
            <w:vAlign w:val="center"/>
          </w:tcPr>
          <w:p w14:paraId="6CB3DBFD">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96.228</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0ACA7B1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702637EC">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14878AB6">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45.94</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4A7A190E">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96.228</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7F1C964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45.94</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3F55E48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r>
              <w:rPr>
                <w:rFonts w:hint="eastAsia" w:ascii="Times New Roman"/>
                <w:snapToGrid w:val="0"/>
                <w:color w:val="000000" w:themeColor="text1"/>
                <w:kern w:val="21"/>
                <w:szCs w:val="21"/>
                <w:highlight w:val="none"/>
                <w:lang w:val="en-US" w:eastAsia="zh-CN"/>
                <w14:textFill>
                  <w14:solidFill>
                    <w14:schemeClr w14:val="tx1"/>
                  </w14:solidFill>
                </w14:textFill>
              </w:rPr>
              <w:t>50.288</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r>
      <w:tr w14:paraId="0C5C04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13DAE092">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0EF9F9DE">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废滤袋</w:t>
            </w:r>
          </w:p>
        </w:tc>
        <w:tc>
          <w:tcPr>
            <w:tcW w:w="1559" w:type="dxa"/>
            <w:vAlign w:val="center"/>
          </w:tcPr>
          <w:p w14:paraId="6B1BF290">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0.5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7D526389">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244449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0708D09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0.5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10694DE5">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0.5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3B53D9C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0.5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6AD9BEF9">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w:t>
            </w:r>
          </w:p>
        </w:tc>
      </w:tr>
      <w:tr w14:paraId="7400E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767BA7F1">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28B3F193">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废包装袋</w:t>
            </w:r>
          </w:p>
        </w:tc>
        <w:tc>
          <w:tcPr>
            <w:tcW w:w="1559" w:type="dxa"/>
            <w:vAlign w:val="center"/>
          </w:tcPr>
          <w:p w14:paraId="4451DE9F">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0.02</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71A0AA2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0736924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64A410B3">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lang w:val="en-US" w:eastAsia="zh-CN"/>
                <w14:textFill>
                  <w14:solidFill>
                    <w14:schemeClr w14:val="tx1"/>
                  </w14:solidFill>
                </w14:textFill>
              </w:rPr>
              <w:t>15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1587D862">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0.02</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39DD2293">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lang w:val="en-US" w:eastAsia="zh-CN"/>
                <w14:textFill>
                  <w14:solidFill>
                    <w14:schemeClr w14:val="tx1"/>
                  </w14:solidFill>
                </w14:textFill>
              </w:rPr>
              <w:t>15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271C1FA9">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lang w:val="en-US" w:eastAsia="zh-CN"/>
                <w14:textFill>
                  <w14:solidFill>
                    <w14:schemeClr w14:val="tx1"/>
                  </w14:solidFill>
                </w14:textFill>
              </w:rPr>
              <w:t>13</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r>
      <w:tr w14:paraId="077A7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2CC4B953">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0A24C45B">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污泥</w:t>
            </w:r>
          </w:p>
        </w:tc>
        <w:tc>
          <w:tcPr>
            <w:tcW w:w="1559" w:type="dxa"/>
            <w:vAlign w:val="center"/>
          </w:tcPr>
          <w:p w14:paraId="5A3907F6">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7</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095ED1A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176CFBD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2888F5AE">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4</w:t>
            </w:r>
            <w:r>
              <w:rPr>
                <w:rFonts w:hint="eastAsia" w:ascii="Times New Roman"/>
                <w:bCs/>
                <w:snapToGrid w:val="0"/>
                <w:color w:val="000000" w:themeColor="text1"/>
                <w:kern w:val="21"/>
                <w:szCs w:val="21"/>
                <w:highlight w:val="none"/>
                <w14:textFill>
                  <w14:solidFill>
                    <w14:schemeClr w14:val="tx1"/>
                  </w14:solidFill>
                </w14:textFill>
              </w:rPr>
              <w:t>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2E9C6ADA">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7</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42B86624">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4</w:t>
            </w:r>
            <w:r>
              <w:rPr>
                <w:rFonts w:hint="eastAsia" w:ascii="Times New Roman"/>
                <w:bCs/>
                <w:snapToGrid w:val="0"/>
                <w:color w:val="000000" w:themeColor="text1"/>
                <w:kern w:val="21"/>
                <w:szCs w:val="21"/>
                <w:highlight w:val="none"/>
                <w14:textFill>
                  <w14:solidFill>
                    <w14:schemeClr w14:val="tx1"/>
                  </w14:solidFill>
                </w14:textFill>
              </w:rPr>
              <w:t>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16F26002">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w:t>
            </w:r>
            <w:r>
              <w:rPr>
                <w:rFonts w:hint="eastAsia" w:ascii="Times New Roman"/>
                <w:bCs/>
                <w:snapToGrid w:val="0"/>
                <w:color w:val="000000" w:themeColor="text1"/>
                <w:kern w:val="21"/>
                <w:szCs w:val="21"/>
                <w:highlight w:val="none"/>
                <w:lang w:val="en-US" w:eastAsia="zh-CN"/>
                <w14:textFill>
                  <w14:solidFill>
                    <w14:schemeClr w14:val="tx1"/>
                  </w14:solidFill>
                </w14:textFill>
              </w:rPr>
              <w:t>3</w:t>
            </w:r>
            <w:r>
              <w:rPr>
                <w:rFonts w:hint="eastAsia" w:ascii="Times New Roman"/>
                <w:bCs/>
                <w:snapToGrid w:val="0"/>
                <w:color w:val="000000" w:themeColor="text1"/>
                <w:kern w:val="21"/>
                <w:szCs w:val="21"/>
                <w:highlight w:val="none"/>
                <w14:textFill>
                  <w14:solidFill>
                    <w14:schemeClr w14:val="tx1"/>
                  </w14:solidFill>
                </w14:textFill>
              </w:rPr>
              <w:t>8</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r>
      <w:tr w14:paraId="63AF3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2B763D3E">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722B6C49">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脱硫石膏</w:t>
            </w:r>
          </w:p>
        </w:tc>
        <w:tc>
          <w:tcPr>
            <w:tcW w:w="1559" w:type="dxa"/>
            <w:vAlign w:val="center"/>
          </w:tcPr>
          <w:p w14:paraId="66E2DE63">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239</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79C44FA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02CCC25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704A23B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1410</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37FBDB77">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239</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27D8E1E9">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1410</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18E60846">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r>
              <w:rPr>
                <w:rFonts w:hint="eastAsia" w:ascii="Times New Roman"/>
                <w:snapToGrid w:val="0"/>
                <w:color w:val="000000" w:themeColor="text1"/>
                <w:kern w:val="21"/>
                <w:szCs w:val="21"/>
                <w:highlight w:val="none"/>
                <w:lang w:val="en-US" w:eastAsia="zh-CN"/>
                <w14:textFill>
                  <w14:solidFill>
                    <w14:schemeClr w14:val="tx1"/>
                  </w14:solidFill>
                </w14:textFill>
              </w:rPr>
              <w:t>1171</w:t>
            </w:r>
            <w:r>
              <w:rPr>
                <w:rFonts w:hint="eastAsia" w:ascii="Times New Roman"/>
                <w:snapToGrid w:val="0"/>
                <w:color w:val="000000" w:themeColor="text1"/>
                <w:kern w:val="21"/>
                <w:szCs w:val="21"/>
                <w:highlight w:val="none"/>
                <w14:textFill>
                  <w14:solidFill>
                    <w14:schemeClr w14:val="tx1"/>
                  </w14:solidFill>
                </w14:textFill>
              </w:rPr>
              <w:t>t</w:t>
            </w:r>
            <w:r>
              <w:rPr>
                <w:rFonts w:ascii="Times New Roman"/>
                <w:snapToGrid w:val="0"/>
                <w:color w:val="000000" w:themeColor="text1"/>
                <w:kern w:val="21"/>
                <w:szCs w:val="21"/>
                <w:highlight w:val="none"/>
                <w14:textFill>
                  <w14:solidFill>
                    <w14:schemeClr w14:val="tx1"/>
                  </w14:solidFill>
                </w14:textFill>
              </w:rPr>
              <w:t>/a</w:t>
            </w:r>
          </w:p>
        </w:tc>
      </w:tr>
      <w:tr w14:paraId="28C9B0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647855FB">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44863D15">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14:textFill>
                  <w14:solidFill>
                    <w14:schemeClr w14:val="tx1"/>
                  </w14:solidFill>
                </w14:textFill>
              </w:rPr>
              <w:t>除尘灰浆</w:t>
            </w:r>
          </w:p>
        </w:tc>
        <w:tc>
          <w:tcPr>
            <w:tcW w:w="1559" w:type="dxa"/>
            <w:vAlign w:val="center"/>
          </w:tcPr>
          <w:p w14:paraId="23CE227A">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33.327</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1221BF8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143C408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11BFF68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198.28</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66AC8371">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33.327</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22F76F0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lang w:val="en-US" w:eastAsia="zh-CN"/>
                <w14:textFill>
                  <w14:solidFill>
                    <w14:schemeClr w14:val="tx1"/>
                  </w14:solidFill>
                </w14:textFill>
              </w:rPr>
              <w:t>198.28</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4344305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r>
              <w:rPr>
                <w:rFonts w:hint="eastAsia" w:ascii="Times New Roman"/>
                <w:snapToGrid w:val="0"/>
                <w:color w:val="000000" w:themeColor="text1"/>
                <w:kern w:val="21"/>
                <w:szCs w:val="21"/>
                <w:highlight w:val="none"/>
                <w:lang w:val="en-US" w:eastAsia="zh-CN"/>
                <w14:textFill>
                  <w14:solidFill>
                    <w14:schemeClr w14:val="tx1"/>
                  </w14:solidFill>
                </w14:textFill>
              </w:rPr>
              <w:t>164.953</w:t>
            </w:r>
            <w:r>
              <w:rPr>
                <w:rFonts w:hint="eastAsia" w:ascii="Times New Roman"/>
                <w:snapToGrid w:val="0"/>
                <w:color w:val="000000" w:themeColor="text1"/>
                <w:kern w:val="21"/>
                <w:szCs w:val="21"/>
                <w:highlight w:val="none"/>
                <w14:textFill>
                  <w14:solidFill>
                    <w14:schemeClr w14:val="tx1"/>
                  </w14:solidFill>
                </w14:textFill>
              </w:rPr>
              <w:t>t</w:t>
            </w:r>
            <w:r>
              <w:rPr>
                <w:rFonts w:ascii="Times New Roman"/>
                <w:snapToGrid w:val="0"/>
                <w:color w:val="000000" w:themeColor="text1"/>
                <w:kern w:val="21"/>
                <w:szCs w:val="21"/>
                <w:highlight w:val="none"/>
                <w14:textFill>
                  <w14:solidFill>
                    <w14:schemeClr w14:val="tx1"/>
                  </w14:solidFill>
                </w14:textFill>
              </w:rPr>
              <w:t>/a</w:t>
            </w:r>
          </w:p>
        </w:tc>
      </w:tr>
      <w:tr w14:paraId="4FE960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restart"/>
            <w:vAlign w:val="center"/>
          </w:tcPr>
          <w:p w14:paraId="30ABFEF4">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r>
              <w:rPr>
                <w:rFonts w:hint="eastAsia" w:ascii="Times New Roman"/>
                <w:snapToGrid w:val="0"/>
                <w:color w:val="000000" w:themeColor="text1"/>
                <w:kern w:val="21"/>
                <w:sz w:val="24"/>
                <w:szCs w:val="24"/>
                <w:highlight w:val="none"/>
                <w14:textFill>
                  <w14:solidFill>
                    <w14:schemeClr w14:val="tx1"/>
                  </w14:solidFill>
                </w14:textFill>
              </w:rPr>
              <w:t>危险废物</w:t>
            </w:r>
          </w:p>
        </w:tc>
        <w:tc>
          <w:tcPr>
            <w:tcW w:w="1843" w:type="dxa"/>
            <w:gridSpan w:val="2"/>
            <w:vAlign w:val="center"/>
          </w:tcPr>
          <w:p w14:paraId="636D3A6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废润滑油</w:t>
            </w:r>
          </w:p>
        </w:tc>
        <w:tc>
          <w:tcPr>
            <w:tcW w:w="1559" w:type="dxa"/>
            <w:vAlign w:val="center"/>
          </w:tcPr>
          <w:p w14:paraId="5E2F031E">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2C8B062C">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5852F4C1">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4663CC9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w:t>
            </w:r>
            <w:r>
              <w:rPr>
                <w:rFonts w:hint="eastAsia" w:ascii="Times New Roman"/>
                <w:snapToGrid w:val="0"/>
                <w:color w:val="000000" w:themeColor="text1"/>
                <w:kern w:val="21"/>
                <w:szCs w:val="21"/>
                <w:highlight w:val="none"/>
                <w:lang w:val="en-US" w:eastAsia="zh-CN"/>
                <w14:textFill>
                  <w14:solidFill>
                    <w14:schemeClr w14:val="tx1"/>
                  </w14:solidFill>
                </w14:textFill>
              </w:rPr>
              <w:t>6</w:t>
            </w:r>
            <w:r>
              <w:rPr>
                <w:rFonts w:hint="eastAsia" w:ascii="Times New Roman"/>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55D194B9">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13FBD277">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w:t>
            </w:r>
            <w:r>
              <w:rPr>
                <w:rFonts w:hint="eastAsia" w:ascii="Times New Roman"/>
                <w:snapToGrid w:val="0"/>
                <w:color w:val="000000" w:themeColor="text1"/>
                <w:kern w:val="21"/>
                <w:szCs w:val="21"/>
                <w:highlight w:val="none"/>
                <w:lang w:val="en-US" w:eastAsia="zh-CN"/>
                <w14:textFill>
                  <w14:solidFill>
                    <w14:schemeClr w14:val="tx1"/>
                  </w14:solidFill>
                </w14:textFill>
              </w:rPr>
              <w:t>6</w:t>
            </w:r>
            <w:r>
              <w:rPr>
                <w:rFonts w:hint="eastAsia" w:ascii="Times New Roman"/>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079D276F">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w:t>
            </w:r>
            <w:r>
              <w:rPr>
                <w:rFonts w:hint="eastAsia" w:ascii="Times New Roman"/>
                <w:snapToGrid w:val="0"/>
                <w:color w:val="000000" w:themeColor="text1"/>
                <w:kern w:val="21"/>
                <w:szCs w:val="21"/>
                <w:highlight w:val="none"/>
                <w:lang w:val="en-US" w:eastAsia="zh-CN"/>
                <w14:textFill>
                  <w14:solidFill>
                    <w14:schemeClr w14:val="tx1"/>
                  </w14:solidFill>
                </w14:textFill>
              </w:rPr>
              <w:t>5</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r>
      <w:tr w14:paraId="461C3A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5DB33173">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6B518A30">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废油桶</w:t>
            </w:r>
          </w:p>
        </w:tc>
        <w:tc>
          <w:tcPr>
            <w:tcW w:w="1559" w:type="dxa"/>
            <w:vAlign w:val="center"/>
          </w:tcPr>
          <w:p w14:paraId="2893E5ED">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10FD96C8">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4E8DBAA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274B2BF4">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w:t>
            </w:r>
            <w:r>
              <w:rPr>
                <w:rFonts w:hint="eastAsia" w:ascii="Times New Roman"/>
                <w:snapToGrid w:val="0"/>
                <w:color w:val="000000" w:themeColor="text1"/>
                <w:kern w:val="21"/>
                <w:szCs w:val="21"/>
                <w:highlight w:val="none"/>
                <w:lang w:val="en-US" w:eastAsia="zh-CN"/>
                <w14:textFill>
                  <w14:solidFill>
                    <w14:schemeClr w14:val="tx1"/>
                  </w14:solidFill>
                </w14:textFill>
              </w:rPr>
              <w:t>3</w:t>
            </w:r>
            <w:r>
              <w:rPr>
                <w:rFonts w:hint="eastAsia" w:ascii="Times New Roman"/>
                <w:snapToGrid w:val="0"/>
                <w:color w:val="000000" w:themeColor="text1"/>
                <w:kern w:val="21"/>
                <w:szCs w:val="21"/>
                <w:highlight w:val="none"/>
                <w14:textFill>
                  <w14:solidFill>
                    <w14:schemeClr w14:val="tx1"/>
                  </w14:solidFill>
                </w14:textFill>
              </w:rPr>
              <w:t xml:space="preserve"> t/a</w:t>
            </w:r>
          </w:p>
        </w:tc>
        <w:tc>
          <w:tcPr>
            <w:tcW w:w="1418" w:type="dxa"/>
            <w:vAlign w:val="center"/>
          </w:tcPr>
          <w:p w14:paraId="43A595D9">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69B0F49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0.</w:t>
            </w:r>
            <w:r>
              <w:rPr>
                <w:rFonts w:hint="eastAsia" w:ascii="Times New Roman"/>
                <w:snapToGrid w:val="0"/>
                <w:color w:val="000000" w:themeColor="text1"/>
                <w:kern w:val="21"/>
                <w:szCs w:val="21"/>
                <w:highlight w:val="none"/>
                <w:lang w:val="en-US" w:eastAsia="zh-CN"/>
                <w14:textFill>
                  <w14:solidFill>
                    <w14:schemeClr w14:val="tx1"/>
                  </w14:solidFill>
                </w14:textFill>
              </w:rPr>
              <w:t>3</w:t>
            </w:r>
            <w:r>
              <w:rPr>
                <w:rFonts w:hint="eastAsia" w:ascii="Times New Roman"/>
                <w:snapToGrid w:val="0"/>
                <w:color w:val="000000" w:themeColor="text1"/>
                <w:kern w:val="21"/>
                <w:szCs w:val="21"/>
                <w:highlight w:val="none"/>
                <w14:textFill>
                  <w14:solidFill>
                    <w14:schemeClr w14:val="tx1"/>
                  </w14:solidFill>
                </w14:textFill>
              </w:rPr>
              <w:t xml:space="preserve"> t/a</w:t>
            </w:r>
          </w:p>
        </w:tc>
        <w:tc>
          <w:tcPr>
            <w:tcW w:w="1427" w:type="dxa"/>
            <w:vAlign w:val="center"/>
          </w:tcPr>
          <w:p w14:paraId="330F5B65">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w:t>
            </w:r>
            <w:r>
              <w:rPr>
                <w:rFonts w:ascii="Times New Roman"/>
                <w:bCs/>
                <w:snapToGrid w:val="0"/>
                <w:color w:val="000000" w:themeColor="text1"/>
                <w:kern w:val="21"/>
                <w:szCs w:val="21"/>
                <w:highlight w:val="none"/>
                <w14:textFill>
                  <w14:solidFill>
                    <w14:schemeClr w14:val="tx1"/>
                  </w14:solidFill>
                </w14:textFill>
              </w:rPr>
              <w:t>0.</w:t>
            </w:r>
            <w:r>
              <w:rPr>
                <w:rFonts w:hint="eastAsia" w:ascii="Times New Roman"/>
                <w:bCs/>
                <w:snapToGrid w:val="0"/>
                <w:color w:val="000000" w:themeColor="text1"/>
                <w:kern w:val="21"/>
                <w:szCs w:val="21"/>
                <w:highlight w:val="none"/>
                <w:lang w:val="en-US" w:eastAsia="zh-CN"/>
                <w14:textFill>
                  <w14:solidFill>
                    <w14:schemeClr w14:val="tx1"/>
                  </w14:solidFill>
                </w14:textFill>
              </w:rPr>
              <w:t>2</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r>
      <w:tr w14:paraId="15351A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04" w:type="dxa"/>
            <w:vMerge w:val="continue"/>
            <w:vAlign w:val="center"/>
          </w:tcPr>
          <w:p w14:paraId="5E5C2D17">
            <w:pPr>
              <w:pStyle w:val="39"/>
              <w:spacing w:beforeLines="0" w:afterLines="0" w:line="240" w:lineRule="auto"/>
              <w:ind w:left="-105" w:leftChars="-50" w:right="-105" w:rightChars="-50"/>
              <w:rPr>
                <w:rFonts w:ascii="Times New Roman"/>
                <w:snapToGrid w:val="0"/>
                <w:color w:val="000000" w:themeColor="text1"/>
                <w:kern w:val="21"/>
                <w:sz w:val="24"/>
                <w:szCs w:val="24"/>
                <w:highlight w:val="none"/>
                <w14:textFill>
                  <w14:solidFill>
                    <w14:schemeClr w14:val="tx1"/>
                  </w14:solidFill>
                </w14:textFill>
              </w:rPr>
            </w:pPr>
          </w:p>
        </w:tc>
        <w:tc>
          <w:tcPr>
            <w:tcW w:w="1843" w:type="dxa"/>
            <w:gridSpan w:val="2"/>
            <w:vAlign w:val="center"/>
          </w:tcPr>
          <w:p w14:paraId="687C104B">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废活性炭</w:t>
            </w:r>
          </w:p>
        </w:tc>
        <w:tc>
          <w:tcPr>
            <w:tcW w:w="1559" w:type="dxa"/>
            <w:vAlign w:val="center"/>
          </w:tcPr>
          <w:p w14:paraId="6714156F">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276" w:type="dxa"/>
            <w:vAlign w:val="center"/>
          </w:tcPr>
          <w:p w14:paraId="3C2E05B3">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701" w:type="dxa"/>
            <w:vAlign w:val="center"/>
          </w:tcPr>
          <w:p w14:paraId="7C5E56BD">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p>
        </w:tc>
        <w:tc>
          <w:tcPr>
            <w:tcW w:w="1559" w:type="dxa"/>
            <w:vAlign w:val="center"/>
          </w:tcPr>
          <w:p w14:paraId="59E11F63">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2</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418" w:type="dxa"/>
            <w:vAlign w:val="center"/>
          </w:tcPr>
          <w:p w14:paraId="2B86E434">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ascii="Times New Roman"/>
                <w:bCs/>
                <w:snapToGrid w:val="0"/>
                <w:color w:val="000000" w:themeColor="text1"/>
                <w:kern w:val="21"/>
                <w:szCs w:val="21"/>
                <w:highlight w:val="none"/>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c>
          <w:tcPr>
            <w:tcW w:w="1701" w:type="dxa"/>
            <w:vAlign w:val="center"/>
          </w:tcPr>
          <w:p w14:paraId="1FB87C88">
            <w:pPr>
              <w:pStyle w:val="39"/>
              <w:spacing w:beforeLines="0" w:afterLines="0" w:line="280" w:lineRule="exact"/>
              <w:ind w:left="-105" w:leftChars="-50" w:right="-105" w:rightChars="-50"/>
              <w:rPr>
                <w:rFonts w:ascii="Times New Roman"/>
                <w:bCs/>
                <w:snapToGrid w:val="0"/>
                <w:color w:val="000000" w:themeColor="text1"/>
                <w:kern w:val="21"/>
                <w:szCs w:val="21"/>
                <w:highlight w:val="none"/>
                <w14:textFill>
                  <w14:solidFill>
                    <w14:schemeClr w14:val="tx1"/>
                  </w14:solidFill>
                </w14:textFill>
              </w:rPr>
            </w:pPr>
            <w:r>
              <w:rPr>
                <w:rFonts w:hint="eastAsia" w:ascii="Times New Roman"/>
                <w:bCs/>
                <w:snapToGrid w:val="0"/>
                <w:color w:val="000000" w:themeColor="text1"/>
                <w:kern w:val="21"/>
                <w:szCs w:val="21"/>
                <w:highlight w:val="none"/>
                <w:lang w:val="en-US" w:eastAsia="zh-CN"/>
                <w14:textFill>
                  <w14:solidFill>
                    <w14:schemeClr w14:val="tx1"/>
                  </w14:solidFill>
                </w14:textFill>
              </w:rPr>
              <w:t>2</w:t>
            </w:r>
            <w:r>
              <w:rPr>
                <w:rFonts w:hint="eastAsia" w:ascii="Times New Roman"/>
                <w:snapToGrid w:val="0"/>
                <w:color w:val="000000" w:themeColor="text1"/>
                <w:kern w:val="21"/>
                <w:szCs w:val="21"/>
                <w:highlight w:val="none"/>
                <w14:textFill>
                  <w14:solidFill>
                    <w14:schemeClr w14:val="tx1"/>
                  </w14:solidFill>
                </w14:textFill>
              </w:rPr>
              <w:t>t</w:t>
            </w:r>
            <w:r>
              <w:rPr>
                <w:rFonts w:ascii="Times New Roman"/>
                <w:snapToGrid w:val="0"/>
                <w:color w:val="000000" w:themeColor="text1"/>
                <w:kern w:val="21"/>
                <w:szCs w:val="21"/>
                <w:highlight w:val="none"/>
                <w14:textFill>
                  <w14:solidFill>
                    <w14:schemeClr w14:val="tx1"/>
                  </w14:solidFill>
                </w14:textFill>
              </w:rPr>
              <w:t>/a</w:t>
            </w:r>
          </w:p>
        </w:tc>
        <w:tc>
          <w:tcPr>
            <w:tcW w:w="1427" w:type="dxa"/>
            <w:vAlign w:val="center"/>
          </w:tcPr>
          <w:p w14:paraId="7BD7EE23">
            <w:pPr>
              <w:pStyle w:val="39"/>
              <w:spacing w:beforeLines="0" w:afterLines="0" w:line="280" w:lineRule="exact"/>
              <w:ind w:left="-105" w:leftChars="-50" w:right="-105" w:rightChars="-50"/>
              <w:rPr>
                <w:rFonts w:ascii="Times New Roman"/>
                <w:snapToGrid w:val="0"/>
                <w:color w:val="000000" w:themeColor="text1"/>
                <w:kern w:val="21"/>
                <w:szCs w:val="21"/>
                <w:highlight w:val="none"/>
                <w14:textFill>
                  <w14:solidFill>
                    <w14:schemeClr w14:val="tx1"/>
                  </w14:solidFill>
                </w14:textFill>
              </w:rPr>
            </w:pPr>
            <w:r>
              <w:rPr>
                <w:rFonts w:hint="eastAsia" w:ascii="Times New Roman"/>
                <w:snapToGrid w:val="0"/>
                <w:color w:val="000000" w:themeColor="text1"/>
                <w:kern w:val="21"/>
                <w:szCs w:val="21"/>
                <w:highlight w:val="none"/>
                <w14:textFill>
                  <w14:solidFill>
                    <w14:schemeClr w14:val="tx1"/>
                  </w14:solidFill>
                </w14:textFill>
              </w:rPr>
              <w:t>+</w:t>
            </w:r>
            <w:r>
              <w:rPr>
                <w:rFonts w:hint="eastAsia" w:ascii="Times New Roman"/>
                <w:snapToGrid w:val="0"/>
                <w:color w:val="000000" w:themeColor="text1"/>
                <w:kern w:val="21"/>
                <w:szCs w:val="21"/>
                <w:highlight w:val="none"/>
                <w:lang w:val="en-US" w:eastAsia="zh-CN"/>
                <w14:textFill>
                  <w14:solidFill>
                    <w14:schemeClr w14:val="tx1"/>
                  </w14:solidFill>
                </w14:textFill>
              </w:rPr>
              <w:t>1</w:t>
            </w:r>
            <w:r>
              <w:rPr>
                <w:rFonts w:hint="eastAsia" w:ascii="Times New Roman"/>
                <w:snapToGrid w:val="0"/>
                <w:color w:val="000000" w:themeColor="text1"/>
                <w:kern w:val="21"/>
                <w:szCs w:val="21"/>
                <w:highlight w:val="none"/>
                <w14:textFill>
                  <w14:solidFill>
                    <w14:schemeClr w14:val="tx1"/>
                  </w14:solidFill>
                </w14:textFill>
              </w:rPr>
              <w:t xml:space="preserve"> t</w:t>
            </w:r>
            <w:r>
              <w:rPr>
                <w:rFonts w:ascii="Times New Roman"/>
                <w:snapToGrid w:val="0"/>
                <w:color w:val="000000" w:themeColor="text1"/>
                <w:kern w:val="21"/>
                <w:szCs w:val="21"/>
                <w:highlight w:val="none"/>
                <w14:textFill>
                  <w14:solidFill>
                    <w14:schemeClr w14:val="tx1"/>
                  </w14:solidFill>
                </w14:textFill>
              </w:rPr>
              <w:t>/a</w:t>
            </w:r>
          </w:p>
        </w:tc>
      </w:tr>
    </w:tbl>
    <w:p w14:paraId="7D571A79">
      <w:pPr>
        <w:pStyle w:val="39"/>
        <w:spacing w:beforeLines="80" w:after="24"/>
        <w:ind w:left="-105" w:right="-105"/>
        <w:jc w:val="left"/>
        <w:rPr>
          <w:rFonts w:hAnsi="宋体" w:eastAsia="黑体"/>
          <w:color w:val="000000" w:themeColor="text1"/>
          <w:highlight w:val="green"/>
          <w14:textFill>
            <w14:solidFill>
              <w14:schemeClr w14:val="tx1"/>
            </w14:solidFill>
          </w14:textFill>
        </w:rPr>
      </w:pPr>
      <w:r>
        <w:rPr>
          <w:rFonts w:hAnsi="宋体"/>
          <w:snapToGrid w:val="0"/>
          <w:color w:val="000000" w:themeColor="text1"/>
          <w:kern w:val="21"/>
          <w:szCs w:val="21"/>
          <w:highlight w:val="none"/>
          <w14:textFill>
            <w14:solidFill>
              <w14:schemeClr w14:val="tx1"/>
            </w14:solidFill>
          </w14:textFill>
        </w:rPr>
        <w:t>注：</w:t>
      </w:r>
      <w:r>
        <w:rPr>
          <w:rFonts w:hAnsi="宋体"/>
          <w:snapToGrid w:val="0"/>
          <w:color w:val="000000" w:themeColor="text1"/>
          <w:spacing w:val="-16"/>
          <w:kern w:val="21"/>
          <w:szCs w:val="21"/>
          <w:highlight w:val="none"/>
          <w14:textFill>
            <w14:solidFill>
              <w14:schemeClr w14:val="tx1"/>
            </w14:solidFill>
          </w14:textFill>
        </w:rPr>
        <w:fldChar w:fldCharType="begin"/>
      </w:r>
      <w:r>
        <w:rPr>
          <w:rFonts w:hAnsi="宋体"/>
          <w:snapToGrid w:val="0"/>
          <w:color w:val="000000" w:themeColor="text1"/>
          <w:spacing w:val="-16"/>
          <w:kern w:val="21"/>
          <w:szCs w:val="21"/>
          <w:highlight w:val="none"/>
          <w14:textFill>
            <w14:solidFill>
              <w14:schemeClr w14:val="tx1"/>
            </w14:solidFill>
          </w14:textFill>
        </w:rPr>
        <w:instrText xml:space="preserve"> = 6 \* GB3 \* MERGEFORMAT </w:instrText>
      </w:r>
      <w:r>
        <w:rPr>
          <w:rFonts w:hAnsi="宋体"/>
          <w:snapToGrid w:val="0"/>
          <w:color w:val="000000" w:themeColor="text1"/>
          <w:spacing w:val="-1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⑥</w:t>
      </w:r>
      <w:r>
        <w:rPr>
          <w:rFonts w:hAnsi="宋体"/>
          <w:snapToGrid w:val="0"/>
          <w:color w:val="000000" w:themeColor="text1"/>
          <w:spacing w:val="-16"/>
          <w:kern w:val="21"/>
          <w:szCs w:val="21"/>
          <w:highlight w:val="none"/>
          <w14:textFill>
            <w14:solidFill>
              <w14:schemeClr w14:val="tx1"/>
            </w14:solidFill>
          </w14:textFill>
        </w:rPr>
        <w:fldChar w:fldCharType="end"/>
      </w:r>
      <w:r>
        <w:rPr>
          <w:rFonts w:hAnsi="宋体"/>
          <w:snapToGrid w:val="0"/>
          <w:color w:val="000000" w:themeColor="text1"/>
          <w:spacing w:val="-16"/>
          <w:kern w:val="21"/>
          <w:szCs w:val="21"/>
          <w:highlight w:val="none"/>
          <w14:textFill>
            <w14:solidFill>
              <w14:schemeClr w14:val="tx1"/>
            </w14:solidFill>
          </w14:textFill>
        </w:rPr>
        <w:t>=</w:t>
      </w:r>
      <w:r>
        <w:rPr>
          <w:rFonts w:hAnsi="宋体"/>
          <w:snapToGrid w:val="0"/>
          <w:color w:val="000000" w:themeColor="text1"/>
          <w:spacing w:val="-6"/>
          <w:kern w:val="21"/>
          <w:szCs w:val="21"/>
          <w:highlight w:val="none"/>
          <w14:textFill>
            <w14:solidFill>
              <w14:schemeClr w14:val="tx1"/>
            </w14:solidFill>
          </w14:textFill>
        </w:rPr>
        <w:fldChar w:fldCharType="begin"/>
      </w:r>
      <w:r>
        <w:rPr>
          <w:rFonts w:hAnsi="宋体"/>
          <w:snapToGrid w:val="0"/>
          <w:color w:val="000000" w:themeColor="text1"/>
          <w:spacing w:val="-6"/>
          <w:kern w:val="21"/>
          <w:szCs w:val="21"/>
          <w:highlight w:val="none"/>
          <w14:textFill>
            <w14:solidFill>
              <w14:schemeClr w14:val="tx1"/>
            </w14:solidFill>
          </w14:textFill>
        </w:rPr>
        <w:instrText xml:space="preserve"> = 1 \* GB3 \* MERGEFORMAT </w:instrText>
      </w:r>
      <w:r>
        <w:rPr>
          <w:rFonts w:hAnsi="宋体"/>
          <w:snapToGrid w:val="0"/>
          <w:color w:val="000000" w:themeColor="text1"/>
          <w:spacing w:val="-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①</w:t>
      </w:r>
      <w:r>
        <w:rPr>
          <w:rFonts w:hAnsi="宋体"/>
          <w:snapToGrid w:val="0"/>
          <w:color w:val="000000" w:themeColor="text1"/>
          <w:spacing w:val="-6"/>
          <w:kern w:val="21"/>
          <w:szCs w:val="21"/>
          <w:highlight w:val="none"/>
          <w14:textFill>
            <w14:solidFill>
              <w14:schemeClr w14:val="tx1"/>
            </w14:solidFill>
          </w14:textFill>
        </w:rPr>
        <w:fldChar w:fldCharType="end"/>
      </w:r>
      <w:r>
        <w:rPr>
          <w:rFonts w:hAnsi="宋体"/>
          <w:snapToGrid w:val="0"/>
          <w:color w:val="000000" w:themeColor="text1"/>
          <w:spacing w:val="-6"/>
          <w:kern w:val="21"/>
          <w:szCs w:val="21"/>
          <w:highlight w:val="none"/>
          <w14:textFill>
            <w14:solidFill>
              <w14:schemeClr w14:val="tx1"/>
            </w14:solidFill>
          </w14:textFill>
        </w:rPr>
        <w:t>+</w:t>
      </w:r>
      <w:r>
        <w:rPr>
          <w:rFonts w:hAnsi="宋体"/>
          <w:snapToGrid w:val="0"/>
          <w:color w:val="000000" w:themeColor="text1"/>
          <w:spacing w:val="-6"/>
          <w:kern w:val="21"/>
          <w:szCs w:val="21"/>
          <w:highlight w:val="none"/>
          <w14:textFill>
            <w14:solidFill>
              <w14:schemeClr w14:val="tx1"/>
            </w14:solidFill>
          </w14:textFill>
        </w:rPr>
        <w:fldChar w:fldCharType="begin"/>
      </w:r>
      <w:r>
        <w:rPr>
          <w:rFonts w:hAnsi="宋体"/>
          <w:snapToGrid w:val="0"/>
          <w:color w:val="000000" w:themeColor="text1"/>
          <w:spacing w:val="-6"/>
          <w:kern w:val="21"/>
          <w:szCs w:val="21"/>
          <w:highlight w:val="none"/>
          <w14:textFill>
            <w14:solidFill>
              <w14:schemeClr w14:val="tx1"/>
            </w14:solidFill>
          </w14:textFill>
        </w:rPr>
        <w:instrText xml:space="preserve"> = 3 \* GB3 \* MERGEFORMAT </w:instrText>
      </w:r>
      <w:r>
        <w:rPr>
          <w:rFonts w:hAnsi="宋体"/>
          <w:snapToGrid w:val="0"/>
          <w:color w:val="000000" w:themeColor="text1"/>
          <w:spacing w:val="-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③</w:t>
      </w:r>
      <w:r>
        <w:rPr>
          <w:rFonts w:hAnsi="宋体"/>
          <w:snapToGrid w:val="0"/>
          <w:color w:val="000000" w:themeColor="text1"/>
          <w:spacing w:val="-6"/>
          <w:kern w:val="21"/>
          <w:szCs w:val="21"/>
          <w:highlight w:val="none"/>
          <w14:textFill>
            <w14:solidFill>
              <w14:schemeClr w14:val="tx1"/>
            </w14:solidFill>
          </w14:textFill>
        </w:rPr>
        <w:fldChar w:fldCharType="end"/>
      </w:r>
      <w:r>
        <w:rPr>
          <w:rFonts w:hAnsi="宋体"/>
          <w:snapToGrid w:val="0"/>
          <w:color w:val="000000" w:themeColor="text1"/>
          <w:spacing w:val="-6"/>
          <w:kern w:val="21"/>
          <w:szCs w:val="21"/>
          <w:highlight w:val="none"/>
          <w14:textFill>
            <w14:solidFill>
              <w14:schemeClr w14:val="tx1"/>
            </w14:solidFill>
          </w14:textFill>
        </w:rPr>
        <w:t>+</w:t>
      </w:r>
      <w:r>
        <w:rPr>
          <w:rFonts w:hAnsi="宋体"/>
          <w:snapToGrid w:val="0"/>
          <w:color w:val="000000" w:themeColor="text1"/>
          <w:spacing w:val="-6"/>
          <w:kern w:val="21"/>
          <w:szCs w:val="21"/>
          <w:highlight w:val="none"/>
          <w14:textFill>
            <w14:solidFill>
              <w14:schemeClr w14:val="tx1"/>
            </w14:solidFill>
          </w14:textFill>
        </w:rPr>
        <w:fldChar w:fldCharType="begin"/>
      </w:r>
      <w:r>
        <w:rPr>
          <w:rFonts w:hAnsi="宋体"/>
          <w:snapToGrid w:val="0"/>
          <w:color w:val="000000" w:themeColor="text1"/>
          <w:spacing w:val="-6"/>
          <w:kern w:val="21"/>
          <w:szCs w:val="21"/>
          <w:highlight w:val="none"/>
          <w14:textFill>
            <w14:solidFill>
              <w14:schemeClr w14:val="tx1"/>
            </w14:solidFill>
          </w14:textFill>
        </w:rPr>
        <w:instrText xml:space="preserve"> = 4 \* GB3 \* MERGEFORMAT </w:instrText>
      </w:r>
      <w:r>
        <w:rPr>
          <w:rFonts w:hAnsi="宋体"/>
          <w:snapToGrid w:val="0"/>
          <w:color w:val="000000" w:themeColor="text1"/>
          <w:spacing w:val="-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④</w:t>
      </w:r>
      <w:r>
        <w:rPr>
          <w:rFonts w:hAnsi="宋体"/>
          <w:snapToGrid w:val="0"/>
          <w:color w:val="000000" w:themeColor="text1"/>
          <w:spacing w:val="-6"/>
          <w:kern w:val="21"/>
          <w:szCs w:val="21"/>
          <w:highlight w:val="none"/>
          <w14:textFill>
            <w14:solidFill>
              <w14:schemeClr w14:val="tx1"/>
            </w14:solidFill>
          </w14:textFill>
        </w:rPr>
        <w:fldChar w:fldCharType="end"/>
      </w:r>
      <w:r>
        <w:rPr>
          <w:rFonts w:hAnsi="宋体"/>
          <w:snapToGrid w:val="0"/>
          <w:color w:val="000000" w:themeColor="text1"/>
          <w:spacing w:val="-6"/>
          <w:kern w:val="21"/>
          <w:szCs w:val="21"/>
          <w:highlight w:val="none"/>
          <w14:textFill>
            <w14:solidFill>
              <w14:schemeClr w14:val="tx1"/>
            </w14:solidFill>
          </w14:textFill>
        </w:rPr>
        <w:t>-</w:t>
      </w:r>
      <w:r>
        <w:rPr>
          <w:rFonts w:hAnsi="宋体"/>
          <w:snapToGrid w:val="0"/>
          <w:color w:val="000000" w:themeColor="text1"/>
          <w:spacing w:val="-16"/>
          <w:kern w:val="21"/>
          <w:szCs w:val="21"/>
          <w:highlight w:val="none"/>
          <w14:textFill>
            <w14:solidFill>
              <w14:schemeClr w14:val="tx1"/>
            </w14:solidFill>
          </w14:textFill>
        </w:rPr>
        <w:fldChar w:fldCharType="begin"/>
      </w:r>
      <w:r>
        <w:rPr>
          <w:rFonts w:hAnsi="宋体"/>
          <w:snapToGrid w:val="0"/>
          <w:color w:val="000000" w:themeColor="text1"/>
          <w:spacing w:val="-16"/>
          <w:kern w:val="21"/>
          <w:szCs w:val="21"/>
          <w:highlight w:val="none"/>
          <w14:textFill>
            <w14:solidFill>
              <w14:schemeClr w14:val="tx1"/>
            </w14:solidFill>
          </w14:textFill>
        </w:rPr>
        <w:instrText xml:space="preserve"> = 5 \* GB3 \* MERGEFORMAT </w:instrText>
      </w:r>
      <w:r>
        <w:rPr>
          <w:rFonts w:hAnsi="宋体"/>
          <w:snapToGrid w:val="0"/>
          <w:color w:val="000000" w:themeColor="text1"/>
          <w:spacing w:val="-1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⑤</w:t>
      </w:r>
      <w:r>
        <w:rPr>
          <w:rFonts w:hAnsi="宋体"/>
          <w:snapToGrid w:val="0"/>
          <w:color w:val="000000" w:themeColor="text1"/>
          <w:spacing w:val="-16"/>
          <w:kern w:val="21"/>
          <w:szCs w:val="21"/>
          <w:highlight w:val="none"/>
          <w14:textFill>
            <w14:solidFill>
              <w14:schemeClr w14:val="tx1"/>
            </w14:solidFill>
          </w14:textFill>
        </w:rPr>
        <w:fldChar w:fldCharType="end"/>
      </w:r>
      <w:r>
        <w:rPr>
          <w:rFonts w:hAnsi="宋体"/>
          <w:snapToGrid w:val="0"/>
          <w:color w:val="000000" w:themeColor="text1"/>
          <w:spacing w:val="-16"/>
          <w:kern w:val="21"/>
          <w:szCs w:val="21"/>
          <w:highlight w:val="none"/>
          <w14:textFill>
            <w14:solidFill>
              <w14:schemeClr w14:val="tx1"/>
            </w14:solidFill>
          </w14:textFill>
        </w:rPr>
        <w:t>；</w:t>
      </w:r>
      <w:r>
        <w:rPr>
          <w:rFonts w:hAnsi="宋体"/>
          <w:snapToGrid w:val="0"/>
          <w:color w:val="000000" w:themeColor="text1"/>
          <w:spacing w:val="-6"/>
          <w:kern w:val="21"/>
          <w:szCs w:val="21"/>
          <w:highlight w:val="none"/>
          <w14:textFill>
            <w14:solidFill>
              <w14:schemeClr w14:val="tx1"/>
            </w14:solidFill>
          </w14:textFill>
        </w:rPr>
        <w:fldChar w:fldCharType="begin"/>
      </w:r>
      <w:r>
        <w:rPr>
          <w:rFonts w:hAnsi="宋体"/>
          <w:snapToGrid w:val="0"/>
          <w:color w:val="000000" w:themeColor="text1"/>
          <w:spacing w:val="-6"/>
          <w:kern w:val="21"/>
          <w:szCs w:val="21"/>
          <w:highlight w:val="none"/>
          <w14:textFill>
            <w14:solidFill>
              <w14:schemeClr w14:val="tx1"/>
            </w14:solidFill>
          </w14:textFill>
        </w:rPr>
        <w:instrText xml:space="preserve"> = 7 \* GB3 \* MERGEFORMAT </w:instrText>
      </w:r>
      <w:r>
        <w:rPr>
          <w:rFonts w:hAnsi="宋体"/>
          <w:snapToGrid w:val="0"/>
          <w:color w:val="000000" w:themeColor="text1"/>
          <w:spacing w:val="-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⑦</w:t>
      </w:r>
      <w:r>
        <w:rPr>
          <w:rFonts w:hAnsi="宋体"/>
          <w:snapToGrid w:val="0"/>
          <w:color w:val="000000" w:themeColor="text1"/>
          <w:spacing w:val="-6"/>
          <w:kern w:val="21"/>
          <w:szCs w:val="21"/>
          <w:highlight w:val="none"/>
          <w14:textFill>
            <w14:solidFill>
              <w14:schemeClr w14:val="tx1"/>
            </w14:solidFill>
          </w14:textFill>
        </w:rPr>
        <w:fldChar w:fldCharType="end"/>
      </w:r>
      <w:r>
        <w:rPr>
          <w:rFonts w:hAnsi="宋体"/>
          <w:snapToGrid w:val="0"/>
          <w:color w:val="000000" w:themeColor="text1"/>
          <w:spacing w:val="-6"/>
          <w:kern w:val="21"/>
          <w:szCs w:val="21"/>
          <w:highlight w:val="none"/>
          <w14:textFill>
            <w14:solidFill>
              <w14:schemeClr w14:val="tx1"/>
            </w14:solidFill>
          </w14:textFill>
        </w:rPr>
        <w:t>=</w:t>
      </w:r>
      <w:r>
        <w:rPr>
          <w:rFonts w:hAnsi="宋体"/>
          <w:snapToGrid w:val="0"/>
          <w:color w:val="000000" w:themeColor="text1"/>
          <w:spacing w:val="-16"/>
          <w:kern w:val="21"/>
          <w:szCs w:val="21"/>
          <w:highlight w:val="none"/>
          <w14:textFill>
            <w14:solidFill>
              <w14:schemeClr w14:val="tx1"/>
            </w14:solidFill>
          </w14:textFill>
        </w:rPr>
        <w:fldChar w:fldCharType="begin"/>
      </w:r>
      <w:r>
        <w:rPr>
          <w:rFonts w:hAnsi="宋体"/>
          <w:snapToGrid w:val="0"/>
          <w:color w:val="000000" w:themeColor="text1"/>
          <w:spacing w:val="-16"/>
          <w:kern w:val="21"/>
          <w:szCs w:val="21"/>
          <w:highlight w:val="none"/>
          <w14:textFill>
            <w14:solidFill>
              <w14:schemeClr w14:val="tx1"/>
            </w14:solidFill>
          </w14:textFill>
        </w:rPr>
        <w:instrText xml:space="preserve"> = 6 \* GB3 \* MERGEFORMAT </w:instrText>
      </w:r>
      <w:r>
        <w:rPr>
          <w:rFonts w:hAnsi="宋体"/>
          <w:snapToGrid w:val="0"/>
          <w:color w:val="000000" w:themeColor="text1"/>
          <w:spacing w:val="-1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⑥</w:t>
      </w:r>
      <w:r>
        <w:rPr>
          <w:rFonts w:hAnsi="宋体"/>
          <w:snapToGrid w:val="0"/>
          <w:color w:val="000000" w:themeColor="text1"/>
          <w:spacing w:val="-16"/>
          <w:kern w:val="21"/>
          <w:szCs w:val="21"/>
          <w:highlight w:val="none"/>
          <w14:textFill>
            <w14:solidFill>
              <w14:schemeClr w14:val="tx1"/>
            </w14:solidFill>
          </w14:textFill>
        </w:rPr>
        <w:fldChar w:fldCharType="end"/>
      </w:r>
      <w:r>
        <w:rPr>
          <w:rFonts w:hAnsi="宋体"/>
          <w:snapToGrid w:val="0"/>
          <w:color w:val="000000" w:themeColor="text1"/>
          <w:spacing w:val="-16"/>
          <w:kern w:val="21"/>
          <w:szCs w:val="21"/>
          <w:highlight w:val="none"/>
          <w14:textFill>
            <w14:solidFill>
              <w14:schemeClr w14:val="tx1"/>
            </w14:solidFill>
          </w14:textFill>
        </w:rPr>
        <w:t>-</w:t>
      </w:r>
      <w:r>
        <w:rPr>
          <w:rFonts w:hAnsi="宋体"/>
          <w:snapToGrid w:val="0"/>
          <w:color w:val="000000" w:themeColor="text1"/>
          <w:spacing w:val="-6"/>
          <w:kern w:val="21"/>
          <w:szCs w:val="21"/>
          <w:highlight w:val="none"/>
          <w14:textFill>
            <w14:solidFill>
              <w14:schemeClr w14:val="tx1"/>
            </w14:solidFill>
          </w14:textFill>
        </w:rPr>
        <w:fldChar w:fldCharType="begin"/>
      </w:r>
      <w:r>
        <w:rPr>
          <w:rFonts w:hAnsi="宋体"/>
          <w:snapToGrid w:val="0"/>
          <w:color w:val="000000" w:themeColor="text1"/>
          <w:spacing w:val="-6"/>
          <w:kern w:val="21"/>
          <w:szCs w:val="21"/>
          <w:highlight w:val="none"/>
          <w14:textFill>
            <w14:solidFill>
              <w14:schemeClr w14:val="tx1"/>
            </w14:solidFill>
          </w14:textFill>
        </w:rPr>
        <w:instrText xml:space="preserve"> = 1 \* GB3 \* MERGEFORMAT </w:instrText>
      </w:r>
      <w:r>
        <w:rPr>
          <w:rFonts w:hAnsi="宋体"/>
          <w:snapToGrid w:val="0"/>
          <w:color w:val="000000" w:themeColor="text1"/>
          <w:spacing w:val="-6"/>
          <w:kern w:val="21"/>
          <w:szCs w:val="21"/>
          <w:highlight w:val="none"/>
          <w14:textFill>
            <w14:solidFill>
              <w14:schemeClr w14:val="tx1"/>
            </w14:solidFill>
          </w14:textFill>
        </w:rPr>
        <w:fldChar w:fldCharType="separate"/>
      </w:r>
      <w:r>
        <w:rPr>
          <w:rFonts w:hint="eastAsia" w:hAnsi="宋体"/>
          <w:color w:val="000000" w:themeColor="text1"/>
          <w:szCs w:val="21"/>
          <w:highlight w:val="none"/>
          <w14:textFill>
            <w14:solidFill>
              <w14:schemeClr w14:val="tx1"/>
            </w14:solidFill>
          </w14:textFill>
        </w:rPr>
        <w:t>①</w:t>
      </w:r>
      <w:r>
        <w:rPr>
          <w:rFonts w:hAnsi="宋体"/>
          <w:snapToGrid w:val="0"/>
          <w:color w:val="000000" w:themeColor="text1"/>
          <w:spacing w:val="-6"/>
          <w:kern w:val="21"/>
          <w:szCs w:val="21"/>
          <w:highlight w:val="none"/>
          <w14:textFill>
            <w14:solidFill>
              <w14:schemeClr w14:val="tx1"/>
            </w14:solidFill>
          </w14:textFill>
        </w:rPr>
        <w:fldChar w:fldCharType="end"/>
      </w:r>
    </w:p>
    <w:sectPr>
      <w:footerReference r:id="rId8"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 w:name="方正小标宋_GBK">
    <w:altName w:val="微软雅黑"/>
    <w:panose1 w:val="02000000000000000000"/>
    <w:charset w:val="86"/>
    <w:family w:val="script"/>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561DA">
    <w:pPr>
      <w:pStyle w:val="15"/>
      <w:ind w:left="-105" w:right="-105"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6D153">
    <w:pPr>
      <w:pStyle w:val="15"/>
      <w:framePr w:wrap="around" w:vAnchor="text" w:hAnchor="margin" w:xAlign="center" w:y="1"/>
      <w:ind w:left="-105" w:right="-105"/>
      <w:rPr>
        <w:rStyle w:val="27"/>
      </w:rPr>
    </w:pPr>
    <w:r>
      <w:fldChar w:fldCharType="begin"/>
    </w:r>
    <w:r>
      <w:rPr>
        <w:rStyle w:val="27"/>
      </w:rPr>
      <w:instrText xml:space="preserve">PAGE  </w:instrText>
    </w:r>
    <w:r>
      <w:fldChar w:fldCharType="end"/>
    </w:r>
  </w:p>
  <w:p w14:paraId="05367F9D">
    <w:pPr>
      <w:pStyle w:val="15"/>
      <w:ind w:left="-105" w:right="-105"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EEC86">
    <w:pPr>
      <w:pStyle w:val="15"/>
      <w:ind w:left="-105" w:right="-105"/>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113</w:t>
    </w:r>
    <w:r>
      <w:rPr>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F4579">
    <w:pPr>
      <w:pStyle w:val="15"/>
      <w:framePr w:wrap="around" w:vAnchor="text" w:hAnchor="margin" w:xAlign="outside" w:y="1"/>
      <w:ind w:left="-105" w:right="-105"/>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Style w:val="27"/>
        <w:rFonts w:ascii="宋体" w:hAnsi="宋体"/>
        <w:sz w:val="26"/>
        <w:szCs w:val="26"/>
      </w:rPr>
      <w:fldChar w:fldCharType="begin"/>
    </w:r>
    <w:r>
      <w:rPr>
        <w:rStyle w:val="27"/>
        <w:rFonts w:ascii="宋体" w:hAnsi="宋体"/>
        <w:sz w:val="26"/>
        <w:szCs w:val="26"/>
      </w:rPr>
      <w:instrText xml:space="preserve">PAGE  </w:instrText>
    </w:r>
    <w:r>
      <w:rPr>
        <w:rStyle w:val="27"/>
        <w:rFonts w:ascii="宋体" w:hAnsi="宋体"/>
        <w:sz w:val="26"/>
        <w:szCs w:val="26"/>
      </w:rPr>
      <w:fldChar w:fldCharType="separate"/>
    </w:r>
    <w:r>
      <w:rPr>
        <w:rStyle w:val="27"/>
        <w:rFonts w:ascii="宋体" w:hAnsi="宋体"/>
        <w:sz w:val="26"/>
        <w:szCs w:val="26"/>
      </w:rPr>
      <w:t>115</w:t>
    </w:r>
    <w:r>
      <w:rPr>
        <w:rStyle w:val="27"/>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p w14:paraId="06DE708E">
    <w:pPr>
      <w:pStyle w:val="15"/>
      <w:ind w:left="-105" w:right="-105"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334D6"/>
    <w:multiLevelType w:val="singleLevel"/>
    <w:tmpl w:val="8C6334D6"/>
    <w:lvl w:ilvl="0" w:tentative="0">
      <w:start w:val="1"/>
      <w:numFmt w:val="decimal"/>
      <w:suff w:val="nothing"/>
      <w:lvlText w:val="%1、"/>
      <w:lvlJc w:val="left"/>
    </w:lvl>
  </w:abstractNum>
  <w:abstractNum w:abstractNumId="1">
    <w:nsid w:val="C1873CCC"/>
    <w:multiLevelType w:val="singleLevel"/>
    <w:tmpl w:val="C1873CCC"/>
    <w:lvl w:ilvl="0" w:tentative="0">
      <w:start w:val="1"/>
      <w:numFmt w:val="decimal"/>
      <w:suff w:val="nothing"/>
      <w:lvlText w:val="%1、"/>
      <w:lvlJc w:val="left"/>
    </w:lvl>
  </w:abstractNum>
  <w:abstractNum w:abstractNumId="2">
    <w:nsid w:val="0951416C"/>
    <w:multiLevelType w:val="singleLevel"/>
    <w:tmpl w:val="0951416C"/>
    <w:lvl w:ilvl="0" w:tentative="0">
      <w:start w:val="1"/>
      <w:numFmt w:val="decimal"/>
      <w:suff w:val="nothing"/>
      <w:lvlText w:val="%1、"/>
      <w:lvlJc w:val="left"/>
    </w:lvl>
  </w:abstractNum>
  <w:abstractNum w:abstractNumId="3">
    <w:nsid w:val="22AEC3D6"/>
    <w:multiLevelType w:val="singleLevel"/>
    <w:tmpl w:val="22AEC3D6"/>
    <w:lvl w:ilvl="0" w:tentative="0">
      <w:start w:val="1"/>
      <w:numFmt w:val="decimal"/>
      <w:suff w:val="nothing"/>
      <w:lvlText w:val="%1、"/>
      <w:lvlJc w:val="left"/>
    </w:lvl>
  </w:abstractNum>
  <w:abstractNum w:abstractNumId="4">
    <w:nsid w:val="2DD985B9"/>
    <w:multiLevelType w:val="singleLevel"/>
    <w:tmpl w:val="2DD985B9"/>
    <w:lvl w:ilvl="0" w:tentative="0">
      <w:start w:val="1"/>
      <w:numFmt w:val="decimal"/>
      <w:suff w:val="nothing"/>
      <w:lvlText w:val="%1、"/>
      <w:lvlJc w:val="left"/>
    </w:lvl>
  </w:abstractNum>
  <w:abstractNum w:abstractNumId="5">
    <w:nsid w:val="33C395BC"/>
    <w:multiLevelType w:val="singleLevel"/>
    <w:tmpl w:val="33C395BC"/>
    <w:lvl w:ilvl="0" w:tentative="0">
      <w:start w:val="1"/>
      <w:numFmt w:val="decimal"/>
      <w:suff w:val="nothing"/>
      <w:lvlText w:val="%1"/>
      <w:lvlJc w:val="center"/>
      <w:pPr>
        <w:ind w:left="0" w:firstLine="0"/>
      </w:pPr>
      <w:rPr>
        <w:rFonts w:hint="default"/>
      </w:rPr>
    </w:lvl>
  </w:abstractNum>
  <w:abstractNum w:abstractNumId="6">
    <w:nsid w:val="3B6F8985"/>
    <w:multiLevelType w:val="singleLevel"/>
    <w:tmpl w:val="3B6F8985"/>
    <w:lvl w:ilvl="0" w:tentative="0">
      <w:start w:val="1"/>
      <w:numFmt w:val="decimal"/>
      <w:suff w:val="nothing"/>
      <w:lvlText w:val="%1、"/>
      <w:lvlJc w:val="left"/>
    </w:lvl>
  </w:abstractNum>
  <w:abstractNum w:abstractNumId="7">
    <w:nsid w:val="63079745"/>
    <w:multiLevelType w:val="singleLevel"/>
    <w:tmpl w:val="63079745"/>
    <w:lvl w:ilvl="0" w:tentative="0">
      <w:start w:val="1"/>
      <w:numFmt w:val="decimal"/>
      <w:suff w:val="nothing"/>
      <w:lvlText w:val="%1、"/>
      <w:lvlJc w:val="left"/>
    </w:lvl>
  </w:abstractNum>
  <w:num w:numId="1">
    <w:abstractNumId w:val="3"/>
  </w:num>
  <w:num w:numId="2">
    <w:abstractNumId w:val="2"/>
  </w:num>
  <w:num w:numId="3">
    <w:abstractNumId w:val="1"/>
  </w:num>
  <w:num w:numId="4">
    <w:abstractNumId w:val="4"/>
  </w:num>
  <w:num w:numId="5">
    <w:abstractNumId w:val="7"/>
  </w:num>
  <w:num w:numId="6">
    <w:abstractNumId w:val="6"/>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hideSpellingErrors/>
  <w:attachedTemplate r:id="rId1"/>
  <w:documentProtection w:edit="trackedChanges"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19E"/>
    <w:rsid w:val="0000094A"/>
    <w:rsid w:val="00000D18"/>
    <w:rsid w:val="0000120F"/>
    <w:rsid w:val="000014E3"/>
    <w:rsid w:val="0000206D"/>
    <w:rsid w:val="000020AE"/>
    <w:rsid w:val="000020D5"/>
    <w:rsid w:val="0000245F"/>
    <w:rsid w:val="000025BF"/>
    <w:rsid w:val="00002BB9"/>
    <w:rsid w:val="00003DDE"/>
    <w:rsid w:val="000043B2"/>
    <w:rsid w:val="00004616"/>
    <w:rsid w:val="0000497D"/>
    <w:rsid w:val="00004A44"/>
    <w:rsid w:val="00004E2B"/>
    <w:rsid w:val="00005048"/>
    <w:rsid w:val="00005389"/>
    <w:rsid w:val="00005455"/>
    <w:rsid w:val="0000591A"/>
    <w:rsid w:val="00005977"/>
    <w:rsid w:val="00005B20"/>
    <w:rsid w:val="000060B3"/>
    <w:rsid w:val="00006598"/>
    <w:rsid w:val="00006662"/>
    <w:rsid w:val="00006AFC"/>
    <w:rsid w:val="00006D5A"/>
    <w:rsid w:val="00007154"/>
    <w:rsid w:val="0000730A"/>
    <w:rsid w:val="000075AD"/>
    <w:rsid w:val="0001057D"/>
    <w:rsid w:val="000106B1"/>
    <w:rsid w:val="00010A89"/>
    <w:rsid w:val="000110C5"/>
    <w:rsid w:val="000112E6"/>
    <w:rsid w:val="0001175E"/>
    <w:rsid w:val="000117EE"/>
    <w:rsid w:val="00011920"/>
    <w:rsid w:val="00011C75"/>
    <w:rsid w:val="00012226"/>
    <w:rsid w:val="00012B0A"/>
    <w:rsid w:val="00012B79"/>
    <w:rsid w:val="00012C30"/>
    <w:rsid w:val="00012FFC"/>
    <w:rsid w:val="000134BB"/>
    <w:rsid w:val="00013B0B"/>
    <w:rsid w:val="00013E0A"/>
    <w:rsid w:val="00013F49"/>
    <w:rsid w:val="000145D5"/>
    <w:rsid w:val="00014632"/>
    <w:rsid w:val="0001485B"/>
    <w:rsid w:val="00014A59"/>
    <w:rsid w:val="00014E61"/>
    <w:rsid w:val="00014F6A"/>
    <w:rsid w:val="00014F80"/>
    <w:rsid w:val="000152DE"/>
    <w:rsid w:val="00015323"/>
    <w:rsid w:val="00015555"/>
    <w:rsid w:val="0001628D"/>
    <w:rsid w:val="000164C0"/>
    <w:rsid w:val="00016758"/>
    <w:rsid w:val="00016861"/>
    <w:rsid w:val="00016BC4"/>
    <w:rsid w:val="00016C5F"/>
    <w:rsid w:val="00016DC6"/>
    <w:rsid w:val="00017729"/>
    <w:rsid w:val="0001788A"/>
    <w:rsid w:val="00017B97"/>
    <w:rsid w:val="00020991"/>
    <w:rsid w:val="00021194"/>
    <w:rsid w:val="00021D6B"/>
    <w:rsid w:val="00021E44"/>
    <w:rsid w:val="000220C6"/>
    <w:rsid w:val="0002219B"/>
    <w:rsid w:val="000221ED"/>
    <w:rsid w:val="00022808"/>
    <w:rsid w:val="00022DD0"/>
    <w:rsid w:val="000236BA"/>
    <w:rsid w:val="000238DB"/>
    <w:rsid w:val="0002394C"/>
    <w:rsid w:val="00023A47"/>
    <w:rsid w:val="00023A74"/>
    <w:rsid w:val="00023CD0"/>
    <w:rsid w:val="0002400B"/>
    <w:rsid w:val="000241B7"/>
    <w:rsid w:val="00024951"/>
    <w:rsid w:val="00024B8D"/>
    <w:rsid w:val="00024C5D"/>
    <w:rsid w:val="00024E4D"/>
    <w:rsid w:val="000250DE"/>
    <w:rsid w:val="00025785"/>
    <w:rsid w:val="00025942"/>
    <w:rsid w:val="00025ACB"/>
    <w:rsid w:val="00025B40"/>
    <w:rsid w:val="00026497"/>
    <w:rsid w:val="00026E98"/>
    <w:rsid w:val="00027FC5"/>
    <w:rsid w:val="0003027A"/>
    <w:rsid w:val="00030B47"/>
    <w:rsid w:val="00030D34"/>
    <w:rsid w:val="00031111"/>
    <w:rsid w:val="00031B7F"/>
    <w:rsid w:val="00031C04"/>
    <w:rsid w:val="00032195"/>
    <w:rsid w:val="000325E0"/>
    <w:rsid w:val="00032AB9"/>
    <w:rsid w:val="00032AD5"/>
    <w:rsid w:val="0003327A"/>
    <w:rsid w:val="000333A0"/>
    <w:rsid w:val="00033481"/>
    <w:rsid w:val="00033594"/>
    <w:rsid w:val="000336AC"/>
    <w:rsid w:val="00033AD6"/>
    <w:rsid w:val="00033E01"/>
    <w:rsid w:val="00033E84"/>
    <w:rsid w:val="0003420E"/>
    <w:rsid w:val="00034326"/>
    <w:rsid w:val="000343E9"/>
    <w:rsid w:val="00034531"/>
    <w:rsid w:val="000347E5"/>
    <w:rsid w:val="00034939"/>
    <w:rsid w:val="000349CC"/>
    <w:rsid w:val="00034EF7"/>
    <w:rsid w:val="00035231"/>
    <w:rsid w:val="00035651"/>
    <w:rsid w:val="00035943"/>
    <w:rsid w:val="000359BE"/>
    <w:rsid w:val="00036A3E"/>
    <w:rsid w:val="00036C10"/>
    <w:rsid w:val="00037136"/>
    <w:rsid w:val="0003722D"/>
    <w:rsid w:val="00037304"/>
    <w:rsid w:val="0003775D"/>
    <w:rsid w:val="0004018F"/>
    <w:rsid w:val="0004044B"/>
    <w:rsid w:val="00040BAF"/>
    <w:rsid w:val="00040EAE"/>
    <w:rsid w:val="00041188"/>
    <w:rsid w:val="000415A9"/>
    <w:rsid w:val="00041909"/>
    <w:rsid w:val="00041D3E"/>
    <w:rsid w:val="0004204D"/>
    <w:rsid w:val="00042264"/>
    <w:rsid w:val="000422EE"/>
    <w:rsid w:val="00042326"/>
    <w:rsid w:val="00042B7F"/>
    <w:rsid w:val="00042BDB"/>
    <w:rsid w:val="00042DE0"/>
    <w:rsid w:val="00043221"/>
    <w:rsid w:val="0004330D"/>
    <w:rsid w:val="000435D7"/>
    <w:rsid w:val="00043625"/>
    <w:rsid w:val="00043641"/>
    <w:rsid w:val="0004364B"/>
    <w:rsid w:val="00043757"/>
    <w:rsid w:val="00043B2E"/>
    <w:rsid w:val="00043EC2"/>
    <w:rsid w:val="00044046"/>
    <w:rsid w:val="0004442C"/>
    <w:rsid w:val="000449CB"/>
    <w:rsid w:val="00044A62"/>
    <w:rsid w:val="000454CF"/>
    <w:rsid w:val="00045741"/>
    <w:rsid w:val="0004587A"/>
    <w:rsid w:val="00045C0E"/>
    <w:rsid w:val="00045C39"/>
    <w:rsid w:val="00045F32"/>
    <w:rsid w:val="000462F9"/>
    <w:rsid w:val="00046FD7"/>
    <w:rsid w:val="0004726B"/>
    <w:rsid w:val="00047817"/>
    <w:rsid w:val="000479A6"/>
    <w:rsid w:val="00047D04"/>
    <w:rsid w:val="00047FC1"/>
    <w:rsid w:val="000501CB"/>
    <w:rsid w:val="00050332"/>
    <w:rsid w:val="00050743"/>
    <w:rsid w:val="00050A1A"/>
    <w:rsid w:val="00050B9C"/>
    <w:rsid w:val="0005123E"/>
    <w:rsid w:val="00051527"/>
    <w:rsid w:val="000515A4"/>
    <w:rsid w:val="00051A43"/>
    <w:rsid w:val="00051C16"/>
    <w:rsid w:val="00051D16"/>
    <w:rsid w:val="00051F65"/>
    <w:rsid w:val="00052049"/>
    <w:rsid w:val="00052D79"/>
    <w:rsid w:val="00053259"/>
    <w:rsid w:val="000533D1"/>
    <w:rsid w:val="00053516"/>
    <w:rsid w:val="0005365F"/>
    <w:rsid w:val="00053786"/>
    <w:rsid w:val="00053819"/>
    <w:rsid w:val="0005409C"/>
    <w:rsid w:val="0005417C"/>
    <w:rsid w:val="000541AF"/>
    <w:rsid w:val="0005428B"/>
    <w:rsid w:val="00054C50"/>
    <w:rsid w:val="00054DB3"/>
    <w:rsid w:val="0005504E"/>
    <w:rsid w:val="0005555D"/>
    <w:rsid w:val="00055B99"/>
    <w:rsid w:val="00055DE6"/>
    <w:rsid w:val="00056061"/>
    <w:rsid w:val="00056148"/>
    <w:rsid w:val="00056418"/>
    <w:rsid w:val="000564B4"/>
    <w:rsid w:val="00056822"/>
    <w:rsid w:val="00056A06"/>
    <w:rsid w:val="00056DCC"/>
    <w:rsid w:val="00057590"/>
    <w:rsid w:val="00057EEB"/>
    <w:rsid w:val="00060A55"/>
    <w:rsid w:val="00060BB5"/>
    <w:rsid w:val="00060FE0"/>
    <w:rsid w:val="00061065"/>
    <w:rsid w:val="0006141A"/>
    <w:rsid w:val="000617D0"/>
    <w:rsid w:val="00061B1F"/>
    <w:rsid w:val="00061B57"/>
    <w:rsid w:val="00061EAE"/>
    <w:rsid w:val="00061F89"/>
    <w:rsid w:val="000623CD"/>
    <w:rsid w:val="00062515"/>
    <w:rsid w:val="00062567"/>
    <w:rsid w:val="00062A86"/>
    <w:rsid w:val="00062C0D"/>
    <w:rsid w:val="00062DBD"/>
    <w:rsid w:val="00062EEB"/>
    <w:rsid w:val="0006385E"/>
    <w:rsid w:val="00063F11"/>
    <w:rsid w:val="0006429D"/>
    <w:rsid w:val="0006478F"/>
    <w:rsid w:val="00064953"/>
    <w:rsid w:val="00064AB4"/>
    <w:rsid w:val="00064E5B"/>
    <w:rsid w:val="000650DB"/>
    <w:rsid w:val="00065210"/>
    <w:rsid w:val="000657A3"/>
    <w:rsid w:val="00065A4C"/>
    <w:rsid w:val="00065D94"/>
    <w:rsid w:val="00065F4D"/>
    <w:rsid w:val="0006606B"/>
    <w:rsid w:val="000667CA"/>
    <w:rsid w:val="00066CA2"/>
    <w:rsid w:val="00066DD4"/>
    <w:rsid w:val="00067235"/>
    <w:rsid w:val="00067C85"/>
    <w:rsid w:val="00067E12"/>
    <w:rsid w:val="00067E2E"/>
    <w:rsid w:val="00067F3F"/>
    <w:rsid w:val="0007008B"/>
    <w:rsid w:val="000715FD"/>
    <w:rsid w:val="0007161D"/>
    <w:rsid w:val="000719F0"/>
    <w:rsid w:val="00071F4C"/>
    <w:rsid w:val="00072046"/>
    <w:rsid w:val="0007226E"/>
    <w:rsid w:val="00072325"/>
    <w:rsid w:val="0007251F"/>
    <w:rsid w:val="0007261A"/>
    <w:rsid w:val="0007274B"/>
    <w:rsid w:val="00072EE7"/>
    <w:rsid w:val="000733C4"/>
    <w:rsid w:val="00073523"/>
    <w:rsid w:val="00074029"/>
    <w:rsid w:val="00074275"/>
    <w:rsid w:val="0007454B"/>
    <w:rsid w:val="00074783"/>
    <w:rsid w:val="000748C6"/>
    <w:rsid w:val="00074981"/>
    <w:rsid w:val="000753EB"/>
    <w:rsid w:val="00075946"/>
    <w:rsid w:val="00075E8D"/>
    <w:rsid w:val="000761CC"/>
    <w:rsid w:val="00076A51"/>
    <w:rsid w:val="00076ABB"/>
    <w:rsid w:val="00076B8F"/>
    <w:rsid w:val="0007728E"/>
    <w:rsid w:val="00077578"/>
    <w:rsid w:val="00077B96"/>
    <w:rsid w:val="00077EDE"/>
    <w:rsid w:val="00077FDB"/>
    <w:rsid w:val="0008017E"/>
    <w:rsid w:val="000805A0"/>
    <w:rsid w:val="0008070B"/>
    <w:rsid w:val="000810AC"/>
    <w:rsid w:val="00081150"/>
    <w:rsid w:val="00081333"/>
    <w:rsid w:val="00081A02"/>
    <w:rsid w:val="00081A58"/>
    <w:rsid w:val="00081AA0"/>
    <w:rsid w:val="00081F04"/>
    <w:rsid w:val="00082231"/>
    <w:rsid w:val="00082332"/>
    <w:rsid w:val="000829DB"/>
    <w:rsid w:val="00082B0F"/>
    <w:rsid w:val="00082C1A"/>
    <w:rsid w:val="00082D4E"/>
    <w:rsid w:val="000831C5"/>
    <w:rsid w:val="0008344B"/>
    <w:rsid w:val="00083522"/>
    <w:rsid w:val="0008368C"/>
    <w:rsid w:val="00083B57"/>
    <w:rsid w:val="00083C47"/>
    <w:rsid w:val="0008426F"/>
    <w:rsid w:val="000842FD"/>
    <w:rsid w:val="00085149"/>
    <w:rsid w:val="0008550A"/>
    <w:rsid w:val="00085686"/>
    <w:rsid w:val="00085795"/>
    <w:rsid w:val="00085ABD"/>
    <w:rsid w:val="00085C89"/>
    <w:rsid w:val="0008628B"/>
    <w:rsid w:val="000862CB"/>
    <w:rsid w:val="0008632C"/>
    <w:rsid w:val="00086F43"/>
    <w:rsid w:val="0008726F"/>
    <w:rsid w:val="00087585"/>
    <w:rsid w:val="00087BB3"/>
    <w:rsid w:val="00087C28"/>
    <w:rsid w:val="000904A9"/>
    <w:rsid w:val="000907E1"/>
    <w:rsid w:val="00090A89"/>
    <w:rsid w:val="00091051"/>
    <w:rsid w:val="000914B2"/>
    <w:rsid w:val="00092073"/>
    <w:rsid w:val="0009284C"/>
    <w:rsid w:val="00092D38"/>
    <w:rsid w:val="00092F1A"/>
    <w:rsid w:val="00093357"/>
    <w:rsid w:val="00093381"/>
    <w:rsid w:val="0009349F"/>
    <w:rsid w:val="0009377B"/>
    <w:rsid w:val="00093817"/>
    <w:rsid w:val="00093E98"/>
    <w:rsid w:val="00094A18"/>
    <w:rsid w:val="00094AE1"/>
    <w:rsid w:val="00095B81"/>
    <w:rsid w:val="00096988"/>
    <w:rsid w:val="00096C14"/>
    <w:rsid w:val="0009763C"/>
    <w:rsid w:val="00097DE5"/>
    <w:rsid w:val="00097F45"/>
    <w:rsid w:val="000A02D7"/>
    <w:rsid w:val="000A0713"/>
    <w:rsid w:val="000A08D3"/>
    <w:rsid w:val="000A0D75"/>
    <w:rsid w:val="000A0F28"/>
    <w:rsid w:val="000A13AB"/>
    <w:rsid w:val="000A1639"/>
    <w:rsid w:val="000A1B81"/>
    <w:rsid w:val="000A1CFE"/>
    <w:rsid w:val="000A1F0A"/>
    <w:rsid w:val="000A20C9"/>
    <w:rsid w:val="000A2463"/>
    <w:rsid w:val="000A2A86"/>
    <w:rsid w:val="000A2E3E"/>
    <w:rsid w:val="000A2ECD"/>
    <w:rsid w:val="000A337A"/>
    <w:rsid w:val="000A396C"/>
    <w:rsid w:val="000A4429"/>
    <w:rsid w:val="000A47A1"/>
    <w:rsid w:val="000A4B56"/>
    <w:rsid w:val="000A4D59"/>
    <w:rsid w:val="000A4E07"/>
    <w:rsid w:val="000A5058"/>
    <w:rsid w:val="000A56A0"/>
    <w:rsid w:val="000A5722"/>
    <w:rsid w:val="000A5F2B"/>
    <w:rsid w:val="000A6B18"/>
    <w:rsid w:val="000A6BE3"/>
    <w:rsid w:val="000A7229"/>
    <w:rsid w:val="000A73BB"/>
    <w:rsid w:val="000A744E"/>
    <w:rsid w:val="000A774C"/>
    <w:rsid w:val="000A7D16"/>
    <w:rsid w:val="000B0317"/>
    <w:rsid w:val="000B034F"/>
    <w:rsid w:val="000B03BF"/>
    <w:rsid w:val="000B058F"/>
    <w:rsid w:val="000B0A06"/>
    <w:rsid w:val="000B0AA3"/>
    <w:rsid w:val="000B14E4"/>
    <w:rsid w:val="000B16F9"/>
    <w:rsid w:val="000B1A33"/>
    <w:rsid w:val="000B1DF2"/>
    <w:rsid w:val="000B20F7"/>
    <w:rsid w:val="000B21EF"/>
    <w:rsid w:val="000B2476"/>
    <w:rsid w:val="000B27BE"/>
    <w:rsid w:val="000B2891"/>
    <w:rsid w:val="000B2B6D"/>
    <w:rsid w:val="000B384B"/>
    <w:rsid w:val="000B3B5C"/>
    <w:rsid w:val="000B3D02"/>
    <w:rsid w:val="000B4467"/>
    <w:rsid w:val="000B45C9"/>
    <w:rsid w:val="000B4DB9"/>
    <w:rsid w:val="000B4DE8"/>
    <w:rsid w:val="000B50EC"/>
    <w:rsid w:val="000B52A8"/>
    <w:rsid w:val="000B5CE6"/>
    <w:rsid w:val="000B6288"/>
    <w:rsid w:val="000B68BB"/>
    <w:rsid w:val="000B6A6C"/>
    <w:rsid w:val="000B6A95"/>
    <w:rsid w:val="000B7497"/>
    <w:rsid w:val="000B78D8"/>
    <w:rsid w:val="000B7EAF"/>
    <w:rsid w:val="000B7F26"/>
    <w:rsid w:val="000C0325"/>
    <w:rsid w:val="000C0521"/>
    <w:rsid w:val="000C092C"/>
    <w:rsid w:val="000C09AC"/>
    <w:rsid w:val="000C0AD5"/>
    <w:rsid w:val="000C0B98"/>
    <w:rsid w:val="000C0E22"/>
    <w:rsid w:val="000C1167"/>
    <w:rsid w:val="000C1413"/>
    <w:rsid w:val="000C15C6"/>
    <w:rsid w:val="000C248B"/>
    <w:rsid w:val="000C272A"/>
    <w:rsid w:val="000C2C68"/>
    <w:rsid w:val="000C316A"/>
    <w:rsid w:val="000C3658"/>
    <w:rsid w:val="000C3EB3"/>
    <w:rsid w:val="000C4198"/>
    <w:rsid w:val="000C4A71"/>
    <w:rsid w:val="000C4CE8"/>
    <w:rsid w:val="000C4E5F"/>
    <w:rsid w:val="000C4F2A"/>
    <w:rsid w:val="000C51AA"/>
    <w:rsid w:val="000C540B"/>
    <w:rsid w:val="000C5416"/>
    <w:rsid w:val="000C557E"/>
    <w:rsid w:val="000C5A99"/>
    <w:rsid w:val="000C5AD2"/>
    <w:rsid w:val="000C614B"/>
    <w:rsid w:val="000C62D3"/>
    <w:rsid w:val="000C6EA7"/>
    <w:rsid w:val="000C6EEB"/>
    <w:rsid w:val="000C706F"/>
    <w:rsid w:val="000C716F"/>
    <w:rsid w:val="000C750A"/>
    <w:rsid w:val="000C767F"/>
    <w:rsid w:val="000C7AB0"/>
    <w:rsid w:val="000D06A5"/>
    <w:rsid w:val="000D0B42"/>
    <w:rsid w:val="000D1021"/>
    <w:rsid w:val="000D150E"/>
    <w:rsid w:val="000D261C"/>
    <w:rsid w:val="000D27E1"/>
    <w:rsid w:val="000D28DA"/>
    <w:rsid w:val="000D2CB6"/>
    <w:rsid w:val="000D30E8"/>
    <w:rsid w:val="000D33A0"/>
    <w:rsid w:val="000D38E2"/>
    <w:rsid w:val="000D3A46"/>
    <w:rsid w:val="000D4072"/>
    <w:rsid w:val="000D4184"/>
    <w:rsid w:val="000D4572"/>
    <w:rsid w:val="000D4A20"/>
    <w:rsid w:val="000D4AD9"/>
    <w:rsid w:val="000D4C1A"/>
    <w:rsid w:val="000D4D13"/>
    <w:rsid w:val="000D4E18"/>
    <w:rsid w:val="000D5A44"/>
    <w:rsid w:val="000D5B92"/>
    <w:rsid w:val="000D6073"/>
    <w:rsid w:val="000D6503"/>
    <w:rsid w:val="000D6A67"/>
    <w:rsid w:val="000D703B"/>
    <w:rsid w:val="000D72C8"/>
    <w:rsid w:val="000D73D4"/>
    <w:rsid w:val="000D7730"/>
    <w:rsid w:val="000D7F50"/>
    <w:rsid w:val="000E0068"/>
    <w:rsid w:val="000E0DB2"/>
    <w:rsid w:val="000E0E68"/>
    <w:rsid w:val="000E0EED"/>
    <w:rsid w:val="000E0F39"/>
    <w:rsid w:val="000E1580"/>
    <w:rsid w:val="000E1A5A"/>
    <w:rsid w:val="000E1B4F"/>
    <w:rsid w:val="000E23C1"/>
    <w:rsid w:val="000E24DB"/>
    <w:rsid w:val="000E26AE"/>
    <w:rsid w:val="000E279D"/>
    <w:rsid w:val="000E2C0F"/>
    <w:rsid w:val="000E347B"/>
    <w:rsid w:val="000E3867"/>
    <w:rsid w:val="000E38EE"/>
    <w:rsid w:val="000E3ED2"/>
    <w:rsid w:val="000E43D4"/>
    <w:rsid w:val="000E46D4"/>
    <w:rsid w:val="000E488D"/>
    <w:rsid w:val="000E49FE"/>
    <w:rsid w:val="000E4B24"/>
    <w:rsid w:val="000E4ED8"/>
    <w:rsid w:val="000E52E7"/>
    <w:rsid w:val="000E548E"/>
    <w:rsid w:val="000E568C"/>
    <w:rsid w:val="000E56D5"/>
    <w:rsid w:val="000E5CFE"/>
    <w:rsid w:val="000E5D49"/>
    <w:rsid w:val="000E6021"/>
    <w:rsid w:val="000E63C5"/>
    <w:rsid w:val="000E64D8"/>
    <w:rsid w:val="000E6688"/>
    <w:rsid w:val="000E6AF7"/>
    <w:rsid w:val="000E6E2C"/>
    <w:rsid w:val="000E7070"/>
    <w:rsid w:val="000E72D3"/>
    <w:rsid w:val="000E7458"/>
    <w:rsid w:val="000E763D"/>
    <w:rsid w:val="000E7752"/>
    <w:rsid w:val="000E7BDC"/>
    <w:rsid w:val="000E7F05"/>
    <w:rsid w:val="000F038A"/>
    <w:rsid w:val="000F0524"/>
    <w:rsid w:val="000F052E"/>
    <w:rsid w:val="000F05C3"/>
    <w:rsid w:val="000F05E5"/>
    <w:rsid w:val="000F0C2A"/>
    <w:rsid w:val="000F0EEB"/>
    <w:rsid w:val="000F11D8"/>
    <w:rsid w:val="000F1501"/>
    <w:rsid w:val="000F1757"/>
    <w:rsid w:val="000F17CB"/>
    <w:rsid w:val="000F22B2"/>
    <w:rsid w:val="000F244B"/>
    <w:rsid w:val="000F26B5"/>
    <w:rsid w:val="000F27BA"/>
    <w:rsid w:val="000F3556"/>
    <w:rsid w:val="000F378C"/>
    <w:rsid w:val="000F38DE"/>
    <w:rsid w:val="000F39B7"/>
    <w:rsid w:val="000F3F06"/>
    <w:rsid w:val="000F43DC"/>
    <w:rsid w:val="000F460C"/>
    <w:rsid w:val="000F4781"/>
    <w:rsid w:val="000F47C8"/>
    <w:rsid w:val="000F4BBC"/>
    <w:rsid w:val="000F4E24"/>
    <w:rsid w:val="000F539B"/>
    <w:rsid w:val="000F5997"/>
    <w:rsid w:val="000F5A1B"/>
    <w:rsid w:val="000F5A32"/>
    <w:rsid w:val="000F633E"/>
    <w:rsid w:val="000F6508"/>
    <w:rsid w:val="000F72CC"/>
    <w:rsid w:val="000F73EA"/>
    <w:rsid w:val="000F7CBC"/>
    <w:rsid w:val="000F7EB9"/>
    <w:rsid w:val="000F7FDD"/>
    <w:rsid w:val="001000FF"/>
    <w:rsid w:val="001004AB"/>
    <w:rsid w:val="00100946"/>
    <w:rsid w:val="00100A7B"/>
    <w:rsid w:val="0010131E"/>
    <w:rsid w:val="001018B9"/>
    <w:rsid w:val="00101F2C"/>
    <w:rsid w:val="0010218D"/>
    <w:rsid w:val="00102217"/>
    <w:rsid w:val="001026B8"/>
    <w:rsid w:val="001027C3"/>
    <w:rsid w:val="00102EC7"/>
    <w:rsid w:val="00103113"/>
    <w:rsid w:val="0010333A"/>
    <w:rsid w:val="001037D3"/>
    <w:rsid w:val="00103953"/>
    <w:rsid w:val="001040B7"/>
    <w:rsid w:val="0010442C"/>
    <w:rsid w:val="0010469E"/>
    <w:rsid w:val="00104B4A"/>
    <w:rsid w:val="00104BC5"/>
    <w:rsid w:val="001051F2"/>
    <w:rsid w:val="001052EF"/>
    <w:rsid w:val="00105541"/>
    <w:rsid w:val="0010574A"/>
    <w:rsid w:val="001059A9"/>
    <w:rsid w:val="00106328"/>
    <w:rsid w:val="00106753"/>
    <w:rsid w:val="00106FBA"/>
    <w:rsid w:val="00107185"/>
    <w:rsid w:val="00107563"/>
    <w:rsid w:val="001077BF"/>
    <w:rsid w:val="001079DD"/>
    <w:rsid w:val="00107B53"/>
    <w:rsid w:val="00110182"/>
    <w:rsid w:val="00110314"/>
    <w:rsid w:val="0011078B"/>
    <w:rsid w:val="0011082F"/>
    <w:rsid w:val="001109DC"/>
    <w:rsid w:val="00110C6B"/>
    <w:rsid w:val="00110D04"/>
    <w:rsid w:val="001117CF"/>
    <w:rsid w:val="0011199F"/>
    <w:rsid w:val="00111D12"/>
    <w:rsid w:val="00112D60"/>
    <w:rsid w:val="00112D8C"/>
    <w:rsid w:val="001131F5"/>
    <w:rsid w:val="00113278"/>
    <w:rsid w:val="00113404"/>
    <w:rsid w:val="0011384D"/>
    <w:rsid w:val="00113E50"/>
    <w:rsid w:val="00113E74"/>
    <w:rsid w:val="00113EF9"/>
    <w:rsid w:val="001141D6"/>
    <w:rsid w:val="00114C45"/>
    <w:rsid w:val="00114F6E"/>
    <w:rsid w:val="00115292"/>
    <w:rsid w:val="00115B07"/>
    <w:rsid w:val="00115CE1"/>
    <w:rsid w:val="00116718"/>
    <w:rsid w:val="00116722"/>
    <w:rsid w:val="001167E5"/>
    <w:rsid w:val="00116995"/>
    <w:rsid w:val="00116B63"/>
    <w:rsid w:val="0011736C"/>
    <w:rsid w:val="0011777C"/>
    <w:rsid w:val="00117837"/>
    <w:rsid w:val="00117A89"/>
    <w:rsid w:val="00117C7A"/>
    <w:rsid w:val="001204B2"/>
    <w:rsid w:val="001204C6"/>
    <w:rsid w:val="0012057B"/>
    <w:rsid w:val="00120AE8"/>
    <w:rsid w:val="00121400"/>
    <w:rsid w:val="001217DF"/>
    <w:rsid w:val="001218FE"/>
    <w:rsid w:val="00121F13"/>
    <w:rsid w:val="00122102"/>
    <w:rsid w:val="00122253"/>
    <w:rsid w:val="001222C2"/>
    <w:rsid w:val="001223DE"/>
    <w:rsid w:val="001223E0"/>
    <w:rsid w:val="001224AB"/>
    <w:rsid w:val="00122613"/>
    <w:rsid w:val="00122CA4"/>
    <w:rsid w:val="00123342"/>
    <w:rsid w:val="001234AD"/>
    <w:rsid w:val="001241E8"/>
    <w:rsid w:val="0012437F"/>
    <w:rsid w:val="00124442"/>
    <w:rsid w:val="001252B5"/>
    <w:rsid w:val="001255F9"/>
    <w:rsid w:val="00125E5F"/>
    <w:rsid w:val="00126227"/>
    <w:rsid w:val="0012654D"/>
    <w:rsid w:val="00126E84"/>
    <w:rsid w:val="0012781B"/>
    <w:rsid w:val="00127B73"/>
    <w:rsid w:val="00127CDE"/>
    <w:rsid w:val="00130503"/>
    <w:rsid w:val="00130575"/>
    <w:rsid w:val="00130673"/>
    <w:rsid w:val="0013068C"/>
    <w:rsid w:val="00130AD6"/>
    <w:rsid w:val="00131C90"/>
    <w:rsid w:val="00131DF5"/>
    <w:rsid w:val="00131F42"/>
    <w:rsid w:val="0013219D"/>
    <w:rsid w:val="001327B9"/>
    <w:rsid w:val="00133495"/>
    <w:rsid w:val="0013385E"/>
    <w:rsid w:val="001338A2"/>
    <w:rsid w:val="001339E0"/>
    <w:rsid w:val="00133C7A"/>
    <w:rsid w:val="00133E96"/>
    <w:rsid w:val="001348D5"/>
    <w:rsid w:val="00134BCF"/>
    <w:rsid w:val="00134C34"/>
    <w:rsid w:val="00134F01"/>
    <w:rsid w:val="00134F2C"/>
    <w:rsid w:val="00135605"/>
    <w:rsid w:val="001357F1"/>
    <w:rsid w:val="00136836"/>
    <w:rsid w:val="00136911"/>
    <w:rsid w:val="00136B27"/>
    <w:rsid w:val="00136F06"/>
    <w:rsid w:val="00137360"/>
    <w:rsid w:val="001379C9"/>
    <w:rsid w:val="00137A1B"/>
    <w:rsid w:val="00137E89"/>
    <w:rsid w:val="00140134"/>
    <w:rsid w:val="00140597"/>
    <w:rsid w:val="00140D31"/>
    <w:rsid w:val="00140FA8"/>
    <w:rsid w:val="001411CA"/>
    <w:rsid w:val="001417F4"/>
    <w:rsid w:val="001420E8"/>
    <w:rsid w:val="0014284C"/>
    <w:rsid w:val="00142900"/>
    <w:rsid w:val="001429BD"/>
    <w:rsid w:val="00142AF7"/>
    <w:rsid w:val="00142E36"/>
    <w:rsid w:val="00142F6D"/>
    <w:rsid w:val="00142FEB"/>
    <w:rsid w:val="00143173"/>
    <w:rsid w:val="00143433"/>
    <w:rsid w:val="001435F1"/>
    <w:rsid w:val="00143A2D"/>
    <w:rsid w:val="00143DF2"/>
    <w:rsid w:val="00143E52"/>
    <w:rsid w:val="00144285"/>
    <w:rsid w:val="001442C9"/>
    <w:rsid w:val="00144572"/>
    <w:rsid w:val="001445A2"/>
    <w:rsid w:val="00144774"/>
    <w:rsid w:val="001447D5"/>
    <w:rsid w:val="00144CE4"/>
    <w:rsid w:val="0014521F"/>
    <w:rsid w:val="00145803"/>
    <w:rsid w:val="0014582C"/>
    <w:rsid w:val="00145A41"/>
    <w:rsid w:val="00145B9C"/>
    <w:rsid w:val="00145FD6"/>
    <w:rsid w:val="0014624D"/>
    <w:rsid w:val="00146A8C"/>
    <w:rsid w:val="00147135"/>
    <w:rsid w:val="00147E40"/>
    <w:rsid w:val="001500CD"/>
    <w:rsid w:val="001502E8"/>
    <w:rsid w:val="00150648"/>
    <w:rsid w:val="00151675"/>
    <w:rsid w:val="00152255"/>
    <w:rsid w:val="00152938"/>
    <w:rsid w:val="0015296D"/>
    <w:rsid w:val="0015329C"/>
    <w:rsid w:val="001533FA"/>
    <w:rsid w:val="001537AF"/>
    <w:rsid w:val="00153C8C"/>
    <w:rsid w:val="001542F4"/>
    <w:rsid w:val="00154326"/>
    <w:rsid w:val="0015445B"/>
    <w:rsid w:val="001548DF"/>
    <w:rsid w:val="00154AC0"/>
    <w:rsid w:val="00154B5B"/>
    <w:rsid w:val="00154B90"/>
    <w:rsid w:val="00155038"/>
    <w:rsid w:val="00155367"/>
    <w:rsid w:val="0015601A"/>
    <w:rsid w:val="0015605D"/>
    <w:rsid w:val="00156753"/>
    <w:rsid w:val="00156914"/>
    <w:rsid w:val="00156CCA"/>
    <w:rsid w:val="00157435"/>
    <w:rsid w:val="001576EF"/>
    <w:rsid w:val="00160035"/>
    <w:rsid w:val="00160057"/>
    <w:rsid w:val="0016008A"/>
    <w:rsid w:val="00160AEC"/>
    <w:rsid w:val="00160CA3"/>
    <w:rsid w:val="00160F27"/>
    <w:rsid w:val="00160FE3"/>
    <w:rsid w:val="00161FE4"/>
    <w:rsid w:val="00162317"/>
    <w:rsid w:val="00162CC2"/>
    <w:rsid w:val="00162D61"/>
    <w:rsid w:val="00162D97"/>
    <w:rsid w:val="00162ED3"/>
    <w:rsid w:val="00163417"/>
    <w:rsid w:val="0016343A"/>
    <w:rsid w:val="001636E6"/>
    <w:rsid w:val="00163809"/>
    <w:rsid w:val="00163DF5"/>
    <w:rsid w:val="00164303"/>
    <w:rsid w:val="00164740"/>
    <w:rsid w:val="00164907"/>
    <w:rsid w:val="00164C60"/>
    <w:rsid w:val="001650CA"/>
    <w:rsid w:val="001651C5"/>
    <w:rsid w:val="001658F8"/>
    <w:rsid w:val="00165A52"/>
    <w:rsid w:val="0016602A"/>
    <w:rsid w:val="0016630E"/>
    <w:rsid w:val="00166E12"/>
    <w:rsid w:val="00167549"/>
    <w:rsid w:val="00167621"/>
    <w:rsid w:val="00167702"/>
    <w:rsid w:val="00167941"/>
    <w:rsid w:val="001679DA"/>
    <w:rsid w:val="00167ED6"/>
    <w:rsid w:val="00167EE6"/>
    <w:rsid w:val="00170BE4"/>
    <w:rsid w:val="00170C5E"/>
    <w:rsid w:val="00170F46"/>
    <w:rsid w:val="0017113D"/>
    <w:rsid w:val="0017122F"/>
    <w:rsid w:val="00171709"/>
    <w:rsid w:val="00171AAC"/>
    <w:rsid w:val="001720FD"/>
    <w:rsid w:val="0017287C"/>
    <w:rsid w:val="00172B26"/>
    <w:rsid w:val="00172C43"/>
    <w:rsid w:val="00172F06"/>
    <w:rsid w:val="001738BB"/>
    <w:rsid w:val="001739D2"/>
    <w:rsid w:val="001739E7"/>
    <w:rsid w:val="00173D6A"/>
    <w:rsid w:val="00173F54"/>
    <w:rsid w:val="0017405E"/>
    <w:rsid w:val="0017407B"/>
    <w:rsid w:val="001744E2"/>
    <w:rsid w:val="00174E5A"/>
    <w:rsid w:val="0017501A"/>
    <w:rsid w:val="0017504D"/>
    <w:rsid w:val="00175453"/>
    <w:rsid w:val="001756E7"/>
    <w:rsid w:val="00175FE9"/>
    <w:rsid w:val="0017619A"/>
    <w:rsid w:val="0017652E"/>
    <w:rsid w:val="0017671A"/>
    <w:rsid w:val="00176828"/>
    <w:rsid w:val="00176907"/>
    <w:rsid w:val="00176983"/>
    <w:rsid w:val="00176BED"/>
    <w:rsid w:val="00176CA1"/>
    <w:rsid w:val="00177422"/>
    <w:rsid w:val="0017776D"/>
    <w:rsid w:val="001779F1"/>
    <w:rsid w:val="00177B37"/>
    <w:rsid w:val="00177DE4"/>
    <w:rsid w:val="00177EFC"/>
    <w:rsid w:val="00177F01"/>
    <w:rsid w:val="0018058D"/>
    <w:rsid w:val="00180F3A"/>
    <w:rsid w:val="001819C2"/>
    <w:rsid w:val="00181AFA"/>
    <w:rsid w:val="00181B99"/>
    <w:rsid w:val="00181DBA"/>
    <w:rsid w:val="00182D20"/>
    <w:rsid w:val="0018323B"/>
    <w:rsid w:val="001832DA"/>
    <w:rsid w:val="0018351B"/>
    <w:rsid w:val="0018398A"/>
    <w:rsid w:val="00183ABC"/>
    <w:rsid w:val="00183F5F"/>
    <w:rsid w:val="0018407D"/>
    <w:rsid w:val="00184296"/>
    <w:rsid w:val="00184590"/>
    <w:rsid w:val="001847CB"/>
    <w:rsid w:val="00184CB1"/>
    <w:rsid w:val="001850C3"/>
    <w:rsid w:val="00185177"/>
    <w:rsid w:val="0018548F"/>
    <w:rsid w:val="00185550"/>
    <w:rsid w:val="001855A2"/>
    <w:rsid w:val="00185739"/>
    <w:rsid w:val="00185761"/>
    <w:rsid w:val="00185FA7"/>
    <w:rsid w:val="00185FAF"/>
    <w:rsid w:val="00186F15"/>
    <w:rsid w:val="00186F80"/>
    <w:rsid w:val="00186FE6"/>
    <w:rsid w:val="001870D1"/>
    <w:rsid w:val="001871B1"/>
    <w:rsid w:val="0018736B"/>
    <w:rsid w:val="00187560"/>
    <w:rsid w:val="00187780"/>
    <w:rsid w:val="0018781E"/>
    <w:rsid w:val="001904E0"/>
    <w:rsid w:val="001906CB"/>
    <w:rsid w:val="001906EB"/>
    <w:rsid w:val="00190AD0"/>
    <w:rsid w:val="00190D90"/>
    <w:rsid w:val="0019107A"/>
    <w:rsid w:val="00191093"/>
    <w:rsid w:val="0019262D"/>
    <w:rsid w:val="001928FD"/>
    <w:rsid w:val="00192C6A"/>
    <w:rsid w:val="00193DA8"/>
    <w:rsid w:val="00193E64"/>
    <w:rsid w:val="0019496D"/>
    <w:rsid w:val="00195658"/>
    <w:rsid w:val="001960EF"/>
    <w:rsid w:val="001965C3"/>
    <w:rsid w:val="001966F9"/>
    <w:rsid w:val="00196B34"/>
    <w:rsid w:val="00196C0B"/>
    <w:rsid w:val="00196C4D"/>
    <w:rsid w:val="001978D9"/>
    <w:rsid w:val="00197A06"/>
    <w:rsid w:val="001A008C"/>
    <w:rsid w:val="001A05CD"/>
    <w:rsid w:val="001A11E8"/>
    <w:rsid w:val="001A1B35"/>
    <w:rsid w:val="001A1D7A"/>
    <w:rsid w:val="001A2D7C"/>
    <w:rsid w:val="001A3881"/>
    <w:rsid w:val="001A38AA"/>
    <w:rsid w:val="001A3C55"/>
    <w:rsid w:val="001A3F65"/>
    <w:rsid w:val="001A48A2"/>
    <w:rsid w:val="001A49D6"/>
    <w:rsid w:val="001A4E53"/>
    <w:rsid w:val="001A4F9D"/>
    <w:rsid w:val="001A5545"/>
    <w:rsid w:val="001A5662"/>
    <w:rsid w:val="001A58C1"/>
    <w:rsid w:val="001A5FCE"/>
    <w:rsid w:val="001A688F"/>
    <w:rsid w:val="001A69DF"/>
    <w:rsid w:val="001A6F61"/>
    <w:rsid w:val="001A7024"/>
    <w:rsid w:val="001A792A"/>
    <w:rsid w:val="001A7B19"/>
    <w:rsid w:val="001A7BC8"/>
    <w:rsid w:val="001A7F10"/>
    <w:rsid w:val="001B0377"/>
    <w:rsid w:val="001B0A6B"/>
    <w:rsid w:val="001B11E9"/>
    <w:rsid w:val="001B1475"/>
    <w:rsid w:val="001B1575"/>
    <w:rsid w:val="001B1E75"/>
    <w:rsid w:val="001B1FC7"/>
    <w:rsid w:val="001B2143"/>
    <w:rsid w:val="001B21BA"/>
    <w:rsid w:val="001B242F"/>
    <w:rsid w:val="001B267F"/>
    <w:rsid w:val="001B31CE"/>
    <w:rsid w:val="001B3284"/>
    <w:rsid w:val="001B3506"/>
    <w:rsid w:val="001B3830"/>
    <w:rsid w:val="001B38F2"/>
    <w:rsid w:val="001B3C81"/>
    <w:rsid w:val="001B41D7"/>
    <w:rsid w:val="001B4EC7"/>
    <w:rsid w:val="001B4F91"/>
    <w:rsid w:val="001B537F"/>
    <w:rsid w:val="001B582D"/>
    <w:rsid w:val="001B5929"/>
    <w:rsid w:val="001B5D73"/>
    <w:rsid w:val="001B6063"/>
    <w:rsid w:val="001B6258"/>
    <w:rsid w:val="001B6619"/>
    <w:rsid w:val="001B6982"/>
    <w:rsid w:val="001B6ACA"/>
    <w:rsid w:val="001B7155"/>
    <w:rsid w:val="001B72B8"/>
    <w:rsid w:val="001B736C"/>
    <w:rsid w:val="001B747B"/>
    <w:rsid w:val="001B7A92"/>
    <w:rsid w:val="001B7D46"/>
    <w:rsid w:val="001C0062"/>
    <w:rsid w:val="001C00C2"/>
    <w:rsid w:val="001C04F2"/>
    <w:rsid w:val="001C076A"/>
    <w:rsid w:val="001C0A82"/>
    <w:rsid w:val="001C0F97"/>
    <w:rsid w:val="001C140B"/>
    <w:rsid w:val="001C2222"/>
    <w:rsid w:val="001C2A60"/>
    <w:rsid w:val="001C2C80"/>
    <w:rsid w:val="001C2CBA"/>
    <w:rsid w:val="001C2D6F"/>
    <w:rsid w:val="001C2DBF"/>
    <w:rsid w:val="001C2F55"/>
    <w:rsid w:val="001C3D95"/>
    <w:rsid w:val="001C4295"/>
    <w:rsid w:val="001C431B"/>
    <w:rsid w:val="001C4BE3"/>
    <w:rsid w:val="001C4F57"/>
    <w:rsid w:val="001C5589"/>
    <w:rsid w:val="001C5685"/>
    <w:rsid w:val="001C5C1B"/>
    <w:rsid w:val="001C5E9F"/>
    <w:rsid w:val="001C6341"/>
    <w:rsid w:val="001C69B3"/>
    <w:rsid w:val="001C7238"/>
    <w:rsid w:val="001C7399"/>
    <w:rsid w:val="001C78F3"/>
    <w:rsid w:val="001C7D08"/>
    <w:rsid w:val="001D01CD"/>
    <w:rsid w:val="001D0285"/>
    <w:rsid w:val="001D03A3"/>
    <w:rsid w:val="001D0B16"/>
    <w:rsid w:val="001D0E5B"/>
    <w:rsid w:val="001D0E65"/>
    <w:rsid w:val="001D11E3"/>
    <w:rsid w:val="001D12EE"/>
    <w:rsid w:val="001D13D1"/>
    <w:rsid w:val="001D161E"/>
    <w:rsid w:val="001D1E97"/>
    <w:rsid w:val="001D1EDE"/>
    <w:rsid w:val="001D2289"/>
    <w:rsid w:val="001D23D6"/>
    <w:rsid w:val="001D243F"/>
    <w:rsid w:val="001D2A3E"/>
    <w:rsid w:val="001D31F6"/>
    <w:rsid w:val="001D33F2"/>
    <w:rsid w:val="001D344F"/>
    <w:rsid w:val="001D345E"/>
    <w:rsid w:val="001D366B"/>
    <w:rsid w:val="001D36E2"/>
    <w:rsid w:val="001D3A8E"/>
    <w:rsid w:val="001D3F52"/>
    <w:rsid w:val="001D45F6"/>
    <w:rsid w:val="001D4FC2"/>
    <w:rsid w:val="001D50DA"/>
    <w:rsid w:val="001D513E"/>
    <w:rsid w:val="001D5331"/>
    <w:rsid w:val="001D5595"/>
    <w:rsid w:val="001D5907"/>
    <w:rsid w:val="001D5A49"/>
    <w:rsid w:val="001D5BB2"/>
    <w:rsid w:val="001D5C6D"/>
    <w:rsid w:val="001D5D63"/>
    <w:rsid w:val="001D62EE"/>
    <w:rsid w:val="001D6511"/>
    <w:rsid w:val="001D69E3"/>
    <w:rsid w:val="001D6FF0"/>
    <w:rsid w:val="001D7874"/>
    <w:rsid w:val="001D7B57"/>
    <w:rsid w:val="001D7C24"/>
    <w:rsid w:val="001D7F22"/>
    <w:rsid w:val="001D7F2A"/>
    <w:rsid w:val="001E0494"/>
    <w:rsid w:val="001E0990"/>
    <w:rsid w:val="001E0E35"/>
    <w:rsid w:val="001E112C"/>
    <w:rsid w:val="001E11EB"/>
    <w:rsid w:val="001E1346"/>
    <w:rsid w:val="001E1A62"/>
    <w:rsid w:val="001E2C19"/>
    <w:rsid w:val="001E30EB"/>
    <w:rsid w:val="001E3305"/>
    <w:rsid w:val="001E36DC"/>
    <w:rsid w:val="001E3884"/>
    <w:rsid w:val="001E3A72"/>
    <w:rsid w:val="001E3D32"/>
    <w:rsid w:val="001E406D"/>
    <w:rsid w:val="001E429F"/>
    <w:rsid w:val="001E4D27"/>
    <w:rsid w:val="001E4D69"/>
    <w:rsid w:val="001E5892"/>
    <w:rsid w:val="001E5A13"/>
    <w:rsid w:val="001E62A9"/>
    <w:rsid w:val="001E6574"/>
    <w:rsid w:val="001E6685"/>
    <w:rsid w:val="001E7066"/>
    <w:rsid w:val="001E74AC"/>
    <w:rsid w:val="001E7647"/>
    <w:rsid w:val="001E78E2"/>
    <w:rsid w:val="001E790E"/>
    <w:rsid w:val="001E7CC2"/>
    <w:rsid w:val="001F0337"/>
    <w:rsid w:val="001F0348"/>
    <w:rsid w:val="001F0748"/>
    <w:rsid w:val="001F0F17"/>
    <w:rsid w:val="001F0F28"/>
    <w:rsid w:val="001F11AC"/>
    <w:rsid w:val="001F164F"/>
    <w:rsid w:val="001F18CC"/>
    <w:rsid w:val="001F1910"/>
    <w:rsid w:val="001F1C2F"/>
    <w:rsid w:val="001F1C44"/>
    <w:rsid w:val="001F31B0"/>
    <w:rsid w:val="001F3347"/>
    <w:rsid w:val="001F391A"/>
    <w:rsid w:val="001F3E68"/>
    <w:rsid w:val="001F4341"/>
    <w:rsid w:val="001F4E45"/>
    <w:rsid w:val="001F500A"/>
    <w:rsid w:val="001F5C56"/>
    <w:rsid w:val="001F5D2D"/>
    <w:rsid w:val="001F5FAD"/>
    <w:rsid w:val="001F65C2"/>
    <w:rsid w:val="001F69E4"/>
    <w:rsid w:val="001F6C54"/>
    <w:rsid w:val="001F6E63"/>
    <w:rsid w:val="001F7796"/>
    <w:rsid w:val="001F7A88"/>
    <w:rsid w:val="001F7E36"/>
    <w:rsid w:val="001F7F3E"/>
    <w:rsid w:val="0020023A"/>
    <w:rsid w:val="00200516"/>
    <w:rsid w:val="00200581"/>
    <w:rsid w:val="002007AF"/>
    <w:rsid w:val="00200D52"/>
    <w:rsid w:val="00200DC8"/>
    <w:rsid w:val="002015CE"/>
    <w:rsid w:val="002017E8"/>
    <w:rsid w:val="00201B25"/>
    <w:rsid w:val="00201C65"/>
    <w:rsid w:val="00201E6C"/>
    <w:rsid w:val="0020202F"/>
    <w:rsid w:val="00202BBA"/>
    <w:rsid w:val="00202E81"/>
    <w:rsid w:val="00202F63"/>
    <w:rsid w:val="00202FCA"/>
    <w:rsid w:val="0020301B"/>
    <w:rsid w:val="0020384B"/>
    <w:rsid w:val="00203866"/>
    <w:rsid w:val="00203938"/>
    <w:rsid w:val="00203B04"/>
    <w:rsid w:val="00203C46"/>
    <w:rsid w:val="0020437C"/>
    <w:rsid w:val="002045AB"/>
    <w:rsid w:val="00204931"/>
    <w:rsid w:val="00205013"/>
    <w:rsid w:val="0020545C"/>
    <w:rsid w:val="00205C71"/>
    <w:rsid w:val="00205F25"/>
    <w:rsid w:val="002062EC"/>
    <w:rsid w:val="002063D3"/>
    <w:rsid w:val="00206496"/>
    <w:rsid w:val="002066A1"/>
    <w:rsid w:val="0020680C"/>
    <w:rsid w:val="00206970"/>
    <w:rsid w:val="00206B34"/>
    <w:rsid w:val="00206D2C"/>
    <w:rsid w:val="002070CD"/>
    <w:rsid w:val="002078EC"/>
    <w:rsid w:val="0020790B"/>
    <w:rsid w:val="002100C6"/>
    <w:rsid w:val="0021018E"/>
    <w:rsid w:val="00210193"/>
    <w:rsid w:val="002102A2"/>
    <w:rsid w:val="002103F6"/>
    <w:rsid w:val="00210DC3"/>
    <w:rsid w:val="00211044"/>
    <w:rsid w:val="00211275"/>
    <w:rsid w:val="00211362"/>
    <w:rsid w:val="002114A3"/>
    <w:rsid w:val="002118A8"/>
    <w:rsid w:val="00211E35"/>
    <w:rsid w:val="00211EEA"/>
    <w:rsid w:val="00212376"/>
    <w:rsid w:val="002125B4"/>
    <w:rsid w:val="0021278B"/>
    <w:rsid w:val="002127BA"/>
    <w:rsid w:val="00212B56"/>
    <w:rsid w:val="00212C3E"/>
    <w:rsid w:val="00212C53"/>
    <w:rsid w:val="00212F14"/>
    <w:rsid w:val="002130E1"/>
    <w:rsid w:val="002139EB"/>
    <w:rsid w:val="00213C05"/>
    <w:rsid w:val="00213EBE"/>
    <w:rsid w:val="002141F7"/>
    <w:rsid w:val="00214208"/>
    <w:rsid w:val="002143A5"/>
    <w:rsid w:val="002145BE"/>
    <w:rsid w:val="002146FA"/>
    <w:rsid w:val="0021495F"/>
    <w:rsid w:val="00214FCE"/>
    <w:rsid w:val="002155B8"/>
    <w:rsid w:val="00215ADE"/>
    <w:rsid w:val="002164BD"/>
    <w:rsid w:val="00216792"/>
    <w:rsid w:val="00216B71"/>
    <w:rsid w:val="00216B90"/>
    <w:rsid w:val="00216F58"/>
    <w:rsid w:val="002176D9"/>
    <w:rsid w:val="002176EE"/>
    <w:rsid w:val="00217857"/>
    <w:rsid w:val="00217939"/>
    <w:rsid w:val="00217CB6"/>
    <w:rsid w:val="0022015C"/>
    <w:rsid w:val="00220826"/>
    <w:rsid w:val="00220B04"/>
    <w:rsid w:val="00220C6E"/>
    <w:rsid w:val="00220EC4"/>
    <w:rsid w:val="00221136"/>
    <w:rsid w:val="00221316"/>
    <w:rsid w:val="00221379"/>
    <w:rsid w:val="00221818"/>
    <w:rsid w:val="00221C8D"/>
    <w:rsid w:val="002227A9"/>
    <w:rsid w:val="002227C3"/>
    <w:rsid w:val="002229BB"/>
    <w:rsid w:val="002230BF"/>
    <w:rsid w:val="002239B0"/>
    <w:rsid w:val="00223D7E"/>
    <w:rsid w:val="0022430F"/>
    <w:rsid w:val="0022447D"/>
    <w:rsid w:val="0022452D"/>
    <w:rsid w:val="002247FA"/>
    <w:rsid w:val="00224839"/>
    <w:rsid w:val="002249B2"/>
    <w:rsid w:val="00224AFA"/>
    <w:rsid w:val="00224EFD"/>
    <w:rsid w:val="00224F44"/>
    <w:rsid w:val="0022510B"/>
    <w:rsid w:val="002259BB"/>
    <w:rsid w:val="00225E14"/>
    <w:rsid w:val="00226470"/>
    <w:rsid w:val="002264A0"/>
    <w:rsid w:val="00226574"/>
    <w:rsid w:val="002266FC"/>
    <w:rsid w:val="002278EC"/>
    <w:rsid w:val="0023009F"/>
    <w:rsid w:val="002303EC"/>
    <w:rsid w:val="002307DA"/>
    <w:rsid w:val="002308A4"/>
    <w:rsid w:val="00230A42"/>
    <w:rsid w:val="00230B58"/>
    <w:rsid w:val="002311E2"/>
    <w:rsid w:val="00231568"/>
    <w:rsid w:val="00231701"/>
    <w:rsid w:val="00231A4E"/>
    <w:rsid w:val="00231E0B"/>
    <w:rsid w:val="002324AF"/>
    <w:rsid w:val="0023280E"/>
    <w:rsid w:val="00233032"/>
    <w:rsid w:val="0023304E"/>
    <w:rsid w:val="0023315E"/>
    <w:rsid w:val="00233259"/>
    <w:rsid w:val="002332EF"/>
    <w:rsid w:val="0023373B"/>
    <w:rsid w:val="00233CCA"/>
    <w:rsid w:val="00234132"/>
    <w:rsid w:val="002344D9"/>
    <w:rsid w:val="00234DE8"/>
    <w:rsid w:val="0023516D"/>
    <w:rsid w:val="00235E5B"/>
    <w:rsid w:val="00235F95"/>
    <w:rsid w:val="002360C8"/>
    <w:rsid w:val="002360FF"/>
    <w:rsid w:val="00236538"/>
    <w:rsid w:val="00236955"/>
    <w:rsid w:val="00236FB4"/>
    <w:rsid w:val="002370A3"/>
    <w:rsid w:val="002376ED"/>
    <w:rsid w:val="002377D1"/>
    <w:rsid w:val="00237A0D"/>
    <w:rsid w:val="00237A0F"/>
    <w:rsid w:val="00237A94"/>
    <w:rsid w:val="00237D9B"/>
    <w:rsid w:val="00237EC6"/>
    <w:rsid w:val="002406DB"/>
    <w:rsid w:val="00240915"/>
    <w:rsid w:val="00240938"/>
    <w:rsid w:val="00240A7F"/>
    <w:rsid w:val="00240A9C"/>
    <w:rsid w:val="00240D6C"/>
    <w:rsid w:val="00240E56"/>
    <w:rsid w:val="00240EB0"/>
    <w:rsid w:val="002412F8"/>
    <w:rsid w:val="002414AA"/>
    <w:rsid w:val="002414D7"/>
    <w:rsid w:val="002416AB"/>
    <w:rsid w:val="002421EC"/>
    <w:rsid w:val="00242414"/>
    <w:rsid w:val="0024261D"/>
    <w:rsid w:val="00242D34"/>
    <w:rsid w:val="00242D6E"/>
    <w:rsid w:val="00242EAA"/>
    <w:rsid w:val="002433DD"/>
    <w:rsid w:val="002435CB"/>
    <w:rsid w:val="00243C2F"/>
    <w:rsid w:val="00243C86"/>
    <w:rsid w:val="002442D3"/>
    <w:rsid w:val="002449C8"/>
    <w:rsid w:val="002451B5"/>
    <w:rsid w:val="002452F1"/>
    <w:rsid w:val="002459FC"/>
    <w:rsid w:val="00245BCC"/>
    <w:rsid w:val="00245C4B"/>
    <w:rsid w:val="00245FB5"/>
    <w:rsid w:val="00245FD0"/>
    <w:rsid w:val="002461B6"/>
    <w:rsid w:val="00246305"/>
    <w:rsid w:val="0024675F"/>
    <w:rsid w:val="002469C8"/>
    <w:rsid w:val="002476C0"/>
    <w:rsid w:val="0024798F"/>
    <w:rsid w:val="002479C6"/>
    <w:rsid w:val="00247DFD"/>
    <w:rsid w:val="00247F3A"/>
    <w:rsid w:val="002506BC"/>
    <w:rsid w:val="002506FC"/>
    <w:rsid w:val="0025091C"/>
    <w:rsid w:val="00250957"/>
    <w:rsid w:val="002509A0"/>
    <w:rsid w:val="00250A83"/>
    <w:rsid w:val="00250FC0"/>
    <w:rsid w:val="002517DF"/>
    <w:rsid w:val="00251BD2"/>
    <w:rsid w:val="002523E0"/>
    <w:rsid w:val="00252D82"/>
    <w:rsid w:val="00252EEA"/>
    <w:rsid w:val="0025314E"/>
    <w:rsid w:val="00253824"/>
    <w:rsid w:val="00253E71"/>
    <w:rsid w:val="00254204"/>
    <w:rsid w:val="00254345"/>
    <w:rsid w:val="00254622"/>
    <w:rsid w:val="00255A5B"/>
    <w:rsid w:val="00255CE6"/>
    <w:rsid w:val="0025607D"/>
    <w:rsid w:val="002564EF"/>
    <w:rsid w:val="00256C3E"/>
    <w:rsid w:val="00257484"/>
    <w:rsid w:val="00257B7D"/>
    <w:rsid w:val="00257D73"/>
    <w:rsid w:val="0026003B"/>
    <w:rsid w:val="00260AC7"/>
    <w:rsid w:val="00261834"/>
    <w:rsid w:val="00261980"/>
    <w:rsid w:val="00262197"/>
    <w:rsid w:val="002625E4"/>
    <w:rsid w:val="00262971"/>
    <w:rsid w:val="00262A17"/>
    <w:rsid w:val="00262D95"/>
    <w:rsid w:val="00263197"/>
    <w:rsid w:val="00263484"/>
    <w:rsid w:val="00263495"/>
    <w:rsid w:val="002634D3"/>
    <w:rsid w:val="00263898"/>
    <w:rsid w:val="00263A3F"/>
    <w:rsid w:val="00263E41"/>
    <w:rsid w:val="00264557"/>
    <w:rsid w:val="002647EB"/>
    <w:rsid w:val="00264BE8"/>
    <w:rsid w:val="00264E79"/>
    <w:rsid w:val="00265F01"/>
    <w:rsid w:val="00266100"/>
    <w:rsid w:val="00266912"/>
    <w:rsid w:val="00266B8B"/>
    <w:rsid w:val="00266D3B"/>
    <w:rsid w:val="002672C1"/>
    <w:rsid w:val="0026739B"/>
    <w:rsid w:val="0026756B"/>
    <w:rsid w:val="0026760D"/>
    <w:rsid w:val="0026792A"/>
    <w:rsid w:val="00267988"/>
    <w:rsid w:val="00267B67"/>
    <w:rsid w:val="0027032A"/>
    <w:rsid w:val="002704F0"/>
    <w:rsid w:val="00270C59"/>
    <w:rsid w:val="00270C7B"/>
    <w:rsid w:val="00270FBB"/>
    <w:rsid w:val="00271113"/>
    <w:rsid w:val="00271208"/>
    <w:rsid w:val="00271242"/>
    <w:rsid w:val="002712E3"/>
    <w:rsid w:val="00271671"/>
    <w:rsid w:val="00271B4E"/>
    <w:rsid w:val="00271D0D"/>
    <w:rsid w:val="00271D8E"/>
    <w:rsid w:val="00271E3A"/>
    <w:rsid w:val="00271ECD"/>
    <w:rsid w:val="00271F58"/>
    <w:rsid w:val="002720FD"/>
    <w:rsid w:val="002722A9"/>
    <w:rsid w:val="0027241D"/>
    <w:rsid w:val="0027250E"/>
    <w:rsid w:val="00272550"/>
    <w:rsid w:val="00272C2E"/>
    <w:rsid w:val="002731CE"/>
    <w:rsid w:val="002737CD"/>
    <w:rsid w:val="002748A0"/>
    <w:rsid w:val="00275430"/>
    <w:rsid w:val="00275A3B"/>
    <w:rsid w:val="00275A6A"/>
    <w:rsid w:val="002761A5"/>
    <w:rsid w:val="00276580"/>
    <w:rsid w:val="002766B7"/>
    <w:rsid w:val="002766C5"/>
    <w:rsid w:val="002766CD"/>
    <w:rsid w:val="0027673F"/>
    <w:rsid w:val="00276861"/>
    <w:rsid w:val="00276D64"/>
    <w:rsid w:val="0027700E"/>
    <w:rsid w:val="002774A0"/>
    <w:rsid w:val="002779CF"/>
    <w:rsid w:val="00277C67"/>
    <w:rsid w:val="00277CB2"/>
    <w:rsid w:val="0028045C"/>
    <w:rsid w:val="002805AB"/>
    <w:rsid w:val="00280928"/>
    <w:rsid w:val="00281207"/>
    <w:rsid w:val="0028120D"/>
    <w:rsid w:val="002813CA"/>
    <w:rsid w:val="00281D1F"/>
    <w:rsid w:val="00281F57"/>
    <w:rsid w:val="0028211C"/>
    <w:rsid w:val="002825D4"/>
    <w:rsid w:val="002826C5"/>
    <w:rsid w:val="002827B4"/>
    <w:rsid w:val="002828D6"/>
    <w:rsid w:val="00282E8A"/>
    <w:rsid w:val="00283134"/>
    <w:rsid w:val="00283895"/>
    <w:rsid w:val="00283ABC"/>
    <w:rsid w:val="00283BFB"/>
    <w:rsid w:val="00284204"/>
    <w:rsid w:val="002842C7"/>
    <w:rsid w:val="0028571A"/>
    <w:rsid w:val="00285754"/>
    <w:rsid w:val="002858D9"/>
    <w:rsid w:val="00285C7C"/>
    <w:rsid w:val="00285EAA"/>
    <w:rsid w:val="0028612F"/>
    <w:rsid w:val="002861B7"/>
    <w:rsid w:val="00286615"/>
    <w:rsid w:val="00286CAC"/>
    <w:rsid w:val="00286F90"/>
    <w:rsid w:val="00287688"/>
    <w:rsid w:val="0028772F"/>
    <w:rsid w:val="00290136"/>
    <w:rsid w:val="00290940"/>
    <w:rsid w:val="00290955"/>
    <w:rsid w:val="00290D89"/>
    <w:rsid w:val="00291251"/>
    <w:rsid w:val="0029156B"/>
    <w:rsid w:val="00291773"/>
    <w:rsid w:val="00291B36"/>
    <w:rsid w:val="0029225F"/>
    <w:rsid w:val="0029233D"/>
    <w:rsid w:val="002927CB"/>
    <w:rsid w:val="00292A8C"/>
    <w:rsid w:val="00292C88"/>
    <w:rsid w:val="00292ECC"/>
    <w:rsid w:val="00293306"/>
    <w:rsid w:val="00293C30"/>
    <w:rsid w:val="002941A4"/>
    <w:rsid w:val="00294822"/>
    <w:rsid w:val="00294D40"/>
    <w:rsid w:val="00295464"/>
    <w:rsid w:val="002958AF"/>
    <w:rsid w:val="0029590F"/>
    <w:rsid w:val="00295A47"/>
    <w:rsid w:val="00295E91"/>
    <w:rsid w:val="0029634D"/>
    <w:rsid w:val="00296506"/>
    <w:rsid w:val="00296790"/>
    <w:rsid w:val="0029700F"/>
    <w:rsid w:val="00297232"/>
    <w:rsid w:val="00297E57"/>
    <w:rsid w:val="002A01D8"/>
    <w:rsid w:val="002A08A4"/>
    <w:rsid w:val="002A0F9D"/>
    <w:rsid w:val="002A0FF2"/>
    <w:rsid w:val="002A168C"/>
    <w:rsid w:val="002A1914"/>
    <w:rsid w:val="002A1CA9"/>
    <w:rsid w:val="002A1CC2"/>
    <w:rsid w:val="002A1E2B"/>
    <w:rsid w:val="002A207B"/>
    <w:rsid w:val="002A23C6"/>
    <w:rsid w:val="002A2530"/>
    <w:rsid w:val="002A2607"/>
    <w:rsid w:val="002A269C"/>
    <w:rsid w:val="002A2F3F"/>
    <w:rsid w:val="002A340A"/>
    <w:rsid w:val="002A388C"/>
    <w:rsid w:val="002A3ADD"/>
    <w:rsid w:val="002A3DC7"/>
    <w:rsid w:val="002A4083"/>
    <w:rsid w:val="002A4D1D"/>
    <w:rsid w:val="002A5738"/>
    <w:rsid w:val="002A5A43"/>
    <w:rsid w:val="002A5C05"/>
    <w:rsid w:val="002A6203"/>
    <w:rsid w:val="002A6404"/>
    <w:rsid w:val="002A6758"/>
    <w:rsid w:val="002A6A86"/>
    <w:rsid w:val="002A6ED0"/>
    <w:rsid w:val="002A7432"/>
    <w:rsid w:val="002A7703"/>
    <w:rsid w:val="002A7A00"/>
    <w:rsid w:val="002A7EDB"/>
    <w:rsid w:val="002B0978"/>
    <w:rsid w:val="002B1391"/>
    <w:rsid w:val="002B1862"/>
    <w:rsid w:val="002B19E6"/>
    <w:rsid w:val="002B1AD8"/>
    <w:rsid w:val="002B1DF7"/>
    <w:rsid w:val="002B1E36"/>
    <w:rsid w:val="002B1F1E"/>
    <w:rsid w:val="002B20A2"/>
    <w:rsid w:val="002B258F"/>
    <w:rsid w:val="002B2DFA"/>
    <w:rsid w:val="002B2F96"/>
    <w:rsid w:val="002B3369"/>
    <w:rsid w:val="002B3C63"/>
    <w:rsid w:val="002B43B9"/>
    <w:rsid w:val="002B4551"/>
    <w:rsid w:val="002B4816"/>
    <w:rsid w:val="002B49E2"/>
    <w:rsid w:val="002B4AF8"/>
    <w:rsid w:val="002B4DA4"/>
    <w:rsid w:val="002B5005"/>
    <w:rsid w:val="002B50E8"/>
    <w:rsid w:val="002B5C41"/>
    <w:rsid w:val="002B6344"/>
    <w:rsid w:val="002B638D"/>
    <w:rsid w:val="002B6A8D"/>
    <w:rsid w:val="002B6CDE"/>
    <w:rsid w:val="002B6D06"/>
    <w:rsid w:val="002B72A9"/>
    <w:rsid w:val="002B744D"/>
    <w:rsid w:val="002B7608"/>
    <w:rsid w:val="002B7821"/>
    <w:rsid w:val="002B78BE"/>
    <w:rsid w:val="002B7B00"/>
    <w:rsid w:val="002B7C44"/>
    <w:rsid w:val="002C031F"/>
    <w:rsid w:val="002C0475"/>
    <w:rsid w:val="002C08F4"/>
    <w:rsid w:val="002C0E3C"/>
    <w:rsid w:val="002C15CD"/>
    <w:rsid w:val="002C17D7"/>
    <w:rsid w:val="002C1A58"/>
    <w:rsid w:val="002C1CCA"/>
    <w:rsid w:val="002C1D22"/>
    <w:rsid w:val="002C207A"/>
    <w:rsid w:val="002C2578"/>
    <w:rsid w:val="002C289A"/>
    <w:rsid w:val="002C2B17"/>
    <w:rsid w:val="002C2D43"/>
    <w:rsid w:val="002C2E4D"/>
    <w:rsid w:val="002C2E8A"/>
    <w:rsid w:val="002C2FDB"/>
    <w:rsid w:val="002C32D2"/>
    <w:rsid w:val="002C34F1"/>
    <w:rsid w:val="002C35B3"/>
    <w:rsid w:val="002C3CA6"/>
    <w:rsid w:val="002C3EE6"/>
    <w:rsid w:val="002C42E9"/>
    <w:rsid w:val="002C50DF"/>
    <w:rsid w:val="002C58F8"/>
    <w:rsid w:val="002C5D21"/>
    <w:rsid w:val="002C63EE"/>
    <w:rsid w:val="002C6CB1"/>
    <w:rsid w:val="002C6D89"/>
    <w:rsid w:val="002C7255"/>
    <w:rsid w:val="002C743E"/>
    <w:rsid w:val="002C7A7C"/>
    <w:rsid w:val="002D0176"/>
    <w:rsid w:val="002D093A"/>
    <w:rsid w:val="002D09CC"/>
    <w:rsid w:val="002D0D48"/>
    <w:rsid w:val="002D1268"/>
    <w:rsid w:val="002D140E"/>
    <w:rsid w:val="002D16FD"/>
    <w:rsid w:val="002D18B5"/>
    <w:rsid w:val="002D1A16"/>
    <w:rsid w:val="002D1D18"/>
    <w:rsid w:val="002D2526"/>
    <w:rsid w:val="002D2BA1"/>
    <w:rsid w:val="002D2E50"/>
    <w:rsid w:val="002D3DD0"/>
    <w:rsid w:val="002D447E"/>
    <w:rsid w:val="002D4500"/>
    <w:rsid w:val="002D4550"/>
    <w:rsid w:val="002D4666"/>
    <w:rsid w:val="002D4AE4"/>
    <w:rsid w:val="002D4C8D"/>
    <w:rsid w:val="002D4F09"/>
    <w:rsid w:val="002D5503"/>
    <w:rsid w:val="002D56FF"/>
    <w:rsid w:val="002D5B1B"/>
    <w:rsid w:val="002D5D61"/>
    <w:rsid w:val="002D618D"/>
    <w:rsid w:val="002D6522"/>
    <w:rsid w:val="002D6A03"/>
    <w:rsid w:val="002D7F5C"/>
    <w:rsid w:val="002D7F7C"/>
    <w:rsid w:val="002E02DA"/>
    <w:rsid w:val="002E0363"/>
    <w:rsid w:val="002E06B9"/>
    <w:rsid w:val="002E0960"/>
    <w:rsid w:val="002E1112"/>
    <w:rsid w:val="002E1EF6"/>
    <w:rsid w:val="002E1F3A"/>
    <w:rsid w:val="002E298A"/>
    <w:rsid w:val="002E2F20"/>
    <w:rsid w:val="002E2F23"/>
    <w:rsid w:val="002E303E"/>
    <w:rsid w:val="002E31B7"/>
    <w:rsid w:val="002E37D5"/>
    <w:rsid w:val="002E3C18"/>
    <w:rsid w:val="002E3F56"/>
    <w:rsid w:val="002E4BEF"/>
    <w:rsid w:val="002E4CB1"/>
    <w:rsid w:val="002E4D32"/>
    <w:rsid w:val="002E5651"/>
    <w:rsid w:val="002E590A"/>
    <w:rsid w:val="002E5E0D"/>
    <w:rsid w:val="002E5FE0"/>
    <w:rsid w:val="002E697E"/>
    <w:rsid w:val="002E6CB6"/>
    <w:rsid w:val="002E6E5B"/>
    <w:rsid w:val="002E74C6"/>
    <w:rsid w:val="002E7629"/>
    <w:rsid w:val="002E7DCF"/>
    <w:rsid w:val="002F0273"/>
    <w:rsid w:val="002F0435"/>
    <w:rsid w:val="002F0642"/>
    <w:rsid w:val="002F080B"/>
    <w:rsid w:val="002F0946"/>
    <w:rsid w:val="002F0AF8"/>
    <w:rsid w:val="002F0B3E"/>
    <w:rsid w:val="002F122B"/>
    <w:rsid w:val="002F199D"/>
    <w:rsid w:val="002F1D8D"/>
    <w:rsid w:val="002F1F27"/>
    <w:rsid w:val="002F241D"/>
    <w:rsid w:val="002F2500"/>
    <w:rsid w:val="002F28C4"/>
    <w:rsid w:val="002F2B04"/>
    <w:rsid w:val="002F2BD7"/>
    <w:rsid w:val="002F2E13"/>
    <w:rsid w:val="002F2F21"/>
    <w:rsid w:val="002F3198"/>
    <w:rsid w:val="002F4159"/>
    <w:rsid w:val="002F42B8"/>
    <w:rsid w:val="002F4C83"/>
    <w:rsid w:val="002F4CEE"/>
    <w:rsid w:val="002F4DC6"/>
    <w:rsid w:val="002F5519"/>
    <w:rsid w:val="002F585F"/>
    <w:rsid w:val="002F5C75"/>
    <w:rsid w:val="002F5F88"/>
    <w:rsid w:val="002F65B5"/>
    <w:rsid w:val="002F68E5"/>
    <w:rsid w:val="002F68F3"/>
    <w:rsid w:val="002F6C46"/>
    <w:rsid w:val="002F7204"/>
    <w:rsid w:val="002F73A4"/>
    <w:rsid w:val="002F758E"/>
    <w:rsid w:val="002F7765"/>
    <w:rsid w:val="002F7BCC"/>
    <w:rsid w:val="002F7BD5"/>
    <w:rsid w:val="003004A3"/>
    <w:rsid w:val="00300FDD"/>
    <w:rsid w:val="003010C5"/>
    <w:rsid w:val="0030131F"/>
    <w:rsid w:val="00301828"/>
    <w:rsid w:val="00301978"/>
    <w:rsid w:val="00301AC1"/>
    <w:rsid w:val="00301AF6"/>
    <w:rsid w:val="00301EAD"/>
    <w:rsid w:val="0030249A"/>
    <w:rsid w:val="00302564"/>
    <w:rsid w:val="00302687"/>
    <w:rsid w:val="003029A8"/>
    <w:rsid w:val="0030332C"/>
    <w:rsid w:val="00303401"/>
    <w:rsid w:val="00303890"/>
    <w:rsid w:val="003038D4"/>
    <w:rsid w:val="00303ACF"/>
    <w:rsid w:val="00303BD3"/>
    <w:rsid w:val="003042DC"/>
    <w:rsid w:val="003044F9"/>
    <w:rsid w:val="00304590"/>
    <w:rsid w:val="003046F2"/>
    <w:rsid w:val="00304728"/>
    <w:rsid w:val="003048C4"/>
    <w:rsid w:val="0030517F"/>
    <w:rsid w:val="003051C2"/>
    <w:rsid w:val="003052D4"/>
    <w:rsid w:val="0030564D"/>
    <w:rsid w:val="00305C40"/>
    <w:rsid w:val="0030639B"/>
    <w:rsid w:val="00306E10"/>
    <w:rsid w:val="0030708B"/>
    <w:rsid w:val="00307E27"/>
    <w:rsid w:val="00307FC4"/>
    <w:rsid w:val="00310348"/>
    <w:rsid w:val="00310C60"/>
    <w:rsid w:val="00311021"/>
    <w:rsid w:val="0031111B"/>
    <w:rsid w:val="00311811"/>
    <w:rsid w:val="00312296"/>
    <w:rsid w:val="00312767"/>
    <w:rsid w:val="00312BFA"/>
    <w:rsid w:val="00312F79"/>
    <w:rsid w:val="0031364D"/>
    <w:rsid w:val="00313EF5"/>
    <w:rsid w:val="0031468C"/>
    <w:rsid w:val="0031479E"/>
    <w:rsid w:val="003147FB"/>
    <w:rsid w:val="003149D2"/>
    <w:rsid w:val="00314E1A"/>
    <w:rsid w:val="00314F0E"/>
    <w:rsid w:val="003150D1"/>
    <w:rsid w:val="00315B49"/>
    <w:rsid w:val="00315F5F"/>
    <w:rsid w:val="0031614B"/>
    <w:rsid w:val="0031646B"/>
    <w:rsid w:val="003166AD"/>
    <w:rsid w:val="00316F19"/>
    <w:rsid w:val="003170EE"/>
    <w:rsid w:val="00317715"/>
    <w:rsid w:val="00317D8C"/>
    <w:rsid w:val="003200A6"/>
    <w:rsid w:val="0032098D"/>
    <w:rsid w:val="00320AAE"/>
    <w:rsid w:val="0032105C"/>
    <w:rsid w:val="0032195D"/>
    <w:rsid w:val="00321D8E"/>
    <w:rsid w:val="0032212E"/>
    <w:rsid w:val="003222E0"/>
    <w:rsid w:val="003226FA"/>
    <w:rsid w:val="00322EAD"/>
    <w:rsid w:val="00323020"/>
    <w:rsid w:val="00323485"/>
    <w:rsid w:val="00323A54"/>
    <w:rsid w:val="00323DA8"/>
    <w:rsid w:val="00323E44"/>
    <w:rsid w:val="00324091"/>
    <w:rsid w:val="003246AE"/>
    <w:rsid w:val="00324744"/>
    <w:rsid w:val="00324943"/>
    <w:rsid w:val="00324A2D"/>
    <w:rsid w:val="00324DFA"/>
    <w:rsid w:val="00325175"/>
    <w:rsid w:val="003253A9"/>
    <w:rsid w:val="0032547E"/>
    <w:rsid w:val="003255CE"/>
    <w:rsid w:val="00325928"/>
    <w:rsid w:val="00325A60"/>
    <w:rsid w:val="00325B02"/>
    <w:rsid w:val="00325BA8"/>
    <w:rsid w:val="00325C42"/>
    <w:rsid w:val="00326568"/>
    <w:rsid w:val="003265B1"/>
    <w:rsid w:val="00326A41"/>
    <w:rsid w:val="003275AD"/>
    <w:rsid w:val="003279F1"/>
    <w:rsid w:val="00327EB7"/>
    <w:rsid w:val="00327FD2"/>
    <w:rsid w:val="003304FF"/>
    <w:rsid w:val="0033079F"/>
    <w:rsid w:val="00330829"/>
    <w:rsid w:val="00330D97"/>
    <w:rsid w:val="00330E01"/>
    <w:rsid w:val="00330ED8"/>
    <w:rsid w:val="00330EF3"/>
    <w:rsid w:val="00331B9C"/>
    <w:rsid w:val="00331D9E"/>
    <w:rsid w:val="00331DC6"/>
    <w:rsid w:val="00332625"/>
    <w:rsid w:val="00332804"/>
    <w:rsid w:val="00332863"/>
    <w:rsid w:val="00332AE7"/>
    <w:rsid w:val="003332A3"/>
    <w:rsid w:val="003333B5"/>
    <w:rsid w:val="00333885"/>
    <w:rsid w:val="00334037"/>
    <w:rsid w:val="00334107"/>
    <w:rsid w:val="003343BE"/>
    <w:rsid w:val="00334B6D"/>
    <w:rsid w:val="00335A99"/>
    <w:rsid w:val="003360E5"/>
    <w:rsid w:val="00336115"/>
    <w:rsid w:val="0033672E"/>
    <w:rsid w:val="0033684D"/>
    <w:rsid w:val="00337303"/>
    <w:rsid w:val="00337827"/>
    <w:rsid w:val="003378CF"/>
    <w:rsid w:val="00337B42"/>
    <w:rsid w:val="00337C19"/>
    <w:rsid w:val="003405B7"/>
    <w:rsid w:val="00340849"/>
    <w:rsid w:val="00340B40"/>
    <w:rsid w:val="003414BE"/>
    <w:rsid w:val="003414F8"/>
    <w:rsid w:val="00341A2A"/>
    <w:rsid w:val="00341B42"/>
    <w:rsid w:val="00342312"/>
    <w:rsid w:val="00342519"/>
    <w:rsid w:val="0034251F"/>
    <w:rsid w:val="0034254E"/>
    <w:rsid w:val="0034257F"/>
    <w:rsid w:val="003428FD"/>
    <w:rsid w:val="0034297B"/>
    <w:rsid w:val="00342D52"/>
    <w:rsid w:val="00342DE5"/>
    <w:rsid w:val="00342DFF"/>
    <w:rsid w:val="00342E99"/>
    <w:rsid w:val="003431D4"/>
    <w:rsid w:val="00343446"/>
    <w:rsid w:val="0034348F"/>
    <w:rsid w:val="0034371C"/>
    <w:rsid w:val="00343942"/>
    <w:rsid w:val="00343C37"/>
    <w:rsid w:val="00343C88"/>
    <w:rsid w:val="003444D4"/>
    <w:rsid w:val="0034486B"/>
    <w:rsid w:val="003449AB"/>
    <w:rsid w:val="00344B9F"/>
    <w:rsid w:val="00344CCD"/>
    <w:rsid w:val="00344E28"/>
    <w:rsid w:val="00344E45"/>
    <w:rsid w:val="00345388"/>
    <w:rsid w:val="00345783"/>
    <w:rsid w:val="0034589C"/>
    <w:rsid w:val="00345A56"/>
    <w:rsid w:val="00346007"/>
    <w:rsid w:val="003460E5"/>
    <w:rsid w:val="0034612C"/>
    <w:rsid w:val="00346451"/>
    <w:rsid w:val="0034698D"/>
    <w:rsid w:val="00346A89"/>
    <w:rsid w:val="00346BF4"/>
    <w:rsid w:val="003470BE"/>
    <w:rsid w:val="00347442"/>
    <w:rsid w:val="00347C61"/>
    <w:rsid w:val="00347D7E"/>
    <w:rsid w:val="00350045"/>
    <w:rsid w:val="00350226"/>
    <w:rsid w:val="00350696"/>
    <w:rsid w:val="00350BD7"/>
    <w:rsid w:val="0035129E"/>
    <w:rsid w:val="0035245A"/>
    <w:rsid w:val="00352501"/>
    <w:rsid w:val="0035290C"/>
    <w:rsid w:val="00352C1C"/>
    <w:rsid w:val="00352DB8"/>
    <w:rsid w:val="00352E9B"/>
    <w:rsid w:val="0035326F"/>
    <w:rsid w:val="00353657"/>
    <w:rsid w:val="00353851"/>
    <w:rsid w:val="0035391F"/>
    <w:rsid w:val="0035417E"/>
    <w:rsid w:val="00354737"/>
    <w:rsid w:val="00354749"/>
    <w:rsid w:val="00354760"/>
    <w:rsid w:val="0035479F"/>
    <w:rsid w:val="00354853"/>
    <w:rsid w:val="0035527B"/>
    <w:rsid w:val="003554F5"/>
    <w:rsid w:val="00355A0A"/>
    <w:rsid w:val="00355DDF"/>
    <w:rsid w:val="00355E6C"/>
    <w:rsid w:val="00356390"/>
    <w:rsid w:val="00356653"/>
    <w:rsid w:val="00356949"/>
    <w:rsid w:val="00356CAB"/>
    <w:rsid w:val="00356F4B"/>
    <w:rsid w:val="00357393"/>
    <w:rsid w:val="0035743F"/>
    <w:rsid w:val="00357BE2"/>
    <w:rsid w:val="00360228"/>
    <w:rsid w:val="0036036F"/>
    <w:rsid w:val="0036057D"/>
    <w:rsid w:val="00360BFF"/>
    <w:rsid w:val="00360E34"/>
    <w:rsid w:val="00360F2F"/>
    <w:rsid w:val="003610A8"/>
    <w:rsid w:val="003611F6"/>
    <w:rsid w:val="00361216"/>
    <w:rsid w:val="0036170C"/>
    <w:rsid w:val="00361B58"/>
    <w:rsid w:val="00362681"/>
    <w:rsid w:val="00362EB2"/>
    <w:rsid w:val="0036311C"/>
    <w:rsid w:val="00363173"/>
    <w:rsid w:val="0036329B"/>
    <w:rsid w:val="00363E61"/>
    <w:rsid w:val="00364230"/>
    <w:rsid w:val="00364552"/>
    <w:rsid w:val="003645D3"/>
    <w:rsid w:val="0036476C"/>
    <w:rsid w:val="0036480D"/>
    <w:rsid w:val="00364A1D"/>
    <w:rsid w:val="00364B27"/>
    <w:rsid w:val="00364C88"/>
    <w:rsid w:val="00365263"/>
    <w:rsid w:val="0036591D"/>
    <w:rsid w:val="003665AE"/>
    <w:rsid w:val="0036665E"/>
    <w:rsid w:val="0036667F"/>
    <w:rsid w:val="003667F5"/>
    <w:rsid w:val="00366A0F"/>
    <w:rsid w:val="00366A38"/>
    <w:rsid w:val="00366ADE"/>
    <w:rsid w:val="00366BD2"/>
    <w:rsid w:val="00366E0F"/>
    <w:rsid w:val="003672D4"/>
    <w:rsid w:val="003674CE"/>
    <w:rsid w:val="00367BBF"/>
    <w:rsid w:val="00367C4A"/>
    <w:rsid w:val="00367E28"/>
    <w:rsid w:val="0037031D"/>
    <w:rsid w:val="00370445"/>
    <w:rsid w:val="00370E4E"/>
    <w:rsid w:val="003710AF"/>
    <w:rsid w:val="003716E3"/>
    <w:rsid w:val="00372D6A"/>
    <w:rsid w:val="00372E05"/>
    <w:rsid w:val="003732E2"/>
    <w:rsid w:val="0037351B"/>
    <w:rsid w:val="00373616"/>
    <w:rsid w:val="00373649"/>
    <w:rsid w:val="00373692"/>
    <w:rsid w:val="00374779"/>
    <w:rsid w:val="00374AD9"/>
    <w:rsid w:val="00374FA5"/>
    <w:rsid w:val="0037544A"/>
    <w:rsid w:val="00375C2E"/>
    <w:rsid w:val="00376138"/>
    <w:rsid w:val="003767B1"/>
    <w:rsid w:val="003769A6"/>
    <w:rsid w:val="00376B5C"/>
    <w:rsid w:val="00377421"/>
    <w:rsid w:val="00377559"/>
    <w:rsid w:val="0037771B"/>
    <w:rsid w:val="00377984"/>
    <w:rsid w:val="00377AE7"/>
    <w:rsid w:val="00377B6A"/>
    <w:rsid w:val="00380211"/>
    <w:rsid w:val="00380250"/>
    <w:rsid w:val="0038031C"/>
    <w:rsid w:val="003805C4"/>
    <w:rsid w:val="00380F88"/>
    <w:rsid w:val="0038133F"/>
    <w:rsid w:val="00381A72"/>
    <w:rsid w:val="00381C5D"/>
    <w:rsid w:val="003826DF"/>
    <w:rsid w:val="003828BD"/>
    <w:rsid w:val="0038323E"/>
    <w:rsid w:val="003836AC"/>
    <w:rsid w:val="003838CF"/>
    <w:rsid w:val="00383A7C"/>
    <w:rsid w:val="00384496"/>
    <w:rsid w:val="00384676"/>
    <w:rsid w:val="003846BC"/>
    <w:rsid w:val="003848E9"/>
    <w:rsid w:val="0038499C"/>
    <w:rsid w:val="00384C19"/>
    <w:rsid w:val="00384F31"/>
    <w:rsid w:val="00385568"/>
    <w:rsid w:val="00385595"/>
    <w:rsid w:val="00386546"/>
    <w:rsid w:val="00386BA4"/>
    <w:rsid w:val="00386F37"/>
    <w:rsid w:val="00387751"/>
    <w:rsid w:val="003879C1"/>
    <w:rsid w:val="00387BB4"/>
    <w:rsid w:val="00387BF0"/>
    <w:rsid w:val="003900E9"/>
    <w:rsid w:val="00390212"/>
    <w:rsid w:val="00390857"/>
    <w:rsid w:val="003915CD"/>
    <w:rsid w:val="00391DE0"/>
    <w:rsid w:val="00391EF4"/>
    <w:rsid w:val="00392022"/>
    <w:rsid w:val="00392633"/>
    <w:rsid w:val="003926F8"/>
    <w:rsid w:val="0039270D"/>
    <w:rsid w:val="00392B5E"/>
    <w:rsid w:val="00392C45"/>
    <w:rsid w:val="0039310B"/>
    <w:rsid w:val="0039350D"/>
    <w:rsid w:val="00393525"/>
    <w:rsid w:val="003941FF"/>
    <w:rsid w:val="00394492"/>
    <w:rsid w:val="00394559"/>
    <w:rsid w:val="00394CB0"/>
    <w:rsid w:val="00395070"/>
    <w:rsid w:val="00395309"/>
    <w:rsid w:val="00395598"/>
    <w:rsid w:val="0039589A"/>
    <w:rsid w:val="00396003"/>
    <w:rsid w:val="003963DB"/>
    <w:rsid w:val="00396650"/>
    <w:rsid w:val="0039666D"/>
    <w:rsid w:val="00396AAE"/>
    <w:rsid w:val="00396C13"/>
    <w:rsid w:val="00397610"/>
    <w:rsid w:val="00397CFB"/>
    <w:rsid w:val="00397DEA"/>
    <w:rsid w:val="00397E40"/>
    <w:rsid w:val="003A0278"/>
    <w:rsid w:val="003A02F9"/>
    <w:rsid w:val="003A0763"/>
    <w:rsid w:val="003A15DB"/>
    <w:rsid w:val="003A19B5"/>
    <w:rsid w:val="003A2197"/>
    <w:rsid w:val="003A22AD"/>
    <w:rsid w:val="003A2311"/>
    <w:rsid w:val="003A2737"/>
    <w:rsid w:val="003A27E4"/>
    <w:rsid w:val="003A2CC5"/>
    <w:rsid w:val="003A2D1B"/>
    <w:rsid w:val="003A2D96"/>
    <w:rsid w:val="003A2F34"/>
    <w:rsid w:val="003A3231"/>
    <w:rsid w:val="003A38A6"/>
    <w:rsid w:val="003A3B99"/>
    <w:rsid w:val="003A3ED5"/>
    <w:rsid w:val="003A43A5"/>
    <w:rsid w:val="003A43EB"/>
    <w:rsid w:val="003A4A97"/>
    <w:rsid w:val="003A4BF3"/>
    <w:rsid w:val="003A5149"/>
    <w:rsid w:val="003A58C6"/>
    <w:rsid w:val="003A5EE1"/>
    <w:rsid w:val="003A6159"/>
    <w:rsid w:val="003A6344"/>
    <w:rsid w:val="003A65F9"/>
    <w:rsid w:val="003A695A"/>
    <w:rsid w:val="003A741E"/>
    <w:rsid w:val="003A7890"/>
    <w:rsid w:val="003A7904"/>
    <w:rsid w:val="003A79E3"/>
    <w:rsid w:val="003A79E9"/>
    <w:rsid w:val="003A7CCE"/>
    <w:rsid w:val="003B026D"/>
    <w:rsid w:val="003B0287"/>
    <w:rsid w:val="003B0329"/>
    <w:rsid w:val="003B1954"/>
    <w:rsid w:val="003B1B43"/>
    <w:rsid w:val="003B2296"/>
    <w:rsid w:val="003B25B1"/>
    <w:rsid w:val="003B2CC3"/>
    <w:rsid w:val="003B325B"/>
    <w:rsid w:val="003B3285"/>
    <w:rsid w:val="003B32F1"/>
    <w:rsid w:val="003B343C"/>
    <w:rsid w:val="003B3A7B"/>
    <w:rsid w:val="003B3BA6"/>
    <w:rsid w:val="003B3CA7"/>
    <w:rsid w:val="003B406F"/>
    <w:rsid w:val="003B420D"/>
    <w:rsid w:val="003B4637"/>
    <w:rsid w:val="003B4653"/>
    <w:rsid w:val="003B49A7"/>
    <w:rsid w:val="003B4AF9"/>
    <w:rsid w:val="003B51FB"/>
    <w:rsid w:val="003B5478"/>
    <w:rsid w:val="003B558C"/>
    <w:rsid w:val="003B5C96"/>
    <w:rsid w:val="003B5FAF"/>
    <w:rsid w:val="003B6001"/>
    <w:rsid w:val="003B6A93"/>
    <w:rsid w:val="003B6B05"/>
    <w:rsid w:val="003B74D9"/>
    <w:rsid w:val="003B7C31"/>
    <w:rsid w:val="003C0A40"/>
    <w:rsid w:val="003C0CEB"/>
    <w:rsid w:val="003C122B"/>
    <w:rsid w:val="003C1C81"/>
    <w:rsid w:val="003C1DD0"/>
    <w:rsid w:val="003C21FE"/>
    <w:rsid w:val="003C2994"/>
    <w:rsid w:val="003C2C4E"/>
    <w:rsid w:val="003C39BB"/>
    <w:rsid w:val="003C40D0"/>
    <w:rsid w:val="003C4474"/>
    <w:rsid w:val="003C4838"/>
    <w:rsid w:val="003C51F1"/>
    <w:rsid w:val="003C56A7"/>
    <w:rsid w:val="003C578A"/>
    <w:rsid w:val="003C5B0C"/>
    <w:rsid w:val="003C5B57"/>
    <w:rsid w:val="003C5C84"/>
    <w:rsid w:val="003C60B2"/>
    <w:rsid w:val="003C6549"/>
    <w:rsid w:val="003C65F8"/>
    <w:rsid w:val="003C69C2"/>
    <w:rsid w:val="003C6C16"/>
    <w:rsid w:val="003C73B7"/>
    <w:rsid w:val="003C7534"/>
    <w:rsid w:val="003C7CB2"/>
    <w:rsid w:val="003C7F6A"/>
    <w:rsid w:val="003C7FDE"/>
    <w:rsid w:val="003D09D9"/>
    <w:rsid w:val="003D0D48"/>
    <w:rsid w:val="003D1001"/>
    <w:rsid w:val="003D10D3"/>
    <w:rsid w:val="003D1350"/>
    <w:rsid w:val="003D16E3"/>
    <w:rsid w:val="003D17F3"/>
    <w:rsid w:val="003D28DE"/>
    <w:rsid w:val="003D2BF3"/>
    <w:rsid w:val="003D31B8"/>
    <w:rsid w:val="003D35AE"/>
    <w:rsid w:val="003D3EC3"/>
    <w:rsid w:val="003D4047"/>
    <w:rsid w:val="003D4478"/>
    <w:rsid w:val="003D4533"/>
    <w:rsid w:val="003D4AE5"/>
    <w:rsid w:val="003D4DBC"/>
    <w:rsid w:val="003D4F26"/>
    <w:rsid w:val="003D5AC0"/>
    <w:rsid w:val="003D5AFC"/>
    <w:rsid w:val="003D61BA"/>
    <w:rsid w:val="003D644D"/>
    <w:rsid w:val="003D660B"/>
    <w:rsid w:val="003D6628"/>
    <w:rsid w:val="003D6795"/>
    <w:rsid w:val="003D67D6"/>
    <w:rsid w:val="003D6859"/>
    <w:rsid w:val="003D68D9"/>
    <w:rsid w:val="003D6D5F"/>
    <w:rsid w:val="003D794D"/>
    <w:rsid w:val="003D7EB2"/>
    <w:rsid w:val="003D7FCC"/>
    <w:rsid w:val="003E0110"/>
    <w:rsid w:val="003E024F"/>
    <w:rsid w:val="003E0A17"/>
    <w:rsid w:val="003E0A53"/>
    <w:rsid w:val="003E0CD4"/>
    <w:rsid w:val="003E1377"/>
    <w:rsid w:val="003E1BC2"/>
    <w:rsid w:val="003E23AF"/>
    <w:rsid w:val="003E24E2"/>
    <w:rsid w:val="003E2523"/>
    <w:rsid w:val="003E2AB2"/>
    <w:rsid w:val="003E2CCE"/>
    <w:rsid w:val="003E3058"/>
    <w:rsid w:val="003E32A6"/>
    <w:rsid w:val="003E42CA"/>
    <w:rsid w:val="003E43C0"/>
    <w:rsid w:val="003E467F"/>
    <w:rsid w:val="003E477D"/>
    <w:rsid w:val="003E4BFC"/>
    <w:rsid w:val="003E53BA"/>
    <w:rsid w:val="003E54C5"/>
    <w:rsid w:val="003E54C8"/>
    <w:rsid w:val="003E54CD"/>
    <w:rsid w:val="003E5799"/>
    <w:rsid w:val="003E62C9"/>
    <w:rsid w:val="003E65E7"/>
    <w:rsid w:val="003E6624"/>
    <w:rsid w:val="003E6E13"/>
    <w:rsid w:val="003E6E21"/>
    <w:rsid w:val="003E76A9"/>
    <w:rsid w:val="003E78EE"/>
    <w:rsid w:val="003F01E1"/>
    <w:rsid w:val="003F0320"/>
    <w:rsid w:val="003F068B"/>
    <w:rsid w:val="003F0809"/>
    <w:rsid w:val="003F084A"/>
    <w:rsid w:val="003F09A9"/>
    <w:rsid w:val="003F0DEE"/>
    <w:rsid w:val="003F0DF4"/>
    <w:rsid w:val="003F169B"/>
    <w:rsid w:val="003F1C4A"/>
    <w:rsid w:val="003F1EFC"/>
    <w:rsid w:val="003F26BE"/>
    <w:rsid w:val="003F2D76"/>
    <w:rsid w:val="003F2DB8"/>
    <w:rsid w:val="003F3113"/>
    <w:rsid w:val="003F37D7"/>
    <w:rsid w:val="003F383C"/>
    <w:rsid w:val="003F3C63"/>
    <w:rsid w:val="003F4137"/>
    <w:rsid w:val="003F502B"/>
    <w:rsid w:val="003F526C"/>
    <w:rsid w:val="003F61CF"/>
    <w:rsid w:val="003F6820"/>
    <w:rsid w:val="003F68C2"/>
    <w:rsid w:val="003F6A8C"/>
    <w:rsid w:val="003F6C67"/>
    <w:rsid w:val="003F732E"/>
    <w:rsid w:val="003F755C"/>
    <w:rsid w:val="004002F7"/>
    <w:rsid w:val="00400466"/>
    <w:rsid w:val="00400703"/>
    <w:rsid w:val="004007F7"/>
    <w:rsid w:val="00401089"/>
    <w:rsid w:val="00401196"/>
    <w:rsid w:val="00401B79"/>
    <w:rsid w:val="004023BD"/>
    <w:rsid w:val="004025F9"/>
    <w:rsid w:val="00403801"/>
    <w:rsid w:val="00403874"/>
    <w:rsid w:val="00403A10"/>
    <w:rsid w:val="00403AE1"/>
    <w:rsid w:val="00403AEE"/>
    <w:rsid w:val="00403CB1"/>
    <w:rsid w:val="0040415F"/>
    <w:rsid w:val="00404942"/>
    <w:rsid w:val="004051B1"/>
    <w:rsid w:val="00405FD2"/>
    <w:rsid w:val="004060A7"/>
    <w:rsid w:val="004061AF"/>
    <w:rsid w:val="00406291"/>
    <w:rsid w:val="0040651C"/>
    <w:rsid w:val="00406522"/>
    <w:rsid w:val="00406C45"/>
    <w:rsid w:val="00406C5A"/>
    <w:rsid w:val="00406F01"/>
    <w:rsid w:val="004072E6"/>
    <w:rsid w:val="00407AE5"/>
    <w:rsid w:val="00411349"/>
    <w:rsid w:val="00411C69"/>
    <w:rsid w:val="00411CD6"/>
    <w:rsid w:val="00411CDC"/>
    <w:rsid w:val="00412238"/>
    <w:rsid w:val="0041236A"/>
    <w:rsid w:val="00412B3E"/>
    <w:rsid w:val="00412CC2"/>
    <w:rsid w:val="00412DBD"/>
    <w:rsid w:val="00412FFB"/>
    <w:rsid w:val="00413007"/>
    <w:rsid w:val="004132C2"/>
    <w:rsid w:val="0041368E"/>
    <w:rsid w:val="00413A19"/>
    <w:rsid w:val="00413B4E"/>
    <w:rsid w:val="004144AA"/>
    <w:rsid w:val="0041479D"/>
    <w:rsid w:val="00414837"/>
    <w:rsid w:val="004148D2"/>
    <w:rsid w:val="00414CA6"/>
    <w:rsid w:val="0041528C"/>
    <w:rsid w:val="00415370"/>
    <w:rsid w:val="004154DD"/>
    <w:rsid w:val="00416159"/>
    <w:rsid w:val="004161BB"/>
    <w:rsid w:val="0041646C"/>
    <w:rsid w:val="00416524"/>
    <w:rsid w:val="0041662F"/>
    <w:rsid w:val="004167CE"/>
    <w:rsid w:val="00416D50"/>
    <w:rsid w:val="00416D67"/>
    <w:rsid w:val="00416FD5"/>
    <w:rsid w:val="00417098"/>
    <w:rsid w:val="004173F5"/>
    <w:rsid w:val="00417772"/>
    <w:rsid w:val="004177E8"/>
    <w:rsid w:val="004178CB"/>
    <w:rsid w:val="00417B73"/>
    <w:rsid w:val="00417CFE"/>
    <w:rsid w:val="00420855"/>
    <w:rsid w:val="00420961"/>
    <w:rsid w:val="00420E3C"/>
    <w:rsid w:val="00420E6A"/>
    <w:rsid w:val="0042115D"/>
    <w:rsid w:val="004211FC"/>
    <w:rsid w:val="00421EC4"/>
    <w:rsid w:val="0042202E"/>
    <w:rsid w:val="0042273E"/>
    <w:rsid w:val="00422807"/>
    <w:rsid w:val="00422AF2"/>
    <w:rsid w:val="00422D3A"/>
    <w:rsid w:val="00422DEB"/>
    <w:rsid w:val="0042326C"/>
    <w:rsid w:val="0042336F"/>
    <w:rsid w:val="00423503"/>
    <w:rsid w:val="00423FEA"/>
    <w:rsid w:val="004240D8"/>
    <w:rsid w:val="004243D7"/>
    <w:rsid w:val="0042533C"/>
    <w:rsid w:val="004257EF"/>
    <w:rsid w:val="00425A89"/>
    <w:rsid w:val="00425A9E"/>
    <w:rsid w:val="00425E67"/>
    <w:rsid w:val="004262BE"/>
    <w:rsid w:val="004267B7"/>
    <w:rsid w:val="00426D6B"/>
    <w:rsid w:val="00426DFE"/>
    <w:rsid w:val="00427066"/>
    <w:rsid w:val="004277DA"/>
    <w:rsid w:val="00427C70"/>
    <w:rsid w:val="00427D7B"/>
    <w:rsid w:val="00427DC8"/>
    <w:rsid w:val="00427FF9"/>
    <w:rsid w:val="00430497"/>
    <w:rsid w:val="00430CE8"/>
    <w:rsid w:val="00430EE8"/>
    <w:rsid w:val="004317AD"/>
    <w:rsid w:val="00431E6C"/>
    <w:rsid w:val="004325FC"/>
    <w:rsid w:val="00432822"/>
    <w:rsid w:val="00432A3B"/>
    <w:rsid w:val="00433514"/>
    <w:rsid w:val="00433842"/>
    <w:rsid w:val="00433AE0"/>
    <w:rsid w:val="00433CE7"/>
    <w:rsid w:val="004340F6"/>
    <w:rsid w:val="0043412D"/>
    <w:rsid w:val="00434200"/>
    <w:rsid w:val="004348E8"/>
    <w:rsid w:val="0043533D"/>
    <w:rsid w:val="00435542"/>
    <w:rsid w:val="00435AAF"/>
    <w:rsid w:val="00435DAC"/>
    <w:rsid w:val="00436B14"/>
    <w:rsid w:val="00436ECD"/>
    <w:rsid w:val="00437CF1"/>
    <w:rsid w:val="004400E4"/>
    <w:rsid w:val="0044025A"/>
    <w:rsid w:val="00440B47"/>
    <w:rsid w:val="00440DA2"/>
    <w:rsid w:val="0044109A"/>
    <w:rsid w:val="00441497"/>
    <w:rsid w:val="00441551"/>
    <w:rsid w:val="00441674"/>
    <w:rsid w:val="004417D9"/>
    <w:rsid w:val="004417DA"/>
    <w:rsid w:val="00441B0B"/>
    <w:rsid w:val="00441BB8"/>
    <w:rsid w:val="00442085"/>
    <w:rsid w:val="004426B1"/>
    <w:rsid w:val="004429AF"/>
    <w:rsid w:val="00442ADD"/>
    <w:rsid w:val="00442AE9"/>
    <w:rsid w:val="00442D3D"/>
    <w:rsid w:val="00442FE4"/>
    <w:rsid w:val="004433E6"/>
    <w:rsid w:val="004442AD"/>
    <w:rsid w:val="00444EA2"/>
    <w:rsid w:val="004458A1"/>
    <w:rsid w:val="00445A21"/>
    <w:rsid w:val="00445D4F"/>
    <w:rsid w:val="00446195"/>
    <w:rsid w:val="004461AF"/>
    <w:rsid w:val="004466F1"/>
    <w:rsid w:val="00446B7D"/>
    <w:rsid w:val="00446DE6"/>
    <w:rsid w:val="00446EAF"/>
    <w:rsid w:val="00446F2A"/>
    <w:rsid w:val="00446FD1"/>
    <w:rsid w:val="0044758A"/>
    <w:rsid w:val="00447BB6"/>
    <w:rsid w:val="00450937"/>
    <w:rsid w:val="004509CC"/>
    <w:rsid w:val="00450ECA"/>
    <w:rsid w:val="0045118A"/>
    <w:rsid w:val="0045167C"/>
    <w:rsid w:val="00451C0A"/>
    <w:rsid w:val="00452738"/>
    <w:rsid w:val="004528C9"/>
    <w:rsid w:val="00453356"/>
    <w:rsid w:val="00453622"/>
    <w:rsid w:val="004544E9"/>
    <w:rsid w:val="00454B7B"/>
    <w:rsid w:val="00454EE3"/>
    <w:rsid w:val="00455055"/>
    <w:rsid w:val="0045516E"/>
    <w:rsid w:val="0045541D"/>
    <w:rsid w:val="00455477"/>
    <w:rsid w:val="004556F9"/>
    <w:rsid w:val="00455B1F"/>
    <w:rsid w:val="00455F37"/>
    <w:rsid w:val="00456091"/>
    <w:rsid w:val="004562C8"/>
    <w:rsid w:val="0045636D"/>
    <w:rsid w:val="00456537"/>
    <w:rsid w:val="00456B47"/>
    <w:rsid w:val="00457A82"/>
    <w:rsid w:val="00457AAF"/>
    <w:rsid w:val="00457D39"/>
    <w:rsid w:val="004604D3"/>
    <w:rsid w:val="0046075B"/>
    <w:rsid w:val="0046079D"/>
    <w:rsid w:val="0046094E"/>
    <w:rsid w:val="00460F4A"/>
    <w:rsid w:val="00461377"/>
    <w:rsid w:val="0046178B"/>
    <w:rsid w:val="00461A2C"/>
    <w:rsid w:val="00462217"/>
    <w:rsid w:val="0046236C"/>
    <w:rsid w:val="00462DBA"/>
    <w:rsid w:val="00463060"/>
    <w:rsid w:val="00463292"/>
    <w:rsid w:val="0046329A"/>
    <w:rsid w:val="004633CB"/>
    <w:rsid w:val="0046358B"/>
    <w:rsid w:val="004638AF"/>
    <w:rsid w:val="00463B09"/>
    <w:rsid w:val="00463BED"/>
    <w:rsid w:val="00463CDB"/>
    <w:rsid w:val="00464CD8"/>
    <w:rsid w:val="0046500F"/>
    <w:rsid w:val="0046593D"/>
    <w:rsid w:val="00466099"/>
    <w:rsid w:val="00466321"/>
    <w:rsid w:val="00466EDC"/>
    <w:rsid w:val="00467282"/>
    <w:rsid w:val="00467880"/>
    <w:rsid w:val="004679A4"/>
    <w:rsid w:val="00467C7F"/>
    <w:rsid w:val="00467C9F"/>
    <w:rsid w:val="00470819"/>
    <w:rsid w:val="00471368"/>
    <w:rsid w:val="00471630"/>
    <w:rsid w:val="004719FE"/>
    <w:rsid w:val="00472151"/>
    <w:rsid w:val="00472249"/>
    <w:rsid w:val="00472334"/>
    <w:rsid w:val="00472C02"/>
    <w:rsid w:val="00472CDB"/>
    <w:rsid w:val="00473485"/>
    <w:rsid w:val="0047456E"/>
    <w:rsid w:val="00475066"/>
    <w:rsid w:val="00475209"/>
    <w:rsid w:val="004754A8"/>
    <w:rsid w:val="004754A9"/>
    <w:rsid w:val="0047584E"/>
    <w:rsid w:val="0047606B"/>
    <w:rsid w:val="004763DF"/>
    <w:rsid w:val="004773A6"/>
    <w:rsid w:val="004775CF"/>
    <w:rsid w:val="00477AA0"/>
    <w:rsid w:val="00477C21"/>
    <w:rsid w:val="00477D31"/>
    <w:rsid w:val="00477D48"/>
    <w:rsid w:val="0048008E"/>
    <w:rsid w:val="00480380"/>
    <w:rsid w:val="004808C5"/>
    <w:rsid w:val="00480D20"/>
    <w:rsid w:val="00480D7E"/>
    <w:rsid w:val="004811C5"/>
    <w:rsid w:val="00481620"/>
    <w:rsid w:val="004816D2"/>
    <w:rsid w:val="0048186E"/>
    <w:rsid w:val="00481A89"/>
    <w:rsid w:val="00481C7F"/>
    <w:rsid w:val="00482519"/>
    <w:rsid w:val="00482826"/>
    <w:rsid w:val="00482BE8"/>
    <w:rsid w:val="004834E2"/>
    <w:rsid w:val="004836D8"/>
    <w:rsid w:val="0048384F"/>
    <w:rsid w:val="00483B9F"/>
    <w:rsid w:val="0048402F"/>
    <w:rsid w:val="004840F2"/>
    <w:rsid w:val="004841EC"/>
    <w:rsid w:val="00484B9B"/>
    <w:rsid w:val="00484DA2"/>
    <w:rsid w:val="004850E1"/>
    <w:rsid w:val="0048511F"/>
    <w:rsid w:val="0048558D"/>
    <w:rsid w:val="004855B4"/>
    <w:rsid w:val="004855F6"/>
    <w:rsid w:val="00485610"/>
    <w:rsid w:val="00485741"/>
    <w:rsid w:val="00485E10"/>
    <w:rsid w:val="00485FF2"/>
    <w:rsid w:val="0048661E"/>
    <w:rsid w:val="00486F43"/>
    <w:rsid w:val="0048706B"/>
    <w:rsid w:val="004871E2"/>
    <w:rsid w:val="00487362"/>
    <w:rsid w:val="00487410"/>
    <w:rsid w:val="00487442"/>
    <w:rsid w:val="00487634"/>
    <w:rsid w:val="00487746"/>
    <w:rsid w:val="00487CE4"/>
    <w:rsid w:val="00487EA0"/>
    <w:rsid w:val="004902CF"/>
    <w:rsid w:val="00490848"/>
    <w:rsid w:val="00490920"/>
    <w:rsid w:val="00490A36"/>
    <w:rsid w:val="00490B3A"/>
    <w:rsid w:val="00490B66"/>
    <w:rsid w:val="00491C37"/>
    <w:rsid w:val="00491E3F"/>
    <w:rsid w:val="00492D48"/>
    <w:rsid w:val="004933BE"/>
    <w:rsid w:val="00493D57"/>
    <w:rsid w:val="00493DB2"/>
    <w:rsid w:val="004944D1"/>
    <w:rsid w:val="00494670"/>
    <w:rsid w:val="00494A0E"/>
    <w:rsid w:val="00494AEC"/>
    <w:rsid w:val="00495257"/>
    <w:rsid w:val="0049544B"/>
    <w:rsid w:val="004954AD"/>
    <w:rsid w:val="004954D5"/>
    <w:rsid w:val="004958BA"/>
    <w:rsid w:val="00495DDB"/>
    <w:rsid w:val="00496358"/>
    <w:rsid w:val="00496632"/>
    <w:rsid w:val="0049667D"/>
    <w:rsid w:val="00496746"/>
    <w:rsid w:val="00496857"/>
    <w:rsid w:val="0049689E"/>
    <w:rsid w:val="004968EC"/>
    <w:rsid w:val="00496DE6"/>
    <w:rsid w:val="00497456"/>
    <w:rsid w:val="00497470"/>
    <w:rsid w:val="004974E3"/>
    <w:rsid w:val="0049796B"/>
    <w:rsid w:val="00497C8D"/>
    <w:rsid w:val="00497F03"/>
    <w:rsid w:val="004A0036"/>
    <w:rsid w:val="004A1100"/>
    <w:rsid w:val="004A14E0"/>
    <w:rsid w:val="004A15DC"/>
    <w:rsid w:val="004A187C"/>
    <w:rsid w:val="004A18D9"/>
    <w:rsid w:val="004A1A8A"/>
    <w:rsid w:val="004A2525"/>
    <w:rsid w:val="004A285D"/>
    <w:rsid w:val="004A2CBF"/>
    <w:rsid w:val="004A3069"/>
    <w:rsid w:val="004A308D"/>
    <w:rsid w:val="004A33D1"/>
    <w:rsid w:val="004A3403"/>
    <w:rsid w:val="004A3823"/>
    <w:rsid w:val="004A3E75"/>
    <w:rsid w:val="004A44B7"/>
    <w:rsid w:val="004A47CC"/>
    <w:rsid w:val="004A4ED2"/>
    <w:rsid w:val="004A579A"/>
    <w:rsid w:val="004A5CCA"/>
    <w:rsid w:val="004A5EE9"/>
    <w:rsid w:val="004A63B8"/>
    <w:rsid w:val="004A7126"/>
    <w:rsid w:val="004A7257"/>
    <w:rsid w:val="004A7AB7"/>
    <w:rsid w:val="004A7C2A"/>
    <w:rsid w:val="004A7EBB"/>
    <w:rsid w:val="004B04DA"/>
    <w:rsid w:val="004B0630"/>
    <w:rsid w:val="004B0A18"/>
    <w:rsid w:val="004B0D12"/>
    <w:rsid w:val="004B1364"/>
    <w:rsid w:val="004B1379"/>
    <w:rsid w:val="004B1AEB"/>
    <w:rsid w:val="004B1CDB"/>
    <w:rsid w:val="004B251F"/>
    <w:rsid w:val="004B2564"/>
    <w:rsid w:val="004B3A8D"/>
    <w:rsid w:val="004B3AA6"/>
    <w:rsid w:val="004B448F"/>
    <w:rsid w:val="004B46E9"/>
    <w:rsid w:val="004B4779"/>
    <w:rsid w:val="004B4E39"/>
    <w:rsid w:val="004B516E"/>
    <w:rsid w:val="004B5FDA"/>
    <w:rsid w:val="004B6313"/>
    <w:rsid w:val="004B669B"/>
    <w:rsid w:val="004B6ADE"/>
    <w:rsid w:val="004B6C7E"/>
    <w:rsid w:val="004B6E4F"/>
    <w:rsid w:val="004B7081"/>
    <w:rsid w:val="004C015E"/>
    <w:rsid w:val="004C02D9"/>
    <w:rsid w:val="004C0FE7"/>
    <w:rsid w:val="004C13F4"/>
    <w:rsid w:val="004C1B2D"/>
    <w:rsid w:val="004C1D02"/>
    <w:rsid w:val="004C1EC8"/>
    <w:rsid w:val="004C2310"/>
    <w:rsid w:val="004C251E"/>
    <w:rsid w:val="004C27A3"/>
    <w:rsid w:val="004C27A8"/>
    <w:rsid w:val="004C2968"/>
    <w:rsid w:val="004C2982"/>
    <w:rsid w:val="004C2A7E"/>
    <w:rsid w:val="004C3081"/>
    <w:rsid w:val="004C337D"/>
    <w:rsid w:val="004C3758"/>
    <w:rsid w:val="004C37AD"/>
    <w:rsid w:val="004C3B73"/>
    <w:rsid w:val="004C3D6D"/>
    <w:rsid w:val="004C3DF4"/>
    <w:rsid w:val="004C3E87"/>
    <w:rsid w:val="004C3FA7"/>
    <w:rsid w:val="004C4422"/>
    <w:rsid w:val="004C4759"/>
    <w:rsid w:val="004C4CD6"/>
    <w:rsid w:val="004C53FB"/>
    <w:rsid w:val="004C55F6"/>
    <w:rsid w:val="004C5A21"/>
    <w:rsid w:val="004C5BD4"/>
    <w:rsid w:val="004C61B5"/>
    <w:rsid w:val="004C6521"/>
    <w:rsid w:val="004C6CB1"/>
    <w:rsid w:val="004C7743"/>
    <w:rsid w:val="004C7D73"/>
    <w:rsid w:val="004D01B3"/>
    <w:rsid w:val="004D0204"/>
    <w:rsid w:val="004D083F"/>
    <w:rsid w:val="004D0966"/>
    <w:rsid w:val="004D1258"/>
    <w:rsid w:val="004D17E2"/>
    <w:rsid w:val="004D1B1B"/>
    <w:rsid w:val="004D21B9"/>
    <w:rsid w:val="004D21F0"/>
    <w:rsid w:val="004D255B"/>
    <w:rsid w:val="004D2642"/>
    <w:rsid w:val="004D2AC6"/>
    <w:rsid w:val="004D32A0"/>
    <w:rsid w:val="004D3558"/>
    <w:rsid w:val="004D3574"/>
    <w:rsid w:val="004D378F"/>
    <w:rsid w:val="004D3A01"/>
    <w:rsid w:val="004D428E"/>
    <w:rsid w:val="004D433E"/>
    <w:rsid w:val="004D44A0"/>
    <w:rsid w:val="004D44F6"/>
    <w:rsid w:val="004D4686"/>
    <w:rsid w:val="004D4704"/>
    <w:rsid w:val="004D548B"/>
    <w:rsid w:val="004D567E"/>
    <w:rsid w:val="004D58C9"/>
    <w:rsid w:val="004D5960"/>
    <w:rsid w:val="004D5CE8"/>
    <w:rsid w:val="004D610D"/>
    <w:rsid w:val="004D62F2"/>
    <w:rsid w:val="004D6C0B"/>
    <w:rsid w:val="004D6D8A"/>
    <w:rsid w:val="004D6F83"/>
    <w:rsid w:val="004D7039"/>
    <w:rsid w:val="004D71F6"/>
    <w:rsid w:val="004D71FF"/>
    <w:rsid w:val="004D72BE"/>
    <w:rsid w:val="004D741D"/>
    <w:rsid w:val="004D7675"/>
    <w:rsid w:val="004D7915"/>
    <w:rsid w:val="004D7F8E"/>
    <w:rsid w:val="004E09E3"/>
    <w:rsid w:val="004E0A24"/>
    <w:rsid w:val="004E0CD9"/>
    <w:rsid w:val="004E0F3A"/>
    <w:rsid w:val="004E0F7A"/>
    <w:rsid w:val="004E0FEA"/>
    <w:rsid w:val="004E1B47"/>
    <w:rsid w:val="004E288F"/>
    <w:rsid w:val="004E2E32"/>
    <w:rsid w:val="004E2FE1"/>
    <w:rsid w:val="004E443F"/>
    <w:rsid w:val="004E44EF"/>
    <w:rsid w:val="004E45F2"/>
    <w:rsid w:val="004E468D"/>
    <w:rsid w:val="004E49A6"/>
    <w:rsid w:val="004E4A0E"/>
    <w:rsid w:val="004E4CF3"/>
    <w:rsid w:val="004E4FFA"/>
    <w:rsid w:val="004E540F"/>
    <w:rsid w:val="004E5575"/>
    <w:rsid w:val="004E582D"/>
    <w:rsid w:val="004E68E0"/>
    <w:rsid w:val="004E6946"/>
    <w:rsid w:val="004E70BB"/>
    <w:rsid w:val="004E72CA"/>
    <w:rsid w:val="004E7689"/>
    <w:rsid w:val="004E76DE"/>
    <w:rsid w:val="004E7A4F"/>
    <w:rsid w:val="004E7F51"/>
    <w:rsid w:val="004F0E6C"/>
    <w:rsid w:val="004F1261"/>
    <w:rsid w:val="004F1330"/>
    <w:rsid w:val="004F1AD8"/>
    <w:rsid w:val="004F2542"/>
    <w:rsid w:val="004F2971"/>
    <w:rsid w:val="004F29F1"/>
    <w:rsid w:val="004F2A7E"/>
    <w:rsid w:val="004F2CE3"/>
    <w:rsid w:val="004F3864"/>
    <w:rsid w:val="004F4076"/>
    <w:rsid w:val="004F4407"/>
    <w:rsid w:val="004F4807"/>
    <w:rsid w:val="004F494C"/>
    <w:rsid w:val="004F4D18"/>
    <w:rsid w:val="004F51A0"/>
    <w:rsid w:val="004F596A"/>
    <w:rsid w:val="004F5E18"/>
    <w:rsid w:val="004F6244"/>
    <w:rsid w:val="004F6468"/>
    <w:rsid w:val="004F652E"/>
    <w:rsid w:val="004F66C2"/>
    <w:rsid w:val="004F69D8"/>
    <w:rsid w:val="004F6CEA"/>
    <w:rsid w:val="004F6E0C"/>
    <w:rsid w:val="004F6F43"/>
    <w:rsid w:val="004F7373"/>
    <w:rsid w:val="004F778D"/>
    <w:rsid w:val="004F7790"/>
    <w:rsid w:val="004F798F"/>
    <w:rsid w:val="004F7AF3"/>
    <w:rsid w:val="004F7D1E"/>
    <w:rsid w:val="005002D4"/>
    <w:rsid w:val="005009BB"/>
    <w:rsid w:val="00501009"/>
    <w:rsid w:val="00501088"/>
    <w:rsid w:val="005012B9"/>
    <w:rsid w:val="005013BB"/>
    <w:rsid w:val="0050147B"/>
    <w:rsid w:val="00501994"/>
    <w:rsid w:val="00501CB7"/>
    <w:rsid w:val="00501D67"/>
    <w:rsid w:val="00501E49"/>
    <w:rsid w:val="00502331"/>
    <w:rsid w:val="00502622"/>
    <w:rsid w:val="00503352"/>
    <w:rsid w:val="005033F8"/>
    <w:rsid w:val="005039CB"/>
    <w:rsid w:val="005041C7"/>
    <w:rsid w:val="0050477D"/>
    <w:rsid w:val="00504950"/>
    <w:rsid w:val="005053A5"/>
    <w:rsid w:val="0050558F"/>
    <w:rsid w:val="00505835"/>
    <w:rsid w:val="005058D0"/>
    <w:rsid w:val="00506286"/>
    <w:rsid w:val="00506518"/>
    <w:rsid w:val="00506DAC"/>
    <w:rsid w:val="00506EAC"/>
    <w:rsid w:val="00506F3D"/>
    <w:rsid w:val="005075F1"/>
    <w:rsid w:val="00507A9A"/>
    <w:rsid w:val="00507BE5"/>
    <w:rsid w:val="00507D38"/>
    <w:rsid w:val="005100D4"/>
    <w:rsid w:val="00510247"/>
    <w:rsid w:val="00510431"/>
    <w:rsid w:val="00510813"/>
    <w:rsid w:val="00510958"/>
    <w:rsid w:val="00510AFD"/>
    <w:rsid w:val="00510D4D"/>
    <w:rsid w:val="00510DD6"/>
    <w:rsid w:val="005116D6"/>
    <w:rsid w:val="00511977"/>
    <w:rsid w:val="00511990"/>
    <w:rsid w:val="00511DE0"/>
    <w:rsid w:val="00512036"/>
    <w:rsid w:val="00512294"/>
    <w:rsid w:val="005127FC"/>
    <w:rsid w:val="00512F7E"/>
    <w:rsid w:val="00513124"/>
    <w:rsid w:val="00513418"/>
    <w:rsid w:val="005138D7"/>
    <w:rsid w:val="00513942"/>
    <w:rsid w:val="00513BEC"/>
    <w:rsid w:val="0051401C"/>
    <w:rsid w:val="00514667"/>
    <w:rsid w:val="00514870"/>
    <w:rsid w:val="00514B9B"/>
    <w:rsid w:val="00514C60"/>
    <w:rsid w:val="00514D0C"/>
    <w:rsid w:val="00514F52"/>
    <w:rsid w:val="0051506B"/>
    <w:rsid w:val="00515897"/>
    <w:rsid w:val="00515926"/>
    <w:rsid w:val="00516696"/>
    <w:rsid w:val="00516915"/>
    <w:rsid w:val="00516999"/>
    <w:rsid w:val="00516D34"/>
    <w:rsid w:val="00516F99"/>
    <w:rsid w:val="00517096"/>
    <w:rsid w:val="00517612"/>
    <w:rsid w:val="00517AAF"/>
    <w:rsid w:val="00517AE9"/>
    <w:rsid w:val="00517ED4"/>
    <w:rsid w:val="00517F02"/>
    <w:rsid w:val="00520373"/>
    <w:rsid w:val="00520742"/>
    <w:rsid w:val="00520B4F"/>
    <w:rsid w:val="00520CF7"/>
    <w:rsid w:val="0052120D"/>
    <w:rsid w:val="00521888"/>
    <w:rsid w:val="00521DAD"/>
    <w:rsid w:val="00521E4C"/>
    <w:rsid w:val="00522167"/>
    <w:rsid w:val="005223EA"/>
    <w:rsid w:val="0052252A"/>
    <w:rsid w:val="00522D18"/>
    <w:rsid w:val="00522D3D"/>
    <w:rsid w:val="00523066"/>
    <w:rsid w:val="005236FE"/>
    <w:rsid w:val="00523779"/>
    <w:rsid w:val="00523813"/>
    <w:rsid w:val="00523AAE"/>
    <w:rsid w:val="00523B8F"/>
    <w:rsid w:val="00523F2F"/>
    <w:rsid w:val="00524303"/>
    <w:rsid w:val="00524772"/>
    <w:rsid w:val="005248F3"/>
    <w:rsid w:val="00524C30"/>
    <w:rsid w:val="00524C8A"/>
    <w:rsid w:val="00524E71"/>
    <w:rsid w:val="005251FC"/>
    <w:rsid w:val="005253CA"/>
    <w:rsid w:val="005258A2"/>
    <w:rsid w:val="00525B1E"/>
    <w:rsid w:val="00526046"/>
    <w:rsid w:val="005266DE"/>
    <w:rsid w:val="00526DC4"/>
    <w:rsid w:val="0052764B"/>
    <w:rsid w:val="00527ACE"/>
    <w:rsid w:val="005305C3"/>
    <w:rsid w:val="00530C04"/>
    <w:rsid w:val="00530CEA"/>
    <w:rsid w:val="00530D1D"/>
    <w:rsid w:val="00530E30"/>
    <w:rsid w:val="00530FB7"/>
    <w:rsid w:val="005316D7"/>
    <w:rsid w:val="00531FEE"/>
    <w:rsid w:val="00532AD8"/>
    <w:rsid w:val="00532BAA"/>
    <w:rsid w:val="00532C28"/>
    <w:rsid w:val="00533144"/>
    <w:rsid w:val="005332C7"/>
    <w:rsid w:val="005332D0"/>
    <w:rsid w:val="00533985"/>
    <w:rsid w:val="005341F9"/>
    <w:rsid w:val="0053420C"/>
    <w:rsid w:val="00534D86"/>
    <w:rsid w:val="00534FF0"/>
    <w:rsid w:val="00535178"/>
    <w:rsid w:val="0053521E"/>
    <w:rsid w:val="00536511"/>
    <w:rsid w:val="0053699C"/>
    <w:rsid w:val="00536D75"/>
    <w:rsid w:val="005370B0"/>
    <w:rsid w:val="005370CD"/>
    <w:rsid w:val="0053733D"/>
    <w:rsid w:val="0053769B"/>
    <w:rsid w:val="00537728"/>
    <w:rsid w:val="00537AD7"/>
    <w:rsid w:val="005401AE"/>
    <w:rsid w:val="00540AAD"/>
    <w:rsid w:val="005414F9"/>
    <w:rsid w:val="0054163E"/>
    <w:rsid w:val="005418D4"/>
    <w:rsid w:val="00541D16"/>
    <w:rsid w:val="00542145"/>
    <w:rsid w:val="005422DD"/>
    <w:rsid w:val="00542458"/>
    <w:rsid w:val="005426DA"/>
    <w:rsid w:val="005427CD"/>
    <w:rsid w:val="005429EE"/>
    <w:rsid w:val="00542C72"/>
    <w:rsid w:val="00542E07"/>
    <w:rsid w:val="00542E72"/>
    <w:rsid w:val="00545424"/>
    <w:rsid w:val="005454B9"/>
    <w:rsid w:val="00545E3D"/>
    <w:rsid w:val="00545E98"/>
    <w:rsid w:val="00546412"/>
    <w:rsid w:val="00546DD9"/>
    <w:rsid w:val="005470B8"/>
    <w:rsid w:val="0054725C"/>
    <w:rsid w:val="00547852"/>
    <w:rsid w:val="00547F30"/>
    <w:rsid w:val="00547FCC"/>
    <w:rsid w:val="00547FCF"/>
    <w:rsid w:val="005502BE"/>
    <w:rsid w:val="00550A29"/>
    <w:rsid w:val="00550AAD"/>
    <w:rsid w:val="00551238"/>
    <w:rsid w:val="0055181E"/>
    <w:rsid w:val="00552032"/>
    <w:rsid w:val="0055281B"/>
    <w:rsid w:val="0055293F"/>
    <w:rsid w:val="00552BFB"/>
    <w:rsid w:val="00552EB9"/>
    <w:rsid w:val="00553908"/>
    <w:rsid w:val="00553A2F"/>
    <w:rsid w:val="00554182"/>
    <w:rsid w:val="005541EC"/>
    <w:rsid w:val="00554221"/>
    <w:rsid w:val="005542FB"/>
    <w:rsid w:val="0055474C"/>
    <w:rsid w:val="00554846"/>
    <w:rsid w:val="00554A7B"/>
    <w:rsid w:val="00554C01"/>
    <w:rsid w:val="00554EDF"/>
    <w:rsid w:val="00555483"/>
    <w:rsid w:val="0055572C"/>
    <w:rsid w:val="005557DA"/>
    <w:rsid w:val="00555872"/>
    <w:rsid w:val="005566A7"/>
    <w:rsid w:val="00557276"/>
    <w:rsid w:val="00557420"/>
    <w:rsid w:val="005574B7"/>
    <w:rsid w:val="005579B9"/>
    <w:rsid w:val="00557B10"/>
    <w:rsid w:val="00557CA4"/>
    <w:rsid w:val="00557EC8"/>
    <w:rsid w:val="0056083E"/>
    <w:rsid w:val="0056106A"/>
    <w:rsid w:val="00561AC3"/>
    <w:rsid w:val="005621AA"/>
    <w:rsid w:val="0056223D"/>
    <w:rsid w:val="00562305"/>
    <w:rsid w:val="00562629"/>
    <w:rsid w:val="005629F5"/>
    <w:rsid w:val="00562D06"/>
    <w:rsid w:val="0056306E"/>
    <w:rsid w:val="00563548"/>
    <w:rsid w:val="00563BB4"/>
    <w:rsid w:val="00563C1F"/>
    <w:rsid w:val="00563F9E"/>
    <w:rsid w:val="0056402F"/>
    <w:rsid w:val="0056423F"/>
    <w:rsid w:val="00564A6E"/>
    <w:rsid w:val="00565A77"/>
    <w:rsid w:val="00566405"/>
    <w:rsid w:val="00566483"/>
    <w:rsid w:val="00566FEF"/>
    <w:rsid w:val="00567FCA"/>
    <w:rsid w:val="00570DF5"/>
    <w:rsid w:val="00570E27"/>
    <w:rsid w:val="00571415"/>
    <w:rsid w:val="005715C9"/>
    <w:rsid w:val="00571640"/>
    <w:rsid w:val="00571765"/>
    <w:rsid w:val="005719A1"/>
    <w:rsid w:val="00571FC5"/>
    <w:rsid w:val="00571FE8"/>
    <w:rsid w:val="005720AE"/>
    <w:rsid w:val="0057289C"/>
    <w:rsid w:val="00572C02"/>
    <w:rsid w:val="00572FF5"/>
    <w:rsid w:val="00573070"/>
    <w:rsid w:val="005737BD"/>
    <w:rsid w:val="00573805"/>
    <w:rsid w:val="00573C1D"/>
    <w:rsid w:val="00573D1B"/>
    <w:rsid w:val="00573D9E"/>
    <w:rsid w:val="005745DA"/>
    <w:rsid w:val="00574695"/>
    <w:rsid w:val="00574C14"/>
    <w:rsid w:val="00574CDF"/>
    <w:rsid w:val="00574E0E"/>
    <w:rsid w:val="00574FA6"/>
    <w:rsid w:val="00575169"/>
    <w:rsid w:val="005753CF"/>
    <w:rsid w:val="005753F3"/>
    <w:rsid w:val="00575420"/>
    <w:rsid w:val="00575FE8"/>
    <w:rsid w:val="00576312"/>
    <w:rsid w:val="005767F7"/>
    <w:rsid w:val="00576A3D"/>
    <w:rsid w:val="00576A9B"/>
    <w:rsid w:val="00576AC1"/>
    <w:rsid w:val="00576D0E"/>
    <w:rsid w:val="00577B5B"/>
    <w:rsid w:val="00577B67"/>
    <w:rsid w:val="00577D52"/>
    <w:rsid w:val="00580494"/>
    <w:rsid w:val="00581171"/>
    <w:rsid w:val="0058152A"/>
    <w:rsid w:val="00581F2C"/>
    <w:rsid w:val="005821F2"/>
    <w:rsid w:val="005834F6"/>
    <w:rsid w:val="00583731"/>
    <w:rsid w:val="00583E79"/>
    <w:rsid w:val="00584391"/>
    <w:rsid w:val="005845A8"/>
    <w:rsid w:val="00584E23"/>
    <w:rsid w:val="00585157"/>
    <w:rsid w:val="005855C4"/>
    <w:rsid w:val="005856B2"/>
    <w:rsid w:val="00585766"/>
    <w:rsid w:val="005858D5"/>
    <w:rsid w:val="00585CCC"/>
    <w:rsid w:val="005860E7"/>
    <w:rsid w:val="00586182"/>
    <w:rsid w:val="0058640F"/>
    <w:rsid w:val="00586532"/>
    <w:rsid w:val="005868A9"/>
    <w:rsid w:val="005872C2"/>
    <w:rsid w:val="005873F5"/>
    <w:rsid w:val="00587BB7"/>
    <w:rsid w:val="0059067A"/>
    <w:rsid w:val="005906D8"/>
    <w:rsid w:val="00590854"/>
    <w:rsid w:val="00590E86"/>
    <w:rsid w:val="005913F0"/>
    <w:rsid w:val="00591445"/>
    <w:rsid w:val="00591554"/>
    <w:rsid w:val="0059158F"/>
    <w:rsid w:val="0059209C"/>
    <w:rsid w:val="005920C7"/>
    <w:rsid w:val="0059249C"/>
    <w:rsid w:val="00592875"/>
    <w:rsid w:val="00592AE3"/>
    <w:rsid w:val="00592E28"/>
    <w:rsid w:val="0059319E"/>
    <w:rsid w:val="0059338D"/>
    <w:rsid w:val="00593CC1"/>
    <w:rsid w:val="00594335"/>
    <w:rsid w:val="0059458C"/>
    <w:rsid w:val="0059466C"/>
    <w:rsid w:val="00594862"/>
    <w:rsid w:val="00594A6A"/>
    <w:rsid w:val="00594B83"/>
    <w:rsid w:val="00594BD8"/>
    <w:rsid w:val="00594D77"/>
    <w:rsid w:val="00594F99"/>
    <w:rsid w:val="0059514A"/>
    <w:rsid w:val="00595153"/>
    <w:rsid w:val="005959DA"/>
    <w:rsid w:val="00595C56"/>
    <w:rsid w:val="00595FD2"/>
    <w:rsid w:val="00596053"/>
    <w:rsid w:val="00596253"/>
    <w:rsid w:val="00596277"/>
    <w:rsid w:val="00596709"/>
    <w:rsid w:val="00596831"/>
    <w:rsid w:val="005969E4"/>
    <w:rsid w:val="00597386"/>
    <w:rsid w:val="005979FF"/>
    <w:rsid w:val="00597EEC"/>
    <w:rsid w:val="00597FD5"/>
    <w:rsid w:val="005A00E3"/>
    <w:rsid w:val="005A03F3"/>
    <w:rsid w:val="005A06B7"/>
    <w:rsid w:val="005A06CD"/>
    <w:rsid w:val="005A0F67"/>
    <w:rsid w:val="005A1675"/>
    <w:rsid w:val="005A1759"/>
    <w:rsid w:val="005A197D"/>
    <w:rsid w:val="005A1CA0"/>
    <w:rsid w:val="005A2031"/>
    <w:rsid w:val="005A24AC"/>
    <w:rsid w:val="005A26AD"/>
    <w:rsid w:val="005A2CE0"/>
    <w:rsid w:val="005A32D1"/>
    <w:rsid w:val="005A3E2B"/>
    <w:rsid w:val="005A3FB4"/>
    <w:rsid w:val="005A4951"/>
    <w:rsid w:val="005A4A27"/>
    <w:rsid w:val="005A4AC3"/>
    <w:rsid w:val="005A5045"/>
    <w:rsid w:val="005A52E5"/>
    <w:rsid w:val="005A542D"/>
    <w:rsid w:val="005A543E"/>
    <w:rsid w:val="005A574D"/>
    <w:rsid w:val="005A5A94"/>
    <w:rsid w:val="005A5ADF"/>
    <w:rsid w:val="005A5B37"/>
    <w:rsid w:val="005A66B6"/>
    <w:rsid w:val="005A68A7"/>
    <w:rsid w:val="005A69CD"/>
    <w:rsid w:val="005A6A7A"/>
    <w:rsid w:val="005A6AC9"/>
    <w:rsid w:val="005A7FFE"/>
    <w:rsid w:val="005B063C"/>
    <w:rsid w:val="005B0BCD"/>
    <w:rsid w:val="005B0D1E"/>
    <w:rsid w:val="005B12E4"/>
    <w:rsid w:val="005B1672"/>
    <w:rsid w:val="005B197C"/>
    <w:rsid w:val="005B1B7E"/>
    <w:rsid w:val="005B2276"/>
    <w:rsid w:val="005B262D"/>
    <w:rsid w:val="005B2E55"/>
    <w:rsid w:val="005B30FE"/>
    <w:rsid w:val="005B316B"/>
    <w:rsid w:val="005B31B3"/>
    <w:rsid w:val="005B3621"/>
    <w:rsid w:val="005B3811"/>
    <w:rsid w:val="005B3918"/>
    <w:rsid w:val="005B395C"/>
    <w:rsid w:val="005B39B3"/>
    <w:rsid w:val="005B3A27"/>
    <w:rsid w:val="005B3C0A"/>
    <w:rsid w:val="005B4966"/>
    <w:rsid w:val="005B5704"/>
    <w:rsid w:val="005B5858"/>
    <w:rsid w:val="005B5A5A"/>
    <w:rsid w:val="005B5ED5"/>
    <w:rsid w:val="005B62D7"/>
    <w:rsid w:val="005B633E"/>
    <w:rsid w:val="005B63FE"/>
    <w:rsid w:val="005B6719"/>
    <w:rsid w:val="005B6798"/>
    <w:rsid w:val="005B67B6"/>
    <w:rsid w:val="005B6815"/>
    <w:rsid w:val="005B73C4"/>
    <w:rsid w:val="005B73D4"/>
    <w:rsid w:val="005B7854"/>
    <w:rsid w:val="005B7D26"/>
    <w:rsid w:val="005C0245"/>
    <w:rsid w:val="005C03CD"/>
    <w:rsid w:val="005C03EC"/>
    <w:rsid w:val="005C07B0"/>
    <w:rsid w:val="005C0930"/>
    <w:rsid w:val="005C0936"/>
    <w:rsid w:val="005C1095"/>
    <w:rsid w:val="005C1423"/>
    <w:rsid w:val="005C1471"/>
    <w:rsid w:val="005C14B6"/>
    <w:rsid w:val="005C157C"/>
    <w:rsid w:val="005C1731"/>
    <w:rsid w:val="005C2745"/>
    <w:rsid w:val="005C2C72"/>
    <w:rsid w:val="005C2E7A"/>
    <w:rsid w:val="005C3450"/>
    <w:rsid w:val="005C372C"/>
    <w:rsid w:val="005C3E84"/>
    <w:rsid w:val="005C3EF7"/>
    <w:rsid w:val="005C3F53"/>
    <w:rsid w:val="005C41D0"/>
    <w:rsid w:val="005C425D"/>
    <w:rsid w:val="005C4463"/>
    <w:rsid w:val="005C4930"/>
    <w:rsid w:val="005C4E96"/>
    <w:rsid w:val="005C5104"/>
    <w:rsid w:val="005C5493"/>
    <w:rsid w:val="005C553B"/>
    <w:rsid w:val="005C5AA9"/>
    <w:rsid w:val="005C6593"/>
    <w:rsid w:val="005C68B1"/>
    <w:rsid w:val="005C74AE"/>
    <w:rsid w:val="005C7635"/>
    <w:rsid w:val="005C7F6D"/>
    <w:rsid w:val="005C7FBB"/>
    <w:rsid w:val="005D03A5"/>
    <w:rsid w:val="005D060C"/>
    <w:rsid w:val="005D0A5D"/>
    <w:rsid w:val="005D117F"/>
    <w:rsid w:val="005D1314"/>
    <w:rsid w:val="005D1D2D"/>
    <w:rsid w:val="005D20D3"/>
    <w:rsid w:val="005D28E0"/>
    <w:rsid w:val="005D2ACD"/>
    <w:rsid w:val="005D2D3D"/>
    <w:rsid w:val="005D31AE"/>
    <w:rsid w:val="005D356F"/>
    <w:rsid w:val="005D36AB"/>
    <w:rsid w:val="005D3AEB"/>
    <w:rsid w:val="005D3E98"/>
    <w:rsid w:val="005D40A0"/>
    <w:rsid w:val="005D4264"/>
    <w:rsid w:val="005D4822"/>
    <w:rsid w:val="005D4B1A"/>
    <w:rsid w:val="005D4D0F"/>
    <w:rsid w:val="005D4F4E"/>
    <w:rsid w:val="005D4FD9"/>
    <w:rsid w:val="005D509D"/>
    <w:rsid w:val="005D57DA"/>
    <w:rsid w:val="005D662F"/>
    <w:rsid w:val="005D6D4E"/>
    <w:rsid w:val="005D7B8B"/>
    <w:rsid w:val="005D7D75"/>
    <w:rsid w:val="005D7FE4"/>
    <w:rsid w:val="005E010C"/>
    <w:rsid w:val="005E02B9"/>
    <w:rsid w:val="005E0C62"/>
    <w:rsid w:val="005E0F4B"/>
    <w:rsid w:val="005E1549"/>
    <w:rsid w:val="005E155A"/>
    <w:rsid w:val="005E1898"/>
    <w:rsid w:val="005E1B6D"/>
    <w:rsid w:val="005E1ED9"/>
    <w:rsid w:val="005E20DC"/>
    <w:rsid w:val="005E2618"/>
    <w:rsid w:val="005E28BD"/>
    <w:rsid w:val="005E2F3C"/>
    <w:rsid w:val="005E2FDD"/>
    <w:rsid w:val="005E3262"/>
    <w:rsid w:val="005E35E7"/>
    <w:rsid w:val="005E362C"/>
    <w:rsid w:val="005E3C1E"/>
    <w:rsid w:val="005E4358"/>
    <w:rsid w:val="005E49BE"/>
    <w:rsid w:val="005E4DB6"/>
    <w:rsid w:val="005E5124"/>
    <w:rsid w:val="005E523A"/>
    <w:rsid w:val="005E5623"/>
    <w:rsid w:val="005E5A6C"/>
    <w:rsid w:val="005E5BAB"/>
    <w:rsid w:val="005E5FCE"/>
    <w:rsid w:val="005E6164"/>
    <w:rsid w:val="005E61B0"/>
    <w:rsid w:val="005E62FC"/>
    <w:rsid w:val="005E6E7F"/>
    <w:rsid w:val="005E6FB5"/>
    <w:rsid w:val="005E714F"/>
    <w:rsid w:val="005E77C5"/>
    <w:rsid w:val="005E78BD"/>
    <w:rsid w:val="005E79EE"/>
    <w:rsid w:val="005E7DCA"/>
    <w:rsid w:val="005E7EA6"/>
    <w:rsid w:val="005E7F2C"/>
    <w:rsid w:val="005F0491"/>
    <w:rsid w:val="005F05B1"/>
    <w:rsid w:val="005F08F6"/>
    <w:rsid w:val="005F0A1B"/>
    <w:rsid w:val="005F1247"/>
    <w:rsid w:val="005F13A9"/>
    <w:rsid w:val="005F1416"/>
    <w:rsid w:val="005F1436"/>
    <w:rsid w:val="005F1780"/>
    <w:rsid w:val="005F1BF7"/>
    <w:rsid w:val="005F207E"/>
    <w:rsid w:val="005F22A4"/>
    <w:rsid w:val="005F241F"/>
    <w:rsid w:val="005F27B7"/>
    <w:rsid w:val="005F2B9C"/>
    <w:rsid w:val="005F2BD2"/>
    <w:rsid w:val="005F2F8B"/>
    <w:rsid w:val="005F34E0"/>
    <w:rsid w:val="005F36B7"/>
    <w:rsid w:val="005F393D"/>
    <w:rsid w:val="005F3E72"/>
    <w:rsid w:val="005F4108"/>
    <w:rsid w:val="005F43BD"/>
    <w:rsid w:val="005F5A63"/>
    <w:rsid w:val="005F5E73"/>
    <w:rsid w:val="005F5FB1"/>
    <w:rsid w:val="005F5FC1"/>
    <w:rsid w:val="005F6052"/>
    <w:rsid w:val="005F60E7"/>
    <w:rsid w:val="005F6971"/>
    <w:rsid w:val="005F6A73"/>
    <w:rsid w:val="005F6B48"/>
    <w:rsid w:val="005F71EA"/>
    <w:rsid w:val="005F74A1"/>
    <w:rsid w:val="005F7656"/>
    <w:rsid w:val="006002A7"/>
    <w:rsid w:val="00600884"/>
    <w:rsid w:val="006008E1"/>
    <w:rsid w:val="00600931"/>
    <w:rsid w:val="006009AB"/>
    <w:rsid w:val="006014AE"/>
    <w:rsid w:val="00601642"/>
    <w:rsid w:val="006019FB"/>
    <w:rsid w:val="00601B94"/>
    <w:rsid w:val="00601EB9"/>
    <w:rsid w:val="0060260A"/>
    <w:rsid w:val="006026D3"/>
    <w:rsid w:val="00602829"/>
    <w:rsid w:val="00602D93"/>
    <w:rsid w:val="006036F0"/>
    <w:rsid w:val="00603CBF"/>
    <w:rsid w:val="00604288"/>
    <w:rsid w:val="006049BA"/>
    <w:rsid w:val="00604D08"/>
    <w:rsid w:val="00604EC4"/>
    <w:rsid w:val="00604ECA"/>
    <w:rsid w:val="00604F56"/>
    <w:rsid w:val="00604F58"/>
    <w:rsid w:val="00605224"/>
    <w:rsid w:val="00605310"/>
    <w:rsid w:val="00605556"/>
    <w:rsid w:val="006058C1"/>
    <w:rsid w:val="00605E31"/>
    <w:rsid w:val="0060612E"/>
    <w:rsid w:val="00606554"/>
    <w:rsid w:val="00606C7D"/>
    <w:rsid w:val="006100AB"/>
    <w:rsid w:val="006107AA"/>
    <w:rsid w:val="006107B3"/>
    <w:rsid w:val="00610A33"/>
    <w:rsid w:val="00611272"/>
    <w:rsid w:val="006120B3"/>
    <w:rsid w:val="0061211E"/>
    <w:rsid w:val="00612348"/>
    <w:rsid w:val="00612E75"/>
    <w:rsid w:val="006130E1"/>
    <w:rsid w:val="0061367B"/>
    <w:rsid w:val="00613863"/>
    <w:rsid w:val="00613D02"/>
    <w:rsid w:val="00613DD2"/>
    <w:rsid w:val="00613F0A"/>
    <w:rsid w:val="006141E6"/>
    <w:rsid w:val="00614D18"/>
    <w:rsid w:val="0061509B"/>
    <w:rsid w:val="00615C5B"/>
    <w:rsid w:val="00615D45"/>
    <w:rsid w:val="00615E56"/>
    <w:rsid w:val="006164F3"/>
    <w:rsid w:val="0061661C"/>
    <w:rsid w:val="00616B7A"/>
    <w:rsid w:val="00617332"/>
    <w:rsid w:val="00617391"/>
    <w:rsid w:val="00617963"/>
    <w:rsid w:val="00617CC3"/>
    <w:rsid w:val="00617ED5"/>
    <w:rsid w:val="0062026C"/>
    <w:rsid w:val="0062038D"/>
    <w:rsid w:val="0062060E"/>
    <w:rsid w:val="00621011"/>
    <w:rsid w:val="00621477"/>
    <w:rsid w:val="006216B7"/>
    <w:rsid w:val="0062189D"/>
    <w:rsid w:val="00621967"/>
    <w:rsid w:val="00621EB4"/>
    <w:rsid w:val="00622577"/>
    <w:rsid w:val="00622982"/>
    <w:rsid w:val="00622ECB"/>
    <w:rsid w:val="00623891"/>
    <w:rsid w:val="00623941"/>
    <w:rsid w:val="00623948"/>
    <w:rsid w:val="00623A39"/>
    <w:rsid w:val="00623BBC"/>
    <w:rsid w:val="00623DEC"/>
    <w:rsid w:val="00623FE7"/>
    <w:rsid w:val="0062414C"/>
    <w:rsid w:val="00624281"/>
    <w:rsid w:val="006247C7"/>
    <w:rsid w:val="00624A15"/>
    <w:rsid w:val="006253C0"/>
    <w:rsid w:val="00625C19"/>
    <w:rsid w:val="006261C5"/>
    <w:rsid w:val="00626646"/>
    <w:rsid w:val="00626690"/>
    <w:rsid w:val="00626A24"/>
    <w:rsid w:val="00626BA9"/>
    <w:rsid w:val="00626DD1"/>
    <w:rsid w:val="00627037"/>
    <w:rsid w:val="006270C3"/>
    <w:rsid w:val="006270EB"/>
    <w:rsid w:val="006273C7"/>
    <w:rsid w:val="00627575"/>
    <w:rsid w:val="00627729"/>
    <w:rsid w:val="006314BE"/>
    <w:rsid w:val="00631650"/>
    <w:rsid w:val="006316F5"/>
    <w:rsid w:val="00631C20"/>
    <w:rsid w:val="00631E67"/>
    <w:rsid w:val="0063228A"/>
    <w:rsid w:val="006325FB"/>
    <w:rsid w:val="00632669"/>
    <w:rsid w:val="006327A0"/>
    <w:rsid w:val="0063283B"/>
    <w:rsid w:val="00632AEB"/>
    <w:rsid w:val="00632E34"/>
    <w:rsid w:val="006330F8"/>
    <w:rsid w:val="0063311C"/>
    <w:rsid w:val="00634004"/>
    <w:rsid w:val="00634038"/>
    <w:rsid w:val="00634677"/>
    <w:rsid w:val="006348BB"/>
    <w:rsid w:val="006348F7"/>
    <w:rsid w:val="00634B69"/>
    <w:rsid w:val="00634E78"/>
    <w:rsid w:val="0063563B"/>
    <w:rsid w:val="00635A46"/>
    <w:rsid w:val="00635D94"/>
    <w:rsid w:val="00636579"/>
    <w:rsid w:val="0063744D"/>
    <w:rsid w:val="00637621"/>
    <w:rsid w:val="006377A6"/>
    <w:rsid w:val="006378C7"/>
    <w:rsid w:val="00637A3D"/>
    <w:rsid w:val="00637ADE"/>
    <w:rsid w:val="00637C07"/>
    <w:rsid w:val="00637F38"/>
    <w:rsid w:val="006401B5"/>
    <w:rsid w:val="0064030F"/>
    <w:rsid w:val="006406D9"/>
    <w:rsid w:val="00640D1D"/>
    <w:rsid w:val="006411EF"/>
    <w:rsid w:val="006414EB"/>
    <w:rsid w:val="00641A49"/>
    <w:rsid w:val="00641D8A"/>
    <w:rsid w:val="006420C3"/>
    <w:rsid w:val="00642270"/>
    <w:rsid w:val="006425C8"/>
    <w:rsid w:val="00642AEB"/>
    <w:rsid w:val="00642BDE"/>
    <w:rsid w:val="00642DB5"/>
    <w:rsid w:val="00643713"/>
    <w:rsid w:val="0064387D"/>
    <w:rsid w:val="00643A87"/>
    <w:rsid w:val="00643AAD"/>
    <w:rsid w:val="00643FB4"/>
    <w:rsid w:val="006447FC"/>
    <w:rsid w:val="006448CF"/>
    <w:rsid w:val="0064497C"/>
    <w:rsid w:val="006450A9"/>
    <w:rsid w:val="006461ED"/>
    <w:rsid w:val="0064624D"/>
    <w:rsid w:val="00646914"/>
    <w:rsid w:val="00646F32"/>
    <w:rsid w:val="006470DB"/>
    <w:rsid w:val="0064732B"/>
    <w:rsid w:val="00647375"/>
    <w:rsid w:val="0064744B"/>
    <w:rsid w:val="00647F8F"/>
    <w:rsid w:val="00650604"/>
    <w:rsid w:val="0065064E"/>
    <w:rsid w:val="00650C80"/>
    <w:rsid w:val="00650D82"/>
    <w:rsid w:val="00650E28"/>
    <w:rsid w:val="006513B7"/>
    <w:rsid w:val="006514FD"/>
    <w:rsid w:val="00651829"/>
    <w:rsid w:val="00651A05"/>
    <w:rsid w:val="00651FEC"/>
    <w:rsid w:val="00652069"/>
    <w:rsid w:val="006521BA"/>
    <w:rsid w:val="0065239E"/>
    <w:rsid w:val="0065250B"/>
    <w:rsid w:val="006540E7"/>
    <w:rsid w:val="006547A1"/>
    <w:rsid w:val="006549D2"/>
    <w:rsid w:val="006559DD"/>
    <w:rsid w:val="00655FF0"/>
    <w:rsid w:val="00656271"/>
    <w:rsid w:val="00656B5E"/>
    <w:rsid w:val="006570E4"/>
    <w:rsid w:val="0065770F"/>
    <w:rsid w:val="00657915"/>
    <w:rsid w:val="00657C2C"/>
    <w:rsid w:val="0066084F"/>
    <w:rsid w:val="006608D7"/>
    <w:rsid w:val="00660D61"/>
    <w:rsid w:val="00660EF0"/>
    <w:rsid w:val="006613B8"/>
    <w:rsid w:val="00661479"/>
    <w:rsid w:val="00661512"/>
    <w:rsid w:val="00661939"/>
    <w:rsid w:val="00661F3E"/>
    <w:rsid w:val="00662176"/>
    <w:rsid w:val="00662928"/>
    <w:rsid w:val="006632BB"/>
    <w:rsid w:val="00663513"/>
    <w:rsid w:val="006635AA"/>
    <w:rsid w:val="00664276"/>
    <w:rsid w:val="006643C1"/>
    <w:rsid w:val="00664BE2"/>
    <w:rsid w:val="00665667"/>
    <w:rsid w:val="0066580A"/>
    <w:rsid w:val="00665A39"/>
    <w:rsid w:val="00665D5D"/>
    <w:rsid w:val="00665E70"/>
    <w:rsid w:val="00666618"/>
    <w:rsid w:val="00666FD5"/>
    <w:rsid w:val="006673DC"/>
    <w:rsid w:val="00667547"/>
    <w:rsid w:val="00667875"/>
    <w:rsid w:val="0067013E"/>
    <w:rsid w:val="00670E4C"/>
    <w:rsid w:val="00671213"/>
    <w:rsid w:val="00671674"/>
    <w:rsid w:val="006716E7"/>
    <w:rsid w:val="00671FE2"/>
    <w:rsid w:val="0067200C"/>
    <w:rsid w:val="006726B3"/>
    <w:rsid w:val="00672841"/>
    <w:rsid w:val="006730E1"/>
    <w:rsid w:val="006732EE"/>
    <w:rsid w:val="00673637"/>
    <w:rsid w:val="006748B8"/>
    <w:rsid w:val="00674FAB"/>
    <w:rsid w:val="0067514F"/>
    <w:rsid w:val="00675295"/>
    <w:rsid w:val="00675321"/>
    <w:rsid w:val="00675549"/>
    <w:rsid w:val="0067588D"/>
    <w:rsid w:val="00675E74"/>
    <w:rsid w:val="006764C5"/>
    <w:rsid w:val="00676683"/>
    <w:rsid w:val="00676FFE"/>
    <w:rsid w:val="006774B6"/>
    <w:rsid w:val="006774D9"/>
    <w:rsid w:val="006775C3"/>
    <w:rsid w:val="00677D07"/>
    <w:rsid w:val="00677DB1"/>
    <w:rsid w:val="00677E74"/>
    <w:rsid w:val="00680138"/>
    <w:rsid w:val="00680196"/>
    <w:rsid w:val="0068044A"/>
    <w:rsid w:val="00680758"/>
    <w:rsid w:val="0068095B"/>
    <w:rsid w:val="00680AB9"/>
    <w:rsid w:val="006815E2"/>
    <w:rsid w:val="00681C00"/>
    <w:rsid w:val="006820B0"/>
    <w:rsid w:val="006820BC"/>
    <w:rsid w:val="006824D2"/>
    <w:rsid w:val="006825BA"/>
    <w:rsid w:val="00682AC8"/>
    <w:rsid w:val="00682BF7"/>
    <w:rsid w:val="00682F44"/>
    <w:rsid w:val="00683390"/>
    <w:rsid w:val="006834DD"/>
    <w:rsid w:val="006841B2"/>
    <w:rsid w:val="00684340"/>
    <w:rsid w:val="006848BC"/>
    <w:rsid w:val="006848EB"/>
    <w:rsid w:val="00684A9A"/>
    <w:rsid w:val="0068682D"/>
    <w:rsid w:val="00686A65"/>
    <w:rsid w:val="00686BA0"/>
    <w:rsid w:val="00686BA7"/>
    <w:rsid w:val="006878FF"/>
    <w:rsid w:val="006879C7"/>
    <w:rsid w:val="0069007E"/>
    <w:rsid w:val="0069020A"/>
    <w:rsid w:val="00690429"/>
    <w:rsid w:val="0069071D"/>
    <w:rsid w:val="0069074A"/>
    <w:rsid w:val="00690C2E"/>
    <w:rsid w:val="00690D77"/>
    <w:rsid w:val="0069103A"/>
    <w:rsid w:val="00691080"/>
    <w:rsid w:val="0069147C"/>
    <w:rsid w:val="00691D16"/>
    <w:rsid w:val="00691FFD"/>
    <w:rsid w:val="00692098"/>
    <w:rsid w:val="006922A4"/>
    <w:rsid w:val="0069232F"/>
    <w:rsid w:val="00692410"/>
    <w:rsid w:val="0069290A"/>
    <w:rsid w:val="006929C1"/>
    <w:rsid w:val="00692AC5"/>
    <w:rsid w:val="0069327D"/>
    <w:rsid w:val="00693645"/>
    <w:rsid w:val="00693F23"/>
    <w:rsid w:val="0069548D"/>
    <w:rsid w:val="006954E8"/>
    <w:rsid w:val="006958D5"/>
    <w:rsid w:val="00695A07"/>
    <w:rsid w:val="00695E7A"/>
    <w:rsid w:val="006961B1"/>
    <w:rsid w:val="006968B2"/>
    <w:rsid w:val="00696C93"/>
    <w:rsid w:val="00696DAC"/>
    <w:rsid w:val="00697355"/>
    <w:rsid w:val="0069745E"/>
    <w:rsid w:val="0069775A"/>
    <w:rsid w:val="00697813"/>
    <w:rsid w:val="006978D2"/>
    <w:rsid w:val="00697BBD"/>
    <w:rsid w:val="006A0026"/>
    <w:rsid w:val="006A0055"/>
    <w:rsid w:val="006A0281"/>
    <w:rsid w:val="006A0389"/>
    <w:rsid w:val="006A0716"/>
    <w:rsid w:val="006A09CB"/>
    <w:rsid w:val="006A0FD8"/>
    <w:rsid w:val="006A1286"/>
    <w:rsid w:val="006A1D84"/>
    <w:rsid w:val="006A21F6"/>
    <w:rsid w:val="006A2410"/>
    <w:rsid w:val="006A24C2"/>
    <w:rsid w:val="006A2657"/>
    <w:rsid w:val="006A2779"/>
    <w:rsid w:val="006A28EC"/>
    <w:rsid w:val="006A2B1A"/>
    <w:rsid w:val="006A3232"/>
    <w:rsid w:val="006A3B40"/>
    <w:rsid w:val="006A3EE8"/>
    <w:rsid w:val="006A4137"/>
    <w:rsid w:val="006A439C"/>
    <w:rsid w:val="006A47AA"/>
    <w:rsid w:val="006A4B52"/>
    <w:rsid w:val="006A4D3F"/>
    <w:rsid w:val="006A528B"/>
    <w:rsid w:val="006A57B9"/>
    <w:rsid w:val="006A60A9"/>
    <w:rsid w:val="006A6408"/>
    <w:rsid w:val="006A64DD"/>
    <w:rsid w:val="006A6B83"/>
    <w:rsid w:val="006A6CDA"/>
    <w:rsid w:val="006A6D1E"/>
    <w:rsid w:val="006A6D97"/>
    <w:rsid w:val="006A7042"/>
    <w:rsid w:val="006A72BF"/>
    <w:rsid w:val="006A7921"/>
    <w:rsid w:val="006A7CF3"/>
    <w:rsid w:val="006A7DC2"/>
    <w:rsid w:val="006B000C"/>
    <w:rsid w:val="006B0265"/>
    <w:rsid w:val="006B03F2"/>
    <w:rsid w:val="006B0579"/>
    <w:rsid w:val="006B0CAC"/>
    <w:rsid w:val="006B0EF2"/>
    <w:rsid w:val="006B0EFA"/>
    <w:rsid w:val="006B12E9"/>
    <w:rsid w:val="006B282D"/>
    <w:rsid w:val="006B2997"/>
    <w:rsid w:val="006B2D64"/>
    <w:rsid w:val="006B2EC9"/>
    <w:rsid w:val="006B3255"/>
    <w:rsid w:val="006B3273"/>
    <w:rsid w:val="006B3423"/>
    <w:rsid w:val="006B3627"/>
    <w:rsid w:val="006B37DC"/>
    <w:rsid w:val="006B395A"/>
    <w:rsid w:val="006B3CF4"/>
    <w:rsid w:val="006B4502"/>
    <w:rsid w:val="006B4F21"/>
    <w:rsid w:val="006B4F68"/>
    <w:rsid w:val="006B5421"/>
    <w:rsid w:val="006B54E8"/>
    <w:rsid w:val="006B651E"/>
    <w:rsid w:val="006B705C"/>
    <w:rsid w:val="006B708B"/>
    <w:rsid w:val="006B747D"/>
    <w:rsid w:val="006B753F"/>
    <w:rsid w:val="006C026F"/>
    <w:rsid w:val="006C0335"/>
    <w:rsid w:val="006C056F"/>
    <w:rsid w:val="006C0592"/>
    <w:rsid w:val="006C0960"/>
    <w:rsid w:val="006C0ADB"/>
    <w:rsid w:val="006C0B01"/>
    <w:rsid w:val="006C1353"/>
    <w:rsid w:val="006C1425"/>
    <w:rsid w:val="006C14A9"/>
    <w:rsid w:val="006C18CD"/>
    <w:rsid w:val="006C191C"/>
    <w:rsid w:val="006C1DDE"/>
    <w:rsid w:val="006C271F"/>
    <w:rsid w:val="006C272E"/>
    <w:rsid w:val="006C2DC0"/>
    <w:rsid w:val="006C333A"/>
    <w:rsid w:val="006C342F"/>
    <w:rsid w:val="006C3D83"/>
    <w:rsid w:val="006C4341"/>
    <w:rsid w:val="006C4647"/>
    <w:rsid w:val="006C4744"/>
    <w:rsid w:val="006C4E41"/>
    <w:rsid w:val="006C5469"/>
    <w:rsid w:val="006C5479"/>
    <w:rsid w:val="006C5980"/>
    <w:rsid w:val="006C5A47"/>
    <w:rsid w:val="006C5B2B"/>
    <w:rsid w:val="006C5EB2"/>
    <w:rsid w:val="006C6034"/>
    <w:rsid w:val="006C6176"/>
    <w:rsid w:val="006C647A"/>
    <w:rsid w:val="006C678E"/>
    <w:rsid w:val="006C7073"/>
    <w:rsid w:val="006C7664"/>
    <w:rsid w:val="006C780A"/>
    <w:rsid w:val="006D0056"/>
    <w:rsid w:val="006D0C6A"/>
    <w:rsid w:val="006D13B5"/>
    <w:rsid w:val="006D14A0"/>
    <w:rsid w:val="006D172F"/>
    <w:rsid w:val="006D185F"/>
    <w:rsid w:val="006D19E5"/>
    <w:rsid w:val="006D1E1F"/>
    <w:rsid w:val="006D2179"/>
    <w:rsid w:val="006D237B"/>
    <w:rsid w:val="006D26E3"/>
    <w:rsid w:val="006D278B"/>
    <w:rsid w:val="006D2CD0"/>
    <w:rsid w:val="006D2E2C"/>
    <w:rsid w:val="006D300F"/>
    <w:rsid w:val="006D30C5"/>
    <w:rsid w:val="006D33C4"/>
    <w:rsid w:val="006D3409"/>
    <w:rsid w:val="006D34F6"/>
    <w:rsid w:val="006D35C7"/>
    <w:rsid w:val="006D399D"/>
    <w:rsid w:val="006D3B8A"/>
    <w:rsid w:val="006D3E95"/>
    <w:rsid w:val="006D4548"/>
    <w:rsid w:val="006D46D8"/>
    <w:rsid w:val="006D5080"/>
    <w:rsid w:val="006D5496"/>
    <w:rsid w:val="006D5E87"/>
    <w:rsid w:val="006D66B4"/>
    <w:rsid w:val="006D6B22"/>
    <w:rsid w:val="006D7C16"/>
    <w:rsid w:val="006D7E1A"/>
    <w:rsid w:val="006E0020"/>
    <w:rsid w:val="006E12FF"/>
    <w:rsid w:val="006E252B"/>
    <w:rsid w:val="006E28AB"/>
    <w:rsid w:val="006E2E33"/>
    <w:rsid w:val="006E3188"/>
    <w:rsid w:val="006E3B33"/>
    <w:rsid w:val="006E3CCA"/>
    <w:rsid w:val="006E4239"/>
    <w:rsid w:val="006E4A6A"/>
    <w:rsid w:val="006E517A"/>
    <w:rsid w:val="006E58C8"/>
    <w:rsid w:val="006E5BAE"/>
    <w:rsid w:val="006E5D3D"/>
    <w:rsid w:val="006E607E"/>
    <w:rsid w:val="006E6300"/>
    <w:rsid w:val="006E664C"/>
    <w:rsid w:val="006E66A3"/>
    <w:rsid w:val="006E723D"/>
    <w:rsid w:val="006E7306"/>
    <w:rsid w:val="006E77B1"/>
    <w:rsid w:val="006E7C83"/>
    <w:rsid w:val="006F0202"/>
    <w:rsid w:val="006F05E9"/>
    <w:rsid w:val="006F0732"/>
    <w:rsid w:val="006F1C40"/>
    <w:rsid w:val="006F1D6B"/>
    <w:rsid w:val="006F1DB2"/>
    <w:rsid w:val="006F1E2C"/>
    <w:rsid w:val="006F28B1"/>
    <w:rsid w:val="006F2992"/>
    <w:rsid w:val="006F2B8A"/>
    <w:rsid w:val="006F302B"/>
    <w:rsid w:val="006F31DA"/>
    <w:rsid w:val="006F32B4"/>
    <w:rsid w:val="006F330C"/>
    <w:rsid w:val="006F334E"/>
    <w:rsid w:val="006F3387"/>
    <w:rsid w:val="006F341E"/>
    <w:rsid w:val="006F3592"/>
    <w:rsid w:val="006F36B1"/>
    <w:rsid w:val="006F3944"/>
    <w:rsid w:val="006F465F"/>
    <w:rsid w:val="006F4749"/>
    <w:rsid w:val="006F47A0"/>
    <w:rsid w:val="006F4AEE"/>
    <w:rsid w:val="006F530D"/>
    <w:rsid w:val="006F58E1"/>
    <w:rsid w:val="006F666F"/>
    <w:rsid w:val="006F685C"/>
    <w:rsid w:val="006F6892"/>
    <w:rsid w:val="006F69E0"/>
    <w:rsid w:val="006F6AEB"/>
    <w:rsid w:val="006F6C48"/>
    <w:rsid w:val="006F7183"/>
    <w:rsid w:val="006F7C54"/>
    <w:rsid w:val="007001D5"/>
    <w:rsid w:val="007001FB"/>
    <w:rsid w:val="007002EA"/>
    <w:rsid w:val="007009B4"/>
    <w:rsid w:val="00700D3F"/>
    <w:rsid w:val="007010AF"/>
    <w:rsid w:val="007011D2"/>
    <w:rsid w:val="00701664"/>
    <w:rsid w:val="007017AF"/>
    <w:rsid w:val="00701CF9"/>
    <w:rsid w:val="007020CB"/>
    <w:rsid w:val="007020EF"/>
    <w:rsid w:val="007022C2"/>
    <w:rsid w:val="00702559"/>
    <w:rsid w:val="007037E0"/>
    <w:rsid w:val="007042F0"/>
    <w:rsid w:val="0070443B"/>
    <w:rsid w:val="00704B88"/>
    <w:rsid w:val="00704C3D"/>
    <w:rsid w:val="00704F05"/>
    <w:rsid w:val="00704FAF"/>
    <w:rsid w:val="007051EE"/>
    <w:rsid w:val="0070535D"/>
    <w:rsid w:val="00705631"/>
    <w:rsid w:val="007059CE"/>
    <w:rsid w:val="00705AA0"/>
    <w:rsid w:val="00705D86"/>
    <w:rsid w:val="00705DD2"/>
    <w:rsid w:val="00706118"/>
    <w:rsid w:val="00706372"/>
    <w:rsid w:val="007064CA"/>
    <w:rsid w:val="00706583"/>
    <w:rsid w:val="007068C5"/>
    <w:rsid w:val="00706C5D"/>
    <w:rsid w:val="00706E05"/>
    <w:rsid w:val="00707672"/>
    <w:rsid w:val="0070777A"/>
    <w:rsid w:val="00707B0E"/>
    <w:rsid w:val="00707C13"/>
    <w:rsid w:val="00707F92"/>
    <w:rsid w:val="00710348"/>
    <w:rsid w:val="007105BE"/>
    <w:rsid w:val="007106AB"/>
    <w:rsid w:val="007109A2"/>
    <w:rsid w:val="00711048"/>
    <w:rsid w:val="007112A8"/>
    <w:rsid w:val="00711440"/>
    <w:rsid w:val="007117A9"/>
    <w:rsid w:val="00711D20"/>
    <w:rsid w:val="00711E34"/>
    <w:rsid w:val="007124BE"/>
    <w:rsid w:val="0071261A"/>
    <w:rsid w:val="00712933"/>
    <w:rsid w:val="00713074"/>
    <w:rsid w:val="00713091"/>
    <w:rsid w:val="00713100"/>
    <w:rsid w:val="00713529"/>
    <w:rsid w:val="007135DB"/>
    <w:rsid w:val="00714779"/>
    <w:rsid w:val="007147FE"/>
    <w:rsid w:val="00714AC6"/>
    <w:rsid w:val="007152F8"/>
    <w:rsid w:val="00715669"/>
    <w:rsid w:val="0071575E"/>
    <w:rsid w:val="00715E46"/>
    <w:rsid w:val="0071650A"/>
    <w:rsid w:val="0071748E"/>
    <w:rsid w:val="0071750F"/>
    <w:rsid w:val="007175E8"/>
    <w:rsid w:val="00717653"/>
    <w:rsid w:val="007177A5"/>
    <w:rsid w:val="00717D0C"/>
    <w:rsid w:val="00717F57"/>
    <w:rsid w:val="00717F5C"/>
    <w:rsid w:val="00717FDE"/>
    <w:rsid w:val="007207CE"/>
    <w:rsid w:val="007208BA"/>
    <w:rsid w:val="00720964"/>
    <w:rsid w:val="00720C9E"/>
    <w:rsid w:val="00720D96"/>
    <w:rsid w:val="00721279"/>
    <w:rsid w:val="00721393"/>
    <w:rsid w:val="007215C4"/>
    <w:rsid w:val="0072177A"/>
    <w:rsid w:val="00722967"/>
    <w:rsid w:val="00723441"/>
    <w:rsid w:val="0072353A"/>
    <w:rsid w:val="007235A5"/>
    <w:rsid w:val="00723A3C"/>
    <w:rsid w:val="00723D60"/>
    <w:rsid w:val="007243BA"/>
    <w:rsid w:val="007246B9"/>
    <w:rsid w:val="00725054"/>
    <w:rsid w:val="00725071"/>
    <w:rsid w:val="007253B9"/>
    <w:rsid w:val="007253C9"/>
    <w:rsid w:val="0072579B"/>
    <w:rsid w:val="0072596A"/>
    <w:rsid w:val="00725989"/>
    <w:rsid w:val="00725D37"/>
    <w:rsid w:val="00726322"/>
    <w:rsid w:val="007263B4"/>
    <w:rsid w:val="007265D0"/>
    <w:rsid w:val="00726771"/>
    <w:rsid w:val="00726AB4"/>
    <w:rsid w:val="00726B43"/>
    <w:rsid w:val="00727000"/>
    <w:rsid w:val="007274CA"/>
    <w:rsid w:val="00727592"/>
    <w:rsid w:val="007278B9"/>
    <w:rsid w:val="00727ABF"/>
    <w:rsid w:val="00730449"/>
    <w:rsid w:val="007304F9"/>
    <w:rsid w:val="00730CEF"/>
    <w:rsid w:val="00731588"/>
    <w:rsid w:val="007316CF"/>
    <w:rsid w:val="007317FA"/>
    <w:rsid w:val="0073196B"/>
    <w:rsid w:val="007319D8"/>
    <w:rsid w:val="00731CE5"/>
    <w:rsid w:val="00731F1E"/>
    <w:rsid w:val="00732221"/>
    <w:rsid w:val="0073230B"/>
    <w:rsid w:val="007327C7"/>
    <w:rsid w:val="00732922"/>
    <w:rsid w:val="00732B41"/>
    <w:rsid w:val="007332CB"/>
    <w:rsid w:val="0073335D"/>
    <w:rsid w:val="007334B6"/>
    <w:rsid w:val="007334DD"/>
    <w:rsid w:val="00734519"/>
    <w:rsid w:val="00734C9B"/>
    <w:rsid w:val="00735178"/>
    <w:rsid w:val="007351A8"/>
    <w:rsid w:val="0073556D"/>
    <w:rsid w:val="00735610"/>
    <w:rsid w:val="007358DD"/>
    <w:rsid w:val="00735C4C"/>
    <w:rsid w:val="007363DB"/>
    <w:rsid w:val="0073678B"/>
    <w:rsid w:val="00736A65"/>
    <w:rsid w:val="00736E21"/>
    <w:rsid w:val="007372CD"/>
    <w:rsid w:val="00737549"/>
    <w:rsid w:val="00737A06"/>
    <w:rsid w:val="00737C27"/>
    <w:rsid w:val="00737D2C"/>
    <w:rsid w:val="00737DA4"/>
    <w:rsid w:val="00740888"/>
    <w:rsid w:val="00740D16"/>
    <w:rsid w:val="00740F96"/>
    <w:rsid w:val="00741618"/>
    <w:rsid w:val="00741867"/>
    <w:rsid w:val="007420B2"/>
    <w:rsid w:val="007421F8"/>
    <w:rsid w:val="00742317"/>
    <w:rsid w:val="00743303"/>
    <w:rsid w:val="00743625"/>
    <w:rsid w:val="007436BE"/>
    <w:rsid w:val="00743824"/>
    <w:rsid w:val="00744C34"/>
    <w:rsid w:val="00744DC6"/>
    <w:rsid w:val="00745043"/>
    <w:rsid w:val="00745712"/>
    <w:rsid w:val="0074593B"/>
    <w:rsid w:val="00745DA5"/>
    <w:rsid w:val="007460A7"/>
    <w:rsid w:val="00746174"/>
    <w:rsid w:val="00746B41"/>
    <w:rsid w:val="00746B86"/>
    <w:rsid w:val="007472A9"/>
    <w:rsid w:val="00747CC8"/>
    <w:rsid w:val="00750418"/>
    <w:rsid w:val="00750603"/>
    <w:rsid w:val="00750D1A"/>
    <w:rsid w:val="00750F71"/>
    <w:rsid w:val="007513F2"/>
    <w:rsid w:val="0075162E"/>
    <w:rsid w:val="00751703"/>
    <w:rsid w:val="007519C0"/>
    <w:rsid w:val="00752861"/>
    <w:rsid w:val="007528EB"/>
    <w:rsid w:val="00752B9F"/>
    <w:rsid w:val="00753283"/>
    <w:rsid w:val="0075343A"/>
    <w:rsid w:val="0075393E"/>
    <w:rsid w:val="00753C4E"/>
    <w:rsid w:val="00754034"/>
    <w:rsid w:val="00754452"/>
    <w:rsid w:val="00754E12"/>
    <w:rsid w:val="00754F91"/>
    <w:rsid w:val="0075528F"/>
    <w:rsid w:val="00755594"/>
    <w:rsid w:val="00756466"/>
    <w:rsid w:val="00756556"/>
    <w:rsid w:val="00756E11"/>
    <w:rsid w:val="00757B96"/>
    <w:rsid w:val="007608F0"/>
    <w:rsid w:val="00760A89"/>
    <w:rsid w:val="00760F33"/>
    <w:rsid w:val="00760F48"/>
    <w:rsid w:val="007618C4"/>
    <w:rsid w:val="007619A0"/>
    <w:rsid w:val="007622A8"/>
    <w:rsid w:val="0076239F"/>
    <w:rsid w:val="007623A1"/>
    <w:rsid w:val="007625B9"/>
    <w:rsid w:val="0076293B"/>
    <w:rsid w:val="00762EBE"/>
    <w:rsid w:val="007638DE"/>
    <w:rsid w:val="00763AFA"/>
    <w:rsid w:val="00764281"/>
    <w:rsid w:val="00764D91"/>
    <w:rsid w:val="007652E8"/>
    <w:rsid w:val="00765619"/>
    <w:rsid w:val="00765702"/>
    <w:rsid w:val="00765D4A"/>
    <w:rsid w:val="00765FEB"/>
    <w:rsid w:val="0076607F"/>
    <w:rsid w:val="00766296"/>
    <w:rsid w:val="007669CC"/>
    <w:rsid w:val="00767022"/>
    <w:rsid w:val="007673E8"/>
    <w:rsid w:val="0076741B"/>
    <w:rsid w:val="00767499"/>
    <w:rsid w:val="00767980"/>
    <w:rsid w:val="0077068F"/>
    <w:rsid w:val="00770B19"/>
    <w:rsid w:val="0077156C"/>
    <w:rsid w:val="007715CA"/>
    <w:rsid w:val="00771B8B"/>
    <w:rsid w:val="00771C50"/>
    <w:rsid w:val="00771D08"/>
    <w:rsid w:val="0077237A"/>
    <w:rsid w:val="007729EF"/>
    <w:rsid w:val="00773021"/>
    <w:rsid w:val="007731ED"/>
    <w:rsid w:val="007733B0"/>
    <w:rsid w:val="0077377D"/>
    <w:rsid w:val="00773ABC"/>
    <w:rsid w:val="00773C80"/>
    <w:rsid w:val="00774490"/>
    <w:rsid w:val="0077463F"/>
    <w:rsid w:val="0077496C"/>
    <w:rsid w:val="007752CD"/>
    <w:rsid w:val="00775400"/>
    <w:rsid w:val="00775821"/>
    <w:rsid w:val="00775985"/>
    <w:rsid w:val="00775D6F"/>
    <w:rsid w:val="00776AA4"/>
    <w:rsid w:val="007770DA"/>
    <w:rsid w:val="00777494"/>
    <w:rsid w:val="00777634"/>
    <w:rsid w:val="00777781"/>
    <w:rsid w:val="00777F9E"/>
    <w:rsid w:val="00777FE4"/>
    <w:rsid w:val="007800AD"/>
    <w:rsid w:val="007800D5"/>
    <w:rsid w:val="00780183"/>
    <w:rsid w:val="00780776"/>
    <w:rsid w:val="007808B3"/>
    <w:rsid w:val="00780983"/>
    <w:rsid w:val="00780E94"/>
    <w:rsid w:val="00781339"/>
    <w:rsid w:val="00782D1A"/>
    <w:rsid w:val="00782DB6"/>
    <w:rsid w:val="00783198"/>
    <w:rsid w:val="0078326A"/>
    <w:rsid w:val="007832B1"/>
    <w:rsid w:val="0078337F"/>
    <w:rsid w:val="007836EA"/>
    <w:rsid w:val="00784182"/>
    <w:rsid w:val="00784CDA"/>
    <w:rsid w:val="0078516F"/>
    <w:rsid w:val="0078539B"/>
    <w:rsid w:val="007859AC"/>
    <w:rsid w:val="00785F63"/>
    <w:rsid w:val="0078673C"/>
    <w:rsid w:val="0078696D"/>
    <w:rsid w:val="00786E9B"/>
    <w:rsid w:val="00787183"/>
    <w:rsid w:val="00787789"/>
    <w:rsid w:val="007877E1"/>
    <w:rsid w:val="00787A77"/>
    <w:rsid w:val="007900C8"/>
    <w:rsid w:val="00790415"/>
    <w:rsid w:val="007906C4"/>
    <w:rsid w:val="007909D8"/>
    <w:rsid w:val="00790BB9"/>
    <w:rsid w:val="00790BC7"/>
    <w:rsid w:val="00790EB0"/>
    <w:rsid w:val="00790FDE"/>
    <w:rsid w:val="007914EC"/>
    <w:rsid w:val="00791509"/>
    <w:rsid w:val="007919AA"/>
    <w:rsid w:val="00791B47"/>
    <w:rsid w:val="007920A4"/>
    <w:rsid w:val="00792498"/>
    <w:rsid w:val="0079295C"/>
    <w:rsid w:val="00792FF5"/>
    <w:rsid w:val="0079341D"/>
    <w:rsid w:val="007940EA"/>
    <w:rsid w:val="00794655"/>
    <w:rsid w:val="00794ABB"/>
    <w:rsid w:val="00794B89"/>
    <w:rsid w:val="00795685"/>
    <w:rsid w:val="007967E8"/>
    <w:rsid w:val="0079686E"/>
    <w:rsid w:val="00797B89"/>
    <w:rsid w:val="00797C5E"/>
    <w:rsid w:val="00797D5E"/>
    <w:rsid w:val="007A0024"/>
    <w:rsid w:val="007A058C"/>
    <w:rsid w:val="007A09BA"/>
    <w:rsid w:val="007A0B70"/>
    <w:rsid w:val="007A0CFE"/>
    <w:rsid w:val="007A13C7"/>
    <w:rsid w:val="007A1560"/>
    <w:rsid w:val="007A188A"/>
    <w:rsid w:val="007A1DED"/>
    <w:rsid w:val="007A2170"/>
    <w:rsid w:val="007A2276"/>
    <w:rsid w:val="007A22BF"/>
    <w:rsid w:val="007A2AD2"/>
    <w:rsid w:val="007A2B78"/>
    <w:rsid w:val="007A2BE7"/>
    <w:rsid w:val="007A2C14"/>
    <w:rsid w:val="007A2D12"/>
    <w:rsid w:val="007A3323"/>
    <w:rsid w:val="007A34F0"/>
    <w:rsid w:val="007A3C94"/>
    <w:rsid w:val="007A3E03"/>
    <w:rsid w:val="007A4539"/>
    <w:rsid w:val="007A4838"/>
    <w:rsid w:val="007A4D16"/>
    <w:rsid w:val="007A559B"/>
    <w:rsid w:val="007A587E"/>
    <w:rsid w:val="007A5978"/>
    <w:rsid w:val="007A5AC2"/>
    <w:rsid w:val="007A5D08"/>
    <w:rsid w:val="007A5E15"/>
    <w:rsid w:val="007A656D"/>
    <w:rsid w:val="007A6D60"/>
    <w:rsid w:val="007A6F36"/>
    <w:rsid w:val="007A7308"/>
    <w:rsid w:val="007A741B"/>
    <w:rsid w:val="007A77DE"/>
    <w:rsid w:val="007A7C6A"/>
    <w:rsid w:val="007B006C"/>
    <w:rsid w:val="007B0460"/>
    <w:rsid w:val="007B0901"/>
    <w:rsid w:val="007B0C9E"/>
    <w:rsid w:val="007B13B1"/>
    <w:rsid w:val="007B1A42"/>
    <w:rsid w:val="007B1CAA"/>
    <w:rsid w:val="007B1DCC"/>
    <w:rsid w:val="007B260B"/>
    <w:rsid w:val="007B27AE"/>
    <w:rsid w:val="007B27CE"/>
    <w:rsid w:val="007B29F6"/>
    <w:rsid w:val="007B2CB8"/>
    <w:rsid w:val="007B2CE6"/>
    <w:rsid w:val="007B31D1"/>
    <w:rsid w:val="007B3398"/>
    <w:rsid w:val="007B3868"/>
    <w:rsid w:val="007B38C2"/>
    <w:rsid w:val="007B3BB2"/>
    <w:rsid w:val="007B3D35"/>
    <w:rsid w:val="007B4423"/>
    <w:rsid w:val="007B454F"/>
    <w:rsid w:val="007B4596"/>
    <w:rsid w:val="007B4B56"/>
    <w:rsid w:val="007B4B96"/>
    <w:rsid w:val="007B6017"/>
    <w:rsid w:val="007B61D4"/>
    <w:rsid w:val="007B637F"/>
    <w:rsid w:val="007B651C"/>
    <w:rsid w:val="007B680C"/>
    <w:rsid w:val="007B6B71"/>
    <w:rsid w:val="007B6DF8"/>
    <w:rsid w:val="007B6FEA"/>
    <w:rsid w:val="007B71B9"/>
    <w:rsid w:val="007B72B8"/>
    <w:rsid w:val="007B7384"/>
    <w:rsid w:val="007B7491"/>
    <w:rsid w:val="007B7597"/>
    <w:rsid w:val="007B7A58"/>
    <w:rsid w:val="007B7E85"/>
    <w:rsid w:val="007C0CC1"/>
    <w:rsid w:val="007C0EF4"/>
    <w:rsid w:val="007C0FF4"/>
    <w:rsid w:val="007C108F"/>
    <w:rsid w:val="007C1435"/>
    <w:rsid w:val="007C1457"/>
    <w:rsid w:val="007C1573"/>
    <w:rsid w:val="007C17B1"/>
    <w:rsid w:val="007C1838"/>
    <w:rsid w:val="007C1DD4"/>
    <w:rsid w:val="007C1E14"/>
    <w:rsid w:val="007C21B5"/>
    <w:rsid w:val="007C22AC"/>
    <w:rsid w:val="007C2538"/>
    <w:rsid w:val="007C2654"/>
    <w:rsid w:val="007C2D70"/>
    <w:rsid w:val="007C2E20"/>
    <w:rsid w:val="007C306B"/>
    <w:rsid w:val="007C317D"/>
    <w:rsid w:val="007C3AB0"/>
    <w:rsid w:val="007C4B60"/>
    <w:rsid w:val="007C4CF4"/>
    <w:rsid w:val="007C535E"/>
    <w:rsid w:val="007C53B6"/>
    <w:rsid w:val="007C5739"/>
    <w:rsid w:val="007C5969"/>
    <w:rsid w:val="007C631B"/>
    <w:rsid w:val="007C6AD9"/>
    <w:rsid w:val="007C6BDA"/>
    <w:rsid w:val="007C7072"/>
    <w:rsid w:val="007C72B3"/>
    <w:rsid w:val="007C7F37"/>
    <w:rsid w:val="007D057D"/>
    <w:rsid w:val="007D092C"/>
    <w:rsid w:val="007D0A41"/>
    <w:rsid w:val="007D0F9F"/>
    <w:rsid w:val="007D10BA"/>
    <w:rsid w:val="007D1340"/>
    <w:rsid w:val="007D1BFE"/>
    <w:rsid w:val="007D1FC0"/>
    <w:rsid w:val="007D2000"/>
    <w:rsid w:val="007D2522"/>
    <w:rsid w:val="007D265D"/>
    <w:rsid w:val="007D2BC6"/>
    <w:rsid w:val="007D2D24"/>
    <w:rsid w:val="007D3006"/>
    <w:rsid w:val="007D3013"/>
    <w:rsid w:val="007D37BA"/>
    <w:rsid w:val="007D3ADF"/>
    <w:rsid w:val="007D3BF9"/>
    <w:rsid w:val="007D3C15"/>
    <w:rsid w:val="007D3D77"/>
    <w:rsid w:val="007D3F2A"/>
    <w:rsid w:val="007D3F60"/>
    <w:rsid w:val="007D5341"/>
    <w:rsid w:val="007D5789"/>
    <w:rsid w:val="007D5CC8"/>
    <w:rsid w:val="007D610D"/>
    <w:rsid w:val="007D6168"/>
    <w:rsid w:val="007D63CD"/>
    <w:rsid w:val="007D66F4"/>
    <w:rsid w:val="007D6938"/>
    <w:rsid w:val="007D6BFF"/>
    <w:rsid w:val="007D769F"/>
    <w:rsid w:val="007D780D"/>
    <w:rsid w:val="007D7AD4"/>
    <w:rsid w:val="007D7FF9"/>
    <w:rsid w:val="007E0309"/>
    <w:rsid w:val="007E036E"/>
    <w:rsid w:val="007E0380"/>
    <w:rsid w:val="007E0699"/>
    <w:rsid w:val="007E0F08"/>
    <w:rsid w:val="007E1000"/>
    <w:rsid w:val="007E132F"/>
    <w:rsid w:val="007E15F2"/>
    <w:rsid w:val="007E1634"/>
    <w:rsid w:val="007E2019"/>
    <w:rsid w:val="007E24B1"/>
    <w:rsid w:val="007E283C"/>
    <w:rsid w:val="007E2F4C"/>
    <w:rsid w:val="007E346E"/>
    <w:rsid w:val="007E3C22"/>
    <w:rsid w:val="007E41F8"/>
    <w:rsid w:val="007E42F8"/>
    <w:rsid w:val="007E46F1"/>
    <w:rsid w:val="007E4BC4"/>
    <w:rsid w:val="007E4BD2"/>
    <w:rsid w:val="007E5BC4"/>
    <w:rsid w:val="007E5CB5"/>
    <w:rsid w:val="007E5E61"/>
    <w:rsid w:val="007E64F3"/>
    <w:rsid w:val="007E68D4"/>
    <w:rsid w:val="007E6E5F"/>
    <w:rsid w:val="007F00B0"/>
    <w:rsid w:val="007F0169"/>
    <w:rsid w:val="007F05E2"/>
    <w:rsid w:val="007F0E76"/>
    <w:rsid w:val="007F11CC"/>
    <w:rsid w:val="007F13CD"/>
    <w:rsid w:val="007F1604"/>
    <w:rsid w:val="007F1AFB"/>
    <w:rsid w:val="007F1D88"/>
    <w:rsid w:val="007F23A1"/>
    <w:rsid w:val="007F245A"/>
    <w:rsid w:val="007F264E"/>
    <w:rsid w:val="007F2910"/>
    <w:rsid w:val="007F2B66"/>
    <w:rsid w:val="007F3661"/>
    <w:rsid w:val="007F373E"/>
    <w:rsid w:val="007F378A"/>
    <w:rsid w:val="007F3A7B"/>
    <w:rsid w:val="007F3A7F"/>
    <w:rsid w:val="007F3BDE"/>
    <w:rsid w:val="007F43A5"/>
    <w:rsid w:val="007F4708"/>
    <w:rsid w:val="007F4E92"/>
    <w:rsid w:val="007F4F8E"/>
    <w:rsid w:val="007F5756"/>
    <w:rsid w:val="007F578A"/>
    <w:rsid w:val="007F5830"/>
    <w:rsid w:val="007F5A28"/>
    <w:rsid w:val="007F6026"/>
    <w:rsid w:val="007F683A"/>
    <w:rsid w:val="007F716F"/>
    <w:rsid w:val="007F7E97"/>
    <w:rsid w:val="007F7F71"/>
    <w:rsid w:val="00800003"/>
    <w:rsid w:val="008001A7"/>
    <w:rsid w:val="00800954"/>
    <w:rsid w:val="00801393"/>
    <w:rsid w:val="00801BEE"/>
    <w:rsid w:val="00801EBF"/>
    <w:rsid w:val="00801EF0"/>
    <w:rsid w:val="00802323"/>
    <w:rsid w:val="00802919"/>
    <w:rsid w:val="00802E9B"/>
    <w:rsid w:val="00802F88"/>
    <w:rsid w:val="00802FC5"/>
    <w:rsid w:val="008030EB"/>
    <w:rsid w:val="008033B3"/>
    <w:rsid w:val="00803456"/>
    <w:rsid w:val="008034AF"/>
    <w:rsid w:val="00803A83"/>
    <w:rsid w:val="00803E21"/>
    <w:rsid w:val="008043BD"/>
    <w:rsid w:val="00804C6D"/>
    <w:rsid w:val="00804D19"/>
    <w:rsid w:val="00804D9C"/>
    <w:rsid w:val="00805164"/>
    <w:rsid w:val="008051D0"/>
    <w:rsid w:val="008052B0"/>
    <w:rsid w:val="00805625"/>
    <w:rsid w:val="00805957"/>
    <w:rsid w:val="00805B71"/>
    <w:rsid w:val="00805D10"/>
    <w:rsid w:val="0080621A"/>
    <w:rsid w:val="00806499"/>
    <w:rsid w:val="0080699C"/>
    <w:rsid w:val="00806C30"/>
    <w:rsid w:val="00806E0E"/>
    <w:rsid w:val="0080783E"/>
    <w:rsid w:val="0080786D"/>
    <w:rsid w:val="008079B8"/>
    <w:rsid w:val="00807B90"/>
    <w:rsid w:val="008109BB"/>
    <w:rsid w:val="00810C43"/>
    <w:rsid w:val="00811B94"/>
    <w:rsid w:val="00811E9F"/>
    <w:rsid w:val="00812835"/>
    <w:rsid w:val="0081293E"/>
    <w:rsid w:val="00812C9C"/>
    <w:rsid w:val="0081306E"/>
    <w:rsid w:val="00813113"/>
    <w:rsid w:val="008135E9"/>
    <w:rsid w:val="008135EC"/>
    <w:rsid w:val="0081393A"/>
    <w:rsid w:val="00813948"/>
    <w:rsid w:val="00814343"/>
    <w:rsid w:val="008146CC"/>
    <w:rsid w:val="00814FDC"/>
    <w:rsid w:val="008151D7"/>
    <w:rsid w:val="00815465"/>
    <w:rsid w:val="008159F0"/>
    <w:rsid w:val="00815D99"/>
    <w:rsid w:val="008164D1"/>
    <w:rsid w:val="0081690C"/>
    <w:rsid w:val="00816E7A"/>
    <w:rsid w:val="00817082"/>
    <w:rsid w:val="008172A7"/>
    <w:rsid w:val="008179C9"/>
    <w:rsid w:val="008179F1"/>
    <w:rsid w:val="00817A68"/>
    <w:rsid w:val="00817BF0"/>
    <w:rsid w:val="00817C4D"/>
    <w:rsid w:val="00817E9A"/>
    <w:rsid w:val="00820256"/>
    <w:rsid w:val="00820935"/>
    <w:rsid w:val="00821B56"/>
    <w:rsid w:val="00822753"/>
    <w:rsid w:val="00822AAE"/>
    <w:rsid w:val="00822C42"/>
    <w:rsid w:val="008234C5"/>
    <w:rsid w:val="00823FFE"/>
    <w:rsid w:val="00824049"/>
    <w:rsid w:val="008240BA"/>
    <w:rsid w:val="008248F7"/>
    <w:rsid w:val="00824C6A"/>
    <w:rsid w:val="00824FC6"/>
    <w:rsid w:val="0082515B"/>
    <w:rsid w:val="00825232"/>
    <w:rsid w:val="00825278"/>
    <w:rsid w:val="008252DC"/>
    <w:rsid w:val="00825462"/>
    <w:rsid w:val="008255A5"/>
    <w:rsid w:val="00825CE1"/>
    <w:rsid w:val="00825DE8"/>
    <w:rsid w:val="00826770"/>
    <w:rsid w:val="00826BB7"/>
    <w:rsid w:val="00826EF3"/>
    <w:rsid w:val="00827079"/>
    <w:rsid w:val="0082718B"/>
    <w:rsid w:val="00827B53"/>
    <w:rsid w:val="00827C4E"/>
    <w:rsid w:val="00827E43"/>
    <w:rsid w:val="008306BD"/>
    <w:rsid w:val="008317D5"/>
    <w:rsid w:val="0083195D"/>
    <w:rsid w:val="00831A80"/>
    <w:rsid w:val="00831B92"/>
    <w:rsid w:val="00831EAC"/>
    <w:rsid w:val="008321F5"/>
    <w:rsid w:val="00832661"/>
    <w:rsid w:val="00833743"/>
    <w:rsid w:val="008339C8"/>
    <w:rsid w:val="00833BED"/>
    <w:rsid w:val="008340A4"/>
    <w:rsid w:val="00834256"/>
    <w:rsid w:val="00834562"/>
    <w:rsid w:val="008347DD"/>
    <w:rsid w:val="00834A03"/>
    <w:rsid w:val="00834B83"/>
    <w:rsid w:val="00834C68"/>
    <w:rsid w:val="00834CBD"/>
    <w:rsid w:val="00834CE1"/>
    <w:rsid w:val="00834F98"/>
    <w:rsid w:val="008354B1"/>
    <w:rsid w:val="008354B5"/>
    <w:rsid w:val="00835695"/>
    <w:rsid w:val="00835CF7"/>
    <w:rsid w:val="00835FB5"/>
    <w:rsid w:val="00836236"/>
    <w:rsid w:val="0083638A"/>
    <w:rsid w:val="008368A4"/>
    <w:rsid w:val="00836C0C"/>
    <w:rsid w:val="00837392"/>
    <w:rsid w:val="0083754D"/>
    <w:rsid w:val="008379DA"/>
    <w:rsid w:val="00837DB2"/>
    <w:rsid w:val="008401D1"/>
    <w:rsid w:val="008401EC"/>
    <w:rsid w:val="008405D1"/>
    <w:rsid w:val="00840E25"/>
    <w:rsid w:val="00840F72"/>
    <w:rsid w:val="0084181F"/>
    <w:rsid w:val="00841ABE"/>
    <w:rsid w:val="00841F11"/>
    <w:rsid w:val="00841FF9"/>
    <w:rsid w:val="008420D5"/>
    <w:rsid w:val="0084214A"/>
    <w:rsid w:val="00842478"/>
    <w:rsid w:val="008425D8"/>
    <w:rsid w:val="00842AD6"/>
    <w:rsid w:val="00844558"/>
    <w:rsid w:val="00844AA7"/>
    <w:rsid w:val="00844C7F"/>
    <w:rsid w:val="00844EA4"/>
    <w:rsid w:val="00845401"/>
    <w:rsid w:val="00845B35"/>
    <w:rsid w:val="00846302"/>
    <w:rsid w:val="008463E2"/>
    <w:rsid w:val="00846602"/>
    <w:rsid w:val="00846D0C"/>
    <w:rsid w:val="0084701B"/>
    <w:rsid w:val="00847338"/>
    <w:rsid w:val="00847CEB"/>
    <w:rsid w:val="00850AB0"/>
    <w:rsid w:val="00850F36"/>
    <w:rsid w:val="00851099"/>
    <w:rsid w:val="008511DB"/>
    <w:rsid w:val="00851ACD"/>
    <w:rsid w:val="00851B87"/>
    <w:rsid w:val="00852B9F"/>
    <w:rsid w:val="00853BE9"/>
    <w:rsid w:val="00853CF4"/>
    <w:rsid w:val="008545B8"/>
    <w:rsid w:val="00854633"/>
    <w:rsid w:val="0085479A"/>
    <w:rsid w:val="00854814"/>
    <w:rsid w:val="00854C6A"/>
    <w:rsid w:val="00855557"/>
    <w:rsid w:val="00855B27"/>
    <w:rsid w:val="00855DFC"/>
    <w:rsid w:val="0085629E"/>
    <w:rsid w:val="00856C3E"/>
    <w:rsid w:val="00856D98"/>
    <w:rsid w:val="00857001"/>
    <w:rsid w:val="00857E2B"/>
    <w:rsid w:val="008603DA"/>
    <w:rsid w:val="0086042E"/>
    <w:rsid w:val="00860B65"/>
    <w:rsid w:val="00860C88"/>
    <w:rsid w:val="00860E08"/>
    <w:rsid w:val="00860E3A"/>
    <w:rsid w:val="00860E8C"/>
    <w:rsid w:val="00860F63"/>
    <w:rsid w:val="008610CF"/>
    <w:rsid w:val="008611BD"/>
    <w:rsid w:val="00861831"/>
    <w:rsid w:val="00861839"/>
    <w:rsid w:val="00861A14"/>
    <w:rsid w:val="00861B91"/>
    <w:rsid w:val="00861F5F"/>
    <w:rsid w:val="00862701"/>
    <w:rsid w:val="0086293E"/>
    <w:rsid w:val="00862A04"/>
    <w:rsid w:val="00862A37"/>
    <w:rsid w:val="00862CE7"/>
    <w:rsid w:val="00862CF2"/>
    <w:rsid w:val="00862DB6"/>
    <w:rsid w:val="00863077"/>
    <w:rsid w:val="008630BB"/>
    <w:rsid w:val="008633DE"/>
    <w:rsid w:val="0086355C"/>
    <w:rsid w:val="00863610"/>
    <w:rsid w:val="008636F0"/>
    <w:rsid w:val="00863E8E"/>
    <w:rsid w:val="00863F3F"/>
    <w:rsid w:val="0086491B"/>
    <w:rsid w:val="00864ED6"/>
    <w:rsid w:val="008650B2"/>
    <w:rsid w:val="008650FC"/>
    <w:rsid w:val="00865371"/>
    <w:rsid w:val="008653BE"/>
    <w:rsid w:val="008654DE"/>
    <w:rsid w:val="008656F4"/>
    <w:rsid w:val="008659E4"/>
    <w:rsid w:val="00865F5B"/>
    <w:rsid w:val="0086617E"/>
    <w:rsid w:val="00866869"/>
    <w:rsid w:val="00866B57"/>
    <w:rsid w:val="00866C5D"/>
    <w:rsid w:val="008676C9"/>
    <w:rsid w:val="008677CD"/>
    <w:rsid w:val="00867A4A"/>
    <w:rsid w:val="00867D56"/>
    <w:rsid w:val="00870390"/>
    <w:rsid w:val="00870489"/>
    <w:rsid w:val="0087135F"/>
    <w:rsid w:val="00871565"/>
    <w:rsid w:val="00871C97"/>
    <w:rsid w:val="0087217A"/>
    <w:rsid w:val="00872275"/>
    <w:rsid w:val="00872424"/>
    <w:rsid w:val="00872D94"/>
    <w:rsid w:val="00872DDB"/>
    <w:rsid w:val="00873782"/>
    <w:rsid w:val="0087391B"/>
    <w:rsid w:val="0087398D"/>
    <w:rsid w:val="00873F5B"/>
    <w:rsid w:val="00874B90"/>
    <w:rsid w:val="00874E83"/>
    <w:rsid w:val="00875976"/>
    <w:rsid w:val="0087597C"/>
    <w:rsid w:val="00875D39"/>
    <w:rsid w:val="00876392"/>
    <w:rsid w:val="0087649F"/>
    <w:rsid w:val="008765CD"/>
    <w:rsid w:val="008766A5"/>
    <w:rsid w:val="00876823"/>
    <w:rsid w:val="00876ECC"/>
    <w:rsid w:val="00877616"/>
    <w:rsid w:val="00877961"/>
    <w:rsid w:val="00877A6B"/>
    <w:rsid w:val="00880364"/>
    <w:rsid w:val="008803E7"/>
    <w:rsid w:val="00880C5E"/>
    <w:rsid w:val="00880D6E"/>
    <w:rsid w:val="00880E52"/>
    <w:rsid w:val="0088162B"/>
    <w:rsid w:val="00881BDC"/>
    <w:rsid w:val="00881D11"/>
    <w:rsid w:val="00881D39"/>
    <w:rsid w:val="008820D1"/>
    <w:rsid w:val="00882322"/>
    <w:rsid w:val="00882B2E"/>
    <w:rsid w:val="008832F3"/>
    <w:rsid w:val="00883431"/>
    <w:rsid w:val="008837F8"/>
    <w:rsid w:val="008840FC"/>
    <w:rsid w:val="00884368"/>
    <w:rsid w:val="00884674"/>
    <w:rsid w:val="008847D4"/>
    <w:rsid w:val="00884D4A"/>
    <w:rsid w:val="00885485"/>
    <w:rsid w:val="00885F3F"/>
    <w:rsid w:val="0088639B"/>
    <w:rsid w:val="00886C99"/>
    <w:rsid w:val="00886D03"/>
    <w:rsid w:val="00886D3C"/>
    <w:rsid w:val="008877D0"/>
    <w:rsid w:val="00887E34"/>
    <w:rsid w:val="00890118"/>
    <w:rsid w:val="00890292"/>
    <w:rsid w:val="00890951"/>
    <w:rsid w:val="00890B70"/>
    <w:rsid w:val="00890F5A"/>
    <w:rsid w:val="008910D8"/>
    <w:rsid w:val="008914DA"/>
    <w:rsid w:val="00891592"/>
    <w:rsid w:val="00891669"/>
    <w:rsid w:val="00891900"/>
    <w:rsid w:val="00891E9E"/>
    <w:rsid w:val="0089275C"/>
    <w:rsid w:val="00892B18"/>
    <w:rsid w:val="00892EB2"/>
    <w:rsid w:val="00892F44"/>
    <w:rsid w:val="00893441"/>
    <w:rsid w:val="00893616"/>
    <w:rsid w:val="0089401F"/>
    <w:rsid w:val="008940A4"/>
    <w:rsid w:val="00894A63"/>
    <w:rsid w:val="00894FB6"/>
    <w:rsid w:val="00895312"/>
    <w:rsid w:val="008954A8"/>
    <w:rsid w:val="00895918"/>
    <w:rsid w:val="00895F09"/>
    <w:rsid w:val="00896130"/>
    <w:rsid w:val="00896320"/>
    <w:rsid w:val="00896A46"/>
    <w:rsid w:val="00896A65"/>
    <w:rsid w:val="00896B47"/>
    <w:rsid w:val="00896F19"/>
    <w:rsid w:val="00897098"/>
    <w:rsid w:val="00897215"/>
    <w:rsid w:val="0089749C"/>
    <w:rsid w:val="0089776F"/>
    <w:rsid w:val="0089799A"/>
    <w:rsid w:val="00897B02"/>
    <w:rsid w:val="008A00E3"/>
    <w:rsid w:val="008A02DD"/>
    <w:rsid w:val="008A042A"/>
    <w:rsid w:val="008A06F2"/>
    <w:rsid w:val="008A06FB"/>
    <w:rsid w:val="008A1178"/>
    <w:rsid w:val="008A137D"/>
    <w:rsid w:val="008A1407"/>
    <w:rsid w:val="008A2421"/>
    <w:rsid w:val="008A2DA9"/>
    <w:rsid w:val="008A2F68"/>
    <w:rsid w:val="008A3133"/>
    <w:rsid w:val="008A3431"/>
    <w:rsid w:val="008A38AF"/>
    <w:rsid w:val="008A3A82"/>
    <w:rsid w:val="008A444B"/>
    <w:rsid w:val="008A44D3"/>
    <w:rsid w:val="008A457A"/>
    <w:rsid w:val="008A4607"/>
    <w:rsid w:val="008A5D35"/>
    <w:rsid w:val="008A6057"/>
    <w:rsid w:val="008A60C5"/>
    <w:rsid w:val="008A6335"/>
    <w:rsid w:val="008A6435"/>
    <w:rsid w:val="008A6713"/>
    <w:rsid w:val="008A6774"/>
    <w:rsid w:val="008A70BA"/>
    <w:rsid w:val="008A7332"/>
    <w:rsid w:val="008A7894"/>
    <w:rsid w:val="008A7BA2"/>
    <w:rsid w:val="008A7BDC"/>
    <w:rsid w:val="008A7F5A"/>
    <w:rsid w:val="008B064E"/>
    <w:rsid w:val="008B0E46"/>
    <w:rsid w:val="008B1C0F"/>
    <w:rsid w:val="008B268E"/>
    <w:rsid w:val="008B26AC"/>
    <w:rsid w:val="008B29FF"/>
    <w:rsid w:val="008B2A00"/>
    <w:rsid w:val="008B2BA6"/>
    <w:rsid w:val="008B2F1E"/>
    <w:rsid w:val="008B32B0"/>
    <w:rsid w:val="008B342A"/>
    <w:rsid w:val="008B380C"/>
    <w:rsid w:val="008B3A6A"/>
    <w:rsid w:val="008B3E84"/>
    <w:rsid w:val="008B3F16"/>
    <w:rsid w:val="008B42DE"/>
    <w:rsid w:val="008B4FA6"/>
    <w:rsid w:val="008B501F"/>
    <w:rsid w:val="008B5282"/>
    <w:rsid w:val="008B5637"/>
    <w:rsid w:val="008B56B6"/>
    <w:rsid w:val="008B57DC"/>
    <w:rsid w:val="008B5846"/>
    <w:rsid w:val="008B5CAD"/>
    <w:rsid w:val="008B620C"/>
    <w:rsid w:val="008B68B8"/>
    <w:rsid w:val="008B6983"/>
    <w:rsid w:val="008B6ADA"/>
    <w:rsid w:val="008B6D16"/>
    <w:rsid w:val="008B6E1F"/>
    <w:rsid w:val="008B733C"/>
    <w:rsid w:val="008B7403"/>
    <w:rsid w:val="008B7C17"/>
    <w:rsid w:val="008C0485"/>
    <w:rsid w:val="008C064A"/>
    <w:rsid w:val="008C0A87"/>
    <w:rsid w:val="008C1012"/>
    <w:rsid w:val="008C116E"/>
    <w:rsid w:val="008C168D"/>
    <w:rsid w:val="008C178E"/>
    <w:rsid w:val="008C17E2"/>
    <w:rsid w:val="008C188B"/>
    <w:rsid w:val="008C1C1C"/>
    <w:rsid w:val="008C1C86"/>
    <w:rsid w:val="008C1E31"/>
    <w:rsid w:val="008C2061"/>
    <w:rsid w:val="008C2D01"/>
    <w:rsid w:val="008C352C"/>
    <w:rsid w:val="008C382D"/>
    <w:rsid w:val="008C40E6"/>
    <w:rsid w:val="008C48A6"/>
    <w:rsid w:val="008C49B0"/>
    <w:rsid w:val="008C4A55"/>
    <w:rsid w:val="008C4AC1"/>
    <w:rsid w:val="008C4CD6"/>
    <w:rsid w:val="008C5150"/>
    <w:rsid w:val="008C5334"/>
    <w:rsid w:val="008C53EA"/>
    <w:rsid w:val="008C5428"/>
    <w:rsid w:val="008C568B"/>
    <w:rsid w:val="008C57C5"/>
    <w:rsid w:val="008C58DF"/>
    <w:rsid w:val="008C5E3F"/>
    <w:rsid w:val="008C60AD"/>
    <w:rsid w:val="008C69AE"/>
    <w:rsid w:val="008C6FCB"/>
    <w:rsid w:val="008C758C"/>
    <w:rsid w:val="008C78EE"/>
    <w:rsid w:val="008C7923"/>
    <w:rsid w:val="008C7AC1"/>
    <w:rsid w:val="008D02E9"/>
    <w:rsid w:val="008D0318"/>
    <w:rsid w:val="008D031E"/>
    <w:rsid w:val="008D0780"/>
    <w:rsid w:val="008D0DBD"/>
    <w:rsid w:val="008D0E26"/>
    <w:rsid w:val="008D0F7A"/>
    <w:rsid w:val="008D14D9"/>
    <w:rsid w:val="008D1643"/>
    <w:rsid w:val="008D1860"/>
    <w:rsid w:val="008D1B2B"/>
    <w:rsid w:val="008D27E2"/>
    <w:rsid w:val="008D2966"/>
    <w:rsid w:val="008D29DC"/>
    <w:rsid w:val="008D2D4D"/>
    <w:rsid w:val="008D2E72"/>
    <w:rsid w:val="008D2EEC"/>
    <w:rsid w:val="008D2EF5"/>
    <w:rsid w:val="008D3BAD"/>
    <w:rsid w:val="008D3BD9"/>
    <w:rsid w:val="008D41C1"/>
    <w:rsid w:val="008D46DE"/>
    <w:rsid w:val="008D46FC"/>
    <w:rsid w:val="008D4714"/>
    <w:rsid w:val="008D4B3B"/>
    <w:rsid w:val="008D4E06"/>
    <w:rsid w:val="008D58B5"/>
    <w:rsid w:val="008D600E"/>
    <w:rsid w:val="008D607E"/>
    <w:rsid w:val="008D62A3"/>
    <w:rsid w:val="008D6372"/>
    <w:rsid w:val="008D6538"/>
    <w:rsid w:val="008D66E3"/>
    <w:rsid w:val="008D68E4"/>
    <w:rsid w:val="008D699A"/>
    <w:rsid w:val="008D69A8"/>
    <w:rsid w:val="008D6FEA"/>
    <w:rsid w:val="008D7536"/>
    <w:rsid w:val="008D76D7"/>
    <w:rsid w:val="008D7798"/>
    <w:rsid w:val="008D7926"/>
    <w:rsid w:val="008D7FD1"/>
    <w:rsid w:val="008D7FDE"/>
    <w:rsid w:val="008E00E0"/>
    <w:rsid w:val="008E03D6"/>
    <w:rsid w:val="008E04CB"/>
    <w:rsid w:val="008E0506"/>
    <w:rsid w:val="008E050D"/>
    <w:rsid w:val="008E067B"/>
    <w:rsid w:val="008E0BE6"/>
    <w:rsid w:val="008E0CFF"/>
    <w:rsid w:val="008E1144"/>
    <w:rsid w:val="008E167C"/>
    <w:rsid w:val="008E1914"/>
    <w:rsid w:val="008E1EFC"/>
    <w:rsid w:val="008E246B"/>
    <w:rsid w:val="008E2572"/>
    <w:rsid w:val="008E257B"/>
    <w:rsid w:val="008E2BAB"/>
    <w:rsid w:val="008E309D"/>
    <w:rsid w:val="008E33F7"/>
    <w:rsid w:val="008E3819"/>
    <w:rsid w:val="008E3C11"/>
    <w:rsid w:val="008E401B"/>
    <w:rsid w:val="008E415C"/>
    <w:rsid w:val="008E41B3"/>
    <w:rsid w:val="008E435A"/>
    <w:rsid w:val="008E44CB"/>
    <w:rsid w:val="008E47C5"/>
    <w:rsid w:val="008E4E5E"/>
    <w:rsid w:val="008E507D"/>
    <w:rsid w:val="008E5CE4"/>
    <w:rsid w:val="008E5D6B"/>
    <w:rsid w:val="008E5EC3"/>
    <w:rsid w:val="008E6158"/>
    <w:rsid w:val="008E61F6"/>
    <w:rsid w:val="008E6623"/>
    <w:rsid w:val="008E6714"/>
    <w:rsid w:val="008E67ED"/>
    <w:rsid w:val="008E6FB0"/>
    <w:rsid w:val="008E76F0"/>
    <w:rsid w:val="008E7D05"/>
    <w:rsid w:val="008E7F04"/>
    <w:rsid w:val="008E7F51"/>
    <w:rsid w:val="008F00D5"/>
    <w:rsid w:val="008F0156"/>
    <w:rsid w:val="008F03E2"/>
    <w:rsid w:val="008F0526"/>
    <w:rsid w:val="008F0617"/>
    <w:rsid w:val="008F06F1"/>
    <w:rsid w:val="008F0CD5"/>
    <w:rsid w:val="008F15FE"/>
    <w:rsid w:val="008F187A"/>
    <w:rsid w:val="008F1AAC"/>
    <w:rsid w:val="008F1CDD"/>
    <w:rsid w:val="008F1EDB"/>
    <w:rsid w:val="008F1F05"/>
    <w:rsid w:val="008F220B"/>
    <w:rsid w:val="008F29F4"/>
    <w:rsid w:val="008F2D29"/>
    <w:rsid w:val="008F3890"/>
    <w:rsid w:val="008F398B"/>
    <w:rsid w:val="008F3DA0"/>
    <w:rsid w:val="008F41BD"/>
    <w:rsid w:val="008F46F0"/>
    <w:rsid w:val="008F4A79"/>
    <w:rsid w:val="008F4F29"/>
    <w:rsid w:val="008F5187"/>
    <w:rsid w:val="008F547B"/>
    <w:rsid w:val="008F5749"/>
    <w:rsid w:val="008F5DAE"/>
    <w:rsid w:val="008F5E4E"/>
    <w:rsid w:val="008F5EE7"/>
    <w:rsid w:val="008F60D8"/>
    <w:rsid w:val="008F6680"/>
    <w:rsid w:val="008F6755"/>
    <w:rsid w:val="008F73EE"/>
    <w:rsid w:val="008F7AE6"/>
    <w:rsid w:val="008F7B39"/>
    <w:rsid w:val="008F7C4E"/>
    <w:rsid w:val="008F7FEF"/>
    <w:rsid w:val="00900B2F"/>
    <w:rsid w:val="0090138D"/>
    <w:rsid w:val="0090147B"/>
    <w:rsid w:val="00901BCC"/>
    <w:rsid w:val="0090240B"/>
    <w:rsid w:val="00902727"/>
    <w:rsid w:val="009029AC"/>
    <w:rsid w:val="00902BA6"/>
    <w:rsid w:val="00902BD2"/>
    <w:rsid w:val="00902EBC"/>
    <w:rsid w:val="0090312B"/>
    <w:rsid w:val="00903181"/>
    <w:rsid w:val="009031D5"/>
    <w:rsid w:val="0090342C"/>
    <w:rsid w:val="00903512"/>
    <w:rsid w:val="0090373D"/>
    <w:rsid w:val="00903B4D"/>
    <w:rsid w:val="00904029"/>
    <w:rsid w:val="0090425B"/>
    <w:rsid w:val="009046EB"/>
    <w:rsid w:val="009049E1"/>
    <w:rsid w:val="009052F6"/>
    <w:rsid w:val="00905815"/>
    <w:rsid w:val="009058AB"/>
    <w:rsid w:val="00905C9A"/>
    <w:rsid w:val="009061CE"/>
    <w:rsid w:val="00906599"/>
    <w:rsid w:val="009065A8"/>
    <w:rsid w:val="009067D6"/>
    <w:rsid w:val="009069A4"/>
    <w:rsid w:val="00906AFD"/>
    <w:rsid w:val="00907770"/>
    <w:rsid w:val="009079D6"/>
    <w:rsid w:val="00907E90"/>
    <w:rsid w:val="00910219"/>
    <w:rsid w:val="00910331"/>
    <w:rsid w:val="00910402"/>
    <w:rsid w:val="00910A5C"/>
    <w:rsid w:val="00910EE7"/>
    <w:rsid w:val="009112D6"/>
    <w:rsid w:val="009123A1"/>
    <w:rsid w:val="009126DA"/>
    <w:rsid w:val="00912851"/>
    <w:rsid w:val="00912B1E"/>
    <w:rsid w:val="00912DFA"/>
    <w:rsid w:val="0091335E"/>
    <w:rsid w:val="009134E1"/>
    <w:rsid w:val="00913755"/>
    <w:rsid w:val="00913ACA"/>
    <w:rsid w:val="00913CC2"/>
    <w:rsid w:val="009140D5"/>
    <w:rsid w:val="0091446A"/>
    <w:rsid w:val="009144C9"/>
    <w:rsid w:val="009145FB"/>
    <w:rsid w:val="009147C3"/>
    <w:rsid w:val="00914A1C"/>
    <w:rsid w:val="009151CC"/>
    <w:rsid w:val="00915BE5"/>
    <w:rsid w:val="00915F8E"/>
    <w:rsid w:val="009160ED"/>
    <w:rsid w:val="00916273"/>
    <w:rsid w:val="0091628F"/>
    <w:rsid w:val="00917357"/>
    <w:rsid w:val="0091736D"/>
    <w:rsid w:val="00917686"/>
    <w:rsid w:val="00917857"/>
    <w:rsid w:val="00917911"/>
    <w:rsid w:val="00917A9D"/>
    <w:rsid w:val="00917D41"/>
    <w:rsid w:val="00920205"/>
    <w:rsid w:val="00920237"/>
    <w:rsid w:val="00920827"/>
    <w:rsid w:val="009208E3"/>
    <w:rsid w:val="00920C34"/>
    <w:rsid w:val="00920C9F"/>
    <w:rsid w:val="00921041"/>
    <w:rsid w:val="00921613"/>
    <w:rsid w:val="00921939"/>
    <w:rsid w:val="0092213B"/>
    <w:rsid w:val="00922545"/>
    <w:rsid w:val="00922892"/>
    <w:rsid w:val="00922D96"/>
    <w:rsid w:val="00923401"/>
    <w:rsid w:val="00923612"/>
    <w:rsid w:val="009240F6"/>
    <w:rsid w:val="009244F4"/>
    <w:rsid w:val="009246F5"/>
    <w:rsid w:val="00924A2A"/>
    <w:rsid w:val="0092518B"/>
    <w:rsid w:val="00925BCA"/>
    <w:rsid w:val="00925D35"/>
    <w:rsid w:val="009261B3"/>
    <w:rsid w:val="009268F9"/>
    <w:rsid w:val="00926E85"/>
    <w:rsid w:val="00927580"/>
    <w:rsid w:val="009275DB"/>
    <w:rsid w:val="00927BCA"/>
    <w:rsid w:val="0093037A"/>
    <w:rsid w:val="00930F46"/>
    <w:rsid w:val="009312FF"/>
    <w:rsid w:val="00931A9B"/>
    <w:rsid w:val="00932937"/>
    <w:rsid w:val="0093299A"/>
    <w:rsid w:val="00932F32"/>
    <w:rsid w:val="0093358E"/>
    <w:rsid w:val="00934030"/>
    <w:rsid w:val="009349F5"/>
    <w:rsid w:val="00934C93"/>
    <w:rsid w:val="00935434"/>
    <w:rsid w:val="00935486"/>
    <w:rsid w:val="00935723"/>
    <w:rsid w:val="00935A36"/>
    <w:rsid w:val="00935B2F"/>
    <w:rsid w:val="00935CD4"/>
    <w:rsid w:val="00935D95"/>
    <w:rsid w:val="00936330"/>
    <w:rsid w:val="0093637C"/>
    <w:rsid w:val="00937BB1"/>
    <w:rsid w:val="00941370"/>
    <w:rsid w:val="0094154D"/>
    <w:rsid w:val="00941759"/>
    <w:rsid w:val="00942187"/>
    <w:rsid w:val="0094299E"/>
    <w:rsid w:val="00942A90"/>
    <w:rsid w:val="00942C29"/>
    <w:rsid w:val="00942F4A"/>
    <w:rsid w:val="0094317C"/>
    <w:rsid w:val="00943785"/>
    <w:rsid w:val="00944158"/>
    <w:rsid w:val="00944C1D"/>
    <w:rsid w:val="00944DA6"/>
    <w:rsid w:val="00944F31"/>
    <w:rsid w:val="00944FF4"/>
    <w:rsid w:val="0094527F"/>
    <w:rsid w:val="00946BB0"/>
    <w:rsid w:val="00946F6B"/>
    <w:rsid w:val="00947021"/>
    <w:rsid w:val="0094759F"/>
    <w:rsid w:val="009476E7"/>
    <w:rsid w:val="00947AAE"/>
    <w:rsid w:val="00947BA3"/>
    <w:rsid w:val="0095028F"/>
    <w:rsid w:val="009509A0"/>
    <w:rsid w:val="00950E94"/>
    <w:rsid w:val="00951260"/>
    <w:rsid w:val="009512AF"/>
    <w:rsid w:val="00951474"/>
    <w:rsid w:val="0095155F"/>
    <w:rsid w:val="00951701"/>
    <w:rsid w:val="0095194F"/>
    <w:rsid w:val="009519A2"/>
    <w:rsid w:val="00951DF1"/>
    <w:rsid w:val="00951E17"/>
    <w:rsid w:val="0095216F"/>
    <w:rsid w:val="009526F9"/>
    <w:rsid w:val="009533A0"/>
    <w:rsid w:val="009535EC"/>
    <w:rsid w:val="00953FA6"/>
    <w:rsid w:val="00954429"/>
    <w:rsid w:val="00954600"/>
    <w:rsid w:val="00954BF3"/>
    <w:rsid w:val="00954FC5"/>
    <w:rsid w:val="00955138"/>
    <w:rsid w:val="00955368"/>
    <w:rsid w:val="00956202"/>
    <w:rsid w:val="009563CE"/>
    <w:rsid w:val="009566A3"/>
    <w:rsid w:val="0095733D"/>
    <w:rsid w:val="00957572"/>
    <w:rsid w:val="009577B3"/>
    <w:rsid w:val="00960054"/>
    <w:rsid w:val="0096042C"/>
    <w:rsid w:val="0096099C"/>
    <w:rsid w:val="009614DF"/>
    <w:rsid w:val="009614FD"/>
    <w:rsid w:val="00961DDB"/>
    <w:rsid w:val="00961EC2"/>
    <w:rsid w:val="00961FAA"/>
    <w:rsid w:val="00962AF6"/>
    <w:rsid w:val="00962DF0"/>
    <w:rsid w:val="00962E2B"/>
    <w:rsid w:val="00962E95"/>
    <w:rsid w:val="00963213"/>
    <w:rsid w:val="009632DA"/>
    <w:rsid w:val="00964091"/>
    <w:rsid w:val="00964092"/>
    <w:rsid w:val="00964A9B"/>
    <w:rsid w:val="00964D63"/>
    <w:rsid w:val="009656C4"/>
    <w:rsid w:val="009660F0"/>
    <w:rsid w:val="00966569"/>
    <w:rsid w:val="00966658"/>
    <w:rsid w:val="00966708"/>
    <w:rsid w:val="00966823"/>
    <w:rsid w:val="00966AFE"/>
    <w:rsid w:val="00966D81"/>
    <w:rsid w:val="009672E8"/>
    <w:rsid w:val="009673BA"/>
    <w:rsid w:val="009677D7"/>
    <w:rsid w:val="00967826"/>
    <w:rsid w:val="00967AEA"/>
    <w:rsid w:val="00967BA5"/>
    <w:rsid w:val="009700B0"/>
    <w:rsid w:val="00970111"/>
    <w:rsid w:val="00970251"/>
    <w:rsid w:val="0097029B"/>
    <w:rsid w:val="00970F27"/>
    <w:rsid w:val="009712AD"/>
    <w:rsid w:val="00971365"/>
    <w:rsid w:val="00971523"/>
    <w:rsid w:val="00971687"/>
    <w:rsid w:val="00971F1A"/>
    <w:rsid w:val="00971FF0"/>
    <w:rsid w:val="009720D6"/>
    <w:rsid w:val="00972882"/>
    <w:rsid w:val="00972F9A"/>
    <w:rsid w:val="009736DA"/>
    <w:rsid w:val="00973E56"/>
    <w:rsid w:val="0097439A"/>
    <w:rsid w:val="009743E9"/>
    <w:rsid w:val="009748D9"/>
    <w:rsid w:val="009749AE"/>
    <w:rsid w:val="00974A11"/>
    <w:rsid w:val="009757F8"/>
    <w:rsid w:val="00975E77"/>
    <w:rsid w:val="00976325"/>
    <w:rsid w:val="00976328"/>
    <w:rsid w:val="0097635E"/>
    <w:rsid w:val="0097640A"/>
    <w:rsid w:val="0097643B"/>
    <w:rsid w:val="0097680D"/>
    <w:rsid w:val="00976ABD"/>
    <w:rsid w:val="00976C0A"/>
    <w:rsid w:val="00976CE4"/>
    <w:rsid w:val="0097728D"/>
    <w:rsid w:val="00977435"/>
    <w:rsid w:val="00977876"/>
    <w:rsid w:val="00977C99"/>
    <w:rsid w:val="009805B6"/>
    <w:rsid w:val="009809B6"/>
    <w:rsid w:val="00980D60"/>
    <w:rsid w:val="00981090"/>
    <w:rsid w:val="009811FD"/>
    <w:rsid w:val="00981562"/>
    <w:rsid w:val="00981586"/>
    <w:rsid w:val="00981788"/>
    <w:rsid w:val="00981DE6"/>
    <w:rsid w:val="00982438"/>
    <w:rsid w:val="009829BC"/>
    <w:rsid w:val="00982EC8"/>
    <w:rsid w:val="00983469"/>
    <w:rsid w:val="00983833"/>
    <w:rsid w:val="0098397B"/>
    <w:rsid w:val="009839D9"/>
    <w:rsid w:val="00983CD3"/>
    <w:rsid w:val="0098404C"/>
    <w:rsid w:val="0098411F"/>
    <w:rsid w:val="009843C8"/>
    <w:rsid w:val="009849A7"/>
    <w:rsid w:val="00984AA0"/>
    <w:rsid w:val="00984B3F"/>
    <w:rsid w:val="00984EC5"/>
    <w:rsid w:val="00985283"/>
    <w:rsid w:val="00985DE8"/>
    <w:rsid w:val="00986091"/>
    <w:rsid w:val="009868D9"/>
    <w:rsid w:val="00986BF5"/>
    <w:rsid w:val="00986DE4"/>
    <w:rsid w:val="00987099"/>
    <w:rsid w:val="0098709B"/>
    <w:rsid w:val="00987187"/>
    <w:rsid w:val="00987294"/>
    <w:rsid w:val="00987A41"/>
    <w:rsid w:val="00987C98"/>
    <w:rsid w:val="00990686"/>
    <w:rsid w:val="00991A25"/>
    <w:rsid w:val="00991B7A"/>
    <w:rsid w:val="00991C28"/>
    <w:rsid w:val="00991C98"/>
    <w:rsid w:val="00992355"/>
    <w:rsid w:val="009925AE"/>
    <w:rsid w:val="00992BC9"/>
    <w:rsid w:val="00993E56"/>
    <w:rsid w:val="009947C9"/>
    <w:rsid w:val="00994C8A"/>
    <w:rsid w:val="00994E42"/>
    <w:rsid w:val="00994EE4"/>
    <w:rsid w:val="00995307"/>
    <w:rsid w:val="009954C1"/>
    <w:rsid w:val="00995992"/>
    <w:rsid w:val="00995D54"/>
    <w:rsid w:val="00996851"/>
    <w:rsid w:val="00996AA9"/>
    <w:rsid w:val="00997025"/>
    <w:rsid w:val="009970FA"/>
    <w:rsid w:val="0099755D"/>
    <w:rsid w:val="00997E80"/>
    <w:rsid w:val="009A030D"/>
    <w:rsid w:val="009A03E5"/>
    <w:rsid w:val="009A0426"/>
    <w:rsid w:val="009A0565"/>
    <w:rsid w:val="009A0B5D"/>
    <w:rsid w:val="009A0CBD"/>
    <w:rsid w:val="009A0F3B"/>
    <w:rsid w:val="009A0FB5"/>
    <w:rsid w:val="009A100C"/>
    <w:rsid w:val="009A171D"/>
    <w:rsid w:val="009A1859"/>
    <w:rsid w:val="009A1BB4"/>
    <w:rsid w:val="009A23C4"/>
    <w:rsid w:val="009A2481"/>
    <w:rsid w:val="009A2628"/>
    <w:rsid w:val="009A2A99"/>
    <w:rsid w:val="009A2C43"/>
    <w:rsid w:val="009A2F9A"/>
    <w:rsid w:val="009A305B"/>
    <w:rsid w:val="009A31FA"/>
    <w:rsid w:val="009A3200"/>
    <w:rsid w:val="009A362E"/>
    <w:rsid w:val="009A396C"/>
    <w:rsid w:val="009A3A22"/>
    <w:rsid w:val="009A409B"/>
    <w:rsid w:val="009A4802"/>
    <w:rsid w:val="009A540E"/>
    <w:rsid w:val="009A58CC"/>
    <w:rsid w:val="009A5C68"/>
    <w:rsid w:val="009A5D10"/>
    <w:rsid w:val="009A629F"/>
    <w:rsid w:val="009A63FA"/>
    <w:rsid w:val="009A68E8"/>
    <w:rsid w:val="009A6A06"/>
    <w:rsid w:val="009A6A96"/>
    <w:rsid w:val="009A6F4C"/>
    <w:rsid w:val="009A72F7"/>
    <w:rsid w:val="009A77D1"/>
    <w:rsid w:val="009A7FF6"/>
    <w:rsid w:val="009B0212"/>
    <w:rsid w:val="009B050E"/>
    <w:rsid w:val="009B060B"/>
    <w:rsid w:val="009B0897"/>
    <w:rsid w:val="009B0CE4"/>
    <w:rsid w:val="009B1345"/>
    <w:rsid w:val="009B148E"/>
    <w:rsid w:val="009B1960"/>
    <w:rsid w:val="009B1C2A"/>
    <w:rsid w:val="009B25C5"/>
    <w:rsid w:val="009B28A1"/>
    <w:rsid w:val="009B2A35"/>
    <w:rsid w:val="009B3251"/>
    <w:rsid w:val="009B38AD"/>
    <w:rsid w:val="009B3C4F"/>
    <w:rsid w:val="009B4700"/>
    <w:rsid w:val="009B47C0"/>
    <w:rsid w:val="009B4805"/>
    <w:rsid w:val="009B4A68"/>
    <w:rsid w:val="009B562C"/>
    <w:rsid w:val="009B6253"/>
    <w:rsid w:val="009B6821"/>
    <w:rsid w:val="009B6A9C"/>
    <w:rsid w:val="009B6B32"/>
    <w:rsid w:val="009B729D"/>
    <w:rsid w:val="009B76BD"/>
    <w:rsid w:val="009B7743"/>
    <w:rsid w:val="009B7BD9"/>
    <w:rsid w:val="009B7D2C"/>
    <w:rsid w:val="009B7E0A"/>
    <w:rsid w:val="009C02EC"/>
    <w:rsid w:val="009C0EAB"/>
    <w:rsid w:val="009C21FE"/>
    <w:rsid w:val="009C225B"/>
    <w:rsid w:val="009C22CB"/>
    <w:rsid w:val="009C244D"/>
    <w:rsid w:val="009C3868"/>
    <w:rsid w:val="009C3B7B"/>
    <w:rsid w:val="009C3D56"/>
    <w:rsid w:val="009C44ED"/>
    <w:rsid w:val="009C4602"/>
    <w:rsid w:val="009C48B8"/>
    <w:rsid w:val="009C4E53"/>
    <w:rsid w:val="009C4FAC"/>
    <w:rsid w:val="009C52D9"/>
    <w:rsid w:val="009C5317"/>
    <w:rsid w:val="009C5804"/>
    <w:rsid w:val="009C58DE"/>
    <w:rsid w:val="009C596D"/>
    <w:rsid w:val="009C59C2"/>
    <w:rsid w:val="009C5A54"/>
    <w:rsid w:val="009C5BB0"/>
    <w:rsid w:val="009C602F"/>
    <w:rsid w:val="009C60EF"/>
    <w:rsid w:val="009C6C54"/>
    <w:rsid w:val="009C6E44"/>
    <w:rsid w:val="009C6FA8"/>
    <w:rsid w:val="009C6FC9"/>
    <w:rsid w:val="009C7552"/>
    <w:rsid w:val="009C79BD"/>
    <w:rsid w:val="009C7DD5"/>
    <w:rsid w:val="009C7E96"/>
    <w:rsid w:val="009D0A3E"/>
    <w:rsid w:val="009D0D01"/>
    <w:rsid w:val="009D0F52"/>
    <w:rsid w:val="009D1A1D"/>
    <w:rsid w:val="009D227D"/>
    <w:rsid w:val="009D22DE"/>
    <w:rsid w:val="009D32B6"/>
    <w:rsid w:val="009D35C0"/>
    <w:rsid w:val="009D377E"/>
    <w:rsid w:val="009D4258"/>
    <w:rsid w:val="009D4387"/>
    <w:rsid w:val="009D4658"/>
    <w:rsid w:val="009D47E8"/>
    <w:rsid w:val="009D4ADE"/>
    <w:rsid w:val="009D4C2B"/>
    <w:rsid w:val="009D4E6E"/>
    <w:rsid w:val="009D5058"/>
    <w:rsid w:val="009D5210"/>
    <w:rsid w:val="009D5758"/>
    <w:rsid w:val="009D5779"/>
    <w:rsid w:val="009D57BF"/>
    <w:rsid w:val="009D6089"/>
    <w:rsid w:val="009D612C"/>
    <w:rsid w:val="009D6504"/>
    <w:rsid w:val="009D68DC"/>
    <w:rsid w:val="009D6A83"/>
    <w:rsid w:val="009D747E"/>
    <w:rsid w:val="009D7836"/>
    <w:rsid w:val="009E017F"/>
    <w:rsid w:val="009E03EF"/>
    <w:rsid w:val="009E09FE"/>
    <w:rsid w:val="009E10D5"/>
    <w:rsid w:val="009E1236"/>
    <w:rsid w:val="009E12BA"/>
    <w:rsid w:val="009E12CB"/>
    <w:rsid w:val="009E12E2"/>
    <w:rsid w:val="009E18B7"/>
    <w:rsid w:val="009E19E3"/>
    <w:rsid w:val="009E1DBF"/>
    <w:rsid w:val="009E1FA5"/>
    <w:rsid w:val="009E207B"/>
    <w:rsid w:val="009E21EA"/>
    <w:rsid w:val="009E2223"/>
    <w:rsid w:val="009E227D"/>
    <w:rsid w:val="009E286D"/>
    <w:rsid w:val="009E28A5"/>
    <w:rsid w:val="009E2B57"/>
    <w:rsid w:val="009E339C"/>
    <w:rsid w:val="009E37CC"/>
    <w:rsid w:val="009E3A04"/>
    <w:rsid w:val="009E3C33"/>
    <w:rsid w:val="009E3C86"/>
    <w:rsid w:val="009E40EB"/>
    <w:rsid w:val="009E4707"/>
    <w:rsid w:val="009E4838"/>
    <w:rsid w:val="009E4858"/>
    <w:rsid w:val="009E4A17"/>
    <w:rsid w:val="009E4DE0"/>
    <w:rsid w:val="009E5019"/>
    <w:rsid w:val="009E5160"/>
    <w:rsid w:val="009E5641"/>
    <w:rsid w:val="009E5801"/>
    <w:rsid w:val="009E5D9F"/>
    <w:rsid w:val="009E63B3"/>
    <w:rsid w:val="009E6640"/>
    <w:rsid w:val="009E6694"/>
    <w:rsid w:val="009E69BB"/>
    <w:rsid w:val="009E6C8C"/>
    <w:rsid w:val="009E72F4"/>
    <w:rsid w:val="009E7402"/>
    <w:rsid w:val="009E7A00"/>
    <w:rsid w:val="009E7B99"/>
    <w:rsid w:val="009E7BD0"/>
    <w:rsid w:val="009F0820"/>
    <w:rsid w:val="009F0C45"/>
    <w:rsid w:val="009F0D9C"/>
    <w:rsid w:val="009F0F29"/>
    <w:rsid w:val="009F0FFA"/>
    <w:rsid w:val="009F107C"/>
    <w:rsid w:val="009F10A5"/>
    <w:rsid w:val="009F121B"/>
    <w:rsid w:val="009F12B2"/>
    <w:rsid w:val="009F1695"/>
    <w:rsid w:val="009F23A3"/>
    <w:rsid w:val="009F24CA"/>
    <w:rsid w:val="009F24E1"/>
    <w:rsid w:val="009F2559"/>
    <w:rsid w:val="009F269F"/>
    <w:rsid w:val="009F26DB"/>
    <w:rsid w:val="009F2EEF"/>
    <w:rsid w:val="009F30BB"/>
    <w:rsid w:val="009F37F1"/>
    <w:rsid w:val="009F3836"/>
    <w:rsid w:val="009F3CCF"/>
    <w:rsid w:val="009F4545"/>
    <w:rsid w:val="009F4A5A"/>
    <w:rsid w:val="009F4B76"/>
    <w:rsid w:val="009F4F96"/>
    <w:rsid w:val="009F516D"/>
    <w:rsid w:val="009F54B9"/>
    <w:rsid w:val="009F565F"/>
    <w:rsid w:val="009F5959"/>
    <w:rsid w:val="009F62B9"/>
    <w:rsid w:val="009F6A4A"/>
    <w:rsid w:val="009F6DA8"/>
    <w:rsid w:val="009F71BF"/>
    <w:rsid w:val="009F78C2"/>
    <w:rsid w:val="009F79EC"/>
    <w:rsid w:val="009F7F9C"/>
    <w:rsid w:val="00A0042C"/>
    <w:rsid w:val="00A0096D"/>
    <w:rsid w:val="00A00AED"/>
    <w:rsid w:val="00A00D2E"/>
    <w:rsid w:val="00A00E85"/>
    <w:rsid w:val="00A00EC7"/>
    <w:rsid w:val="00A01329"/>
    <w:rsid w:val="00A0153E"/>
    <w:rsid w:val="00A01727"/>
    <w:rsid w:val="00A01C9A"/>
    <w:rsid w:val="00A01E62"/>
    <w:rsid w:val="00A01FC7"/>
    <w:rsid w:val="00A02730"/>
    <w:rsid w:val="00A030AC"/>
    <w:rsid w:val="00A037A5"/>
    <w:rsid w:val="00A0397E"/>
    <w:rsid w:val="00A03EE5"/>
    <w:rsid w:val="00A03FBB"/>
    <w:rsid w:val="00A0473E"/>
    <w:rsid w:val="00A0479C"/>
    <w:rsid w:val="00A04983"/>
    <w:rsid w:val="00A04F1B"/>
    <w:rsid w:val="00A0501B"/>
    <w:rsid w:val="00A05298"/>
    <w:rsid w:val="00A05736"/>
    <w:rsid w:val="00A05A90"/>
    <w:rsid w:val="00A05D55"/>
    <w:rsid w:val="00A062FC"/>
    <w:rsid w:val="00A06500"/>
    <w:rsid w:val="00A076AF"/>
    <w:rsid w:val="00A07747"/>
    <w:rsid w:val="00A078EB"/>
    <w:rsid w:val="00A07ACB"/>
    <w:rsid w:val="00A1025E"/>
    <w:rsid w:val="00A106BD"/>
    <w:rsid w:val="00A107A0"/>
    <w:rsid w:val="00A108A7"/>
    <w:rsid w:val="00A10B3E"/>
    <w:rsid w:val="00A1114C"/>
    <w:rsid w:val="00A113EC"/>
    <w:rsid w:val="00A1192E"/>
    <w:rsid w:val="00A11DD0"/>
    <w:rsid w:val="00A11F74"/>
    <w:rsid w:val="00A122BB"/>
    <w:rsid w:val="00A123D2"/>
    <w:rsid w:val="00A12529"/>
    <w:rsid w:val="00A129CD"/>
    <w:rsid w:val="00A12BA7"/>
    <w:rsid w:val="00A13076"/>
    <w:rsid w:val="00A132C8"/>
    <w:rsid w:val="00A13752"/>
    <w:rsid w:val="00A1386B"/>
    <w:rsid w:val="00A14695"/>
    <w:rsid w:val="00A14742"/>
    <w:rsid w:val="00A1487D"/>
    <w:rsid w:val="00A14947"/>
    <w:rsid w:val="00A149F5"/>
    <w:rsid w:val="00A14A4E"/>
    <w:rsid w:val="00A14B22"/>
    <w:rsid w:val="00A150E2"/>
    <w:rsid w:val="00A151F1"/>
    <w:rsid w:val="00A155A7"/>
    <w:rsid w:val="00A1585E"/>
    <w:rsid w:val="00A15B70"/>
    <w:rsid w:val="00A1685F"/>
    <w:rsid w:val="00A16AC2"/>
    <w:rsid w:val="00A16BAF"/>
    <w:rsid w:val="00A17649"/>
    <w:rsid w:val="00A17970"/>
    <w:rsid w:val="00A17F2A"/>
    <w:rsid w:val="00A207E6"/>
    <w:rsid w:val="00A20923"/>
    <w:rsid w:val="00A20B04"/>
    <w:rsid w:val="00A20BFE"/>
    <w:rsid w:val="00A20F01"/>
    <w:rsid w:val="00A21311"/>
    <w:rsid w:val="00A21706"/>
    <w:rsid w:val="00A21FE8"/>
    <w:rsid w:val="00A2247A"/>
    <w:rsid w:val="00A22571"/>
    <w:rsid w:val="00A22B42"/>
    <w:rsid w:val="00A22F25"/>
    <w:rsid w:val="00A24938"/>
    <w:rsid w:val="00A24981"/>
    <w:rsid w:val="00A24DF2"/>
    <w:rsid w:val="00A24DF9"/>
    <w:rsid w:val="00A25D9F"/>
    <w:rsid w:val="00A26260"/>
    <w:rsid w:val="00A26A00"/>
    <w:rsid w:val="00A26C68"/>
    <w:rsid w:val="00A27018"/>
    <w:rsid w:val="00A2711D"/>
    <w:rsid w:val="00A27286"/>
    <w:rsid w:val="00A278DF"/>
    <w:rsid w:val="00A27B58"/>
    <w:rsid w:val="00A27D4B"/>
    <w:rsid w:val="00A27DE1"/>
    <w:rsid w:val="00A30657"/>
    <w:rsid w:val="00A30C79"/>
    <w:rsid w:val="00A30EB9"/>
    <w:rsid w:val="00A31125"/>
    <w:rsid w:val="00A31B6C"/>
    <w:rsid w:val="00A31BE3"/>
    <w:rsid w:val="00A31F32"/>
    <w:rsid w:val="00A3217C"/>
    <w:rsid w:val="00A323C2"/>
    <w:rsid w:val="00A325FC"/>
    <w:rsid w:val="00A32921"/>
    <w:rsid w:val="00A329D1"/>
    <w:rsid w:val="00A32A83"/>
    <w:rsid w:val="00A32AE1"/>
    <w:rsid w:val="00A32B3F"/>
    <w:rsid w:val="00A32DEA"/>
    <w:rsid w:val="00A32E26"/>
    <w:rsid w:val="00A32F7B"/>
    <w:rsid w:val="00A32FB3"/>
    <w:rsid w:val="00A33296"/>
    <w:rsid w:val="00A333C4"/>
    <w:rsid w:val="00A3478E"/>
    <w:rsid w:val="00A35907"/>
    <w:rsid w:val="00A3603E"/>
    <w:rsid w:val="00A360E8"/>
    <w:rsid w:val="00A365CA"/>
    <w:rsid w:val="00A368DB"/>
    <w:rsid w:val="00A378D2"/>
    <w:rsid w:val="00A404CB"/>
    <w:rsid w:val="00A40A47"/>
    <w:rsid w:val="00A40F0B"/>
    <w:rsid w:val="00A41289"/>
    <w:rsid w:val="00A4139C"/>
    <w:rsid w:val="00A4171C"/>
    <w:rsid w:val="00A42069"/>
    <w:rsid w:val="00A423AA"/>
    <w:rsid w:val="00A4297A"/>
    <w:rsid w:val="00A4299B"/>
    <w:rsid w:val="00A4323F"/>
    <w:rsid w:val="00A43515"/>
    <w:rsid w:val="00A44E8C"/>
    <w:rsid w:val="00A45522"/>
    <w:rsid w:val="00A4590D"/>
    <w:rsid w:val="00A45CE3"/>
    <w:rsid w:val="00A45F92"/>
    <w:rsid w:val="00A461A6"/>
    <w:rsid w:val="00A46950"/>
    <w:rsid w:val="00A46AA9"/>
    <w:rsid w:val="00A46DCE"/>
    <w:rsid w:val="00A470E1"/>
    <w:rsid w:val="00A47417"/>
    <w:rsid w:val="00A4766C"/>
    <w:rsid w:val="00A47770"/>
    <w:rsid w:val="00A478AD"/>
    <w:rsid w:val="00A47939"/>
    <w:rsid w:val="00A47F4D"/>
    <w:rsid w:val="00A50146"/>
    <w:rsid w:val="00A501FD"/>
    <w:rsid w:val="00A50B7C"/>
    <w:rsid w:val="00A51279"/>
    <w:rsid w:val="00A5153D"/>
    <w:rsid w:val="00A51681"/>
    <w:rsid w:val="00A5186C"/>
    <w:rsid w:val="00A518BC"/>
    <w:rsid w:val="00A51AFB"/>
    <w:rsid w:val="00A521D9"/>
    <w:rsid w:val="00A5225B"/>
    <w:rsid w:val="00A52BB2"/>
    <w:rsid w:val="00A52DC4"/>
    <w:rsid w:val="00A53566"/>
    <w:rsid w:val="00A53B4D"/>
    <w:rsid w:val="00A53DC7"/>
    <w:rsid w:val="00A53EC6"/>
    <w:rsid w:val="00A546E9"/>
    <w:rsid w:val="00A54C63"/>
    <w:rsid w:val="00A5507F"/>
    <w:rsid w:val="00A55419"/>
    <w:rsid w:val="00A55C0F"/>
    <w:rsid w:val="00A55C55"/>
    <w:rsid w:val="00A55CB0"/>
    <w:rsid w:val="00A55EDA"/>
    <w:rsid w:val="00A55FAB"/>
    <w:rsid w:val="00A55FEA"/>
    <w:rsid w:val="00A562D2"/>
    <w:rsid w:val="00A56725"/>
    <w:rsid w:val="00A56C5C"/>
    <w:rsid w:val="00A56DF7"/>
    <w:rsid w:val="00A571E3"/>
    <w:rsid w:val="00A575FC"/>
    <w:rsid w:val="00A578BD"/>
    <w:rsid w:val="00A57AA4"/>
    <w:rsid w:val="00A57D2E"/>
    <w:rsid w:val="00A57F8A"/>
    <w:rsid w:val="00A601C0"/>
    <w:rsid w:val="00A601C2"/>
    <w:rsid w:val="00A603DF"/>
    <w:rsid w:val="00A605DF"/>
    <w:rsid w:val="00A60A94"/>
    <w:rsid w:val="00A60C89"/>
    <w:rsid w:val="00A60DFD"/>
    <w:rsid w:val="00A6141D"/>
    <w:rsid w:val="00A6144D"/>
    <w:rsid w:val="00A614B8"/>
    <w:rsid w:val="00A61672"/>
    <w:rsid w:val="00A6173D"/>
    <w:rsid w:val="00A61DD9"/>
    <w:rsid w:val="00A61FDB"/>
    <w:rsid w:val="00A6225B"/>
    <w:rsid w:val="00A62522"/>
    <w:rsid w:val="00A6263E"/>
    <w:rsid w:val="00A62A39"/>
    <w:rsid w:val="00A63971"/>
    <w:rsid w:val="00A63983"/>
    <w:rsid w:val="00A64409"/>
    <w:rsid w:val="00A6496C"/>
    <w:rsid w:val="00A64EC9"/>
    <w:rsid w:val="00A64F07"/>
    <w:rsid w:val="00A65084"/>
    <w:rsid w:val="00A657C6"/>
    <w:rsid w:val="00A6600F"/>
    <w:rsid w:val="00A661F4"/>
    <w:rsid w:val="00A663B3"/>
    <w:rsid w:val="00A66C8F"/>
    <w:rsid w:val="00A677AA"/>
    <w:rsid w:val="00A67B36"/>
    <w:rsid w:val="00A67D2E"/>
    <w:rsid w:val="00A67F7C"/>
    <w:rsid w:val="00A707AE"/>
    <w:rsid w:val="00A70FCE"/>
    <w:rsid w:val="00A71063"/>
    <w:rsid w:val="00A717AD"/>
    <w:rsid w:val="00A7188C"/>
    <w:rsid w:val="00A71D6A"/>
    <w:rsid w:val="00A71E61"/>
    <w:rsid w:val="00A722B7"/>
    <w:rsid w:val="00A72922"/>
    <w:rsid w:val="00A72B73"/>
    <w:rsid w:val="00A733C0"/>
    <w:rsid w:val="00A7368D"/>
    <w:rsid w:val="00A73B17"/>
    <w:rsid w:val="00A740EC"/>
    <w:rsid w:val="00A743B4"/>
    <w:rsid w:val="00A7460B"/>
    <w:rsid w:val="00A7472D"/>
    <w:rsid w:val="00A74DC2"/>
    <w:rsid w:val="00A74F43"/>
    <w:rsid w:val="00A75023"/>
    <w:rsid w:val="00A75F67"/>
    <w:rsid w:val="00A765EE"/>
    <w:rsid w:val="00A76C70"/>
    <w:rsid w:val="00A77171"/>
    <w:rsid w:val="00A77388"/>
    <w:rsid w:val="00A77813"/>
    <w:rsid w:val="00A77A8F"/>
    <w:rsid w:val="00A802BA"/>
    <w:rsid w:val="00A80760"/>
    <w:rsid w:val="00A812F6"/>
    <w:rsid w:val="00A81366"/>
    <w:rsid w:val="00A81569"/>
    <w:rsid w:val="00A817EC"/>
    <w:rsid w:val="00A8180D"/>
    <w:rsid w:val="00A81820"/>
    <w:rsid w:val="00A81857"/>
    <w:rsid w:val="00A818BA"/>
    <w:rsid w:val="00A819A5"/>
    <w:rsid w:val="00A81A14"/>
    <w:rsid w:val="00A825A8"/>
    <w:rsid w:val="00A828EC"/>
    <w:rsid w:val="00A828F9"/>
    <w:rsid w:val="00A82A70"/>
    <w:rsid w:val="00A82E03"/>
    <w:rsid w:val="00A83038"/>
    <w:rsid w:val="00A838DA"/>
    <w:rsid w:val="00A83D94"/>
    <w:rsid w:val="00A846DA"/>
    <w:rsid w:val="00A84802"/>
    <w:rsid w:val="00A84A9D"/>
    <w:rsid w:val="00A84AD1"/>
    <w:rsid w:val="00A84F1D"/>
    <w:rsid w:val="00A84FA8"/>
    <w:rsid w:val="00A85284"/>
    <w:rsid w:val="00A8532E"/>
    <w:rsid w:val="00A85429"/>
    <w:rsid w:val="00A85BD8"/>
    <w:rsid w:val="00A86DA6"/>
    <w:rsid w:val="00A8713F"/>
    <w:rsid w:val="00A875B7"/>
    <w:rsid w:val="00A877DB"/>
    <w:rsid w:val="00A87DE0"/>
    <w:rsid w:val="00A90410"/>
    <w:rsid w:val="00A90793"/>
    <w:rsid w:val="00A90BA1"/>
    <w:rsid w:val="00A90BFE"/>
    <w:rsid w:val="00A90DD8"/>
    <w:rsid w:val="00A91274"/>
    <w:rsid w:val="00A917C2"/>
    <w:rsid w:val="00A9187E"/>
    <w:rsid w:val="00A91E61"/>
    <w:rsid w:val="00A92596"/>
    <w:rsid w:val="00A928F8"/>
    <w:rsid w:val="00A92B7E"/>
    <w:rsid w:val="00A93331"/>
    <w:rsid w:val="00A93557"/>
    <w:rsid w:val="00A939F8"/>
    <w:rsid w:val="00A9435A"/>
    <w:rsid w:val="00A94FFA"/>
    <w:rsid w:val="00A95190"/>
    <w:rsid w:val="00A95662"/>
    <w:rsid w:val="00A961E5"/>
    <w:rsid w:val="00A96543"/>
    <w:rsid w:val="00A97104"/>
    <w:rsid w:val="00A973C8"/>
    <w:rsid w:val="00A9742B"/>
    <w:rsid w:val="00A9776D"/>
    <w:rsid w:val="00A97A9A"/>
    <w:rsid w:val="00A97DD9"/>
    <w:rsid w:val="00AA0363"/>
    <w:rsid w:val="00AA0671"/>
    <w:rsid w:val="00AA06F3"/>
    <w:rsid w:val="00AA0DE1"/>
    <w:rsid w:val="00AA0E7E"/>
    <w:rsid w:val="00AA0FE9"/>
    <w:rsid w:val="00AA10FF"/>
    <w:rsid w:val="00AA14E3"/>
    <w:rsid w:val="00AA18E6"/>
    <w:rsid w:val="00AA1B31"/>
    <w:rsid w:val="00AA1B4A"/>
    <w:rsid w:val="00AA1FF0"/>
    <w:rsid w:val="00AA206A"/>
    <w:rsid w:val="00AA2531"/>
    <w:rsid w:val="00AA32A8"/>
    <w:rsid w:val="00AA333F"/>
    <w:rsid w:val="00AA3344"/>
    <w:rsid w:val="00AA338C"/>
    <w:rsid w:val="00AA3453"/>
    <w:rsid w:val="00AA36B4"/>
    <w:rsid w:val="00AA3A4C"/>
    <w:rsid w:val="00AA3B09"/>
    <w:rsid w:val="00AA3C27"/>
    <w:rsid w:val="00AA3F98"/>
    <w:rsid w:val="00AA3FD9"/>
    <w:rsid w:val="00AA4243"/>
    <w:rsid w:val="00AA4FA1"/>
    <w:rsid w:val="00AA578F"/>
    <w:rsid w:val="00AA5964"/>
    <w:rsid w:val="00AA5BD6"/>
    <w:rsid w:val="00AA618F"/>
    <w:rsid w:val="00AA6678"/>
    <w:rsid w:val="00AA670B"/>
    <w:rsid w:val="00AA6E6C"/>
    <w:rsid w:val="00AA7650"/>
    <w:rsid w:val="00AA79B8"/>
    <w:rsid w:val="00AA7F1C"/>
    <w:rsid w:val="00AB01E1"/>
    <w:rsid w:val="00AB09F4"/>
    <w:rsid w:val="00AB0C67"/>
    <w:rsid w:val="00AB0D57"/>
    <w:rsid w:val="00AB1E09"/>
    <w:rsid w:val="00AB1ECE"/>
    <w:rsid w:val="00AB1EF8"/>
    <w:rsid w:val="00AB1FB0"/>
    <w:rsid w:val="00AB202B"/>
    <w:rsid w:val="00AB203C"/>
    <w:rsid w:val="00AB28E1"/>
    <w:rsid w:val="00AB2E5C"/>
    <w:rsid w:val="00AB2FD4"/>
    <w:rsid w:val="00AB352E"/>
    <w:rsid w:val="00AB4002"/>
    <w:rsid w:val="00AB463B"/>
    <w:rsid w:val="00AB4C0E"/>
    <w:rsid w:val="00AB4D62"/>
    <w:rsid w:val="00AB5108"/>
    <w:rsid w:val="00AB5286"/>
    <w:rsid w:val="00AB5330"/>
    <w:rsid w:val="00AB5725"/>
    <w:rsid w:val="00AB5B4D"/>
    <w:rsid w:val="00AB5C72"/>
    <w:rsid w:val="00AB5E33"/>
    <w:rsid w:val="00AB5EB3"/>
    <w:rsid w:val="00AB6399"/>
    <w:rsid w:val="00AB688C"/>
    <w:rsid w:val="00AB71C7"/>
    <w:rsid w:val="00AB7747"/>
    <w:rsid w:val="00AB7D3B"/>
    <w:rsid w:val="00AC052C"/>
    <w:rsid w:val="00AC138E"/>
    <w:rsid w:val="00AC14CE"/>
    <w:rsid w:val="00AC173C"/>
    <w:rsid w:val="00AC18F0"/>
    <w:rsid w:val="00AC2930"/>
    <w:rsid w:val="00AC29C7"/>
    <w:rsid w:val="00AC2A56"/>
    <w:rsid w:val="00AC2B7B"/>
    <w:rsid w:val="00AC2C26"/>
    <w:rsid w:val="00AC308F"/>
    <w:rsid w:val="00AC30C3"/>
    <w:rsid w:val="00AC32E6"/>
    <w:rsid w:val="00AC335D"/>
    <w:rsid w:val="00AC3476"/>
    <w:rsid w:val="00AC354E"/>
    <w:rsid w:val="00AC36E9"/>
    <w:rsid w:val="00AC387A"/>
    <w:rsid w:val="00AC38F1"/>
    <w:rsid w:val="00AC3B29"/>
    <w:rsid w:val="00AC3E15"/>
    <w:rsid w:val="00AC4352"/>
    <w:rsid w:val="00AC483B"/>
    <w:rsid w:val="00AC4F9E"/>
    <w:rsid w:val="00AC4FA1"/>
    <w:rsid w:val="00AC5223"/>
    <w:rsid w:val="00AC5387"/>
    <w:rsid w:val="00AC6161"/>
    <w:rsid w:val="00AC66FD"/>
    <w:rsid w:val="00AC698E"/>
    <w:rsid w:val="00AC6BDC"/>
    <w:rsid w:val="00AC6BDD"/>
    <w:rsid w:val="00AC7505"/>
    <w:rsid w:val="00AC7506"/>
    <w:rsid w:val="00AC7527"/>
    <w:rsid w:val="00AC75EF"/>
    <w:rsid w:val="00AD055E"/>
    <w:rsid w:val="00AD05D8"/>
    <w:rsid w:val="00AD0764"/>
    <w:rsid w:val="00AD0FDC"/>
    <w:rsid w:val="00AD1637"/>
    <w:rsid w:val="00AD176B"/>
    <w:rsid w:val="00AD1C32"/>
    <w:rsid w:val="00AD1D94"/>
    <w:rsid w:val="00AD26D4"/>
    <w:rsid w:val="00AD29AF"/>
    <w:rsid w:val="00AD2EBC"/>
    <w:rsid w:val="00AD31F8"/>
    <w:rsid w:val="00AD320D"/>
    <w:rsid w:val="00AD33B6"/>
    <w:rsid w:val="00AD3422"/>
    <w:rsid w:val="00AD3701"/>
    <w:rsid w:val="00AD38FE"/>
    <w:rsid w:val="00AD3B31"/>
    <w:rsid w:val="00AD3CF0"/>
    <w:rsid w:val="00AD400A"/>
    <w:rsid w:val="00AD40C9"/>
    <w:rsid w:val="00AD439C"/>
    <w:rsid w:val="00AD43F8"/>
    <w:rsid w:val="00AD4723"/>
    <w:rsid w:val="00AD47A7"/>
    <w:rsid w:val="00AD49CC"/>
    <w:rsid w:val="00AD4A47"/>
    <w:rsid w:val="00AD4ABB"/>
    <w:rsid w:val="00AD559D"/>
    <w:rsid w:val="00AD564A"/>
    <w:rsid w:val="00AD5993"/>
    <w:rsid w:val="00AD5B23"/>
    <w:rsid w:val="00AD6124"/>
    <w:rsid w:val="00AD6A33"/>
    <w:rsid w:val="00AD6A7C"/>
    <w:rsid w:val="00AD6AF4"/>
    <w:rsid w:val="00AD6F1A"/>
    <w:rsid w:val="00AD6FF8"/>
    <w:rsid w:val="00AD72A9"/>
    <w:rsid w:val="00AD7AB6"/>
    <w:rsid w:val="00AD7AD0"/>
    <w:rsid w:val="00AD7E49"/>
    <w:rsid w:val="00AE00B3"/>
    <w:rsid w:val="00AE0863"/>
    <w:rsid w:val="00AE0D11"/>
    <w:rsid w:val="00AE12A8"/>
    <w:rsid w:val="00AE1980"/>
    <w:rsid w:val="00AE1D7C"/>
    <w:rsid w:val="00AE20D1"/>
    <w:rsid w:val="00AE20DD"/>
    <w:rsid w:val="00AE283C"/>
    <w:rsid w:val="00AE2A23"/>
    <w:rsid w:val="00AE2B00"/>
    <w:rsid w:val="00AE2B56"/>
    <w:rsid w:val="00AE2C02"/>
    <w:rsid w:val="00AE2D9C"/>
    <w:rsid w:val="00AE3162"/>
    <w:rsid w:val="00AE3BC1"/>
    <w:rsid w:val="00AE4010"/>
    <w:rsid w:val="00AE40C8"/>
    <w:rsid w:val="00AE446F"/>
    <w:rsid w:val="00AE469E"/>
    <w:rsid w:val="00AE4DC4"/>
    <w:rsid w:val="00AE5043"/>
    <w:rsid w:val="00AE5495"/>
    <w:rsid w:val="00AE5979"/>
    <w:rsid w:val="00AE6307"/>
    <w:rsid w:val="00AE64EA"/>
    <w:rsid w:val="00AE6AE4"/>
    <w:rsid w:val="00AE7238"/>
    <w:rsid w:val="00AE72BD"/>
    <w:rsid w:val="00AE754E"/>
    <w:rsid w:val="00AE7794"/>
    <w:rsid w:val="00AF00E9"/>
    <w:rsid w:val="00AF07CD"/>
    <w:rsid w:val="00AF08E3"/>
    <w:rsid w:val="00AF0A8F"/>
    <w:rsid w:val="00AF0CBF"/>
    <w:rsid w:val="00AF11A3"/>
    <w:rsid w:val="00AF1519"/>
    <w:rsid w:val="00AF1884"/>
    <w:rsid w:val="00AF1E3E"/>
    <w:rsid w:val="00AF2164"/>
    <w:rsid w:val="00AF257F"/>
    <w:rsid w:val="00AF28F9"/>
    <w:rsid w:val="00AF2EDF"/>
    <w:rsid w:val="00AF31D7"/>
    <w:rsid w:val="00AF33CF"/>
    <w:rsid w:val="00AF34D2"/>
    <w:rsid w:val="00AF3714"/>
    <w:rsid w:val="00AF3793"/>
    <w:rsid w:val="00AF3BB3"/>
    <w:rsid w:val="00AF4152"/>
    <w:rsid w:val="00AF467A"/>
    <w:rsid w:val="00AF473A"/>
    <w:rsid w:val="00AF4A16"/>
    <w:rsid w:val="00AF4D50"/>
    <w:rsid w:val="00AF4DB9"/>
    <w:rsid w:val="00AF4F99"/>
    <w:rsid w:val="00AF514D"/>
    <w:rsid w:val="00AF5278"/>
    <w:rsid w:val="00AF55AC"/>
    <w:rsid w:val="00AF5939"/>
    <w:rsid w:val="00AF5A54"/>
    <w:rsid w:val="00AF5AB3"/>
    <w:rsid w:val="00AF5AFC"/>
    <w:rsid w:val="00AF6179"/>
    <w:rsid w:val="00AF655E"/>
    <w:rsid w:val="00AF7185"/>
    <w:rsid w:val="00AF7221"/>
    <w:rsid w:val="00AF78E9"/>
    <w:rsid w:val="00B000DC"/>
    <w:rsid w:val="00B00258"/>
    <w:rsid w:val="00B009B2"/>
    <w:rsid w:val="00B00FE7"/>
    <w:rsid w:val="00B01182"/>
    <w:rsid w:val="00B012FB"/>
    <w:rsid w:val="00B01C02"/>
    <w:rsid w:val="00B01F04"/>
    <w:rsid w:val="00B02F55"/>
    <w:rsid w:val="00B030CF"/>
    <w:rsid w:val="00B035AE"/>
    <w:rsid w:val="00B036A1"/>
    <w:rsid w:val="00B03B2D"/>
    <w:rsid w:val="00B0420D"/>
    <w:rsid w:val="00B04E5F"/>
    <w:rsid w:val="00B04FBE"/>
    <w:rsid w:val="00B05231"/>
    <w:rsid w:val="00B05B07"/>
    <w:rsid w:val="00B05BE0"/>
    <w:rsid w:val="00B0635D"/>
    <w:rsid w:val="00B06C13"/>
    <w:rsid w:val="00B07C66"/>
    <w:rsid w:val="00B107C1"/>
    <w:rsid w:val="00B10E60"/>
    <w:rsid w:val="00B1273A"/>
    <w:rsid w:val="00B1295A"/>
    <w:rsid w:val="00B12CE6"/>
    <w:rsid w:val="00B147CD"/>
    <w:rsid w:val="00B151CA"/>
    <w:rsid w:val="00B15B5A"/>
    <w:rsid w:val="00B15FB5"/>
    <w:rsid w:val="00B16557"/>
    <w:rsid w:val="00B16E70"/>
    <w:rsid w:val="00B16ED0"/>
    <w:rsid w:val="00B170F5"/>
    <w:rsid w:val="00B17119"/>
    <w:rsid w:val="00B173B8"/>
    <w:rsid w:val="00B17D06"/>
    <w:rsid w:val="00B17F25"/>
    <w:rsid w:val="00B200B1"/>
    <w:rsid w:val="00B20A45"/>
    <w:rsid w:val="00B20C90"/>
    <w:rsid w:val="00B20F1B"/>
    <w:rsid w:val="00B21812"/>
    <w:rsid w:val="00B21D82"/>
    <w:rsid w:val="00B21EF2"/>
    <w:rsid w:val="00B22596"/>
    <w:rsid w:val="00B2265D"/>
    <w:rsid w:val="00B227D2"/>
    <w:rsid w:val="00B22A09"/>
    <w:rsid w:val="00B22C5C"/>
    <w:rsid w:val="00B22DDD"/>
    <w:rsid w:val="00B23257"/>
    <w:rsid w:val="00B239E0"/>
    <w:rsid w:val="00B23D48"/>
    <w:rsid w:val="00B24EC0"/>
    <w:rsid w:val="00B24F30"/>
    <w:rsid w:val="00B25C3D"/>
    <w:rsid w:val="00B25E8D"/>
    <w:rsid w:val="00B26C73"/>
    <w:rsid w:val="00B27069"/>
    <w:rsid w:val="00B272D9"/>
    <w:rsid w:val="00B272FC"/>
    <w:rsid w:val="00B277C5"/>
    <w:rsid w:val="00B279F1"/>
    <w:rsid w:val="00B3024A"/>
    <w:rsid w:val="00B30588"/>
    <w:rsid w:val="00B311F1"/>
    <w:rsid w:val="00B31ABF"/>
    <w:rsid w:val="00B31C88"/>
    <w:rsid w:val="00B31CC8"/>
    <w:rsid w:val="00B3216F"/>
    <w:rsid w:val="00B32C16"/>
    <w:rsid w:val="00B3318D"/>
    <w:rsid w:val="00B332F2"/>
    <w:rsid w:val="00B33739"/>
    <w:rsid w:val="00B33AD9"/>
    <w:rsid w:val="00B33B78"/>
    <w:rsid w:val="00B33BE3"/>
    <w:rsid w:val="00B3420A"/>
    <w:rsid w:val="00B34331"/>
    <w:rsid w:val="00B345DA"/>
    <w:rsid w:val="00B34C80"/>
    <w:rsid w:val="00B34D7C"/>
    <w:rsid w:val="00B3507B"/>
    <w:rsid w:val="00B354A9"/>
    <w:rsid w:val="00B35D14"/>
    <w:rsid w:val="00B36004"/>
    <w:rsid w:val="00B36089"/>
    <w:rsid w:val="00B3616A"/>
    <w:rsid w:val="00B3621F"/>
    <w:rsid w:val="00B365DD"/>
    <w:rsid w:val="00B366B4"/>
    <w:rsid w:val="00B3672F"/>
    <w:rsid w:val="00B36A2E"/>
    <w:rsid w:val="00B372C8"/>
    <w:rsid w:val="00B37332"/>
    <w:rsid w:val="00B3733F"/>
    <w:rsid w:val="00B377E7"/>
    <w:rsid w:val="00B379EA"/>
    <w:rsid w:val="00B37B35"/>
    <w:rsid w:val="00B37BE1"/>
    <w:rsid w:val="00B37C12"/>
    <w:rsid w:val="00B37CA0"/>
    <w:rsid w:val="00B37D8C"/>
    <w:rsid w:val="00B4050E"/>
    <w:rsid w:val="00B40DE3"/>
    <w:rsid w:val="00B417EF"/>
    <w:rsid w:val="00B41BDC"/>
    <w:rsid w:val="00B41D33"/>
    <w:rsid w:val="00B41F8E"/>
    <w:rsid w:val="00B42471"/>
    <w:rsid w:val="00B425BD"/>
    <w:rsid w:val="00B42742"/>
    <w:rsid w:val="00B4278E"/>
    <w:rsid w:val="00B42C58"/>
    <w:rsid w:val="00B42C5C"/>
    <w:rsid w:val="00B4300B"/>
    <w:rsid w:val="00B431FB"/>
    <w:rsid w:val="00B43A66"/>
    <w:rsid w:val="00B43E1F"/>
    <w:rsid w:val="00B44863"/>
    <w:rsid w:val="00B45378"/>
    <w:rsid w:val="00B454A7"/>
    <w:rsid w:val="00B454B3"/>
    <w:rsid w:val="00B456EB"/>
    <w:rsid w:val="00B46033"/>
    <w:rsid w:val="00B46B29"/>
    <w:rsid w:val="00B46DA5"/>
    <w:rsid w:val="00B46DAF"/>
    <w:rsid w:val="00B46EEA"/>
    <w:rsid w:val="00B47AB7"/>
    <w:rsid w:val="00B47F26"/>
    <w:rsid w:val="00B508E1"/>
    <w:rsid w:val="00B50983"/>
    <w:rsid w:val="00B50DB5"/>
    <w:rsid w:val="00B50EE7"/>
    <w:rsid w:val="00B520F3"/>
    <w:rsid w:val="00B52394"/>
    <w:rsid w:val="00B5239C"/>
    <w:rsid w:val="00B52929"/>
    <w:rsid w:val="00B5292A"/>
    <w:rsid w:val="00B5296D"/>
    <w:rsid w:val="00B52B2C"/>
    <w:rsid w:val="00B52CC7"/>
    <w:rsid w:val="00B52D4E"/>
    <w:rsid w:val="00B5361A"/>
    <w:rsid w:val="00B537D2"/>
    <w:rsid w:val="00B53B5D"/>
    <w:rsid w:val="00B54F9E"/>
    <w:rsid w:val="00B5529C"/>
    <w:rsid w:val="00B55336"/>
    <w:rsid w:val="00B555F1"/>
    <w:rsid w:val="00B5581E"/>
    <w:rsid w:val="00B558C5"/>
    <w:rsid w:val="00B55A2D"/>
    <w:rsid w:val="00B55CB8"/>
    <w:rsid w:val="00B55DA3"/>
    <w:rsid w:val="00B55E88"/>
    <w:rsid w:val="00B5624E"/>
    <w:rsid w:val="00B567EE"/>
    <w:rsid w:val="00B56AF1"/>
    <w:rsid w:val="00B56F68"/>
    <w:rsid w:val="00B572DF"/>
    <w:rsid w:val="00B6055E"/>
    <w:rsid w:val="00B60AFF"/>
    <w:rsid w:val="00B61115"/>
    <w:rsid w:val="00B6156C"/>
    <w:rsid w:val="00B61A50"/>
    <w:rsid w:val="00B6225D"/>
    <w:rsid w:val="00B624CF"/>
    <w:rsid w:val="00B627C5"/>
    <w:rsid w:val="00B62B1E"/>
    <w:rsid w:val="00B62C3B"/>
    <w:rsid w:val="00B62CBB"/>
    <w:rsid w:val="00B6315F"/>
    <w:rsid w:val="00B6317D"/>
    <w:rsid w:val="00B6348C"/>
    <w:rsid w:val="00B63841"/>
    <w:rsid w:val="00B63C05"/>
    <w:rsid w:val="00B64165"/>
    <w:rsid w:val="00B642E4"/>
    <w:rsid w:val="00B64303"/>
    <w:rsid w:val="00B64668"/>
    <w:rsid w:val="00B64E5E"/>
    <w:rsid w:val="00B650A1"/>
    <w:rsid w:val="00B65522"/>
    <w:rsid w:val="00B65ECB"/>
    <w:rsid w:val="00B66AE8"/>
    <w:rsid w:val="00B66BA8"/>
    <w:rsid w:val="00B66BD4"/>
    <w:rsid w:val="00B66C45"/>
    <w:rsid w:val="00B66FDF"/>
    <w:rsid w:val="00B674BA"/>
    <w:rsid w:val="00B67866"/>
    <w:rsid w:val="00B67BA3"/>
    <w:rsid w:val="00B67F06"/>
    <w:rsid w:val="00B67F72"/>
    <w:rsid w:val="00B7005F"/>
    <w:rsid w:val="00B7038E"/>
    <w:rsid w:val="00B7055F"/>
    <w:rsid w:val="00B709FA"/>
    <w:rsid w:val="00B71031"/>
    <w:rsid w:val="00B7106B"/>
    <w:rsid w:val="00B7143B"/>
    <w:rsid w:val="00B716FB"/>
    <w:rsid w:val="00B71959"/>
    <w:rsid w:val="00B71C56"/>
    <w:rsid w:val="00B72724"/>
    <w:rsid w:val="00B72784"/>
    <w:rsid w:val="00B728D4"/>
    <w:rsid w:val="00B72BB5"/>
    <w:rsid w:val="00B72BD4"/>
    <w:rsid w:val="00B72C31"/>
    <w:rsid w:val="00B72CB2"/>
    <w:rsid w:val="00B72E1E"/>
    <w:rsid w:val="00B72EB6"/>
    <w:rsid w:val="00B72FCF"/>
    <w:rsid w:val="00B73915"/>
    <w:rsid w:val="00B73B02"/>
    <w:rsid w:val="00B73DF4"/>
    <w:rsid w:val="00B73E71"/>
    <w:rsid w:val="00B747CF"/>
    <w:rsid w:val="00B747F3"/>
    <w:rsid w:val="00B74A0D"/>
    <w:rsid w:val="00B74A2C"/>
    <w:rsid w:val="00B74E28"/>
    <w:rsid w:val="00B753AB"/>
    <w:rsid w:val="00B7562D"/>
    <w:rsid w:val="00B756EC"/>
    <w:rsid w:val="00B757DE"/>
    <w:rsid w:val="00B75CAB"/>
    <w:rsid w:val="00B760AA"/>
    <w:rsid w:val="00B7620B"/>
    <w:rsid w:val="00B7682C"/>
    <w:rsid w:val="00B768EE"/>
    <w:rsid w:val="00B7694B"/>
    <w:rsid w:val="00B76EE8"/>
    <w:rsid w:val="00B77187"/>
    <w:rsid w:val="00B771CE"/>
    <w:rsid w:val="00B7723F"/>
    <w:rsid w:val="00B77A78"/>
    <w:rsid w:val="00B77BC9"/>
    <w:rsid w:val="00B77DA7"/>
    <w:rsid w:val="00B80534"/>
    <w:rsid w:val="00B81C1C"/>
    <w:rsid w:val="00B81D8B"/>
    <w:rsid w:val="00B81EF5"/>
    <w:rsid w:val="00B8206C"/>
    <w:rsid w:val="00B82A59"/>
    <w:rsid w:val="00B83367"/>
    <w:rsid w:val="00B8386B"/>
    <w:rsid w:val="00B8433C"/>
    <w:rsid w:val="00B84545"/>
    <w:rsid w:val="00B846DE"/>
    <w:rsid w:val="00B847E3"/>
    <w:rsid w:val="00B84A10"/>
    <w:rsid w:val="00B84F2F"/>
    <w:rsid w:val="00B84F7E"/>
    <w:rsid w:val="00B850E9"/>
    <w:rsid w:val="00B85420"/>
    <w:rsid w:val="00B867C3"/>
    <w:rsid w:val="00B86DF7"/>
    <w:rsid w:val="00B87364"/>
    <w:rsid w:val="00B87491"/>
    <w:rsid w:val="00B90538"/>
    <w:rsid w:val="00B907F2"/>
    <w:rsid w:val="00B908C1"/>
    <w:rsid w:val="00B910A3"/>
    <w:rsid w:val="00B91321"/>
    <w:rsid w:val="00B913A1"/>
    <w:rsid w:val="00B914DC"/>
    <w:rsid w:val="00B9204D"/>
    <w:rsid w:val="00B921D2"/>
    <w:rsid w:val="00B92847"/>
    <w:rsid w:val="00B92C26"/>
    <w:rsid w:val="00B92EFE"/>
    <w:rsid w:val="00B9327A"/>
    <w:rsid w:val="00B936BD"/>
    <w:rsid w:val="00B93AAB"/>
    <w:rsid w:val="00B93ADC"/>
    <w:rsid w:val="00B94C67"/>
    <w:rsid w:val="00B94D8C"/>
    <w:rsid w:val="00B953CB"/>
    <w:rsid w:val="00B95D40"/>
    <w:rsid w:val="00B95EEA"/>
    <w:rsid w:val="00B95F60"/>
    <w:rsid w:val="00B9630E"/>
    <w:rsid w:val="00B96750"/>
    <w:rsid w:val="00B96D7A"/>
    <w:rsid w:val="00B96F42"/>
    <w:rsid w:val="00B971D3"/>
    <w:rsid w:val="00B97371"/>
    <w:rsid w:val="00B97AE8"/>
    <w:rsid w:val="00B97E1B"/>
    <w:rsid w:val="00B97EC0"/>
    <w:rsid w:val="00BA0197"/>
    <w:rsid w:val="00BA04C7"/>
    <w:rsid w:val="00BA0B3F"/>
    <w:rsid w:val="00BA1552"/>
    <w:rsid w:val="00BA15F8"/>
    <w:rsid w:val="00BA18AB"/>
    <w:rsid w:val="00BA19DB"/>
    <w:rsid w:val="00BA19DD"/>
    <w:rsid w:val="00BA1B52"/>
    <w:rsid w:val="00BA1C01"/>
    <w:rsid w:val="00BA2687"/>
    <w:rsid w:val="00BA29E9"/>
    <w:rsid w:val="00BA2ACA"/>
    <w:rsid w:val="00BA2E69"/>
    <w:rsid w:val="00BA3156"/>
    <w:rsid w:val="00BA3E2C"/>
    <w:rsid w:val="00BA5292"/>
    <w:rsid w:val="00BA59BA"/>
    <w:rsid w:val="00BA5C61"/>
    <w:rsid w:val="00BA5E4B"/>
    <w:rsid w:val="00BA5F1A"/>
    <w:rsid w:val="00BA5F36"/>
    <w:rsid w:val="00BA5F4A"/>
    <w:rsid w:val="00BA708F"/>
    <w:rsid w:val="00BA7142"/>
    <w:rsid w:val="00BA732A"/>
    <w:rsid w:val="00BA7607"/>
    <w:rsid w:val="00BA7C20"/>
    <w:rsid w:val="00BB00EA"/>
    <w:rsid w:val="00BB066B"/>
    <w:rsid w:val="00BB07D6"/>
    <w:rsid w:val="00BB11B3"/>
    <w:rsid w:val="00BB1580"/>
    <w:rsid w:val="00BB1740"/>
    <w:rsid w:val="00BB1854"/>
    <w:rsid w:val="00BB1918"/>
    <w:rsid w:val="00BB1BC7"/>
    <w:rsid w:val="00BB1D52"/>
    <w:rsid w:val="00BB1E18"/>
    <w:rsid w:val="00BB2360"/>
    <w:rsid w:val="00BB237C"/>
    <w:rsid w:val="00BB2F1E"/>
    <w:rsid w:val="00BB3103"/>
    <w:rsid w:val="00BB334F"/>
    <w:rsid w:val="00BB3C94"/>
    <w:rsid w:val="00BB3DC9"/>
    <w:rsid w:val="00BB41A3"/>
    <w:rsid w:val="00BB41E6"/>
    <w:rsid w:val="00BB46DE"/>
    <w:rsid w:val="00BB48B5"/>
    <w:rsid w:val="00BB4B29"/>
    <w:rsid w:val="00BB4B3F"/>
    <w:rsid w:val="00BB5479"/>
    <w:rsid w:val="00BB5A52"/>
    <w:rsid w:val="00BB5FA4"/>
    <w:rsid w:val="00BB605C"/>
    <w:rsid w:val="00BB652B"/>
    <w:rsid w:val="00BB67EE"/>
    <w:rsid w:val="00BB6A43"/>
    <w:rsid w:val="00BB6ED2"/>
    <w:rsid w:val="00BB6F83"/>
    <w:rsid w:val="00BB740B"/>
    <w:rsid w:val="00BB76B4"/>
    <w:rsid w:val="00BB773F"/>
    <w:rsid w:val="00BB7B97"/>
    <w:rsid w:val="00BC0510"/>
    <w:rsid w:val="00BC0FE4"/>
    <w:rsid w:val="00BC1411"/>
    <w:rsid w:val="00BC1436"/>
    <w:rsid w:val="00BC1FB2"/>
    <w:rsid w:val="00BC1FDB"/>
    <w:rsid w:val="00BC2319"/>
    <w:rsid w:val="00BC262D"/>
    <w:rsid w:val="00BC2C6A"/>
    <w:rsid w:val="00BC32D4"/>
    <w:rsid w:val="00BC32DC"/>
    <w:rsid w:val="00BC35B6"/>
    <w:rsid w:val="00BC3802"/>
    <w:rsid w:val="00BC40F6"/>
    <w:rsid w:val="00BC42C0"/>
    <w:rsid w:val="00BC42C2"/>
    <w:rsid w:val="00BC49E2"/>
    <w:rsid w:val="00BC4B94"/>
    <w:rsid w:val="00BC4E00"/>
    <w:rsid w:val="00BC4F9A"/>
    <w:rsid w:val="00BC50FE"/>
    <w:rsid w:val="00BC5653"/>
    <w:rsid w:val="00BC57FF"/>
    <w:rsid w:val="00BC584C"/>
    <w:rsid w:val="00BC58E1"/>
    <w:rsid w:val="00BC6095"/>
    <w:rsid w:val="00BC62FA"/>
    <w:rsid w:val="00BC64E2"/>
    <w:rsid w:val="00BC667F"/>
    <w:rsid w:val="00BC6A67"/>
    <w:rsid w:val="00BC6DC2"/>
    <w:rsid w:val="00BC70C4"/>
    <w:rsid w:val="00BC71C2"/>
    <w:rsid w:val="00BC72C5"/>
    <w:rsid w:val="00BC744C"/>
    <w:rsid w:val="00BC76B7"/>
    <w:rsid w:val="00BC7BC8"/>
    <w:rsid w:val="00BD02E2"/>
    <w:rsid w:val="00BD0451"/>
    <w:rsid w:val="00BD05C8"/>
    <w:rsid w:val="00BD0707"/>
    <w:rsid w:val="00BD0A64"/>
    <w:rsid w:val="00BD14CC"/>
    <w:rsid w:val="00BD186B"/>
    <w:rsid w:val="00BD193E"/>
    <w:rsid w:val="00BD1AE5"/>
    <w:rsid w:val="00BD1B51"/>
    <w:rsid w:val="00BD1FA4"/>
    <w:rsid w:val="00BD22D5"/>
    <w:rsid w:val="00BD2450"/>
    <w:rsid w:val="00BD2BC4"/>
    <w:rsid w:val="00BD2BFE"/>
    <w:rsid w:val="00BD3362"/>
    <w:rsid w:val="00BD3C84"/>
    <w:rsid w:val="00BD41C8"/>
    <w:rsid w:val="00BD4311"/>
    <w:rsid w:val="00BD4596"/>
    <w:rsid w:val="00BD4D29"/>
    <w:rsid w:val="00BD572A"/>
    <w:rsid w:val="00BD645A"/>
    <w:rsid w:val="00BD646D"/>
    <w:rsid w:val="00BD68CD"/>
    <w:rsid w:val="00BD6A22"/>
    <w:rsid w:val="00BD6CD1"/>
    <w:rsid w:val="00BD6D8E"/>
    <w:rsid w:val="00BD74B6"/>
    <w:rsid w:val="00BD7C71"/>
    <w:rsid w:val="00BE03BF"/>
    <w:rsid w:val="00BE0B09"/>
    <w:rsid w:val="00BE0DEE"/>
    <w:rsid w:val="00BE0F32"/>
    <w:rsid w:val="00BE0F80"/>
    <w:rsid w:val="00BE1405"/>
    <w:rsid w:val="00BE1E0D"/>
    <w:rsid w:val="00BE1FF1"/>
    <w:rsid w:val="00BE2026"/>
    <w:rsid w:val="00BE242E"/>
    <w:rsid w:val="00BE2674"/>
    <w:rsid w:val="00BE2B84"/>
    <w:rsid w:val="00BE2D97"/>
    <w:rsid w:val="00BE312D"/>
    <w:rsid w:val="00BE3236"/>
    <w:rsid w:val="00BE330E"/>
    <w:rsid w:val="00BE3B0A"/>
    <w:rsid w:val="00BE4132"/>
    <w:rsid w:val="00BE42E2"/>
    <w:rsid w:val="00BE4C7D"/>
    <w:rsid w:val="00BE56CC"/>
    <w:rsid w:val="00BE586C"/>
    <w:rsid w:val="00BE5C03"/>
    <w:rsid w:val="00BE5F4F"/>
    <w:rsid w:val="00BE6272"/>
    <w:rsid w:val="00BE6665"/>
    <w:rsid w:val="00BE6745"/>
    <w:rsid w:val="00BE6F7B"/>
    <w:rsid w:val="00BE7B54"/>
    <w:rsid w:val="00BF00B2"/>
    <w:rsid w:val="00BF01A3"/>
    <w:rsid w:val="00BF02EF"/>
    <w:rsid w:val="00BF047C"/>
    <w:rsid w:val="00BF07F8"/>
    <w:rsid w:val="00BF0F91"/>
    <w:rsid w:val="00BF18F0"/>
    <w:rsid w:val="00BF1C20"/>
    <w:rsid w:val="00BF2135"/>
    <w:rsid w:val="00BF255B"/>
    <w:rsid w:val="00BF2ACD"/>
    <w:rsid w:val="00BF2B7E"/>
    <w:rsid w:val="00BF34C4"/>
    <w:rsid w:val="00BF36D2"/>
    <w:rsid w:val="00BF3903"/>
    <w:rsid w:val="00BF4696"/>
    <w:rsid w:val="00BF479A"/>
    <w:rsid w:val="00BF5121"/>
    <w:rsid w:val="00BF53B9"/>
    <w:rsid w:val="00BF5AE0"/>
    <w:rsid w:val="00BF6474"/>
    <w:rsid w:val="00BF647E"/>
    <w:rsid w:val="00BF64E2"/>
    <w:rsid w:val="00BF660B"/>
    <w:rsid w:val="00BF6C89"/>
    <w:rsid w:val="00BF745B"/>
    <w:rsid w:val="00BF77E5"/>
    <w:rsid w:val="00BF7DA6"/>
    <w:rsid w:val="00C00191"/>
    <w:rsid w:val="00C0042F"/>
    <w:rsid w:val="00C00934"/>
    <w:rsid w:val="00C00FC1"/>
    <w:rsid w:val="00C017CD"/>
    <w:rsid w:val="00C01A50"/>
    <w:rsid w:val="00C01AF8"/>
    <w:rsid w:val="00C01C16"/>
    <w:rsid w:val="00C01DB0"/>
    <w:rsid w:val="00C01EB2"/>
    <w:rsid w:val="00C021FF"/>
    <w:rsid w:val="00C02356"/>
    <w:rsid w:val="00C025A3"/>
    <w:rsid w:val="00C02875"/>
    <w:rsid w:val="00C02EA1"/>
    <w:rsid w:val="00C02EDA"/>
    <w:rsid w:val="00C030B0"/>
    <w:rsid w:val="00C0352E"/>
    <w:rsid w:val="00C038A7"/>
    <w:rsid w:val="00C03997"/>
    <w:rsid w:val="00C039BB"/>
    <w:rsid w:val="00C03C6D"/>
    <w:rsid w:val="00C04156"/>
    <w:rsid w:val="00C0431E"/>
    <w:rsid w:val="00C04E16"/>
    <w:rsid w:val="00C04E82"/>
    <w:rsid w:val="00C04F2F"/>
    <w:rsid w:val="00C05075"/>
    <w:rsid w:val="00C055B7"/>
    <w:rsid w:val="00C06066"/>
    <w:rsid w:val="00C06192"/>
    <w:rsid w:val="00C061C9"/>
    <w:rsid w:val="00C061EC"/>
    <w:rsid w:val="00C06222"/>
    <w:rsid w:val="00C0629C"/>
    <w:rsid w:val="00C063FF"/>
    <w:rsid w:val="00C0787A"/>
    <w:rsid w:val="00C079F2"/>
    <w:rsid w:val="00C07B9C"/>
    <w:rsid w:val="00C07C6E"/>
    <w:rsid w:val="00C07E8D"/>
    <w:rsid w:val="00C10523"/>
    <w:rsid w:val="00C10578"/>
    <w:rsid w:val="00C10D13"/>
    <w:rsid w:val="00C11421"/>
    <w:rsid w:val="00C121B5"/>
    <w:rsid w:val="00C12522"/>
    <w:rsid w:val="00C13046"/>
    <w:rsid w:val="00C135BC"/>
    <w:rsid w:val="00C13D3C"/>
    <w:rsid w:val="00C13DBA"/>
    <w:rsid w:val="00C13EAB"/>
    <w:rsid w:val="00C14378"/>
    <w:rsid w:val="00C143B0"/>
    <w:rsid w:val="00C14CE3"/>
    <w:rsid w:val="00C14E26"/>
    <w:rsid w:val="00C1539C"/>
    <w:rsid w:val="00C15508"/>
    <w:rsid w:val="00C157A7"/>
    <w:rsid w:val="00C1592C"/>
    <w:rsid w:val="00C15A59"/>
    <w:rsid w:val="00C15C95"/>
    <w:rsid w:val="00C15E5D"/>
    <w:rsid w:val="00C15F94"/>
    <w:rsid w:val="00C161B7"/>
    <w:rsid w:val="00C1620E"/>
    <w:rsid w:val="00C16868"/>
    <w:rsid w:val="00C17657"/>
    <w:rsid w:val="00C177D7"/>
    <w:rsid w:val="00C17962"/>
    <w:rsid w:val="00C17A1C"/>
    <w:rsid w:val="00C17EB1"/>
    <w:rsid w:val="00C20172"/>
    <w:rsid w:val="00C2017C"/>
    <w:rsid w:val="00C20741"/>
    <w:rsid w:val="00C21624"/>
    <w:rsid w:val="00C21674"/>
    <w:rsid w:val="00C216B3"/>
    <w:rsid w:val="00C21F84"/>
    <w:rsid w:val="00C22482"/>
    <w:rsid w:val="00C2258A"/>
    <w:rsid w:val="00C22800"/>
    <w:rsid w:val="00C2373F"/>
    <w:rsid w:val="00C2384B"/>
    <w:rsid w:val="00C23CE9"/>
    <w:rsid w:val="00C241FF"/>
    <w:rsid w:val="00C2443B"/>
    <w:rsid w:val="00C24FD0"/>
    <w:rsid w:val="00C25133"/>
    <w:rsid w:val="00C25318"/>
    <w:rsid w:val="00C2596A"/>
    <w:rsid w:val="00C25A4C"/>
    <w:rsid w:val="00C25E68"/>
    <w:rsid w:val="00C25E9C"/>
    <w:rsid w:val="00C266E4"/>
    <w:rsid w:val="00C26B3A"/>
    <w:rsid w:val="00C2735B"/>
    <w:rsid w:val="00C27537"/>
    <w:rsid w:val="00C27F11"/>
    <w:rsid w:val="00C302FE"/>
    <w:rsid w:val="00C3031A"/>
    <w:rsid w:val="00C3057D"/>
    <w:rsid w:val="00C306CB"/>
    <w:rsid w:val="00C3083E"/>
    <w:rsid w:val="00C308B1"/>
    <w:rsid w:val="00C30CE9"/>
    <w:rsid w:val="00C3103C"/>
    <w:rsid w:val="00C313A0"/>
    <w:rsid w:val="00C31C93"/>
    <w:rsid w:val="00C321C1"/>
    <w:rsid w:val="00C32449"/>
    <w:rsid w:val="00C32826"/>
    <w:rsid w:val="00C328FE"/>
    <w:rsid w:val="00C33507"/>
    <w:rsid w:val="00C3471A"/>
    <w:rsid w:val="00C34A59"/>
    <w:rsid w:val="00C34FBE"/>
    <w:rsid w:val="00C35841"/>
    <w:rsid w:val="00C35F9A"/>
    <w:rsid w:val="00C3630F"/>
    <w:rsid w:val="00C366BD"/>
    <w:rsid w:val="00C372E7"/>
    <w:rsid w:val="00C3735E"/>
    <w:rsid w:val="00C3750C"/>
    <w:rsid w:val="00C403B0"/>
    <w:rsid w:val="00C40887"/>
    <w:rsid w:val="00C40AF7"/>
    <w:rsid w:val="00C40BE7"/>
    <w:rsid w:val="00C40FD6"/>
    <w:rsid w:val="00C41123"/>
    <w:rsid w:val="00C41568"/>
    <w:rsid w:val="00C41821"/>
    <w:rsid w:val="00C42CE3"/>
    <w:rsid w:val="00C42E26"/>
    <w:rsid w:val="00C42E43"/>
    <w:rsid w:val="00C43307"/>
    <w:rsid w:val="00C43343"/>
    <w:rsid w:val="00C4376F"/>
    <w:rsid w:val="00C4392F"/>
    <w:rsid w:val="00C43960"/>
    <w:rsid w:val="00C439DC"/>
    <w:rsid w:val="00C43AA0"/>
    <w:rsid w:val="00C43C1C"/>
    <w:rsid w:val="00C43D5F"/>
    <w:rsid w:val="00C4409D"/>
    <w:rsid w:val="00C44335"/>
    <w:rsid w:val="00C4452E"/>
    <w:rsid w:val="00C4470E"/>
    <w:rsid w:val="00C44E72"/>
    <w:rsid w:val="00C44EE2"/>
    <w:rsid w:val="00C45231"/>
    <w:rsid w:val="00C457DC"/>
    <w:rsid w:val="00C459E2"/>
    <w:rsid w:val="00C45A06"/>
    <w:rsid w:val="00C463F2"/>
    <w:rsid w:val="00C465F4"/>
    <w:rsid w:val="00C4693C"/>
    <w:rsid w:val="00C470B8"/>
    <w:rsid w:val="00C473CC"/>
    <w:rsid w:val="00C47E5B"/>
    <w:rsid w:val="00C47F1F"/>
    <w:rsid w:val="00C47F96"/>
    <w:rsid w:val="00C50004"/>
    <w:rsid w:val="00C5035A"/>
    <w:rsid w:val="00C50779"/>
    <w:rsid w:val="00C50F6A"/>
    <w:rsid w:val="00C51025"/>
    <w:rsid w:val="00C51790"/>
    <w:rsid w:val="00C517A2"/>
    <w:rsid w:val="00C51DA4"/>
    <w:rsid w:val="00C52350"/>
    <w:rsid w:val="00C52425"/>
    <w:rsid w:val="00C5252E"/>
    <w:rsid w:val="00C52801"/>
    <w:rsid w:val="00C532E2"/>
    <w:rsid w:val="00C54A22"/>
    <w:rsid w:val="00C54A9D"/>
    <w:rsid w:val="00C54B9C"/>
    <w:rsid w:val="00C54DE9"/>
    <w:rsid w:val="00C54F00"/>
    <w:rsid w:val="00C550D4"/>
    <w:rsid w:val="00C553F8"/>
    <w:rsid w:val="00C55D3C"/>
    <w:rsid w:val="00C55E8E"/>
    <w:rsid w:val="00C55F02"/>
    <w:rsid w:val="00C55F08"/>
    <w:rsid w:val="00C561E9"/>
    <w:rsid w:val="00C5665F"/>
    <w:rsid w:val="00C56D26"/>
    <w:rsid w:val="00C57D99"/>
    <w:rsid w:val="00C57EBB"/>
    <w:rsid w:val="00C60127"/>
    <w:rsid w:val="00C608E9"/>
    <w:rsid w:val="00C609FF"/>
    <w:rsid w:val="00C60B13"/>
    <w:rsid w:val="00C6123D"/>
    <w:rsid w:val="00C61457"/>
    <w:rsid w:val="00C61546"/>
    <w:rsid w:val="00C61E4B"/>
    <w:rsid w:val="00C62C9C"/>
    <w:rsid w:val="00C62CD3"/>
    <w:rsid w:val="00C62EA8"/>
    <w:rsid w:val="00C63A3A"/>
    <w:rsid w:val="00C63B9E"/>
    <w:rsid w:val="00C63FC0"/>
    <w:rsid w:val="00C64706"/>
    <w:rsid w:val="00C64838"/>
    <w:rsid w:val="00C64B4B"/>
    <w:rsid w:val="00C64BFF"/>
    <w:rsid w:val="00C65074"/>
    <w:rsid w:val="00C656DE"/>
    <w:rsid w:val="00C659B6"/>
    <w:rsid w:val="00C65EB2"/>
    <w:rsid w:val="00C66C8A"/>
    <w:rsid w:val="00C66CE3"/>
    <w:rsid w:val="00C66D9D"/>
    <w:rsid w:val="00C66FC4"/>
    <w:rsid w:val="00C670AE"/>
    <w:rsid w:val="00C67FA7"/>
    <w:rsid w:val="00C703EB"/>
    <w:rsid w:val="00C70442"/>
    <w:rsid w:val="00C704E9"/>
    <w:rsid w:val="00C70C42"/>
    <w:rsid w:val="00C70C57"/>
    <w:rsid w:val="00C7124C"/>
    <w:rsid w:val="00C7136D"/>
    <w:rsid w:val="00C71657"/>
    <w:rsid w:val="00C71B55"/>
    <w:rsid w:val="00C71E1A"/>
    <w:rsid w:val="00C72181"/>
    <w:rsid w:val="00C727EE"/>
    <w:rsid w:val="00C729CD"/>
    <w:rsid w:val="00C7301E"/>
    <w:rsid w:val="00C7319A"/>
    <w:rsid w:val="00C73862"/>
    <w:rsid w:val="00C73E5B"/>
    <w:rsid w:val="00C73EB4"/>
    <w:rsid w:val="00C74341"/>
    <w:rsid w:val="00C74593"/>
    <w:rsid w:val="00C751C5"/>
    <w:rsid w:val="00C755B0"/>
    <w:rsid w:val="00C75FD8"/>
    <w:rsid w:val="00C76213"/>
    <w:rsid w:val="00C763C9"/>
    <w:rsid w:val="00C76435"/>
    <w:rsid w:val="00C773C9"/>
    <w:rsid w:val="00C77485"/>
    <w:rsid w:val="00C80057"/>
    <w:rsid w:val="00C80492"/>
    <w:rsid w:val="00C80736"/>
    <w:rsid w:val="00C8090F"/>
    <w:rsid w:val="00C81036"/>
    <w:rsid w:val="00C816AA"/>
    <w:rsid w:val="00C82066"/>
    <w:rsid w:val="00C82102"/>
    <w:rsid w:val="00C82232"/>
    <w:rsid w:val="00C82765"/>
    <w:rsid w:val="00C82913"/>
    <w:rsid w:val="00C82A20"/>
    <w:rsid w:val="00C82AFA"/>
    <w:rsid w:val="00C830B7"/>
    <w:rsid w:val="00C8375D"/>
    <w:rsid w:val="00C837FF"/>
    <w:rsid w:val="00C83960"/>
    <w:rsid w:val="00C83BD7"/>
    <w:rsid w:val="00C83DCE"/>
    <w:rsid w:val="00C84765"/>
    <w:rsid w:val="00C84A86"/>
    <w:rsid w:val="00C85E8F"/>
    <w:rsid w:val="00C85ECD"/>
    <w:rsid w:val="00C865AC"/>
    <w:rsid w:val="00C8691C"/>
    <w:rsid w:val="00C86C5D"/>
    <w:rsid w:val="00C86F81"/>
    <w:rsid w:val="00C86FD0"/>
    <w:rsid w:val="00C87339"/>
    <w:rsid w:val="00C875AF"/>
    <w:rsid w:val="00C87E9B"/>
    <w:rsid w:val="00C90FF5"/>
    <w:rsid w:val="00C919E5"/>
    <w:rsid w:val="00C92240"/>
    <w:rsid w:val="00C92893"/>
    <w:rsid w:val="00C93425"/>
    <w:rsid w:val="00C93890"/>
    <w:rsid w:val="00C93F15"/>
    <w:rsid w:val="00C94142"/>
    <w:rsid w:val="00C94267"/>
    <w:rsid w:val="00C942E2"/>
    <w:rsid w:val="00C945E5"/>
    <w:rsid w:val="00C9559F"/>
    <w:rsid w:val="00C960EF"/>
    <w:rsid w:val="00C968A4"/>
    <w:rsid w:val="00C968ED"/>
    <w:rsid w:val="00C96A7F"/>
    <w:rsid w:val="00C96BBB"/>
    <w:rsid w:val="00C96F2A"/>
    <w:rsid w:val="00C96FE2"/>
    <w:rsid w:val="00C97042"/>
    <w:rsid w:val="00C972B1"/>
    <w:rsid w:val="00C9736E"/>
    <w:rsid w:val="00C976AA"/>
    <w:rsid w:val="00C976E5"/>
    <w:rsid w:val="00C9773A"/>
    <w:rsid w:val="00C9788F"/>
    <w:rsid w:val="00C978DE"/>
    <w:rsid w:val="00C97BB3"/>
    <w:rsid w:val="00CA07BA"/>
    <w:rsid w:val="00CA0859"/>
    <w:rsid w:val="00CA0EBA"/>
    <w:rsid w:val="00CA19A1"/>
    <w:rsid w:val="00CA1BBD"/>
    <w:rsid w:val="00CA26AC"/>
    <w:rsid w:val="00CA2CCE"/>
    <w:rsid w:val="00CA3252"/>
    <w:rsid w:val="00CA3897"/>
    <w:rsid w:val="00CA3F5A"/>
    <w:rsid w:val="00CA411C"/>
    <w:rsid w:val="00CA41EE"/>
    <w:rsid w:val="00CA43FD"/>
    <w:rsid w:val="00CA4B95"/>
    <w:rsid w:val="00CA4C53"/>
    <w:rsid w:val="00CA5377"/>
    <w:rsid w:val="00CA5414"/>
    <w:rsid w:val="00CA54FB"/>
    <w:rsid w:val="00CA5676"/>
    <w:rsid w:val="00CA5678"/>
    <w:rsid w:val="00CA5731"/>
    <w:rsid w:val="00CA58E1"/>
    <w:rsid w:val="00CA5D3C"/>
    <w:rsid w:val="00CA5D9D"/>
    <w:rsid w:val="00CA60BF"/>
    <w:rsid w:val="00CA6552"/>
    <w:rsid w:val="00CA65CA"/>
    <w:rsid w:val="00CA671B"/>
    <w:rsid w:val="00CA6A27"/>
    <w:rsid w:val="00CA7255"/>
    <w:rsid w:val="00CA74B3"/>
    <w:rsid w:val="00CA78F2"/>
    <w:rsid w:val="00CA7EF8"/>
    <w:rsid w:val="00CB00E3"/>
    <w:rsid w:val="00CB0860"/>
    <w:rsid w:val="00CB0E42"/>
    <w:rsid w:val="00CB135C"/>
    <w:rsid w:val="00CB13BD"/>
    <w:rsid w:val="00CB15CD"/>
    <w:rsid w:val="00CB1644"/>
    <w:rsid w:val="00CB2186"/>
    <w:rsid w:val="00CB2831"/>
    <w:rsid w:val="00CB30C0"/>
    <w:rsid w:val="00CB3121"/>
    <w:rsid w:val="00CB3217"/>
    <w:rsid w:val="00CB3282"/>
    <w:rsid w:val="00CB41C2"/>
    <w:rsid w:val="00CB428B"/>
    <w:rsid w:val="00CB4A62"/>
    <w:rsid w:val="00CB4BE2"/>
    <w:rsid w:val="00CB549B"/>
    <w:rsid w:val="00CB57A1"/>
    <w:rsid w:val="00CB5B86"/>
    <w:rsid w:val="00CB6011"/>
    <w:rsid w:val="00CB6260"/>
    <w:rsid w:val="00CB661B"/>
    <w:rsid w:val="00CB6E66"/>
    <w:rsid w:val="00CB7124"/>
    <w:rsid w:val="00CB72A4"/>
    <w:rsid w:val="00CB7407"/>
    <w:rsid w:val="00CB74A6"/>
    <w:rsid w:val="00CB7583"/>
    <w:rsid w:val="00CB7B22"/>
    <w:rsid w:val="00CB7B26"/>
    <w:rsid w:val="00CB7B94"/>
    <w:rsid w:val="00CB7BEA"/>
    <w:rsid w:val="00CC01F3"/>
    <w:rsid w:val="00CC045C"/>
    <w:rsid w:val="00CC0AE0"/>
    <w:rsid w:val="00CC0B48"/>
    <w:rsid w:val="00CC0CD4"/>
    <w:rsid w:val="00CC0ECE"/>
    <w:rsid w:val="00CC12E8"/>
    <w:rsid w:val="00CC16DC"/>
    <w:rsid w:val="00CC222D"/>
    <w:rsid w:val="00CC234F"/>
    <w:rsid w:val="00CC23A9"/>
    <w:rsid w:val="00CC23E7"/>
    <w:rsid w:val="00CC29E8"/>
    <w:rsid w:val="00CC2CB5"/>
    <w:rsid w:val="00CC2DBE"/>
    <w:rsid w:val="00CC3096"/>
    <w:rsid w:val="00CC315C"/>
    <w:rsid w:val="00CC368B"/>
    <w:rsid w:val="00CC36C3"/>
    <w:rsid w:val="00CC3721"/>
    <w:rsid w:val="00CC37C2"/>
    <w:rsid w:val="00CC3ACC"/>
    <w:rsid w:val="00CC3BB0"/>
    <w:rsid w:val="00CC3DAC"/>
    <w:rsid w:val="00CC3E74"/>
    <w:rsid w:val="00CC489B"/>
    <w:rsid w:val="00CC4B7E"/>
    <w:rsid w:val="00CC51E4"/>
    <w:rsid w:val="00CC594D"/>
    <w:rsid w:val="00CC5C15"/>
    <w:rsid w:val="00CC631E"/>
    <w:rsid w:val="00CC6609"/>
    <w:rsid w:val="00CC68CC"/>
    <w:rsid w:val="00CC69C2"/>
    <w:rsid w:val="00CC6D2D"/>
    <w:rsid w:val="00CC6E38"/>
    <w:rsid w:val="00CC7373"/>
    <w:rsid w:val="00CC73D9"/>
    <w:rsid w:val="00CC742A"/>
    <w:rsid w:val="00CC771A"/>
    <w:rsid w:val="00CC78F8"/>
    <w:rsid w:val="00CC7A43"/>
    <w:rsid w:val="00CC7A8A"/>
    <w:rsid w:val="00CD02C4"/>
    <w:rsid w:val="00CD050A"/>
    <w:rsid w:val="00CD0A45"/>
    <w:rsid w:val="00CD0E63"/>
    <w:rsid w:val="00CD0E7C"/>
    <w:rsid w:val="00CD1105"/>
    <w:rsid w:val="00CD15F6"/>
    <w:rsid w:val="00CD1FF9"/>
    <w:rsid w:val="00CD2684"/>
    <w:rsid w:val="00CD2BCD"/>
    <w:rsid w:val="00CD2CAD"/>
    <w:rsid w:val="00CD2FA2"/>
    <w:rsid w:val="00CD3830"/>
    <w:rsid w:val="00CD3A4C"/>
    <w:rsid w:val="00CD416F"/>
    <w:rsid w:val="00CD43AE"/>
    <w:rsid w:val="00CD4F6B"/>
    <w:rsid w:val="00CD5768"/>
    <w:rsid w:val="00CD578D"/>
    <w:rsid w:val="00CD5944"/>
    <w:rsid w:val="00CD607A"/>
    <w:rsid w:val="00CD60A0"/>
    <w:rsid w:val="00CD61CC"/>
    <w:rsid w:val="00CD7098"/>
    <w:rsid w:val="00CD717E"/>
    <w:rsid w:val="00CD741A"/>
    <w:rsid w:val="00CE044B"/>
    <w:rsid w:val="00CE064A"/>
    <w:rsid w:val="00CE10E9"/>
    <w:rsid w:val="00CE1311"/>
    <w:rsid w:val="00CE1C75"/>
    <w:rsid w:val="00CE2500"/>
    <w:rsid w:val="00CE2910"/>
    <w:rsid w:val="00CE310D"/>
    <w:rsid w:val="00CE33F5"/>
    <w:rsid w:val="00CE378A"/>
    <w:rsid w:val="00CE3C85"/>
    <w:rsid w:val="00CE44B3"/>
    <w:rsid w:val="00CE47C9"/>
    <w:rsid w:val="00CE506B"/>
    <w:rsid w:val="00CE50D6"/>
    <w:rsid w:val="00CE5121"/>
    <w:rsid w:val="00CE537F"/>
    <w:rsid w:val="00CE5393"/>
    <w:rsid w:val="00CE67FD"/>
    <w:rsid w:val="00CE6EDC"/>
    <w:rsid w:val="00CE745D"/>
    <w:rsid w:val="00CE75A8"/>
    <w:rsid w:val="00CE7A34"/>
    <w:rsid w:val="00CE7B28"/>
    <w:rsid w:val="00CF03DD"/>
    <w:rsid w:val="00CF07D5"/>
    <w:rsid w:val="00CF09D7"/>
    <w:rsid w:val="00CF0EF9"/>
    <w:rsid w:val="00CF0FCF"/>
    <w:rsid w:val="00CF10A1"/>
    <w:rsid w:val="00CF1262"/>
    <w:rsid w:val="00CF18AC"/>
    <w:rsid w:val="00CF1E3B"/>
    <w:rsid w:val="00CF20A0"/>
    <w:rsid w:val="00CF21F8"/>
    <w:rsid w:val="00CF244C"/>
    <w:rsid w:val="00CF24D1"/>
    <w:rsid w:val="00CF24DD"/>
    <w:rsid w:val="00CF2E6D"/>
    <w:rsid w:val="00CF2EE9"/>
    <w:rsid w:val="00CF2F5D"/>
    <w:rsid w:val="00CF2F71"/>
    <w:rsid w:val="00CF36BE"/>
    <w:rsid w:val="00CF3702"/>
    <w:rsid w:val="00CF4F47"/>
    <w:rsid w:val="00CF59A5"/>
    <w:rsid w:val="00CF5DA9"/>
    <w:rsid w:val="00CF5F70"/>
    <w:rsid w:val="00CF5FE0"/>
    <w:rsid w:val="00CF6000"/>
    <w:rsid w:val="00CF61C2"/>
    <w:rsid w:val="00CF636A"/>
    <w:rsid w:val="00CF6705"/>
    <w:rsid w:val="00CF6743"/>
    <w:rsid w:val="00CF6EEB"/>
    <w:rsid w:val="00CF7D5B"/>
    <w:rsid w:val="00CF7E0A"/>
    <w:rsid w:val="00D00130"/>
    <w:rsid w:val="00D00196"/>
    <w:rsid w:val="00D00314"/>
    <w:rsid w:val="00D003F3"/>
    <w:rsid w:val="00D00487"/>
    <w:rsid w:val="00D00764"/>
    <w:rsid w:val="00D00776"/>
    <w:rsid w:val="00D00786"/>
    <w:rsid w:val="00D009B3"/>
    <w:rsid w:val="00D00BDC"/>
    <w:rsid w:val="00D00D21"/>
    <w:rsid w:val="00D00DDA"/>
    <w:rsid w:val="00D00E8B"/>
    <w:rsid w:val="00D01185"/>
    <w:rsid w:val="00D014C8"/>
    <w:rsid w:val="00D01981"/>
    <w:rsid w:val="00D022C2"/>
    <w:rsid w:val="00D02BE7"/>
    <w:rsid w:val="00D02C51"/>
    <w:rsid w:val="00D02D3F"/>
    <w:rsid w:val="00D03006"/>
    <w:rsid w:val="00D0303A"/>
    <w:rsid w:val="00D0345B"/>
    <w:rsid w:val="00D035C1"/>
    <w:rsid w:val="00D0364F"/>
    <w:rsid w:val="00D03692"/>
    <w:rsid w:val="00D03FA6"/>
    <w:rsid w:val="00D04502"/>
    <w:rsid w:val="00D04E3B"/>
    <w:rsid w:val="00D04F93"/>
    <w:rsid w:val="00D050C3"/>
    <w:rsid w:val="00D05293"/>
    <w:rsid w:val="00D0539C"/>
    <w:rsid w:val="00D05B92"/>
    <w:rsid w:val="00D05F3B"/>
    <w:rsid w:val="00D06005"/>
    <w:rsid w:val="00D062BF"/>
    <w:rsid w:val="00D06497"/>
    <w:rsid w:val="00D0649F"/>
    <w:rsid w:val="00D06834"/>
    <w:rsid w:val="00D0695E"/>
    <w:rsid w:val="00D06C36"/>
    <w:rsid w:val="00D07FB7"/>
    <w:rsid w:val="00D107CD"/>
    <w:rsid w:val="00D10AD9"/>
    <w:rsid w:val="00D11007"/>
    <w:rsid w:val="00D1150B"/>
    <w:rsid w:val="00D11596"/>
    <w:rsid w:val="00D117EF"/>
    <w:rsid w:val="00D118BD"/>
    <w:rsid w:val="00D11D45"/>
    <w:rsid w:val="00D12515"/>
    <w:rsid w:val="00D12C32"/>
    <w:rsid w:val="00D12CFB"/>
    <w:rsid w:val="00D12E93"/>
    <w:rsid w:val="00D12FC4"/>
    <w:rsid w:val="00D130A8"/>
    <w:rsid w:val="00D13278"/>
    <w:rsid w:val="00D137EE"/>
    <w:rsid w:val="00D13BA4"/>
    <w:rsid w:val="00D13DE7"/>
    <w:rsid w:val="00D13FE7"/>
    <w:rsid w:val="00D1418E"/>
    <w:rsid w:val="00D147D4"/>
    <w:rsid w:val="00D14835"/>
    <w:rsid w:val="00D14E63"/>
    <w:rsid w:val="00D14F04"/>
    <w:rsid w:val="00D15355"/>
    <w:rsid w:val="00D154DA"/>
    <w:rsid w:val="00D15C45"/>
    <w:rsid w:val="00D15CB7"/>
    <w:rsid w:val="00D1609C"/>
    <w:rsid w:val="00D1675C"/>
    <w:rsid w:val="00D16DE2"/>
    <w:rsid w:val="00D16E29"/>
    <w:rsid w:val="00D179C3"/>
    <w:rsid w:val="00D17ED5"/>
    <w:rsid w:val="00D204F1"/>
    <w:rsid w:val="00D2051A"/>
    <w:rsid w:val="00D20572"/>
    <w:rsid w:val="00D20690"/>
    <w:rsid w:val="00D2088E"/>
    <w:rsid w:val="00D20BF3"/>
    <w:rsid w:val="00D20F2A"/>
    <w:rsid w:val="00D211A8"/>
    <w:rsid w:val="00D21233"/>
    <w:rsid w:val="00D21681"/>
    <w:rsid w:val="00D2170C"/>
    <w:rsid w:val="00D218EA"/>
    <w:rsid w:val="00D22179"/>
    <w:rsid w:val="00D223D6"/>
    <w:rsid w:val="00D22B15"/>
    <w:rsid w:val="00D2438A"/>
    <w:rsid w:val="00D24497"/>
    <w:rsid w:val="00D2460C"/>
    <w:rsid w:val="00D258CE"/>
    <w:rsid w:val="00D258F6"/>
    <w:rsid w:val="00D2594E"/>
    <w:rsid w:val="00D25CAA"/>
    <w:rsid w:val="00D25CCF"/>
    <w:rsid w:val="00D25DED"/>
    <w:rsid w:val="00D25FDD"/>
    <w:rsid w:val="00D26330"/>
    <w:rsid w:val="00D267C6"/>
    <w:rsid w:val="00D2695C"/>
    <w:rsid w:val="00D26AD3"/>
    <w:rsid w:val="00D26DF5"/>
    <w:rsid w:val="00D2711C"/>
    <w:rsid w:val="00D271E7"/>
    <w:rsid w:val="00D27866"/>
    <w:rsid w:val="00D27985"/>
    <w:rsid w:val="00D27A82"/>
    <w:rsid w:val="00D30077"/>
    <w:rsid w:val="00D30888"/>
    <w:rsid w:val="00D308ED"/>
    <w:rsid w:val="00D30987"/>
    <w:rsid w:val="00D309D3"/>
    <w:rsid w:val="00D30AA1"/>
    <w:rsid w:val="00D30D2B"/>
    <w:rsid w:val="00D3115F"/>
    <w:rsid w:val="00D316A0"/>
    <w:rsid w:val="00D31CDF"/>
    <w:rsid w:val="00D322DC"/>
    <w:rsid w:val="00D3264B"/>
    <w:rsid w:val="00D32861"/>
    <w:rsid w:val="00D328EE"/>
    <w:rsid w:val="00D32A27"/>
    <w:rsid w:val="00D32E0E"/>
    <w:rsid w:val="00D330C4"/>
    <w:rsid w:val="00D3331E"/>
    <w:rsid w:val="00D33486"/>
    <w:rsid w:val="00D3361D"/>
    <w:rsid w:val="00D337B8"/>
    <w:rsid w:val="00D33E70"/>
    <w:rsid w:val="00D3452F"/>
    <w:rsid w:val="00D3455F"/>
    <w:rsid w:val="00D34895"/>
    <w:rsid w:val="00D34B6C"/>
    <w:rsid w:val="00D34F2E"/>
    <w:rsid w:val="00D34F48"/>
    <w:rsid w:val="00D35198"/>
    <w:rsid w:val="00D35A25"/>
    <w:rsid w:val="00D35A5E"/>
    <w:rsid w:val="00D35E09"/>
    <w:rsid w:val="00D35E9A"/>
    <w:rsid w:val="00D365F2"/>
    <w:rsid w:val="00D366A7"/>
    <w:rsid w:val="00D36ACC"/>
    <w:rsid w:val="00D36D86"/>
    <w:rsid w:val="00D36DFC"/>
    <w:rsid w:val="00D37020"/>
    <w:rsid w:val="00D37B16"/>
    <w:rsid w:val="00D37BD7"/>
    <w:rsid w:val="00D4061B"/>
    <w:rsid w:val="00D4067C"/>
    <w:rsid w:val="00D41177"/>
    <w:rsid w:val="00D415A0"/>
    <w:rsid w:val="00D417E7"/>
    <w:rsid w:val="00D41803"/>
    <w:rsid w:val="00D41CD9"/>
    <w:rsid w:val="00D4267A"/>
    <w:rsid w:val="00D426C4"/>
    <w:rsid w:val="00D426E8"/>
    <w:rsid w:val="00D4270B"/>
    <w:rsid w:val="00D428AA"/>
    <w:rsid w:val="00D428B4"/>
    <w:rsid w:val="00D429BD"/>
    <w:rsid w:val="00D42A29"/>
    <w:rsid w:val="00D42BAD"/>
    <w:rsid w:val="00D42CFC"/>
    <w:rsid w:val="00D42FB3"/>
    <w:rsid w:val="00D434C2"/>
    <w:rsid w:val="00D4390C"/>
    <w:rsid w:val="00D43A3B"/>
    <w:rsid w:val="00D43C44"/>
    <w:rsid w:val="00D43D5E"/>
    <w:rsid w:val="00D43EB5"/>
    <w:rsid w:val="00D44084"/>
    <w:rsid w:val="00D44357"/>
    <w:rsid w:val="00D443AB"/>
    <w:rsid w:val="00D4468C"/>
    <w:rsid w:val="00D44850"/>
    <w:rsid w:val="00D44DCC"/>
    <w:rsid w:val="00D45007"/>
    <w:rsid w:val="00D459AF"/>
    <w:rsid w:val="00D45E2D"/>
    <w:rsid w:val="00D45E81"/>
    <w:rsid w:val="00D46085"/>
    <w:rsid w:val="00D46340"/>
    <w:rsid w:val="00D470A3"/>
    <w:rsid w:val="00D47758"/>
    <w:rsid w:val="00D47E25"/>
    <w:rsid w:val="00D50129"/>
    <w:rsid w:val="00D50315"/>
    <w:rsid w:val="00D50751"/>
    <w:rsid w:val="00D50A34"/>
    <w:rsid w:val="00D50E53"/>
    <w:rsid w:val="00D50E6C"/>
    <w:rsid w:val="00D5140B"/>
    <w:rsid w:val="00D51D24"/>
    <w:rsid w:val="00D52014"/>
    <w:rsid w:val="00D525B7"/>
    <w:rsid w:val="00D52762"/>
    <w:rsid w:val="00D53292"/>
    <w:rsid w:val="00D53984"/>
    <w:rsid w:val="00D53EFA"/>
    <w:rsid w:val="00D54912"/>
    <w:rsid w:val="00D550F0"/>
    <w:rsid w:val="00D5540C"/>
    <w:rsid w:val="00D5556A"/>
    <w:rsid w:val="00D556AA"/>
    <w:rsid w:val="00D55976"/>
    <w:rsid w:val="00D55B15"/>
    <w:rsid w:val="00D55BEF"/>
    <w:rsid w:val="00D55E95"/>
    <w:rsid w:val="00D55F2A"/>
    <w:rsid w:val="00D56EC8"/>
    <w:rsid w:val="00D5726C"/>
    <w:rsid w:val="00D57573"/>
    <w:rsid w:val="00D57845"/>
    <w:rsid w:val="00D57C87"/>
    <w:rsid w:val="00D608A1"/>
    <w:rsid w:val="00D60CB3"/>
    <w:rsid w:val="00D60CF6"/>
    <w:rsid w:val="00D60DFE"/>
    <w:rsid w:val="00D6103A"/>
    <w:rsid w:val="00D61225"/>
    <w:rsid w:val="00D61AAD"/>
    <w:rsid w:val="00D61B26"/>
    <w:rsid w:val="00D61B2A"/>
    <w:rsid w:val="00D61BF6"/>
    <w:rsid w:val="00D61D1D"/>
    <w:rsid w:val="00D641C2"/>
    <w:rsid w:val="00D642C0"/>
    <w:rsid w:val="00D64B66"/>
    <w:rsid w:val="00D6523B"/>
    <w:rsid w:val="00D6553A"/>
    <w:rsid w:val="00D66458"/>
    <w:rsid w:val="00D664DC"/>
    <w:rsid w:val="00D666A0"/>
    <w:rsid w:val="00D667F7"/>
    <w:rsid w:val="00D66AF2"/>
    <w:rsid w:val="00D67554"/>
    <w:rsid w:val="00D6771E"/>
    <w:rsid w:val="00D70015"/>
    <w:rsid w:val="00D70450"/>
    <w:rsid w:val="00D70465"/>
    <w:rsid w:val="00D70C72"/>
    <w:rsid w:val="00D70E25"/>
    <w:rsid w:val="00D71022"/>
    <w:rsid w:val="00D71349"/>
    <w:rsid w:val="00D714C4"/>
    <w:rsid w:val="00D717DE"/>
    <w:rsid w:val="00D71FFB"/>
    <w:rsid w:val="00D72280"/>
    <w:rsid w:val="00D7281B"/>
    <w:rsid w:val="00D73181"/>
    <w:rsid w:val="00D73655"/>
    <w:rsid w:val="00D739C0"/>
    <w:rsid w:val="00D73AF2"/>
    <w:rsid w:val="00D73D47"/>
    <w:rsid w:val="00D73DBF"/>
    <w:rsid w:val="00D73F22"/>
    <w:rsid w:val="00D741F6"/>
    <w:rsid w:val="00D74F0B"/>
    <w:rsid w:val="00D759C6"/>
    <w:rsid w:val="00D7640D"/>
    <w:rsid w:val="00D76535"/>
    <w:rsid w:val="00D76564"/>
    <w:rsid w:val="00D76624"/>
    <w:rsid w:val="00D76799"/>
    <w:rsid w:val="00D76D89"/>
    <w:rsid w:val="00D76DC5"/>
    <w:rsid w:val="00D7759A"/>
    <w:rsid w:val="00D77AA4"/>
    <w:rsid w:val="00D77E61"/>
    <w:rsid w:val="00D8062F"/>
    <w:rsid w:val="00D80782"/>
    <w:rsid w:val="00D80A10"/>
    <w:rsid w:val="00D818F6"/>
    <w:rsid w:val="00D819CD"/>
    <w:rsid w:val="00D81F68"/>
    <w:rsid w:val="00D827F3"/>
    <w:rsid w:val="00D82879"/>
    <w:rsid w:val="00D830B9"/>
    <w:rsid w:val="00D8361C"/>
    <w:rsid w:val="00D836E7"/>
    <w:rsid w:val="00D83921"/>
    <w:rsid w:val="00D839A0"/>
    <w:rsid w:val="00D83C51"/>
    <w:rsid w:val="00D83DA0"/>
    <w:rsid w:val="00D84371"/>
    <w:rsid w:val="00D847B5"/>
    <w:rsid w:val="00D8579C"/>
    <w:rsid w:val="00D8596B"/>
    <w:rsid w:val="00D85989"/>
    <w:rsid w:val="00D85B8A"/>
    <w:rsid w:val="00D85C15"/>
    <w:rsid w:val="00D85F2D"/>
    <w:rsid w:val="00D85FB8"/>
    <w:rsid w:val="00D8694B"/>
    <w:rsid w:val="00D86E6C"/>
    <w:rsid w:val="00D871D6"/>
    <w:rsid w:val="00D879CE"/>
    <w:rsid w:val="00D87F76"/>
    <w:rsid w:val="00D90015"/>
    <w:rsid w:val="00D9023E"/>
    <w:rsid w:val="00D90447"/>
    <w:rsid w:val="00D90A84"/>
    <w:rsid w:val="00D90BEB"/>
    <w:rsid w:val="00D91148"/>
    <w:rsid w:val="00D9182B"/>
    <w:rsid w:val="00D91E25"/>
    <w:rsid w:val="00D92393"/>
    <w:rsid w:val="00D92B4C"/>
    <w:rsid w:val="00D92BF9"/>
    <w:rsid w:val="00D94482"/>
    <w:rsid w:val="00D94678"/>
    <w:rsid w:val="00D94A07"/>
    <w:rsid w:val="00D94A7C"/>
    <w:rsid w:val="00D95649"/>
    <w:rsid w:val="00D9575C"/>
    <w:rsid w:val="00D95896"/>
    <w:rsid w:val="00D96040"/>
    <w:rsid w:val="00D96DB7"/>
    <w:rsid w:val="00D972AE"/>
    <w:rsid w:val="00D9732A"/>
    <w:rsid w:val="00D97CE1"/>
    <w:rsid w:val="00DA0BDA"/>
    <w:rsid w:val="00DA0D07"/>
    <w:rsid w:val="00DA0FDE"/>
    <w:rsid w:val="00DA109A"/>
    <w:rsid w:val="00DA18D0"/>
    <w:rsid w:val="00DA1CFD"/>
    <w:rsid w:val="00DA204C"/>
    <w:rsid w:val="00DA2112"/>
    <w:rsid w:val="00DA23FE"/>
    <w:rsid w:val="00DA264B"/>
    <w:rsid w:val="00DA2B2A"/>
    <w:rsid w:val="00DA2FFB"/>
    <w:rsid w:val="00DA3728"/>
    <w:rsid w:val="00DA3963"/>
    <w:rsid w:val="00DA3B36"/>
    <w:rsid w:val="00DA3B7D"/>
    <w:rsid w:val="00DA3EB2"/>
    <w:rsid w:val="00DA43DE"/>
    <w:rsid w:val="00DA4CA5"/>
    <w:rsid w:val="00DA5481"/>
    <w:rsid w:val="00DA63B2"/>
    <w:rsid w:val="00DA6501"/>
    <w:rsid w:val="00DA6DC8"/>
    <w:rsid w:val="00DA74BD"/>
    <w:rsid w:val="00DA7853"/>
    <w:rsid w:val="00DA79BB"/>
    <w:rsid w:val="00DB0FAB"/>
    <w:rsid w:val="00DB11C6"/>
    <w:rsid w:val="00DB174F"/>
    <w:rsid w:val="00DB1807"/>
    <w:rsid w:val="00DB1E6E"/>
    <w:rsid w:val="00DB2983"/>
    <w:rsid w:val="00DB2DDA"/>
    <w:rsid w:val="00DB2F5A"/>
    <w:rsid w:val="00DB37AA"/>
    <w:rsid w:val="00DB3C7F"/>
    <w:rsid w:val="00DB3CF9"/>
    <w:rsid w:val="00DB3F39"/>
    <w:rsid w:val="00DB426F"/>
    <w:rsid w:val="00DB4BE8"/>
    <w:rsid w:val="00DB5253"/>
    <w:rsid w:val="00DB5C80"/>
    <w:rsid w:val="00DB5FE8"/>
    <w:rsid w:val="00DB6589"/>
    <w:rsid w:val="00DB6913"/>
    <w:rsid w:val="00DB6933"/>
    <w:rsid w:val="00DB6C54"/>
    <w:rsid w:val="00DB6DB2"/>
    <w:rsid w:val="00DB726A"/>
    <w:rsid w:val="00DB750D"/>
    <w:rsid w:val="00DB75A6"/>
    <w:rsid w:val="00DB792E"/>
    <w:rsid w:val="00DB7CA5"/>
    <w:rsid w:val="00DC076B"/>
    <w:rsid w:val="00DC0A1B"/>
    <w:rsid w:val="00DC0CB7"/>
    <w:rsid w:val="00DC0EC8"/>
    <w:rsid w:val="00DC1086"/>
    <w:rsid w:val="00DC1238"/>
    <w:rsid w:val="00DC1257"/>
    <w:rsid w:val="00DC1323"/>
    <w:rsid w:val="00DC182F"/>
    <w:rsid w:val="00DC18F6"/>
    <w:rsid w:val="00DC1E37"/>
    <w:rsid w:val="00DC2CC4"/>
    <w:rsid w:val="00DC2DCB"/>
    <w:rsid w:val="00DC3210"/>
    <w:rsid w:val="00DC3237"/>
    <w:rsid w:val="00DC3696"/>
    <w:rsid w:val="00DC36D1"/>
    <w:rsid w:val="00DC3B1E"/>
    <w:rsid w:val="00DC3DC0"/>
    <w:rsid w:val="00DC3E94"/>
    <w:rsid w:val="00DC4189"/>
    <w:rsid w:val="00DC4E54"/>
    <w:rsid w:val="00DC54A5"/>
    <w:rsid w:val="00DC581F"/>
    <w:rsid w:val="00DC5B2B"/>
    <w:rsid w:val="00DC62E9"/>
    <w:rsid w:val="00DC76E0"/>
    <w:rsid w:val="00DC7E92"/>
    <w:rsid w:val="00DD0498"/>
    <w:rsid w:val="00DD08E8"/>
    <w:rsid w:val="00DD0AE5"/>
    <w:rsid w:val="00DD109F"/>
    <w:rsid w:val="00DD140C"/>
    <w:rsid w:val="00DD178E"/>
    <w:rsid w:val="00DD2977"/>
    <w:rsid w:val="00DD2E44"/>
    <w:rsid w:val="00DD318D"/>
    <w:rsid w:val="00DD3928"/>
    <w:rsid w:val="00DD3CD6"/>
    <w:rsid w:val="00DD3D2C"/>
    <w:rsid w:val="00DD41EC"/>
    <w:rsid w:val="00DD50FF"/>
    <w:rsid w:val="00DD52DF"/>
    <w:rsid w:val="00DD5C33"/>
    <w:rsid w:val="00DD7233"/>
    <w:rsid w:val="00DD732E"/>
    <w:rsid w:val="00DD7348"/>
    <w:rsid w:val="00DD7534"/>
    <w:rsid w:val="00DD7808"/>
    <w:rsid w:val="00DD7884"/>
    <w:rsid w:val="00DD7F79"/>
    <w:rsid w:val="00DE0018"/>
    <w:rsid w:val="00DE06AC"/>
    <w:rsid w:val="00DE0968"/>
    <w:rsid w:val="00DE0E96"/>
    <w:rsid w:val="00DE2D1B"/>
    <w:rsid w:val="00DE30D9"/>
    <w:rsid w:val="00DE3103"/>
    <w:rsid w:val="00DE35FA"/>
    <w:rsid w:val="00DE414E"/>
    <w:rsid w:val="00DE437C"/>
    <w:rsid w:val="00DE44D3"/>
    <w:rsid w:val="00DE47CF"/>
    <w:rsid w:val="00DE4A10"/>
    <w:rsid w:val="00DE4AF5"/>
    <w:rsid w:val="00DE4DD9"/>
    <w:rsid w:val="00DE4F99"/>
    <w:rsid w:val="00DE503C"/>
    <w:rsid w:val="00DE526E"/>
    <w:rsid w:val="00DE5776"/>
    <w:rsid w:val="00DE5F69"/>
    <w:rsid w:val="00DE6075"/>
    <w:rsid w:val="00DE62D9"/>
    <w:rsid w:val="00DE650B"/>
    <w:rsid w:val="00DE7223"/>
    <w:rsid w:val="00DE7BA3"/>
    <w:rsid w:val="00DF0119"/>
    <w:rsid w:val="00DF07EB"/>
    <w:rsid w:val="00DF0A77"/>
    <w:rsid w:val="00DF1006"/>
    <w:rsid w:val="00DF14AF"/>
    <w:rsid w:val="00DF2968"/>
    <w:rsid w:val="00DF2971"/>
    <w:rsid w:val="00DF2CAB"/>
    <w:rsid w:val="00DF2E12"/>
    <w:rsid w:val="00DF2F90"/>
    <w:rsid w:val="00DF424F"/>
    <w:rsid w:val="00DF44F0"/>
    <w:rsid w:val="00DF4D9D"/>
    <w:rsid w:val="00DF514A"/>
    <w:rsid w:val="00DF590A"/>
    <w:rsid w:val="00DF5E7F"/>
    <w:rsid w:val="00DF6690"/>
    <w:rsid w:val="00DF6804"/>
    <w:rsid w:val="00E003C9"/>
    <w:rsid w:val="00E00433"/>
    <w:rsid w:val="00E0044B"/>
    <w:rsid w:val="00E0054F"/>
    <w:rsid w:val="00E00B58"/>
    <w:rsid w:val="00E00C27"/>
    <w:rsid w:val="00E00D72"/>
    <w:rsid w:val="00E00E1D"/>
    <w:rsid w:val="00E00E9D"/>
    <w:rsid w:val="00E01153"/>
    <w:rsid w:val="00E01560"/>
    <w:rsid w:val="00E01A9E"/>
    <w:rsid w:val="00E01D2A"/>
    <w:rsid w:val="00E02124"/>
    <w:rsid w:val="00E02154"/>
    <w:rsid w:val="00E02360"/>
    <w:rsid w:val="00E029D7"/>
    <w:rsid w:val="00E02B54"/>
    <w:rsid w:val="00E02E24"/>
    <w:rsid w:val="00E03289"/>
    <w:rsid w:val="00E0358D"/>
    <w:rsid w:val="00E03A4B"/>
    <w:rsid w:val="00E03B28"/>
    <w:rsid w:val="00E03C08"/>
    <w:rsid w:val="00E03E96"/>
    <w:rsid w:val="00E04323"/>
    <w:rsid w:val="00E04403"/>
    <w:rsid w:val="00E04DA0"/>
    <w:rsid w:val="00E04F02"/>
    <w:rsid w:val="00E04F26"/>
    <w:rsid w:val="00E05657"/>
    <w:rsid w:val="00E060C7"/>
    <w:rsid w:val="00E063F1"/>
    <w:rsid w:val="00E06413"/>
    <w:rsid w:val="00E067E5"/>
    <w:rsid w:val="00E070A2"/>
    <w:rsid w:val="00E07434"/>
    <w:rsid w:val="00E07BC8"/>
    <w:rsid w:val="00E10286"/>
    <w:rsid w:val="00E1033C"/>
    <w:rsid w:val="00E10EDD"/>
    <w:rsid w:val="00E11182"/>
    <w:rsid w:val="00E1118C"/>
    <w:rsid w:val="00E1174C"/>
    <w:rsid w:val="00E117C8"/>
    <w:rsid w:val="00E11D5B"/>
    <w:rsid w:val="00E1228B"/>
    <w:rsid w:val="00E12403"/>
    <w:rsid w:val="00E13009"/>
    <w:rsid w:val="00E130D3"/>
    <w:rsid w:val="00E1315D"/>
    <w:rsid w:val="00E13B88"/>
    <w:rsid w:val="00E13DA0"/>
    <w:rsid w:val="00E13EA6"/>
    <w:rsid w:val="00E14075"/>
    <w:rsid w:val="00E14BC9"/>
    <w:rsid w:val="00E1554B"/>
    <w:rsid w:val="00E15563"/>
    <w:rsid w:val="00E15E57"/>
    <w:rsid w:val="00E16201"/>
    <w:rsid w:val="00E166AC"/>
    <w:rsid w:val="00E16A9F"/>
    <w:rsid w:val="00E17086"/>
    <w:rsid w:val="00E171E0"/>
    <w:rsid w:val="00E173AC"/>
    <w:rsid w:val="00E175EF"/>
    <w:rsid w:val="00E176F0"/>
    <w:rsid w:val="00E17784"/>
    <w:rsid w:val="00E17AFA"/>
    <w:rsid w:val="00E200B9"/>
    <w:rsid w:val="00E20443"/>
    <w:rsid w:val="00E20F42"/>
    <w:rsid w:val="00E21100"/>
    <w:rsid w:val="00E21435"/>
    <w:rsid w:val="00E21DAA"/>
    <w:rsid w:val="00E22838"/>
    <w:rsid w:val="00E22B5A"/>
    <w:rsid w:val="00E2307D"/>
    <w:rsid w:val="00E23A1F"/>
    <w:rsid w:val="00E23A72"/>
    <w:rsid w:val="00E23DE4"/>
    <w:rsid w:val="00E248A8"/>
    <w:rsid w:val="00E24F7D"/>
    <w:rsid w:val="00E25803"/>
    <w:rsid w:val="00E2656A"/>
    <w:rsid w:val="00E269F0"/>
    <w:rsid w:val="00E26C11"/>
    <w:rsid w:val="00E2789F"/>
    <w:rsid w:val="00E27B84"/>
    <w:rsid w:val="00E27E38"/>
    <w:rsid w:val="00E30874"/>
    <w:rsid w:val="00E30BFB"/>
    <w:rsid w:val="00E30C50"/>
    <w:rsid w:val="00E31244"/>
    <w:rsid w:val="00E31357"/>
    <w:rsid w:val="00E31468"/>
    <w:rsid w:val="00E316A7"/>
    <w:rsid w:val="00E31D55"/>
    <w:rsid w:val="00E32437"/>
    <w:rsid w:val="00E325EF"/>
    <w:rsid w:val="00E32C54"/>
    <w:rsid w:val="00E33179"/>
    <w:rsid w:val="00E33B04"/>
    <w:rsid w:val="00E34397"/>
    <w:rsid w:val="00E34735"/>
    <w:rsid w:val="00E347AD"/>
    <w:rsid w:val="00E34800"/>
    <w:rsid w:val="00E34CE5"/>
    <w:rsid w:val="00E34EF6"/>
    <w:rsid w:val="00E3505A"/>
    <w:rsid w:val="00E3542E"/>
    <w:rsid w:val="00E35929"/>
    <w:rsid w:val="00E35C13"/>
    <w:rsid w:val="00E35E36"/>
    <w:rsid w:val="00E364E0"/>
    <w:rsid w:val="00E36500"/>
    <w:rsid w:val="00E36956"/>
    <w:rsid w:val="00E36AA0"/>
    <w:rsid w:val="00E36E2E"/>
    <w:rsid w:val="00E36FF6"/>
    <w:rsid w:val="00E4046B"/>
    <w:rsid w:val="00E4071D"/>
    <w:rsid w:val="00E40724"/>
    <w:rsid w:val="00E40979"/>
    <w:rsid w:val="00E40BD2"/>
    <w:rsid w:val="00E40EF4"/>
    <w:rsid w:val="00E412D0"/>
    <w:rsid w:val="00E41305"/>
    <w:rsid w:val="00E41561"/>
    <w:rsid w:val="00E41D5F"/>
    <w:rsid w:val="00E42109"/>
    <w:rsid w:val="00E42510"/>
    <w:rsid w:val="00E42BA6"/>
    <w:rsid w:val="00E42D96"/>
    <w:rsid w:val="00E43140"/>
    <w:rsid w:val="00E4387D"/>
    <w:rsid w:val="00E43EBB"/>
    <w:rsid w:val="00E44192"/>
    <w:rsid w:val="00E442EB"/>
    <w:rsid w:val="00E44369"/>
    <w:rsid w:val="00E44630"/>
    <w:rsid w:val="00E4465C"/>
    <w:rsid w:val="00E446C6"/>
    <w:rsid w:val="00E44ACB"/>
    <w:rsid w:val="00E451FA"/>
    <w:rsid w:val="00E45363"/>
    <w:rsid w:val="00E45498"/>
    <w:rsid w:val="00E45A00"/>
    <w:rsid w:val="00E45A21"/>
    <w:rsid w:val="00E45CA4"/>
    <w:rsid w:val="00E46448"/>
    <w:rsid w:val="00E46E5B"/>
    <w:rsid w:val="00E477AC"/>
    <w:rsid w:val="00E47BF1"/>
    <w:rsid w:val="00E47DEF"/>
    <w:rsid w:val="00E502C6"/>
    <w:rsid w:val="00E507C8"/>
    <w:rsid w:val="00E50C36"/>
    <w:rsid w:val="00E51168"/>
    <w:rsid w:val="00E5136B"/>
    <w:rsid w:val="00E5201E"/>
    <w:rsid w:val="00E52089"/>
    <w:rsid w:val="00E52482"/>
    <w:rsid w:val="00E53394"/>
    <w:rsid w:val="00E5359C"/>
    <w:rsid w:val="00E5359D"/>
    <w:rsid w:val="00E53657"/>
    <w:rsid w:val="00E539B6"/>
    <w:rsid w:val="00E55005"/>
    <w:rsid w:val="00E55027"/>
    <w:rsid w:val="00E550B8"/>
    <w:rsid w:val="00E55509"/>
    <w:rsid w:val="00E55634"/>
    <w:rsid w:val="00E55E6A"/>
    <w:rsid w:val="00E562BB"/>
    <w:rsid w:val="00E56322"/>
    <w:rsid w:val="00E56539"/>
    <w:rsid w:val="00E56D86"/>
    <w:rsid w:val="00E5731C"/>
    <w:rsid w:val="00E57FCF"/>
    <w:rsid w:val="00E601A8"/>
    <w:rsid w:val="00E60222"/>
    <w:rsid w:val="00E6069D"/>
    <w:rsid w:val="00E60982"/>
    <w:rsid w:val="00E60DCF"/>
    <w:rsid w:val="00E61431"/>
    <w:rsid w:val="00E614F5"/>
    <w:rsid w:val="00E61521"/>
    <w:rsid w:val="00E6157D"/>
    <w:rsid w:val="00E618E3"/>
    <w:rsid w:val="00E61B10"/>
    <w:rsid w:val="00E61C02"/>
    <w:rsid w:val="00E62237"/>
    <w:rsid w:val="00E628C6"/>
    <w:rsid w:val="00E62C62"/>
    <w:rsid w:val="00E63062"/>
    <w:rsid w:val="00E63489"/>
    <w:rsid w:val="00E636D8"/>
    <w:rsid w:val="00E63A93"/>
    <w:rsid w:val="00E63D29"/>
    <w:rsid w:val="00E64058"/>
    <w:rsid w:val="00E6424F"/>
    <w:rsid w:val="00E64427"/>
    <w:rsid w:val="00E6442E"/>
    <w:rsid w:val="00E64D96"/>
    <w:rsid w:val="00E64F64"/>
    <w:rsid w:val="00E65136"/>
    <w:rsid w:val="00E654C1"/>
    <w:rsid w:val="00E655CC"/>
    <w:rsid w:val="00E6595F"/>
    <w:rsid w:val="00E65D97"/>
    <w:rsid w:val="00E65E04"/>
    <w:rsid w:val="00E65E07"/>
    <w:rsid w:val="00E665C2"/>
    <w:rsid w:val="00E66726"/>
    <w:rsid w:val="00E66EEA"/>
    <w:rsid w:val="00E67161"/>
    <w:rsid w:val="00E674AA"/>
    <w:rsid w:val="00E6775A"/>
    <w:rsid w:val="00E70164"/>
    <w:rsid w:val="00E7019C"/>
    <w:rsid w:val="00E704DC"/>
    <w:rsid w:val="00E706F0"/>
    <w:rsid w:val="00E7101E"/>
    <w:rsid w:val="00E710BB"/>
    <w:rsid w:val="00E71E42"/>
    <w:rsid w:val="00E71E8C"/>
    <w:rsid w:val="00E72173"/>
    <w:rsid w:val="00E72A5A"/>
    <w:rsid w:val="00E731E4"/>
    <w:rsid w:val="00E73354"/>
    <w:rsid w:val="00E737C4"/>
    <w:rsid w:val="00E739D6"/>
    <w:rsid w:val="00E73DE9"/>
    <w:rsid w:val="00E74327"/>
    <w:rsid w:val="00E743F5"/>
    <w:rsid w:val="00E745CA"/>
    <w:rsid w:val="00E74B5B"/>
    <w:rsid w:val="00E74BF0"/>
    <w:rsid w:val="00E74E14"/>
    <w:rsid w:val="00E750F0"/>
    <w:rsid w:val="00E75BCA"/>
    <w:rsid w:val="00E75D33"/>
    <w:rsid w:val="00E75F2D"/>
    <w:rsid w:val="00E7609A"/>
    <w:rsid w:val="00E767F8"/>
    <w:rsid w:val="00E768D6"/>
    <w:rsid w:val="00E769DD"/>
    <w:rsid w:val="00E76DA5"/>
    <w:rsid w:val="00E76DC8"/>
    <w:rsid w:val="00E76ECC"/>
    <w:rsid w:val="00E771A5"/>
    <w:rsid w:val="00E77297"/>
    <w:rsid w:val="00E77655"/>
    <w:rsid w:val="00E77872"/>
    <w:rsid w:val="00E77A81"/>
    <w:rsid w:val="00E77AA5"/>
    <w:rsid w:val="00E80518"/>
    <w:rsid w:val="00E80596"/>
    <w:rsid w:val="00E806BF"/>
    <w:rsid w:val="00E80BB9"/>
    <w:rsid w:val="00E813BF"/>
    <w:rsid w:val="00E816CB"/>
    <w:rsid w:val="00E81923"/>
    <w:rsid w:val="00E81A34"/>
    <w:rsid w:val="00E81ECE"/>
    <w:rsid w:val="00E81F0B"/>
    <w:rsid w:val="00E824C2"/>
    <w:rsid w:val="00E82E3B"/>
    <w:rsid w:val="00E8343C"/>
    <w:rsid w:val="00E8385D"/>
    <w:rsid w:val="00E839BE"/>
    <w:rsid w:val="00E83BCD"/>
    <w:rsid w:val="00E83FDF"/>
    <w:rsid w:val="00E8447C"/>
    <w:rsid w:val="00E84555"/>
    <w:rsid w:val="00E84937"/>
    <w:rsid w:val="00E84E0C"/>
    <w:rsid w:val="00E850A8"/>
    <w:rsid w:val="00E85719"/>
    <w:rsid w:val="00E857A4"/>
    <w:rsid w:val="00E858CB"/>
    <w:rsid w:val="00E859AC"/>
    <w:rsid w:val="00E85BCE"/>
    <w:rsid w:val="00E860DD"/>
    <w:rsid w:val="00E86226"/>
    <w:rsid w:val="00E86230"/>
    <w:rsid w:val="00E86B27"/>
    <w:rsid w:val="00E87987"/>
    <w:rsid w:val="00E87AC9"/>
    <w:rsid w:val="00E87BCB"/>
    <w:rsid w:val="00E901A6"/>
    <w:rsid w:val="00E901C2"/>
    <w:rsid w:val="00E9096E"/>
    <w:rsid w:val="00E90F87"/>
    <w:rsid w:val="00E9129E"/>
    <w:rsid w:val="00E9150D"/>
    <w:rsid w:val="00E91540"/>
    <w:rsid w:val="00E9155E"/>
    <w:rsid w:val="00E91BD4"/>
    <w:rsid w:val="00E92408"/>
    <w:rsid w:val="00E9242D"/>
    <w:rsid w:val="00E926F6"/>
    <w:rsid w:val="00E92776"/>
    <w:rsid w:val="00E93196"/>
    <w:rsid w:val="00E938C5"/>
    <w:rsid w:val="00E93CFF"/>
    <w:rsid w:val="00E93D1A"/>
    <w:rsid w:val="00E94587"/>
    <w:rsid w:val="00E9493C"/>
    <w:rsid w:val="00E94C0F"/>
    <w:rsid w:val="00E94E08"/>
    <w:rsid w:val="00E95335"/>
    <w:rsid w:val="00E954F7"/>
    <w:rsid w:val="00E95680"/>
    <w:rsid w:val="00E95945"/>
    <w:rsid w:val="00E95AFF"/>
    <w:rsid w:val="00E95CA4"/>
    <w:rsid w:val="00E96099"/>
    <w:rsid w:val="00E96256"/>
    <w:rsid w:val="00E967F2"/>
    <w:rsid w:val="00E96A81"/>
    <w:rsid w:val="00E96A99"/>
    <w:rsid w:val="00E972D8"/>
    <w:rsid w:val="00E9798B"/>
    <w:rsid w:val="00E97BF1"/>
    <w:rsid w:val="00EA0855"/>
    <w:rsid w:val="00EA0963"/>
    <w:rsid w:val="00EA1206"/>
    <w:rsid w:val="00EA1C95"/>
    <w:rsid w:val="00EA1CC7"/>
    <w:rsid w:val="00EA1D67"/>
    <w:rsid w:val="00EA2BB7"/>
    <w:rsid w:val="00EA319E"/>
    <w:rsid w:val="00EA3750"/>
    <w:rsid w:val="00EA423F"/>
    <w:rsid w:val="00EA4602"/>
    <w:rsid w:val="00EA50AD"/>
    <w:rsid w:val="00EA5888"/>
    <w:rsid w:val="00EA604F"/>
    <w:rsid w:val="00EA64CE"/>
    <w:rsid w:val="00EA662F"/>
    <w:rsid w:val="00EA6D79"/>
    <w:rsid w:val="00EA70FC"/>
    <w:rsid w:val="00EA746B"/>
    <w:rsid w:val="00EA74BD"/>
    <w:rsid w:val="00EA7657"/>
    <w:rsid w:val="00EA7A96"/>
    <w:rsid w:val="00EB0204"/>
    <w:rsid w:val="00EB0235"/>
    <w:rsid w:val="00EB030A"/>
    <w:rsid w:val="00EB0A74"/>
    <w:rsid w:val="00EB0B64"/>
    <w:rsid w:val="00EB0CAD"/>
    <w:rsid w:val="00EB0EAA"/>
    <w:rsid w:val="00EB105B"/>
    <w:rsid w:val="00EB11B8"/>
    <w:rsid w:val="00EB12B1"/>
    <w:rsid w:val="00EB164E"/>
    <w:rsid w:val="00EB1716"/>
    <w:rsid w:val="00EB1BD4"/>
    <w:rsid w:val="00EB2324"/>
    <w:rsid w:val="00EB2369"/>
    <w:rsid w:val="00EB2612"/>
    <w:rsid w:val="00EB26AC"/>
    <w:rsid w:val="00EB293C"/>
    <w:rsid w:val="00EB2D4E"/>
    <w:rsid w:val="00EB3002"/>
    <w:rsid w:val="00EB3462"/>
    <w:rsid w:val="00EB3753"/>
    <w:rsid w:val="00EB37B5"/>
    <w:rsid w:val="00EB388E"/>
    <w:rsid w:val="00EB39B5"/>
    <w:rsid w:val="00EB3B1E"/>
    <w:rsid w:val="00EB3FB6"/>
    <w:rsid w:val="00EB47FB"/>
    <w:rsid w:val="00EB4E0F"/>
    <w:rsid w:val="00EB5255"/>
    <w:rsid w:val="00EB5763"/>
    <w:rsid w:val="00EB5C47"/>
    <w:rsid w:val="00EB5C4B"/>
    <w:rsid w:val="00EB6128"/>
    <w:rsid w:val="00EB635B"/>
    <w:rsid w:val="00EB6E7A"/>
    <w:rsid w:val="00EB75AB"/>
    <w:rsid w:val="00EB785E"/>
    <w:rsid w:val="00EB7C01"/>
    <w:rsid w:val="00EC002B"/>
    <w:rsid w:val="00EC01F9"/>
    <w:rsid w:val="00EC04C0"/>
    <w:rsid w:val="00EC058F"/>
    <w:rsid w:val="00EC0613"/>
    <w:rsid w:val="00EC063B"/>
    <w:rsid w:val="00EC0B14"/>
    <w:rsid w:val="00EC0BAA"/>
    <w:rsid w:val="00EC0F1D"/>
    <w:rsid w:val="00EC1534"/>
    <w:rsid w:val="00EC1700"/>
    <w:rsid w:val="00EC170A"/>
    <w:rsid w:val="00EC1778"/>
    <w:rsid w:val="00EC1854"/>
    <w:rsid w:val="00EC18FC"/>
    <w:rsid w:val="00EC1AEC"/>
    <w:rsid w:val="00EC1EF1"/>
    <w:rsid w:val="00EC1FBC"/>
    <w:rsid w:val="00EC2B0C"/>
    <w:rsid w:val="00EC2E90"/>
    <w:rsid w:val="00EC302B"/>
    <w:rsid w:val="00EC3379"/>
    <w:rsid w:val="00EC34DD"/>
    <w:rsid w:val="00EC4490"/>
    <w:rsid w:val="00EC49C7"/>
    <w:rsid w:val="00EC4ADE"/>
    <w:rsid w:val="00EC54A6"/>
    <w:rsid w:val="00EC54F4"/>
    <w:rsid w:val="00EC5E04"/>
    <w:rsid w:val="00EC62BF"/>
    <w:rsid w:val="00EC7077"/>
    <w:rsid w:val="00EC7171"/>
    <w:rsid w:val="00EC74D7"/>
    <w:rsid w:val="00EC7682"/>
    <w:rsid w:val="00EC79B7"/>
    <w:rsid w:val="00EC7CD2"/>
    <w:rsid w:val="00ED0639"/>
    <w:rsid w:val="00ED0BB7"/>
    <w:rsid w:val="00ED0CB4"/>
    <w:rsid w:val="00ED0FF4"/>
    <w:rsid w:val="00ED118A"/>
    <w:rsid w:val="00ED11E5"/>
    <w:rsid w:val="00ED1C1A"/>
    <w:rsid w:val="00ED1ED8"/>
    <w:rsid w:val="00ED21B9"/>
    <w:rsid w:val="00ED2FDF"/>
    <w:rsid w:val="00ED33F7"/>
    <w:rsid w:val="00ED3534"/>
    <w:rsid w:val="00ED39A9"/>
    <w:rsid w:val="00ED3C15"/>
    <w:rsid w:val="00ED3E10"/>
    <w:rsid w:val="00ED3F68"/>
    <w:rsid w:val="00ED40F8"/>
    <w:rsid w:val="00ED41D4"/>
    <w:rsid w:val="00ED4C5B"/>
    <w:rsid w:val="00ED51B9"/>
    <w:rsid w:val="00ED527F"/>
    <w:rsid w:val="00ED5299"/>
    <w:rsid w:val="00ED52B4"/>
    <w:rsid w:val="00ED5655"/>
    <w:rsid w:val="00ED5779"/>
    <w:rsid w:val="00ED5C88"/>
    <w:rsid w:val="00ED661E"/>
    <w:rsid w:val="00ED6AE1"/>
    <w:rsid w:val="00ED75FF"/>
    <w:rsid w:val="00ED760D"/>
    <w:rsid w:val="00ED78B3"/>
    <w:rsid w:val="00ED78BE"/>
    <w:rsid w:val="00ED78EC"/>
    <w:rsid w:val="00ED7E73"/>
    <w:rsid w:val="00ED7F11"/>
    <w:rsid w:val="00ED7F55"/>
    <w:rsid w:val="00EE0280"/>
    <w:rsid w:val="00EE0893"/>
    <w:rsid w:val="00EE0A0B"/>
    <w:rsid w:val="00EE0A74"/>
    <w:rsid w:val="00EE1477"/>
    <w:rsid w:val="00EE1C0A"/>
    <w:rsid w:val="00EE1C68"/>
    <w:rsid w:val="00EE1EFF"/>
    <w:rsid w:val="00EE2131"/>
    <w:rsid w:val="00EE27DA"/>
    <w:rsid w:val="00EE2A1E"/>
    <w:rsid w:val="00EE2E73"/>
    <w:rsid w:val="00EE2EE2"/>
    <w:rsid w:val="00EE31C8"/>
    <w:rsid w:val="00EE32D9"/>
    <w:rsid w:val="00EE3D0F"/>
    <w:rsid w:val="00EE4228"/>
    <w:rsid w:val="00EE46CC"/>
    <w:rsid w:val="00EE4DEB"/>
    <w:rsid w:val="00EE4EC2"/>
    <w:rsid w:val="00EE4EE0"/>
    <w:rsid w:val="00EE4FAF"/>
    <w:rsid w:val="00EE530D"/>
    <w:rsid w:val="00EE5484"/>
    <w:rsid w:val="00EE5543"/>
    <w:rsid w:val="00EE5790"/>
    <w:rsid w:val="00EE588D"/>
    <w:rsid w:val="00EE590F"/>
    <w:rsid w:val="00EE59C5"/>
    <w:rsid w:val="00EE5EDA"/>
    <w:rsid w:val="00EE65CE"/>
    <w:rsid w:val="00EE73F9"/>
    <w:rsid w:val="00EE745B"/>
    <w:rsid w:val="00EE7525"/>
    <w:rsid w:val="00EE75C4"/>
    <w:rsid w:val="00EE7777"/>
    <w:rsid w:val="00EE7AB8"/>
    <w:rsid w:val="00EF01B6"/>
    <w:rsid w:val="00EF08CA"/>
    <w:rsid w:val="00EF0CEA"/>
    <w:rsid w:val="00EF0E86"/>
    <w:rsid w:val="00EF13FB"/>
    <w:rsid w:val="00EF1803"/>
    <w:rsid w:val="00EF1BDF"/>
    <w:rsid w:val="00EF1D47"/>
    <w:rsid w:val="00EF28BD"/>
    <w:rsid w:val="00EF2985"/>
    <w:rsid w:val="00EF329F"/>
    <w:rsid w:val="00EF35FC"/>
    <w:rsid w:val="00EF3CA6"/>
    <w:rsid w:val="00EF3FFD"/>
    <w:rsid w:val="00EF4194"/>
    <w:rsid w:val="00EF432E"/>
    <w:rsid w:val="00EF44F1"/>
    <w:rsid w:val="00EF4755"/>
    <w:rsid w:val="00EF4CF2"/>
    <w:rsid w:val="00EF58DC"/>
    <w:rsid w:val="00EF5EF1"/>
    <w:rsid w:val="00EF62EA"/>
    <w:rsid w:val="00EF6789"/>
    <w:rsid w:val="00EF67A3"/>
    <w:rsid w:val="00EF6D08"/>
    <w:rsid w:val="00EF7135"/>
    <w:rsid w:val="00EF7BC8"/>
    <w:rsid w:val="00EF7C04"/>
    <w:rsid w:val="00EF7E5C"/>
    <w:rsid w:val="00F00652"/>
    <w:rsid w:val="00F00813"/>
    <w:rsid w:val="00F008DA"/>
    <w:rsid w:val="00F00C34"/>
    <w:rsid w:val="00F00CA6"/>
    <w:rsid w:val="00F00EFF"/>
    <w:rsid w:val="00F01150"/>
    <w:rsid w:val="00F01C3B"/>
    <w:rsid w:val="00F022E9"/>
    <w:rsid w:val="00F027DB"/>
    <w:rsid w:val="00F02924"/>
    <w:rsid w:val="00F02AE5"/>
    <w:rsid w:val="00F03846"/>
    <w:rsid w:val="00F03AE7"/>
    <w:rsid w:val="00F03BEB"/>
    <w:rsid w:val="00F03D3D"/>
    <w:rsid w:val="00F044A6"/>
    <w:rsid w:val="00F0458B"/>
    <w:rsid w:val="00F045BE"/>
    <w:rsid w:val="00F049C1"/>
    <w:rsid w:val="00F04C51"/>
    <w:rsid w:val="00F06484"/>
    <w:rsid w:val="00F06C1A"/>
    <w:rsid w:val="00F07557"/>
    <w:rsid w:val="00F10274"/>
    <w:rsid w:val="00F10566"/>
    <w:rsid w:val="00F10F6A"/>
    <w:rsid w:val="00F11150"/>
    <w:rsid w:val="00F11176"/>
    <w:rsid w:val="00F11344"/>
    <w:rsid w:val="00F113C9"/>
    <w:rsid w:val="00F11C4E"/>
    <w:rsid w:val="00F11D88"/>
    <w:rsid w:val="00F12184"/>
    <w:rsid w:val="00F1239A"/>
    <w:rsid w:val="00F1281E"/>
    <w:rsid w:val="00F136D8"/>
    <w:rsid w:val="00F137A3"/>
    <w:rsid w:val="00F137CA"/>
    <w:rsid w:val="00F1388C"/>
    <w:rsid w:val="00F13A03"/>
    <w:rsid w:val="00F149DA"/>
    <w:rsid w:val="00F14A7A"/>
    <w:rsid w:val="00F14BB5"/>
    <w:rsid w:val="00F14CED"/>
    <w:rsid w:val="00F14D47"/>
    <w:rsid w:val="00F14EC7"/>
    <w:rsid w:val="00F14F3F"/>
    <w:rsid w:val="00F15385"/>
    <w:rsid w:val="00F1580E"/>
    <w:rsid w:val="00F15DC9"/>
    <w:rsid w:val="00F15DE5"/>
    <w:rsid w:val="00F15FD2"/>
    <w:rsid w:val="00F1600A"/>
    <w:rsid w:val="00F1607D"/>
    <w:rsid w:val="00F1626D"/>
    <w:rsid w:val="00F16B73"/>
    <w:rsid w:val="00F173CD"/>
    <w:rsid w:val="00F17B89"/>
    <w:rsid w:val="00F17E89"/>
    <w:rsid w:val="00F17F2C"/>
    <w:rsid w:val="00F17FCC"/>
    <w:rsid w:val="00F2005C"/>
    <w:rsid w:val="00F20163"/>
    <w:rsid w:val="00F20467"/>
    <w:rsid w:val="00F204E6"/>
    <w:rsid w:val="00F20719"/>
    <w:rsid w:val="00F20C23"/>
    <w:rsid w:val="00F21284"/>
    <w:rsid w:val="00F21424"/>
    <w:rsid w:val="00F214F5"/>
    <w:rsid w:val="00F21565"/>
    <w:rsid w:val="00F21951"/>
    <w:rsid w:val="00F2217F"/>
    <w:rsid w:val="00F22985"/>
    <w:rsid w:val="00F230AF"/>
    <w:rsid w:val="00F23215"/>
    <w:rsid w:val="00F232E4"/>
    <w:rsid w:val="00F24798"/>
    <w:rsid w:val="00F24DB3"/>
    <w:rsid w:val="00F255E0"/>
    <w:rsid w:val="00F26307"/>
    <w:rsid w:val="00F269F1"/>
    <w:rsid w:val="00F26E93"/>
    <w:rsid w:val="00F27352"/>
    <w:rsid w:val="00F2757C"/>
    <w:rsid w:val="00F276BC"/>
    <w:rsid w:val="00F277EC"/>
    <w:rsid w:val="00F30033"/>
    <w:rsid w:val="00F301D1"/>
    <w:rsid w:val="00F30662"/>
    <w:rsid w:val="00F3082B"/>
    <w:rsid w:val="00F309DA"/>
    <w:rsid w:val="00F30E94"/>
    <w:rsid w:val="00F30F24"/>
    <w:rsid w:val="00F30F74"/>
    <w:rsid w:val="00F3111C"/>
    <w:rsid w:val="00F311CD"/>
    <w:rsid w:val="00F313E9"/>
    <w:rsid w:val="00F318A8"/>
    <w:rsid w:val="00F3274F"/>
    <w:rsid w:val="00F329A0"/>
    <w:rsid w:val="00F32F40"/>
    <w:rsid w:val="00F3307C"/>
    <w:rsid w:val="00F3383E"/>
    <w:rsid w:val="00F338E6"/>
    <w:rsid w:val="00F33DD5"/>
    <w:rsid w:val="00F34402"/>
    <w:rsid w:val="00F3466E"/>
    <w:rsid w:val="00F34D1F"/>
    <w:rsid w:val="00F34F7E"/>
    <w:rsid w:val="00F352CA"/>
    <w:rsid w:val="00F3579D"/>
    <w:rsid w:val="00F35D32"/>
    <w:rsid w:val="00F35EA2"/>
    <w:rsid w:val="00F36449"/>
    <w:rsid w:val="00F365C6"/>
    <w:rsid w:val="00F36858"/>
    <w:rsid w:val="00F36B19"/>
    <w:rsid w:val="00F36C8D"/>
    <w:rsid w:val="00F36E5F"/>
    <w:rsid w:val="00F3700F"/>
    <w:rsid w:val="00F37839"/>
    <w:rsid w:val="00F402C7"/>
    <w:rsid w:val="00F4068C"/>
    <w:rsid w:val="00F406D7"/>
    <w:rsid w:val="00F40BC1"/>
    <w:rsid w:val="00F40F00"/>
    <w:rsid w:val="00F41147"/>
    <w:rsid w:val="00F41452"/>
    <w:rsid w:val="00F41A0A"/>
    <w:rsid w:val="00F41B5B"/>
    <w:rsid w:val="00F41BFE"/>
    <w:rsid w:val="00F41E42"/>
    <w:rsid w:val="00F422DA"/>
    <w:rsid w:val="00F42605"/>
    <w:rsid w:val="00F42759"/>
    <w:rsid w:val="00F4282C"/>
    <w:rsid w:val="00F434E1"/>
    <w:rsid w:val="00F43871"/>
    <w:rsid w:val="00F438D9"/>
    <w:rsid w:val="00F43986"/>
    <w:rsid w:val="00F43EE7"/>
    <w:rsid w:val="00F446BC"/>
    <w:rsid w:val="00F44E0A"/>
    <w:rsid w:val="00F459BB"/>
    <w:rsid w:val="00F45CBA"/>
    <w:rsid w:val="00F45D2F"/>
    <w:rsid w:val="00F45FAC"/>
    <w:rsid w:val="00F460DD"/>
    <w:rsid w:val="00F4623F"/>
    <w:rsid w:val="00F4641F"/>
    <w:rsid w:val="00F465A7"/>
    <w:rsid w:val="00F46665"/>
    <w:rsid w:val="00F46A03"/>
    <w:rsid w:val="00F46EDD"/>
    <w:rsid w:val="00F4771D"/>
    <w:rsid w:val="00F47BC2"/>
    <w:rsid w:val="00F50582"/>
    <w:rsid w:val="00F5063B"/>
    <w:rsid w:val="00F50A91"/>
    <w:rsid w:val="00F50B7C"/>
    <w:rsid w:val="00F51012"/>
    <w:rsid w:val="00F51017"/>
    <w:rsid w:val="00F51A9D"/>
    <w:rsid w:val="00F51F25"/>
    <w:rsid w:val="00F51F40"/>
    <w:rsid w:val="00F52037"/>
    <w:rsid w:val="00F5289E"/>
    <w:rsid w:val="00F52DCB"/>
    <w:rsid w:val="00F52DDF"/>
    <w:rsid w:val="00F533BD"/>
    <w:rsid w:val="00F5343B"/>
    <w:rsid w:val="00F5350F"/>
    <w:rsid w:val="00F5356C"/>
    <w:rsid w:val="00F5397F"/>
    <w:rsid w:val="00F53B0E"/>
    <w:rsid w:val="00F53F3A"/>
    <w:rsid w:val="00F540E7"/>
    <w:rsid w:val="00F540FC"/>
    <w:rsid w:val="00F54272"/>
    <w:rsid w:val="00F548FE"/>
    <w:rsid w:val="00F54951"/>
    <w:rsid w:val="00F54A60"/>
    <w:rsid w:val="00F54C08"/>
    <w:rsid w:val="00F54F10"/>
    <w:rsid w:val="00F54F28"/>
    <w:rsid w:val="00F550E6"/>
    <w:rsid w:val="00F5579E"/>
    <w:rsid w:val="00F562B7"/>
    <w:rsid w:val="00F5647C"/>
    <w:rsid w:val="00F565FC"/>
    <w:rsid w:val="00F567DB"/>
    <w:rsid w:val="00F57064"/>
    <w:rsid w:val="00F571DC"/>
    <w:rsid w:val="00F5765B"/>
    <w:rsid w:val="00F57DA9"/>
    <w:rsid w:val="00F60226"/>
    <w:rsid w:val="00F60E22"/>
    <w:rsid w:val="00F61CB3"/>
    <w:rsid w:val="00F61DE4"/>
    <w:rsid w:val="00F61F36"/>
    <w:rsid w:val="00F62551"/>
    <w:rsid w:val="00F6275D"/>
    <w:rsid w:val="00F62F72"/>
    <w:rsid w:val="00F6302D"/>
    <w:rsid w:val="00F63AE8"/>
    <w:rsid w:val="00F63BD9"/>
    <w:rsid w:val="00F63DE2"/>
    <w:rsid w:val="00F63F2F"/>
    <w:rsid w:val="00F6412D"/>
    <w:rsid w:val="00F64438"/>
    <w:rsid w:val="00F64B74"/>
    <w:rsid w:val="00F64FFA"/>
    <w:rsid w:val="00F650D6"/>
    <w:rsid w:val="00F650FD"/>
    <w:rsid w:val="00F65B6C"/>
    <w:rsid w:val="00F65D23"/>
    <w:rsid w:val="00F66C16"/>
    <w:rsid w:val="00F67927"/>
    <w:rsid w:val="00F67940"/>
    <w:rsid w:val="00F6794E"/>
    <w:rsid w:val="00F6795E"/>
    <w:rsid w:val="00F7067D"/>
    <w:rsid w:val="00F70B07"/>
    <w:rsid w:val="00F70D68"/>
    <w:rsid w:val="00F711F3"/>
    <w:rsid w:val="00F7137F"/>
    <w:rsid w:val="00F719B3"/>
    <w:rsid w:val="00F71A97"/>
    <w:rsid w:val="00F71F95"/>
    <w:rsid w:val="00F727B1"/>
    <w:rsid w:val="00F73540"/>
    <w:rsid w:val="00F7389D"/>
    <w:rsid w:val="00F73949"/>
    <w:rsid w:val="00F73C32"/>
    <w:rsid w:val="00F74345"/>
    <w:rsid w:val="00F74482"/>
    <w:rsid w:val="00F7455C"/>
    <w:rsid w:val="00F748D0"/>
    <w:rsid w:val="00F748E4"/>
    <w:rsid w:val="00F7493E"/>
    <w:rsid w:val="00F74BBC"/>
    <w:rsid w:val="00F74E01"/>
    <w:rsid w:val="00F74E63"/>
    <w:rsid w:val="00F7536B"/>
    <w:rsid w:val="00F75862"/>
    <w:rsid w:val="00F75BA2"/>
    <w:rsid w:val="00F75D61"/>
    <w:rsid w:val="00F75D8C"/>
    <w:rsid w:val="00F75F2D"/>
    <w:rsid w:val="00F763A1"/>
    <w:rsid w:val="00F7682E"/>
    <w:rsid w:val="00F76B11"/>
    <w:rsid w:val="00F76BC4"/>
    <w:rsid w:val="00F76E1A"/>
    <w:rsid w:val="00F76FA7"/>
    <w:rsid w:val="00F77704"/>
    <w:rsid w:val="00F77715"/>
    <w:rsid w:val="00F77D62"/>
    <w:rsid w:val="00F80006"/>
    <w:rsid w:val="00F8002A"/>
    <w:rsid w:val="00F80249"/>
    <w:rsid w:val="00F80272"/>
    <w:rsid w:val="00F80A0A"/>
    <w:rsid w:val="00F80AFC"/>
    <w:rsid w:val="00F80C37"/>
    <w:rsid w:val="00F8135A"/>
    <w:rsid w:val="00F8146C"/>
    <w:rsid w:val="00F82179"/>
    <w:rsid w:val="00F82444"/>
    <w:rsid w:val="00F82514"/>
    <w:rsid w:val="00F82AAD"/>
    <w:rsid w:val="00F82B19"/>
    <w:rsid w:val="00F82F04"/>
    <w:rsid w:val="00F8338A"/>
    <w:rsid w:val="00F833EA"/>
    <w:rsid w:val="00F83404"/>
    <w:rsid w:val="00F83AC8"/>
    <w:rsid w:val="00F83C90"/>
    <w:rsid w:val="00F84088"/>
    <w:rsid w:val="00F84C45"/>
    <w:rsid w:val="00F84EA0"/>
    <w:rsid w:val="00F85973"/>
    <w:rsid w:val="00F85B13"/>
    <w:rsid w:val="00F85BDE"/>
    <w:rsid w:val="00F86158"/>
    <w:rsid w:val="00F86241"/>
    <w:rsid w:val="00F86650"/>
    <w:rsid w:val="00F86AB8"/>
    <w:rsid w:val="00F87018"/>
    <w:rsid w:val="00F87520"/>
    <w:rsid w:val="00F876A3"/>
    <w:rsid w:val="00F9040D"/>
    <w:rsid w:val="00F9046E"/>
    <w:rsid w:val="00F904C3"/>
    <w:rsid w:val="00F90535"/>
    <w:rsid w:val="00F90FD7"/>
    <w:rsid w:val="00F911B4"/>
    <w:rsid w:val="00F91682"/>
    <w:rsid w:val="00F9212D"/>
    <w:rsid w:val="00F9224B"/>
    <w:rsid w:val="00F92EF4"/>
    <w:rsid w:val="00F9307A"/>
    <w:rsid w:val="00F939AF"/>
    <w:rsid w:val="00F939C1"/>
    <w:rsid w:val="00F93C30"/>
    <w:rsid w:val="00F94638"/>
    <w:rsid w:val="00F946C0"/>
    <w:rsid w:val="00F94FA5"/>
    <w:rsid w:val="00F9503E"/>
    <w:rsid w:val="00F95749"/>
    <w:rsid w:val="00F961C9"/>
    <w:rsid w:val="00F961E7"/>
    <w:rsid w:val="00F9624B"/>
    <w:rsid w:val="00F96401"/>
    <w:rsid w:val="00F965DA"/>
    <w:rsid w:val="00F970CB"/>
    <w:rsid w:val="00F9722F"/>
    <w:rsid w:val="00F9784D"/>
    <w:rsid w:val="00F97E27"/>
    <w:rsid w:val="00FA03EF"/>
    <w:rsid w:val="00FA056B"/>
    <w:rsid w:val="00FA0699"/>
    <w:rsid w:val="00FA07C7"/>
    <w:rsid w:val="00FA0847"/>
    <w:rsid w:val="00FA0BDA"/>
    <w:rsid w:val="00FA1173"/>
    <w:rsid w:val="00FA1300"/>
    <w:rsid w:val="00FA181B"/>
    <w:rsid w:val="00FA183E"/>
    <w:rsid w:val="00FA20D4"/>
    <w:rsid w:val="00FA29AB"/>
    <w:rsid w:val="00FA3AE9"/>
    <w:rsid w:val="00FA3C81"/>
    <w:rsid w:val="00FA406A"/>
    <w:rsid w:val="00FA42BF"/>
    <w:rsid w:val="00FA4A97"/>
    <w:rsid w:val="00FA4B82"/>
    <w:rsid w:val="00FA4B84"/>
    <w:rsid w:val="00FA5120"/>
    <w:rsid w:val="00FA5AB4"/>
    <w:rsid w:val="00FA5EF2"/>
    <w:rsid w:val="00FA5F9B"/>
    <w:rsid w:val="00FA6D70"/>
    <w:rsid w:val="00FA6E3E"/>
    <w:rsid w:val="00FA6EC5"/>
    <w:rsid w:val="00FA71C4"/>
    <w:rsid w:val="00FA75DA"/>
    <w:rsid w:val="00FA795A"/>
    <w:rsid w:val="00FB06BB"/>
    <w:rsid w:val="00FB0B41"/>
    <w:rsid w:val="00FB0BA7"/>
    <w:rsid w:val="00FB0D7B"/>
    <w:rsid w:val="00FB113E"/>
    <w:rsid w:val="00FB119B"/>
    <w:rsid w:val="00FB1A3A"/>
    <w:rsid w:val="00FB1C24"/>
    <w:rsid w:val="00FB2033"/>
    <w:rsid w:val="00FB215F"/>
    <w:rsid w:val="00FB21F5"/>
    <w:rsid w:val="00FB2485"/>
    <w:rsid w:val="00FB26B8"/>
    <w:rsid w:val="00FB3477"/>
    <w:rsid w:val="00FB37F9"/>
    <w:rsid w:val="00FB3908"/>
    <w:rsid w:val="00FB398E"/>
    <w:rsid w:val="00FB3B71"/>
    <w:rsid w:val="00FB3F0D"/>
    <w:rsid w:val="00FB3FB2"/>
    <w:rsid w:val="00FB43F3"/>
    <w:rsid w:val="00FB4797"/>
    <w:rsid w:val="00FB4A05"/>
    <w:rsid w:val="00FB4BB8"/>
    <w:rsid w:val="00FB4C00"/>
    <w:rsid w:val="00FB4E96"/>
    <w:rsid w:val="00FB503A"/>
    <w:rsid w:val="00FB516C"/>
    <w:rsid w:val="00FB58B2"/>
    <w:rsid w:val="00FB5E52"/>
    <w:rsid w:val="00FB6705"/>
    <w:rsid w:val="00FB6E4E"/>
    <w:rsid w:val="00FB713E"/>
    <w:rsid w:val="00FB73A3"/>
    <w:rsid w:val="00FB7B0A"/>
    <w:rsid w:val="00FB7DCC"/>
    <w:rsid w:val="00FC01C6"/>
    <w:rsid w:val="00FC08D4"/>
    <w:rsid w:val="00FC096A"/>
    <w:rsid w:val="00FC0D47"/>
    <w:rsid w:val="00FC102C"/>
    <w:rsid w:val="00FC12B1"/>
    <w:rsid w:val="00FC14BA"/>
    <w:rsid w:val="00FC1D2A"/>
    <w:rsid w:val="00FC2524"/>
    <w:rsid w:val="00FC2718"/>
    <w:rsid w:val="00FC3478"/>
    <w:rsid w:val="00FC3483"/>
    <w:rsid w:val="00FC39C9"/>
    <w:rsid w:val="00FC3ADF"/>
    <w:rsid w:val="00FC3C0F"/>
    <w:rsid w:val="00FC3E40"/>
    <w:rsid w:val="00FC3EA0"/>
    <w:rsid w:val="00FC3F0C"/>
    <w:rsid w:val="00FC48F5"/>
    <w:rsid w:val="00FC4EA5"/>
    <w:rsid w:val="00FC51B6"/>
    <w:rsid w:val="00FC536E"/>
    <w:rsid w:val="00FC595F"/>
    <w:rsid w:val="00FC5C26"/>
    <w:rsid w:val="00FC5CD7"/>
    <w:rsid w:val="00FC5D72"/>
    <w:rsid w:val="00FC5FC4"/>
    <w:rsid w:val="00FC5FFB"/>
    <w:rsid w:val="00FC604E"/>
    <w:rsid w:val="00FC60A2"/>
    <w:rsid w:val="00FC61D0"/>
    <w:rsid w:val="00FC67D2"/>
    <w:rsid w:val="00FC6857"/>
    <w:rsid w:val="00FC724E"/>
    <w:rsid w:val="00FC772A"/>
    <w:rsid w:val="00FC7A96"/>
    <w:rsid w:val="00FC7BBA"/>
    <w:rsid w:val="00FD0193"/>
    <w:rsid w:val="00FD0236"/>
    <w:rsid w:val="00FD05DA"/>
    <w:rsid w:val="00FD06F5"/>
    <w:rsid w:val="00FD0AC9"/>
    <w:rsid w:val="00FD0F18"/>
    <w:rsid w:val="00FD1434"/>
    <w:rsid w:val="00FD18F4"/>
    <w:rsid w:val="00FD1BEC"/>
    <w:rsid w:val="00FD21D2"/>
    <w:rsid w:val="00FD2B89"/>
    <w:rsid w:val="00FD2DED"/>
    <w:rsid w:val="00FD3120"/>
    <w:rsid w:val="00FD3285"/>
    <w:rsid w:val="00FD3663"/>
    <w:rsid w:val="00FD3A65"/>
    <w:rsid w:val="00FD45AE"/>
    <w:rsid w:val="00FD4729"/>
    <w:rsid w:val="00FD47AD"/>
    <w:rsid w:val="00FD4DD7"/>
    <w:rsid w:val="00FD5134"/>
    <w:rsid w:val="00FD54DB"/>
    <w:rsid w:val="00FD5D69"/>
    <w:rsid w:val="00FD5DF7"/>
    <w:rsid w:val="00FD619F"/>
    <w:rsid w:val="00FD68F3"/>
    <w:rsid w:val="00FD6CEB"/>
    <w:rsid w:val="00FD6F4D"/>
    <w:rsid w:val="00FD7106"/>
    <w:rsid w:val="00FD76D7"/>
    <w:rsid w:val="00FD7AD5"/>
    <w:rsid w:val="00FD7E0C"/>
    <w:rsid w:val="00FE0062"/>
    <w:rsid w:val="00FE03BC"/>
    <w:rsid w:val="00FE0565"/>
    <w:rsid w:val="00FE0629"/>
    <w:rsid w:val="00FE078D"/>
    <w:rsid w:val="00FE0B1A"/>
    <w:rsid w:val="00FE0F7C"/>
    <w:rsid w:val="00FE1166"/>
    <w:rsid w:val="00FE11BA"/>
    <w:rsid w:val="00FE1429"/>
    <w:rsid w:val="00FE149E"/>
    <w:rsid w:val="00FE1E3C"/>
    <w:rsid w:val="00FE2155"/>
    <w:rsid w:val="00FE227F"/>
    <w:rsid w:val="00FE24C3"/>
    <w:rsid w:val="00FE2B75"/>
    <w:rsid w:val="00FE2C57"/>
    <w:rsid w:val="00FE3059"/>
    <w:rsid w:val="00FE3277"/>
    <w:rsid w:val="00FE3D37"/>
    <w:rsid w:val="00FE3F55"/>
    <w:rsid w:val="00FE4B98"/>
    <w:rsid w:val="00FE5A44"/>
    <w:rsid w:val="00FE5F11"/>
    <w:rsid w:val="00FE600B"/>
    <w:rsid w:val="00FE611E"/>
    <w:rsid w:val="00FE7A30"/>
    <w:rsid w:val="00FE7CD3"/>
    <w:rsid w:val="00FF1037"/>
    <w:rsid w:val="00FF192B"/>
    <w:rsid w:val="00FF194A"/>
    <w:rsid w:val="00FF1FEA"/>
    <w:rsid w:val="00FF38FE"/>
    <w:rsid w:val="00FF39E6"/>
    <w:rsid w:val="00FF40E6"/>
    <w:rsid w:val="00FF42FD"/>
    <w:rsid w:val="00FF44D6"/>
    <w:rsid w:val="00FF48E5"/>
    <w:rsid w:val="00FF4C00"/>
    <w:rsid w:val="00FF5556"/>
    <w:rsid w:val="00FF625D"/>
    <w:rsid w:val="00FF62D4"/>
    <w:rsid w:val="00FF6874"/>
    <w:rsid w:val="00FF7390"/>
    <w:rsid w:val="00FF76B4"/>
    <w:rsid w:val="00FF7A19"/>
    <w:rsid w:val="00FF7D9D"/>
    <w:rsid w:val="00FF7FAA"/>
    <w:rsid w:val="01290F7E"/>
    <w:rsid w:val="015D1E09"/>
    <w:rsid w:val="01756491"/>
    <w:rsid w:val="02697903"/>
    <w:rsid w:val="0291313E"/>
    <w:rsid w:val="02F06B1A"/>
    <w:rsid w:val="02F935F9"/>
    <w:rsid w:val="02F96569"/>
    <w:rsid w:val="03DD7F34"/>
    <w:rsid w:val="03EA7B21"/>
    <w:rsid w:val="041133FC"/>
    <w:rsid w:val="041843BE"/>
    <w:rsid w:val="0442248D"/>
    <w:rsid w:val="05F83EAE"/>
    <w:rsid w:val="063E7D85"/>
    <w:rsid w:val="06A153AB"/>
    <w:rsid w:val="07293586"/>
    <w:rsid w:val="07295285"/>
    <w:rsid w:val="07636392"/>
    <w:rsid w:val="07770C56"/>
    <w:rsid w:val="079138AB"/>
    <w:rsid w:val="083D2C15"/>
    <w:rsid w:val="092217DD"/>
    <w:rsid w:val="093A7294"/>
    <w:rsid w:val="0A263993"/>
    <w:rsid w:val="0A2D3AC2"/>
    <w:rsid w:val="0AA755DF"/>
    <w:rsid w:val="0B120D44"/>
    <w:rsid w:val="0B621790"/>
    <w:rsid w:val="0BD27BF6"/>
    <w:rsid w:val="0C2C05AA"/>
    <w:rsid w:val="0C3B3C7D"/>
    <w:rsid w:val="0CAB2EAE"/>
    <w:rsid w:val="0D621C7D"/>
    <w:rsid w:val="0D833D6E"/>
    <w:rsid w:val="0E73034D"/>
    <w:rsid w:val="0F13775A"/>
    <w:rsid w:val="0F5F45FE"/>
    <w:rsid w:val="0F9124C0"/>
    <w:rsid w:val="0F9A112B"/>
    <w:rsid w:val="10401F77"/>
    <w:rsid w:val="10523DDF"/>
    <w:rsid w:val="106D2F64"/>
    <w:rsid w:val="109D1BC6"/>
    <w:rsid w:val="10B63710"/>
    <w:rsid w:val="10CD2F43"/>
    <w:rsid w:val="10F10820"/>
    <w:rsid w:val="111C2F7A"/>
    <w:rsid w:val="11430737"/>
    <w:rsid w:val="11665CA1"/>
    <w:rsid w:val="11EA4A5B"/>
    <w:rsid w:val="12075296"/>
    <w:rsid w:val="124D219E"/>
    <w:rsid w:val="13246561"/>
    <w:rsid w:val="132B215F"/>
    <w:rsid w:val="132D1E74"/>
    <w:rsid w:val="13450ABF"/>
    <w:rsid w:val="13465A6E"/>
    <w:rsid w:val="13532A05"/>
    <w:rsid w:val="13717937"/>
    <w:rsid w:val="13951726"/>
    <w:rsid w:val="13C378FC"/>
    <w:rsid w:val="14396509"/>
    <w:rsid w:val="14DD2C3C"/>
    <w:rsid w:val="15EB2E62"/>
    <w:rsid w:val="16087E1D"/>
    <w:rsid w:val="16F00928"/>
    <w:rsid w:val="1705734C"/>
    <w:rsid w:val="17112930"/>
    <w:rsid w:val="17453632"/>
    <w:rsid w:val="17701D14"/>
    <w:rsid w:val="17735226"/>
    <w:rsid w:val="187038AC"/>
    <w:rsid w:val="189F624C"/>
    <w:rsid w:val="19AB2630"/>
    <w:rsid w:val="19D0304E"/>
    <w:rsid w:val="1A1C66C0"/>
    <w:rsid w:val="1A42393B"/>
    <w:rsid w:val="1A465A19"/>
    <w:rsid w:val="1A4E2EFA"/>
    <w:rsid w:val="1AAD45DE"/>
    <w:rsid w:val="1B046F80"/>
    <w:rsid w:val="1B3267B5"/>
    <w:rsid w:val="1B40161D"/>
    <w:rsid w:val="1B441859"/>
    <w:rsid w:val="1B6606B1"/>
    <w:rsid w:val="1B963EE8"/>
    <w:rsid w:val="1C5E7925"/>
    <w:rsid w:val="1C8B457A"/>
    <w:rsid w:val="1C92159C"/>
    <w:rsid w:val="1CDF6872"/>
    <w:rsid w:val="1CFD070F"/>
    <w:rsid w:val="1D5F6196"/>
    <w:rsid w:val="1D6132A5"/>
    <w:rsid w:val="1D6E5290"/>
    <w:rsid w:val="1D8E56D5"/>
    <w:rsid w:val="1D9B3C5D"/>
    <w:rsid w:val="1DA00715"/>
    <w:rsid w:val="1DA2717E"/>
    <w:rsid w:val="1DF83F44"/>
    <w:rsid w:val="1E28607B"/>
    <w:rsid w:val="1E7A43DA"/>
    <w:rsid w:val="1E957931"/>
    <w:rsid w:val="1EDC6247"/>
    <w:rsid w:val="1F234227"/>
    <w:rsid w:val="1FE7539E"/>
    <w:rsid w:val="1FEC17D3"/>
    <w:rsid w:val="20671BE0"/>
    <w:rsid w:val="20963CB8"/>
    <w:rsid w:val="20A81A1B"/>
    <w:rsid w:val="20B07FB6"/>
    <w:rsid w:val="20B646FB"/>
    <w:rsid w:val="20DE2E3E"/>
    <w:rsid w:val="20E96430"/>
    <w:rsid w:val="21353F88"/>
    <w:rsid w:val="213B74B1"/>
    <w:rsid w:val="215A2310"/>
    <w:rsid w:val="21DE318A"/>
    <w:rsid w:val="21EF5B80"/>
    <w:rsid w:val="22576990"/>
    <w:rsid w:val="22650E1C"/>
    <w:rsid w:val="22C961B5"/>
    <w:rsid w:val="22F47480"/>
    <w:rsid w:val="23626302"/>
    <w:rsid w:val="23DE1C48"/>
    <w:rsid w:val="23E27F4B"/>
    <w:rsid w:val="240210CD"/>
    <w:rsid w:val="241D7B39"/>
    <w:rsid w:val="24A81A41"/>
    <w:rsid w:val="24BF09F7"/>
    <w:rsid w:val="252D53FE"/>
    <w:rsid w:val="25EC2D81"/>
    <w:rsid w:val="27682DC3"/>
    <w:rsid w:val="277057A2"/>
    <w:rsid w:val="27C85504"/>
    <w:rsid w:val="28A04995"/>
    <w:rsid w:val="29206EB8"/>
    <w:rsid w:val="29595666"/>
    <w:rsid w:val="29874881"/>
    <w:rsid w:val="29E325E0"/>
    <w:rsid w:val="2A452503"/>
    <w:rsid w:val="2AB32EED"/>
    <w:rsid w:val="2B887096"/>
    <w:rsid w:val="2BA936A8"/>
    <w:rsid w:val="2C315A5A"/>
    <w:rsid w:val="2C4B1C25"/>
    <w:rsid w:val="2D9E56F5"/>
    <w:rsid w:val="2DBD6427"/>
    <w:rsid w:val="2E3E0E2F"/>
    <w:rsid w:val="2E4E3659"/>
    <w:rsid w:val="2E653995"/>
    <w:rsid w:val="2E667F96"/>
    <w:rsid w:val="2E672799"/>
    <w:rsid w:val="2E8226AB"/>
    <w:rsid w:val="2E8D657B"/>
    <w:rsid w:val="2EA81766"/>
    <w:rsid w:val="2EDB6718"/>
    <w:rsid w:val="2FD065E6"/>
    <w:rsid w:val="2FD96870"/>
    <w:rsid w:val="30362A84"/>
    <w:rsid w:val="304A6B77"/>
    <w:rsid w:val="30580BC9"/>
    <w:rsid w:val="30E363C6"/>
    <w:rsid w:val="311E2ED7"/>
    <w:rsid w:val="312E469B"/>
    <w:rsid w:val="315619EE"/>
    <w:rsid w:val="315C449C"/>
    <w:rsid w:val="31B82709"/>
    <w:rsid w:val="31D05482"/>
    <w:rsid w:val="32400B34"/>
    <w:rsid w:val="32990060"/>
    <w:rsid w:val="329E6876"/>
    <w:rsid w:val="333015F2"/>
    <w:rsid w:val="334B6320"/>
    <w:rsid w:val="33632A6C"/>
    <w:rsid w:val="33D934D4"/>
    <w:rsid w:val="33DF01AE"/>
    <w:rsid w:val="33E06BBB"/>
    <w:rsid w:val="33FE2F6A"/>
    <w:rsid w:val="340E07E5"/>
    <w:rsid w:val="34235BF7"/>
    <w:rsid w:val="355E431F"/>
    <w:rsid w:val="358C5FA8"/>
    <w:rsid w:val="35C15DF1"/>
    <w:rsid w:val="36074A7F"/>
    <w:rsid w:val="36437B89"/>
    <w:rsid w:val="36923549"/>
    <w:rsid w:val="36B75FBF"/>
    <w:rsid w:val="36BD0C45"/>
    <w:rsid w:val="37E00298"/>
    <w:rsid w:val="382E531C"/>
    <w:rsid w:val="387545F7"/>
    <w:rsid w:val="38B302F9"/>
    <w:rsid w:val="38BB2BCD"/>
    <w:rsid w:val="38C367B1"/>
    <w:rsid w:val="38F12CD3"/>
    <w:rsid w:val="38F94775"/>
    <w:rsid w:val="392971ED"/>
    <w:rsid w:val="39325651"/>
    <w:rsid w:val="3A872856"/>
    <w:rsid w:val="3AF060CD"/>
    <w:rsid w:val="3B141229"/>
    <w:rsid w:val="3B3763D1"/>
    <w:rsid w:val="3B4F31F1"/>
    <w:rsid w:val="3C2F6E1E"/>
    <w:rsid w:val="3C4F64BA"/>
    <w:rsid w:val="3CC549B2"/>
    <w:rsid w:val="3CDA245A"/>
    <w:rsid w:val="3CE9754F"/>
    <w:rsid w:val="3D1E06B7"/>
    <w:rsid w:val="3E576F63"/>
    <w:rsid w:val="3EB330F1"/>
    <w:rsid w:val="3ECF7E9E"/>
    <w:rsid w:val="3ED93E7E"/>
    <w:rsid w:val="3EDA0523"/>
    <w:rsid w:val="402C1320"/>
    <w:rsid w:val="407A6407"/>
    <w:rsid w:val="41586E45"/>
    <w:rsid w:val="418F600A"/>
    <w:rsid w:val="4200449D"/>
    <w:rsid w:val="423A3BCC"/>
    <w:rsid w:val="424E57D2"/>
    <w:rsid w:val="42B26C49"/>
    <w:rsid w:val="43027171"/>
    <w:rsid w:val="433A6FE6"/>
    <w:rsid w:val="43480868"/>
    <w:rsid w:val="4350713C"/>
    <w:rsid w:val="436653E0"/>
    <w:rsid w:val="43C4431A"/>
    <w:rsid w:val="43F13AEA"/>
    <w:rsid w:val="43FF516D"/>
    <w:rsid w:val="444F45CC"/>
    <w:rsid w:val="449F0313"/>
    <w:rsid w:val="44B951CC"/>
    <w:rsid w:val="44CD14E0"/>
    <w:rsid w:val="44F20B0B"/>
    <w:rsid w:val="452E5F4C"/>
    <w:rsid w:val="45612018"/>
    <w:rsid w:val="458946E9"/>
    <w:rsid w:val="45A47C0E"/>
    <w:rsid w:val="45D14833"/>
    <w:rsid w:val="4614538C"/>
    <w:rsid w:val="46305F48"/>
    <w:rsid w:val="46577FD6"/>
    <w:rsid w:val="46D955A7"/>
    <w:rsid w:val="47133957"/>
    <w:rsid w:val="47A07E0C"/>
    <w:rsid w:val="485B0266"/>
    <w:rsid w:val="4870272E"/>
    <w:rsid w:val="491C6961"/>
    <w:rsid w:val="492D5190"/>
    <w:rsid w:val="49D74554"/>
    <w:rsid w:val="49DC7715"/>
    <w:rsid w:val="4A023139"/>
    <w:rsid w:val="4A59628E"/>
    <w:rsid w:val="4A7B576F"/>
    <w:rsid w:val="4A8E50B1"/>
    <w:rsid w:val="4A993A56"/>
    <w:rsid w:val="4AF561A9"/>
    <w:rsid w:val="4B347531"/>
    <w:rsid w:val="4C041942"/>
    <w:rsid w:val="4C4A0649"/>
    <w:rsid w:val="4C7E5ECA"/>
    <w:rsid w:val="4C876AA5"/>
    <w:rsid w:val="4D06557C"/>
    <w:rsid w:val="4D0C6E76"/>
    <w:rsid w:val="4D0E00FB"/>
    <w:rsid w:val="4D176606"/>
    <w:rsid w:val="4D306E45"/>
    <w:rsid w:val="4DEC4FB0"/>
    <w:rsid w:val="4E075D8A"/>
    <w:rsid w:val="4E551CA6"/>
    <w:rsid w:val="4EC00FAD"/>
    <w:rsid w:val="4F754A92"/>
    <w:rsid w:val="4F9843DC"/>
    <w:rsid w:val="4FC62A8C"/>
    <w:rsid w:val="4FE20F0D"/>
    <w:rsid w:val="4FE51552"/>
    <w:rsid w:val="502F4FD6"/>
    <w:rsid w:val="50504C4B"/>
    <w:rsid w:val="509C6E7C"/>
    <w:rsid w:val="51561F9B"/>
    <w:rsid w:val="5162104E"/>
    <w:rsid w:val="52FB6E56"/>
    <w:rsid w:val="532B7086"/>
    <w:rsid w:val="533F738B"/>
    <w:rsid w:val="53A039CC"/>
    <w:rsid w:val="53A1505A"/>
    <w:rsid w:val="53B62771"/>
    <w:rsid w:val="54063E08"/>
    <w:rsid w:val="543437E8"/>
    <w:rsid w:val="54F73313"/>
    <w:rsid w:val="54F80955"/>
    <w:rsid w:val="555170A7"/>
    <w:rsid w:val="5587536D"/>
    <w:rsid w:val="558F3F93"/>
    <w:rsid w:val="559B174B"/>
    <w:rsid w:val="55CE0CF4"/>
    <w:rsid w:val="56503B63"/>
    <w:rsid w:val="567710EF"/>
    <w:rsid w:val="568C6546"/>
    <w:rsid w:val="56B22A9C"/>
    <w:rsid w:val="56D31F1E"/>
    <w:rsid w:val="579058D3"/>
    <w:rsid w:val="57B72A76"/>
    <w:rsid w:val="57C3426C"/>
    <w:rsid w:val="57CE1F93"/>
    <w:rsid w:val="57E24C8E"/>
    <w:rsid w:val="586B0275"/>
    <w:rsid w:val="588743D1"/>
    <w:rsid w:val="5887701A"/>
    <w:rsid w:val="58B9604D"/>
    <w:rsid w:val="59C0439F"/>
    <w:rsid w:val="59C51FCA"/>
    <w:rsid w:val="5A69703C"/>
    <w:rsid w:val="5A891CF4"/>
    <w:rsid w:val="5ABE2233"/>
    <w:rsid w:val="5B200997"/>
    <w:rsid w:val="5B22043E"/>
    <w:rsid w:val="5BDF5D95"/>
    <w:rsid w:val="5BFE7528"/>
    <w:rsid w:val="5CAB38A1"/>
    <w:rsid w:val="5D2F2BF0"/>
    <w:rsid w:val="5E0E44F6"/>
    <w:rsid w:val="5E2467F1"/>
    <w:rsid w:val="5E300C68"/>
    <w:rsid w:val="5E9E2ACF"/>
    <w:rsid w:val="5F1A2B43"/>
    <w:rsid w:val="5FB837BB"/>
    <w:rsid w:val="5FB94001"/>
    <w:rsid w:val="60CC405A"/>
    <w:rsid w:val="61E215D8"/>
    <w:rsid w:val="62082EA0"/>
    <w:rsid w:val="621B3775"/>
    <w:rsid w:val="62364782"/>
    <w:rsid w:val="62F34416"/>
    <w:rsid w:val="6314021C"/>
    <w:rsid w:val="6394356A"/>
    <w:rsid w:val="63B03CE2"/>
    <w:rsid w:val="63C61B2C"/>
    <w:rsid w:val="63D40BE9"/>
    <w:rsid w:val="64102431"/>
    <w:rsid w:val="64A5243A"/>
    <w:rsid w:val="64F531DE"/>
    <w:rsid w:val="651F7F03"/>
    <w:rsid w:val="65373578"/>
    <w:rsid w:val="66C9060D"/>
    <w:rsid w:val="671F124A"/>
    <w:rsid w:val="677A33C6"/>
    <w:rsid w:val="67A1763D"/>
    <w:rsid w:val="67B156D1"/>
    <w:rsid w:val="681F6961"/>
    <w:rsid w:val="682651B9"/>
    <w:rsid w:val="685C3050"/>
    <w:rsid w:val="68610A2F"/>
    <w:rsid w:val="68805514"/>
    <w:rsid w:val="69316E2F"/>
    <w:rsid w:val="694C5D17"/>
    <w:rsid w:val="694E2071"/>
    <w:rsid w:val="69766163"/>
    <w:rsid w:val="697A3B33"/>
    <w:rsid w:val="69D44760"/>
    <w:rsid w:val="6A301889"/>
    <w:rsid w:val="6A520EC7"/>
    <w:rsid w:val="6AA0271B"/>
    <w:rsid w:val="6ABE1D4D"/>
    <w:rsid w:val="6AE67561"/>
    <w:rsid w:val="6AEA0B3C"/>
    <w:rsid w:val="6AF87E20"/>
    <w:rsid w:val="6B322639"/>
    <w:rsid w:val="6C636C38"/>
    <w:rsid w:val="6D3440A4"/>
    <w:rsid w:val="6DAA3BEC"/>
    <w:rsid w:val="6DB34098"/>
    <w:rsid w:val="6DB545B6"/>
    <w:rsid w:val="6DE02FB4"/>
    <w:rsid w:val="6DF31732"/>
    <w:rsid w:val="6E104422"/>
    <w:rsid w:val="6E3E0EAE"/>
    <w:rsid w:val="6E4C394C"/>
    <w:rsid w:val="6E514CED"/>
    <w:rsid w:val="6EB563D5"/>
    <w:rsid w:val="6ED92677"/>
    <w:rsid w:val="6F225983"/>
    <w:rsid w:val="6F8E0557"/>
    <w:rsid w:val="6FFC5590"/>
    <w:rsid w:val="706D1DD0"/>
    <w:rsid w:val="70856B87"/>
    <w:rsid w:val="70A74E8A"/>
    <w:rsid w:val="70CE23FF"/>
    <w:rsid w:val="70D527EE"/>
    <w:rsid w:val="715B5300"/>
    <w:rsid w:val="71D27F8A"/>
    <w:rsid w:val="72553024"/>
    <w:rsid w:val="72A149EC"/>
    <w:rsid w:val="72D0598B"/>
    <w:rsid w:val="73122968"/>
    <w:rsid w:val="731F5D5E"/>
    <w:rsid w:val="7335064D"/>
    <w:rsid w:val="73C51AD5"/>
    <w:rsid w:val="741E793C"/>
    <w:rsid w:val="74263580"/>
    <w:rsid w:val="745E3944"/>
    <w:rsid w:val="746B7925"/>
    <w:rsid w:val="74A82061"/>
    <w:rsid w:val="74DF32C7"/>
    <w:rsid w:val="74F37A39"/>
    <w:rsid w:val="75343716"/>
    <w:rsid w:val="75641DD8"/>
    <w:rsid w:val="7635099D"/>
    <w:rsid w:val="76DB717C"/>
    <w:rsid w:val="77762421"/>
    <w:rsid w:val="77B56B1F"/>
    <w:rsid w:val="780F09F4"/>
    <w:rsid w:val="781A0349"/>
    <w:rsid w:val="78A90480"/>
    <w:rsid w:val="79035EBD"/>
    <w:rsid w:val="79E33A01"/>
    <w:rsid w:val="79F0566B"/>
    <w:rsid w:val="7A364017"/>
    <w:rsid w:val="7A5F5820"/>
    <w:rsid w:val="7A8265E1"/>
    <w:rsid w:val="7B686D42"/>
    <w:rsid w:val="7B841746"/>
    <w:rsid w:val="7C6C5AC7"/>
    <w:rsid w:val="7C8760A8"/>
    <w:rsid w:val="7CBA4E51"/>
    <w:rsid w:val="7CC6544B"/>
    <w:rsid w:val="7D0239FF"/>
    <w:rsid w:val="7D5E40CD"/>
    <w:rsid w:val="7DCD33A9"/>
    <w:rsid w:val="7DCD56F2"/>
    <w:rsid w:val="7DF048BA"/>
    <w:rsid w:val="7E5509EE"/>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4,5,6"/>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qFormat="1"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qFormat="1"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exact"/>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56"/>
    <w:qFormat/>
    <w:locked/>
    <w:uiPriority w:val="0"/>
    <w:pPr>
      <w:keepNext/>
      <w:keepLines/>
      <w:spacing w:before="260" w:after="260" w:line="416" w:lineRule="atLeast"/>
      <w:outlineLvl w:val="1"/>
    </w:pPr>
    <w:rPr>
      <w:rFonts w:ascii="Cambria" w:hAnsi="Cambria"/>
      <w:b/>
      <w:bCs/>
      <w:sz w:val="32"/>
      <w:szCs w:val="32"/>
    </w:rPr>
  </w:style>
  <w:style w:type="paragraph" w:styleId="4">
    <w:name w:val="heading 3"/>
    <w:basedOn w:val="1"/>
    <w:next w:val="1"/>
    <w:link w:val="63"/>
    <w:semiHidden/>
    <w:unhideWhenUsed/>
    <w:qFormat/>
    <w:locked/>
    <w:uiPriority w:val="0"/>
    <w:pPr>
      <w:keepNext/>
      <w:keepLines/>
      <w:spacing w:before="260" w:after="260" w:line="416" w:lineRule="atLeast"/>
      <w:outlineLvl w:val="2"/>
    </w:pPr>
    <w:rPr>
      <w:b/>
      <w:bCs/>
      <w:sz w:val="32"/>
      <w:szCs w:val="32"/>
    </w:rPr>
  </w:style>
  <w:style w:type="paragraph" w:styleId="5">
    <w:name w:val="heading 4"/>
    <w:basedOn w:val="1"/>
    <w:next w:val="1"/>
    <w:qFormat/>
    <w:locked/>
    <w:uiPriority w:val="0"/>
    <w:pPr>
      <w:keepNext/>
      <w:keepLines/>
      <w:spacing w:line="440" w:lineRule="exact"/>
      <w:ind w:firstLine="200" w:firstLineChars="200"/>
      <w:outlineLvl w:val="3"/>
    </w:pPr>
    <w:rPr>
      <w:rFonts w:ascii="Calibri Light" w:hAnsi="Calibri Light"/>
      <w:bCs/>
      <w:sz w:val="24"/>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locked/>
    <w:uiPriority w:val="0"/>
    <w:pPr>
      <w:spacing w:line="240" w:lineRule="auto"/>
      <w:ind w:firstLine="420"/>
    </w:pPr>
  </w:style>
  <w:style w:type="paragraph" w:styleId="7">
    <w:name w:val="annotation text"/>
    <w:basedOn w:val="1"/>
    <w:link w:val="37"/>
    <w:semiHidden/>
    <w:qFormat/>
    <w:uiPriority w:val="0"/>
    <w:pPr>
      <w:jc w:val="left"/>
    </w:pPr>
    <w:rPr>
      <w:kern w:val="0"/>
      <w:sz w:val="24"/>
      <w:szCs w:val="20"/>
    </w:rPr>
  </w:style>
  <w:style w:type="paragraph" w:styleId="8">
    <w:name w:val="Body Text"/>
    <w:basedOn w:val="1"/>
    <w:link w:val="36"/>
    <w:qFormat/>
    <w:uiPriority w:val="0"/>
    <w:pPr>
      <w:widowControl/>
      <w:snapToGrid w:val="0"/>
      <w:spacing w:before="60" w:after="160" w:line="259" w:lineRule="auto"/>
      <w:ind w:right="113"/>
    </w:pPr>
    <w:rPr>
      <w:kern w:val="0"/>
      <w:sz w:val="18"/>
      <w:szCs w:val="20"/>
    </w:rPr>
  </w:style>
  <w:style w:type="paragraph" w:styleId="9">
    <w:name w:val="Body Text Indent"/>
    <w:basedOn w:val="1"/>
    <w:link w:val="45"/>
    <w:qFormat/>
    <w:uiPriority w:val="0"/>
    <w:pPr>
      <w:spacing w:after="120"/>
      <w:ind w:left="420" w:leftChars="200"/>
    </w:pPr>
    <w:rPr>
      <w:kern w:val="0"/>
      <w:sz w:val="24"/>
      <w:szCs w:val="20"/>
    </w:rPr>
  </w:style>
  <w:style w:type="paragraph" w:styleId="10">
    <w:name w:val="Block Text"/>
    <w:basedOn w:val="1"/>
    <w:qFormat/>
    <w:locked/>
    <w:uiPriority w:val="0"/>
    <w:pPr>
      <w:ind w:left="1440" w:leftChars="700" w:right="700" w:rightChars="700"/>
    </w:pPr>
  </w:style>
  <w:style w:type="paragraph" w:styleId="11">
    <w:name w:val="Plain Text"/>
    <w:basedOn w:val="1"/>
    <w:next w:val="12"/>
    <w:link w:val="58"/>
    <w:qFormat/>
    <w:locked/>
    <w:uiPriority w:val="0"/>
    <w:pPr>
      <w:spacing w:line="480" w:lineRule="exact"/>
    </w:pPr>
    <w:rPr>
      <w:rFonts w:ascii="宋体" w:hAnsi="Courier New" w:cs="Courier New"/>
      <w:sz w:val="28"/>
      <w:szCs w:val="21"/>
    </w:rPr>
  </w:style>
  <w:style w:type="paragraph" w:styleId="12">
    <w:name w:val="List Continue 5"/>
    <w:basedOn w:val="1"/>
    <w:qFormat/>
    <w:locked/>
    <w:uiPriority w:val="0"/>
    <w:pPr>
      <w:spacing w:after="120"/>
      <w:ind w:left="2100" w:leftChars="1000"/>
      <w:contextualSpacing/>
    </w:pPr>
  </w:style>
  <w:style w:type="paragraph" w:styleId="13">
    <w:name w:val="Date"/>
    <w:basedOn w:val="1"/>
    <w:next w:val="1"/>
    <w:link w:val="32"/>
    <w:qFormat/>
    <w:uiPriority w:val="0"/>
    <w:pPr>
      <w:ind w:left="100" w:leftChars="2500"/>
    </w:pPr>
    <w:rPr>
      <w:kern w:val="0"/>
      <w:sz w:val="24"/>
      <w:szCs w:val="20"/>
    </w:rPr>
  </w:style>
  <w:style w:type="paragraph" w:styleId="14">
    <w:name w:val="Balloon Text"/>
    <w:basedOn w:val="1"/>
    <w:link w:val="41"/>
    <w:semiHidden/>
    <w:qFormat/>
    <w:uiPriority w:val="0"/>
    <w:rPr>
      <w:kern w:val="0"/>
      <w:sz w:val="18"/>
      <w:szCs w:val="20"/>
    </w:rPr>
  </w:style>
  <w:style w:type="paragraph" w:styleId="15">
    <w:name w:val="footer"/>
    <w:basedOn w:val="1"/>
    <w:link w:val="31"/>
    <w:qFormat/>
    <w:uiPriority w:val="99"/>
    <w:pPr>
      <w:tabs>
        <w:tab w:val="center" w:pos="4153"/>
        <w:tab w:val="right" w:pos="8306"/>
      </w:tabs>
      <w:snapToGrid w:val="0"/>
      <w:jc w:val="left"/>
    </w:pPr>
    <w:rPr>
      <w:kern w:val="0"/>
      <w:sz w:val="18"/>
      <w:szCs w:val="20"/>
    </w:rPr>
  </w:style>
  <w:style w:type="paragraph" w:styleId="16">
    <w:name w:val="header"/>
    <w:basedOn w:val="1"/>
    <w:link w:val="43"/>
    <w:qFormat/>
    <w:uiPriority w:val="0"/>
    <w:pPr>
      <w:pBdr>
        <w:bottom w:val="single" w:color="auto" w:sz="6" w:space="1"/>
      </w:pBdr>
      <w:tabs>
        <w:tab w:val="center" w:pos="4153"/>
        <w:tab w:val="right" w:pos="8306"/>
      </w:tabs>
      <w:snapToGrid w:val="0"/>
      <w:jc w:val="center"/>
    </w:pPr>
    <w:rPr>
      <w:kern w:val="0"/>
      <w:sz w:val="18"/>
      <w:szCs w:val="20"/>
    </w:rPr>
  </w:style>
  <w:style w:type="paragraph" w:styleId="17">
    <w:name w:val="toc 1"/>
    <w:basedOn w:val="1"/>
    <w:next w:val="1"/>
    <w:qFormat/>
    <w:locked/>
    <w:uiPriority w:val="39"/>
  </w:style>
  <w:style w:type="paragraph" w:styleId="18">
    <w:name w:val="Subtitle"/>
    <w:basedOn w:val="1"/>
    <w:next w:val="1"/>
    <w:link w:val="50"/>
    <w:qFormat/>
    <w:locked/>
    <w:uiPriority w:val="0"/>
    <w:pPr>
      <w:widowControl/>
      <w:jc w:val="center"/>
    </w:pPr>
    <w:rPr>
      <w:b/>
      <w:bCs/>
      <w:color w:val="000000"/>
      <w:kern w:val="0"/>
      <w:szCs w:val="21"/>
    </w:rPr>
  </w:style>
  <w:style w:type="paragraph" w:styleId="19">
    <w:name w:val="Body Text Indent 3"/>
    <w:basedOn w:val="1"/>
    <w:link w:val="76"/>
    <w:qFormat/>
    <w:locked/>
    <w:uiPriority w:val="0"/>
    <w:pPr>
      <w:spacing w:after="120"/>
      <w:ind w:left="420" w:leftChars="200"/>
    </w:pPr>
    <w:rPr>
      <w:sz w:val="16"/>
      <w:szCs w:val="16"/>
    </w:rPr>
  </w:style>
  <w:style w:type="paragraph" w:styleId="20">
    <w:name w:val="Normal (Web)"/>
    <w:basedOn w:val="1"/>
    <w:link w:val="34"/>
    <w:qFormat/>
    <w:uiPriority w:val="0"/>
    <w:pPr>
      <w:widowControl/>
      <w:spacing w:before="100" w:beforeAutospacing="1" w:after="100" w:afterAutospacing="1"/>
      <w:jc w:val="left"/>
    </w:pPr>
    <w:rPr>
      <w:rFonts w:ascii="宋体" w:hAnsi="宋体"/>
      <w:kern w:val="0"/>
      <w:sz w:val="24"/>
      <w:szCs w:val="20"/>
    </w:rPr>
  </w:style>
  <w:style w:type="paragraph" w:styleId="21">
    <w:name w:val="annotation subject"/>
    <w:basedOn w:val="7"/>
    <w:next w:val="7"/>
    <w:link w:val="42"/>
    <w:semiHidden/>
    <w:qFormat/>
    <w:uiPriority w:val="0"/>
    <w:rPr>
      <w:b/>
      <w:kern w:val="2"/>
    </w:rPr>
  </w:style>
  <w:style w:type="paragraph" w:styleId="22">
    <w:name w:val="Body Text First Indent"/>
    <w:basedOn w:val="8"/>
    <w:link w:val="78"/>
    <w:qFormat/>
    <w:locked/>
    <w:uiPriority w:val="0"/>
    <w:pPr>
      <w:widowControl w:val="0"/>
      <w:snapToGrid/>
      <w:spacing w:before="0" w:after="120" w:line="240" w:lineRule="exact"/>
      <w:ind w:right="0" w:firstLine="420" w:firstLineChars="100"/>
    </w:pPr>
    <w:rPr>
      <w:kern w:val="2"/>
      <w:sz w:val="21"/>
      <w:szCs w:val="24"/>
    </w:rPr>
  </w:style>
  <w:style w:type="paragraph" w:styleId="23">
    <w:name w:val="Body Text First Indent 2"/>
    <w:basedOn w:val="9"/>
    <w:link w:val="57"/>
    <w:qFormat/>
    <w:locked/>
    <w:uiPriority w:val="0"/>
    <w:pPr>
      <w:ind w:firstLine="420" w:firstLineChars="200"/>
    </w:pPr>
    <w:rPr>
      <w:kern w:val="2"/>
      <w:sz w:val="21"/>
      <w:szCs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locked/>
    <w:uiPriority w:val="0"/>
  </w:style>
  <w:style w:type="character" w:styleId="28">
    <w:name w:val="Hyperlink"/>
    <w:basedOn w:val="26"/>
    <w:unhideWhenUsed/>
    <w:qFormat/>
    <w:locked/>
    <w:uiPriority w:val="99"/>
    <w:rPr>
      <w:color w:val="0000FF"/>
      <w:u w:val="single"/>
    </w:rPr>
  </w:style>
  <w:style w:type="character" w:styleId="29">
    <w:name w:val="annotation reference"/>
    <w:semiHidden/>
    <w:qFormat/>
    <w:uiPriority w:val="0"/>
    <w:rPr>
      <w:sz w:val="21"/>
    </w:rPr>
  </w:style>
  <w:style w:type="paragraph" w:customStyle="1" w:styleId="30">
    <w:name w:val="样式 正文文本 + 首行缩进:  2 字符"/>
    <w:basedOn w:val="8"/>
    <w:qFormat/>
    <w:uiPriority w:val="0"/>
    <w:pPr>
      <w:spacing w:after="0" w:line="540" w:lineRule="exact"/>
      <w:jc w:val="center"/>
    </w:pPr>
    <w:rPr>
      <w:rFonts w:ascii="黑体" w:hAnsi="黑体" w:eastAsia="黑体"/>
      <w:b/>
      <w:sz w:val="24"/>
    </w:rPr>
  </w:style>
  <w:style w:type="character" w:customStyle="1" w:styleId="31">
    <w:name w:val="页脚 Char"/>
    <w:link w:val="15"/>
    <w:qFormat/>
    <w:locked/>
    <w:uiPriority w:val="99"/>
    <w:rPr>
      <w:sz w:val="18"/>
    </w:rPr>
  </w:style>
  <w:style w:type="character" w:customStyle="1" w:styleId="32">
    <w:name w:val="日期 Char"/>
    <w:link w:val="13"/>
    <w:qFormat/>
    <w:locked/>
    <w:uiPriority w:val="0"/>
    <w:rPr>
      <w:rFonts w:ascii="Times New Roman" w:hAnsi="Times New Roman" w:eastAsia="宋体"/>
      <w:sz w:val="24"/>
    </w:rPr>
  </w:style>
  <w:style w:type="character" w:customStyle="1" w:styleId="33">
    <w:name w:val="页脚 字符"/>
    <w:basedOn w:val="26"/>
    <w:qFormat/>
    <w:uiPriority w:val="99"/>
  </w:style>
  <w:style w:type="character" w:customStyle="1" w:styleId="34">
    <w:name w:val="普通(网站) Char"/>
    <w:link w:val="20"/>
    <w:qFormat/>
    <w:locked/>
    <w:uiPriority w:val="0"/>
    <w:rPr>
      <w:rFonts w:ascii="宋体" w:hAnsi="宋体" w:eastAsia="宋体"/>
      <w:sz w:val="24"/>
    </w:rPr>
  </w:style>
  <w:style w:type="character" w:customStyle="1" w:styleId="35">
    <w:name w:val="正文文本 字符1"/>
    <w:semiHidden/>
    <w:qFormat/>
    <w:uiPriority w:val="0"/>
    <w:rPr>
      <w:rFonts w:ascii="Times New Roman" w:hAnsi="Times New Roman" w:eastAsia="宋体"/>
      <w:sz w:val="24"/>
    </w:rPr>
  </w:style>
  <w:style w:type="character" w:customStyle="1" w:styleId="36">
    <w:name w:val="正文文本 Char"/>
    <w:link w:val="8"/>
    <w:qFormat/>
    <w:locked/>
    <w:uiPriority w:val="0"/>
    <w:rPr>
      <w:sz w:val="18"/>
    </w:rPr>
  </w:style>
  <w:style w:type="character" w:customStyle="1" w:styleId="37">
    <w:name w:val="批注文字 Char"/>
    <w:link w:val="7"/>
    <w:qFormat/>
    <w:locked/>
    <w:uiPriority w:val="0"/>
    <w:rPr>
      <w:rFonts w:ascii="Times New Roman" w:hAnsi="Times New Roman" w:eastAsia="宋体"/>
      <w:sz w:val="24"/>
    </w:rPr>
  </w:style>
  <w:style w:type="character" w:customStyle="1" w:styleId="38">
    <w:name w:val="表格 Char"/>
    <w:link w:val="39"/>
    <w:qFormat/>
    <w:locked/>
    <w:uiPriority w:val="0"/>
    <w:rPr>
      <w:rFonts w:ascii="宋体"/>
      <w:sz w:val="21"/>
    </w:rPr>
  </w:style>
  <w:style w:type="paragraph" w:customStyle="1" w:styleId="39">
    <w:name w:val="表格"/>
    <w:basedOn w:val="1"/>
    <w:next w:val="1"/>
    <w:link w:val="38"/>
    <w:qFormat/>
    <w:uiPriority w:val="0"/>
    <w:pPr>
      <w:adjustRightInd w:val="0"/>
      <w:snapToGrid w:val="0"/>
      <w:spacing w:beforeLines="10" w:afterLines="10" w:line="259" w:lineRule="auto"/>
      <w:jc w:val="center"/>
    </w:pPr>
    <w:rPr>
      <w:rFonts w:ascii="宋体"/>
      <w:kern w:val="0"/>
      <w:szCs w:val="20"/>
    </w:rPr>
  </w:style>
  <w:style w:type="character" w:customStyle="1" w:styleId="40">
    <w:name w:val="日期 字符"/>
    <w:semiHidden/>
    <w:qFormat/>
    <w:uiPriority w:val="0"/>
    <w:rPr>
      <w:rFonts w:ascii="Times New Roman" w:hAnsi="Times New Roman" w:eastAsia="宋体"/>
      <w:sz w:val="24"/>
    </w:rPr>
  </w:style>
  <w:style w:type="character" w:customStyle="1" w:styleId="41">
    <w:name w:val="批注框文本 Char"/>
    <w:link w:val="14"/>
    <w:semiHidden/>
    <w:qFormat/>
    <w:locked/>
    <w:uiPriority w:val="0"/>
    <w:rPr>
      <w:rFonts w:ascii="Times New Roman" w:hAnsi="Times New Roman" w:eastAsia="宋体"/>
      <w:sz w:val="18"/>
    </w:rPr>
  </w:style>
  <w:style w:type="character" w:customStyle="1" w:styleId="42">
    <w:name w:val="批注主题 Char"/>
    <w:link w:val="21"/>
    <w:semiHidden/>
    <w:qFormat/>
    <w:locked/>
    <w:uiPriority w:val="0"/>
    <w:rPr>
      <w:rFonts w:ascii="Times New Roman" w:hAnsi="Times New Roman" w:eastAsia="宋体"/>
      <w:b/>
      <w:kern w:val="2"/>
      <w:sz w:val="24"/>
    </w:rPr>
  </w:style>
  <w:style w:type="character" w:customStyle="1" w:styleId="43">
    <w:name w:val="页眉 Char"/>
    <w:link w:val="16"/>
    <w:qFormat/>
    <w:locked/>
    <w:uiPriority w:val="0"/>
    <w:rPr>
      <w:sz w:val="18"/>
    </w:rPr>
  </w:style>
  <w:style w:type="character" w:customStyle="1" w:styleId="44">
    <w:name w:val="批注文字 字符1"/>
    <w:semiHidden/>
    <w:qFormat/>
    <w:uiPriority w:val="0"/>
    <w:rPr>
      <w:rFonts w:ascii="Times New Roman" w:hAnsi="Times New Roman" w:eastAsia="宋体"/>
      <w:sz w:val="24"/>
    </w:rPr>
  </w:style>
  <w:style w:type="character" w:customStyle="1" w:styleId="45">
    <w:name w:val="正文文本缩进 Char"/>
    <w:link w:val="9"/>
    <w:semiHidden/>
    <w:qFormat/>
    <w:locked/>
    <w:uiPriority w:val="0"/>
    <w:rPr>
      <w:rFonts w:ascii="Times New Roman" w:hAnsi="Times New Roman" w:eastAsia="宋体"/>
      <w:sz w:val="24"/>
    </w:rPr>
  </w:style>
  <w:style w:type="paragraph" w:customStyle="1" w:styleId="46">
    <w:name w:val="正文_10"/>
    <w:qFormat/>
    <w:uiPriority w:val="0"/>
    <w:pPr>
      <w:widowControl w:val="0"/>
      <w:spacing w:line="240" w:lineRule="exact"/>
      <w:jc w:val="both"/>
    </w:pPr>
    <w:rPr>
      <w:rFonts w:ascii="Times New Roman" w:hAnsi="Times New Roman" w:eastAsia="宋体" w:cs="Times New Roman"/>
      <w:kern w:val="2"/>
      <w:sz w:val="21"/>
      <w:szCs w:val="22"/>
      <w:lang w:val="en-US" w:eastAsia="zh-CN" w:bidi="ar-SA"/>
    </w:rPr>
  </w:style>
  <w:style w:type="paragraph" w:customStyle="1" w:styleId="4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8">
    <w:name w:val="Default"/>
    <w:basedOn w:val="1"/>
    <w:qFormat/>
    <w:uiPriority w:val="0"/>
    <w:pPr>
      <w:autoSpaceDE w:val="0"/>
      <w:autoSpaceDN w:val="0"/>
      <w:adjustRightInd w:val="0"/>
      <w:textAlignment w:val="baseline"/>
    </w:pPr>
    <w:rPr>
      <w:rFonts w:ascii="宋体"/>
      <w:color w:val="000000"/>
      <w:sz w:val="24"/>
    </w:rPr>
  </w:style>
  <w:style w:type="character" w:customStyle="1" w:styleId="49">
    <w:name w:val="表格 Char Char"/>
    <w:qFormat/>
    <w:uiPriority w:val="0"/>
    <w:rPr>
      <w:kern w:val="2"/>
      <w:sz w:val="21"/>
      <w:szCs w:val="24"/>
    </w:rPr>
  </w:style>
  <w:style w:type="character" w:customStyle="1" w:styleId="50">
    <w:name w:val="副标题 Char"/>
    <w:basedOn w:val="26"/>
    <w:link w:val="18"/>
    <w:qFormat/>
    <w:uiPriority w:val="0"/>
    <w:rPr>
      <w:b/>
      <w:bCs/>
      <w:color w:val="000000"/>
      <w:sz w:val="21"/>
      <w:szCs w:val="21"/>
    </w:rPr>
  </w:style>
  <w:style w:type="paragraph" w:customStyle="1" w:styleId="51">
    <w:name w:val="环评表格"/>
    <w:next w:val="1"/>
    <w:qFormat/>
    <w:uiPriority w:val="0"/>
    <w:pPr>
      <w:spacing w:line="240" w:lineRule="exact"/>
      <w:jc w:val="center"/>
    </w:pPr>
    <w:rPr>
      <w:rFonts w:ascii="Times New Roman" w:hAnsi="Times New Roman" w:eastAsia="宋体" w:cs="Times New Roman"/>
      <w:sz w:val="21"/>
      <w:szCs w:val="21"/>
      <w:lang w:val="en-US" w:eastAsia="zh-CN" w:bidi="ar-SA"/>
    </w:rPr>
  </w:style>
  <w:style w:type="paragraph" w:customStyle="1" w:styleId="52">
    <w:name w:val="正文正"/>
    <w:basedOn w:val="1"/>
    <w:qFormat/>
    <w:uiPriority w:val="0"/>
    <w:pPr>
      <w:ind w:firstLine="560" w:firstLineChars="200"/>
    </w:pPr>
    <w:rPr>
      <w:sz w:val="28"/>
    </w:rPr>
  </w:style>
  <w:style w:type="paragraph" w:customStyle="1" w:styleId="53">
    <w:name w:val="二级无标题条"/>
    <w:basedOn w:val="1"/>
    <w:qFormat/>
    <w:uiPriority w:val="0"/>
  </w:style>
  <w:style w:type="paragraph" w:customStyle="1" w:styleId="54">
    <w:name w:val="Char"/>
    <w:basedOn w:val="1"/>
    <w:qFormat/>
    <w:uiPriority w:val="0"/>
  </w:style>
  <w:style w:type="paragraph" w:customStyle="1" w:styleId="55">
    <w:name w:val="样式 样式 样式 四号 左侧:  1.53 厘米 + 首行缩进:  2 字符 + 居中 左侧:  2 字符 首行缩进:  2..."/>
    <w:basedOn w:val="1"/>
    <w:qFormat/>
    <w:uiPriority w:val="0"/>
    <w:pPr>
      <w:adjustRightInd w:val="0"/>
      <w:spacing w:line="240" w:lineRule="auto"/>
      <w:ind w:left="200" w:leftChars="200"/>
      <w:jc w:val="center"/>
    </w:pPr>
    <w:rPr>
      <w:w w:val="90"/>
      <w:sz w:val="28"/>
      <w:szCs w:val="20"/>
    </w:rPr>
  </w:style>
  <w:style w:type="character" w:customStyle="1" w:styleId="56">
    <w:name w:val="标题 2 Char"/>
    <w:basedOn w:val="26"/>
    <w:link w:val="3"/>
    <w:qFormat/>
    <w:uiPriority w:val="0"/>
    <w:rPr>
      <w:rFonts w:ascii="Cambria" w:hAnsi="Cambria" w:eastAsia="宋体" w:cs="Times New Roman"/>
      <w:b/>
      <w:bCs/>
      <w:kern w:val="2"/>
      <w:sz w:val="32"/>
      <w:szCs w:val="32"/>
    </w:rPr>
  </w:style>
  <w:style w:type="character" w:customStyle="1" w:styleId="57">
    <w:name w:val="正文首行缩进 2 Char"/>
    <w:basedOn w:val="45"/>
    <w:link w:val="23"/>
    <w:qFormat/>
    <w:uiPriority w:val="0"/>
    <w:rPr>
      <w:kern w:val="2"/>
      <w:sz w:val="21"/>
      <w:szCs w:val="24"/>
    </w:rPr>
  </w:style>
  <w:style w:type="character" w:customStyle="1" w:styleId="58">
    <w:name w:val="纯文本 Char"/>
    <w:basedOn w:val="26"/>
    <w:link w:val="11"/>
    <w:qFormat/>
    <w:uiPriority w:val="0"/>
    <w:rPr>
      <w:rFonts w:ascii="宋体" w:hAnsi="Courier New" w:cs="Courier New"/>
      <w:kern w:val="2"/>
      <w:sz w:val="28"/>
      <w:szCs w:val="21"/>
    </w:rPr>
  </w:style>
  <w:style w:type="paragraph" w:customStyle="1" w:styleId="59">
    <w:name w:val="Normal_231"/>
    <w:qFormat/>
    <w:uiPriority w:val="0"/>
    <w:pPr>
      <w:spacing w:before="120" w:after="240"/>
      <w:jc w:val="both"/>
    </w:pPr>
    <w:rPr>
      <w:rFonts w:ascii="Calibri" w:hAnsi="Calibri" w:eastAsia="Calibri" w:cs="Times New Roman"/>
      <w:sz w:val="22"/>
      <w:szCs w:val="22"/>
      <w:lang w:val="ru-RU" w:eastAsia="en-US" w:bidi="ar-SA"/>
    </w:rPr>
  </w:style>
  <w:style w:type="paragraph" w:customStyle="1" w:styleId="60">
    <w:name w:val="填表内容"/>
    <w:basedOn w:val="1"/>
    <w:qFormat/>
    <w:uiPriority w:val="0"/>
    <w:pPr>
      <w:adjustRightInd w:val="0"/>
      <w:spacing w:line="480" w:lineRule="exact"/>
      <w:ind w:firstLine="560" w:firstLineChars="200"/>
      <w:jc w:val="left"/>
      <w:textAlignment w:val="baseline"/>
    </w:pPr>
    <w:rPr>
      <w:rFonts w:ascii="楷体_GB2312" w:eastAsia="楷体_GB2312"/>
      <w:sz w:val="28"/>
      <w:szCs w:val="20"/>
    </w:rPr>
  </w:style>
  <w:style w:type="paragraph" w:customStyle="1" w:styleId="61">
    <w:name w:val="默认段落字体 Para Char Char Char Char Char Char Char Char Char Char"/>
    <w:basedOn w:val="4"/>
    <w:qFormat/>
    <w:uiPriority w:val="0"/>
    <w:pPr>
      <w:tabs>
        <w:tab w:val="left" w:pos="360"/>
        <w:tab w:val="left" w:pos="900"/>
      </w:tabs>
      <w:snapToGrid w:val="0"/>
      <w:spacing w:before="120" w:after="120" w:line="360" w:lineRule="auto"/>
      <w:ind w:left="542" w:leftChars="-12" w:firstLine="200" w:firstLineChars="200"/>
      <w:jc w:val="left"/>
    </w:pPr>
    <w:rPr>
      <w:rFonts w:eastAsia="黑体"/>
      <w:b w:val="0"/>
      <w:bCs w:val="0"/>
      <w:snapToGrid w:val="0"/>
      <w:sz w:val="24"/>
      <w:szCs w:val="24"/>
    </w:rPr>
  </w:style>
  <w:style w:type="paragraph" w:customStyle="1" w:styleId="62">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character" w:customStyle="1" w:styleId="63">
    <w:name w:val="标题 3 Char"/>
    <w:basedOn w:val="26"/>
    <w:link w:val="4"/>
    <w:semiHidden/>
    <w:qFormat/>
    <w:uiPriority w:val="0"/>
    <w:rPr>
      <w:b/>
      <w:bCs/>
      <w:kern w:val="2"/>
      <w:sz w:val="32"/>
      <w:szCs w:val="32"/>
    </w:rPr>
  </w:style>
  <w:style w:type="character" w:customStyle="1" w:styleId="64">
    <w:name w:val="NormalCharacter"/>
    <w:qFormat/>
    <w:uiPriority w:val="0"/>
    <w:rPr>
      <w:rFonts w:ascii="宋体" w:hAnsi="宋体" w:eastAsia="宋体" w:cs="仿宋_GB2312"/>
      <w:color w:val="000000"/>
      <w:sz w:val="28"/>
      <w:szCs w:val="28"/>
      <w:lang w:val="en-US" w:eastAsia="zh-CN" w:bidi="ar-SA"/>
    </w:rPr>
  </w:style>
  <w:style w:type="character" w:customStyle="1" w:styleId="65">
    <w:name w:val="纯文本 Char1"/>
    <w:qFormat/>
    <w:uiPriority w:val="0"/>
    <w:rPr>
      <w:rFonts w:ascii="宋体" w:hAnsi="Courier New"/>
      <w:kern w:val="2"/>
      <w:sz w:val="21"/>
      <w:szCs w:val="21"/>
    </w:rPr>
  </w:style>
  <w:style w:type="paragraph" w:customStyle="1" w:styleId="66">
    <w:name w:val="WPS Plain"/>
    <w:qFormat/>
    <w:uiPriority w:val="0"/>
    <w:rPr>
      <w:rFonts w:ascii="Calibri" w:hAnsi="Calibri" w:eastAsia="宋体" w:cs="Times New Roman"/>
      <w:lang w:val="en-US" w:eastAsia="zh-CN" w:bidi="ar-SA"/>
    </w:rPr>
  </w:style>
  <w:style w:type="paragraph" w:customStyle="1" w:styleId="67">
    <w:name w:val="我的表格"/>
    <w:basedOn w:val="1"/>
    <w:qFormat/>
    <w:uiPriority w:val="0"/>
    <w:pPr>
      <w:adjustRightInd w:val="0"/>
      <w:spacing w:line="240" w:lineRule="auto"/>
      <w:jc w:val="center"/>
      <w:textAlignment w:val="baseline"/>
    </w:pPr>
    <w:rPr>
      <w:snapToGrid w:val="0"/>
      <w:kern w:val="0"/>
      <w:szCs w:val="21"/>
    </w:rPr>
  </w:style>
  <w:style w:type="paragraph" w:customStyle="1" w:styleId="68">
    <w:name w:val="Table Paragraph"/>
    <w:basedOn w:val="1"/>
    <w:qFormat/>
    <w:uiPriority w:val="0"/>
    <w:pPr>
      <w:spacing w:line="240" w:lineRule="auto"/>
    </w:pPr>
    <w:rPr>
      <w:rFonts w:ascii="仿宋" w:hAnsi="仿宋" w:eastAsia="仿宋" w:cs="仿宋"/>
      <w:lang w:val="zh-CN" w:bidi="zh-CN"/>
    </w:rPr>
  </w:style>
  <w:style w:type="paragraph" w:customStyle="1" w:styleId="69">
    <w:name w:val="表头"/>
    <w:basedOn w:val="1"/>
    <w:next w:val="1"/>
    <w:link w:val="70"/>
    <w:qFormat/>
    <w:uiPriority w:val="0"/>
    <w:pPr>
      <w:spacing w:line="240" w:lineRule="auto"/>
      <w:jc w:val="center"/>
    </w:pPr>
    <w:rPr>
      <w:b/>
    </w:rPr>
  </w:style>
  <w:style w:type="character" w:customStyle="1" w:styleId="70">
    <w:name w:val="表头 Char"/>
    <w:link w:val="69"/>
    <w:qFormat/>
    <w:uiPriority w:val="0"/>
    <w:rPr>
      <w:b/>
      <w:kern w:val="2"/>
      <w:sz w:val="21"/>
      <w:szCs w:val="24"/>
    </w:rPr>
  </w:style>
  <w:style w:type="table" w:customStyle="1" w:styleId="71">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72">
    <w:name w:val="列出段落1"/>
    <w:basedOn w:val="1"/>
    <w:qFormat/>
    <w:uiPriority w:val="0"/>
    <w:pPr>
      <w:spacing w:line="240" w:lineRule="auto"/>
      <w:ind w:firstLine="420" w:firstLineChars="200"/>
    </w:pPr>
    <w:rPr>
      <w:rFonts w:ascii="Calibri" w:hAnsi="Calibri"/>
    </w:rPr>
  </w:style>
  <w:style w:type="paragraph" w:customStyle="1" w:styleId="73">
    <w:name w:val="表头及表尾"/>
    <w:qFormat/>
    <w:uiPriority w:val="0"/>
    <w:pPr>
      <w:adjustRightInd w:val="0"/>
      <w:snapToGrid w:val="0"/>
      <w:jc w:val="center"/>
    </w:pPr>
    <w:rPr>
      <w:rFonts w:ascii="Times New Roman" w:hAnsi="Times New Roman" w:eastAsia="宋体" w:cs="Times New Roman"/>
      <w:snapToGrid w:val="0"/>
      <w:sz w:val="21"/>
      <w:szCs w:val="22"/>
      <w:lang w:val="en-US" w:eastAsia="zh-CN" w:bidi="ar-SA"/>
    </w:rPr>
  </w:style>
  <w:style w:type="paragraph" w:customStyle="1" w:styleId="74">
    <w:name w:val="图表标题"/>
    <w:basedOn w:val="1"/>
    <w:qFormat/>
    <w:uiPriority w:val="0"/>
    <w:pPr>
      <w:adjustRightInd w:val="0"/>
      <w:snapToGrid w:val="0"/>
      <w:spacing w:line="240" w:lineRule="auto"/>
      <w:jc w:val="center"/>
    </w:pPr>
  </w:style>
  <w:style w:type="character" w:customStyle="1" w:styleId="75">
    <w:name w:val="正文文本缩进 3 Char"/>
    <w:basedOn w:val="26"/>
    <w:link w:val="19"/>
    <w:qFormat/>
    <w:uiPriority w:val="0"/>
    <w:rPr>
      <w:kern w:val="2"/>
      <w:sz w:val="16"/>
      <w:szCs w:val="16"/>
    </w:rPr>
  </w:style>
  <w:style w:type="character" w:customStyle="1" w:styleId="76">
    <w:name w:val="正文文本缩进 3 Char1"/>
    <w:link w:val="19"/>
    <w:qFormat/>
    <w:uiPriority w:val="0"/>
    <w:rPr>
      <w:kern w:val="2"/>
      <w:sz w:val="16"/>
      <w:szCs w:val="16"/>
    </w:rPr>
  </w:style>
  <w:style w:type="paragraph" w:customStyle="1" w:styleId="77">
    <w:name w:val="表中文字"/>
    <w:basedOn w:val="1"/>
    <w:qFormat/>
    <w:uiPriority w:val="0"/>
    <w:pPr>
      <w:spacing w:line="280" w:lineRule="exact"/>
      <w:jc w:val="center"/>
    </w:pPr>
    <w:rPr>
      <w:rFonts w:ascii="宋体" w:hAnsi="宋体"/>
      <w:sz w:val="18"/>
      <w:szCs w:val="18"/>
    </w:rPr>
  </w:style>
  <w:style w:type="character" w:customStyle="1" w:styleId="78">
    <w:name w:val="正文首行缩进 Char"/>
    <w:basedOn w:val="36"/>
    <w:link w:val="22"/>
    <w:qFormat/>
    <w:uiPriority w:val="0"/>
    <w:rPr>
      <w:kern w:val="2"/>
      <w:sz w:val="21"/>
      <w:szCs w:val="24"/>
    </w:rPr>
  </w:style>
  <w:style w:type="paragraph" w:customStyle="1" w:styleId="79">
    <w:name w:val="报告书表格"/>
    <w:basedOn w:val="1"/>
    <w:qFormat/>
    <w:uiPriority w:val="0"/>
    <w:pPr>
      <w:adjustRightInd w:val="0"/>
      <w:spacing w:line="240" w:lineRule="atLeast"/>
      <w:jc w:val="center"/>
      <w:textAlignment w:val="baseline"/>
    </w:pPr>
    <w:rPr>
      <w:kern w:val="0"/>
      <w:szCs w:val="20"/>
    </w:rPr>
  </w:style>
  <w:style w:type="character" w:customStyle="1" w:styleId="80">
    <w:name w:val="普通(网站) Char2"/>
    <w:qFormat/>
    <w:locked/>
    <w:uiPriority w:val="0"/>
    <w:rPr>
      <w:rFonts w:ascii="宋体" w:hAnsi="宋体"/>
      <w:sz w:val="24"/>
    </w:rPr>
  </w:style>
  <w:style w:type="paragraph" w:customStyle="1" w:styleId="81">
    <w:name w:val="2"/>
    <w:basedOn w:val="1"/>
    <w:next w:val="13"/>
    <w:qFormat/>
    <w:uiPriority w:val="0"/>
    <w:pPr>
      <w:spacing w:line="240" w:lineRule="auto"/>
      <w:ind w:firstLine="527" w:firstLineChars="200"/>
    </w:pPr>
    <w:rPr>
      <w:rFonts w:ascii="宋体"/>
      <w:spacing w:val="5"/>
      <w:sz w:val="25"/>
      <w:szCs w:val="25"/>
    </w:rPr>
  </w:style>
  <w:style w:type="character" w:customStyle="1" w:styleId="82">
    <w:name w:val="font11"/>
    <w:basedOn w:val="26"/>
    <w:qFormat/>
    <w:uiPriority w:val="0"/>
    <w:rPr>
      <w:rFonts w:hint="eastAsia" w:ascii="宋体" w:hAnsi="宋体" w:eastAsia="宋体" w:cs="宋体"/>
      <w:color w:val="FF0000"/>
      <w:sz w:val="18"/>
      <w:szCs w:val="18"/>
      <w:u w:val="none"/>
    </w:rPr>
  </w:style>
  <w:style w:type="paragraph" w:customStyle="1" w:styleId="83">
    <w:name w:val="06 表格内容"/>
    <w:basedOn w:val="1"/>
    <w:qFormat/>
    <w:uiPriority w:val="0"/>
    <w:pPr>
      <w:spacing w:line="0" w:lineRule="atLeast"/>
    </w:pPr>
    <w:rPr>
      <w:szCs w:val="21"/>
    </w:rPr>
  </w:style>
  <w:style w:type="paragraph" w:customStyle="1" w:styleId="84">
    <w:name w:val="样式 小四 行距: 固定值 24 磅 首行缩进:  2 字符"/>
    <w:basedOn w:val="1"/>
    <w:qFormat/>
    <w:uiPriority w:val="0"/>
    <w:pPr>
      <w:spacing w:line="440" w:lineRule="exact"/>
      <w:ind w:firstLine="200"/>
    </w:pPr>
  </w:style>
  <w:style w:type="paragraph" w:customStyle="1" w:styleId="85">
    <w:name w:val="正文格式"/>
    <w:qFormat/>
    <w:uiPriority w:val="0"/>
    <w:pPr>
      <w:spacing w:line="480" w:lineRule="exact"/>
      <w:ind w:firstLine="480" w:firstLineChars="200"/>
      <w:jc w:val="both"/>
    </w:pPr>
    <w:rPr>
      <w:rFonts w:ascii="Times New Roman" w:hAnsi="Times New Roman" w:eastAsia="宋体" w:cs="Times New Roman"/>
      <w:sz w:val="24"/>
      <w:szCs w:val="24"/>
      <w:lang w:val="en-US" w:eastAsia="zh-CN" w:bidi="ar-SA"/>
    </w:rPr>
  </w:style>
  <w:style w:type="paragraph" w:customStyle="1" w:styleId="86">
    <w:name w:val="表格内-MB"/>
    <w:basedOn w:val="1"/>
    <w:qFormat/>
    <w:uiPriority w:val="0"/>
    <w:pPr>
      <w:widowControl/>
      <w:adjustRightInd w:val="0"/>
      <w:snapToGrid w:val="0"/>
      <w:contextualSpacing/>
      <w:jc w:val="center"/>
    </w:pPr>
  </w:style>
  <w:style w:type="paragraph" w:customStyle="1" w:styleId="87">
    <w:name w:val="表格内-固定值12"/>
    <w:basedOn w:val="1"/>
    <w:qFormat/>
    <w:uiPriority w:val="0"/>
    <w:pPr>
      <w:adjustRightInd w:val="0"/>
      <w:snapToGrid w:val="0"/>
      <w:spacing w:line="240" w:lineRule="exact"/>
      <w:contextualSpacing/>
    </w:pPr>
    <w:rPr>
      <w:rFonts w:ascii="Times New Roman" w:hAnsi="Times New Roman" w:eastAsia="宋体" w:cs="Times New Roman"/>
      <w:sz w:val="18"/>
    </w:rPr>
  </w:style>
  <w:style w:type="paragraph" w:customStyle="1" w:styleId="88">
    <w:name w:val="表格内文字-紧缩"/>
    <w:basedOn w:val="1"/>
    <w:qFormat/>
    <w:uiPriority w:val="0"/>
    <w:pPr>
      <w:widowControl/>
      <w:spacing w:line="240" w:lineRule="exact"/>
      <w:jc w:val="center"/>
    </w:pPr>
    <w:rPr>
      <w:rFonts w:ascii="Times New Roman" w:hAnsi="Times New Roman" w:eastAsia="宋体"/>
      <w:spacing w:val="-6"/>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DA1AC3-0803-424E-B60A-B77FC47DB625}">
  <ds:schemaRefs/>
</ds:datastoreItem>
</file>

<file path=docProps/app.xml><?xml version="1.0" encoding="utf-8"?>
<Properties xmlns="http://schemas.openxmlformats.org/officeDocument/2006/extended-properties" xmlns:vt="http://schemas.openxmlformats.org/officeDocument/2006/docPropsVTypes">
  <Template>wdzx97</Template>
  <Company>Microsoft</Company>
  <Pages>132</Pages>
  <Words>24552</Words>
  <Characters>26002</Characters>
  <Lines>797</Lines>
  <Paragraphs>224</Paragraphs>
  <TotalTime>4</TotalTime>
  <ScaleCrop>false</ScaleCrop>
  <LinksUpToDate>false</LinksUpToDate>
  <CharactersWithSpaces>26087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2025-04-25T06:35:00Z</dcterms:created>
  <dc:creator>lhj</dc:creator>
  <cp:lastModifiedBy> 天上星</cp:lastModifiedBy>
  <cp:lastPrinted>2025-03-04T01:04:00Z</cp:lastPrinted>
  <dcterms:modified xsi:type="dcterms:W3CDTF">2025-11-28T02:35:01Z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D52461E8CDC74935B07D1D6EB8B0E459_13</vt:lpwstr>
  </property>
  <property fmtid="{D5CDD505-2E9C-101B-9397-08002B2CF9AE}" pid="4" name="KSOTemplateDocerSaveRecord">
    <vt:lpwstr>eyJoZGlkIjoiMGYxNjUwMWM1ZDVkZDU2MjBiZTcwMDA2ODk0ODJmZGMiLCJ1c2VySWQiOiIyOTE2MTc5MDAifQ==</vt:lpwstr>
  </property>
</Properties>
</file>