
<file path=[Content_Types].xml><?xml version="1.0" encoding="utf-8"?>
<Types xmlns="http://schemas.openxmlformats.org/package/2006/content-types">
  <Default Extension="xml" ContentType="application/xml"/>
  <Default Extension="xlsx" ContentType="application/vnd.openxmlformats-officedocument.spreadsheetml.sheet"/>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charts/chart1.xml" ContentType="application/vnd.openxmlformats-officedocument.drawingml.chart+xml"/>
  <Override PartName="/word/charts/chart2.xml" ContentType="application/vnd.openxmlformats-officedocument.drawingml.chart+xml"/>
  <Override PartName="/word/charts/chart3.xml" ContentType="application/vnd.openxmlformats-officedocument.drawingml.chart+xml"/>
  <Override PartName="/word/charts/chart4.xml" ContentType="application/vnd.openxmlformats-officedocument.drawingml.chart+xml"/>
  <Override PartName="/word/charts/chart5.xml" ContentType="application/vnd.openxmlformats-officedocument.drawingml.chart+xml"/>
  <Override PartName="/word/charts/chart6.xml" ContentType="application/vnd.openxmlformats-officedocument.drawingml.chart+xml"/>
  <Override PartName="/word/charts/colors1.xml" ContentType="application/vnd.ms-office.chartcolorstyle+xml"/>
  <Override PartName="/word/charts/colors2.xml" ContentType="application/vnd.ms-office.chartcolorstyle+xml"/>
  <Override PartName="/word/charts/colors3.xml" ContentType="application/vnd.ms-office.chartcolorstyle+xml"/>
  <Override PartName="/word/charts/style1.xml" ContentType="application/vnd.ms-office.chartstyle+xml"/>
  <Override PartName="/word/charts/style2.xml" ContentType="application/vnd.ms-office.chartstyle+xml"/>
  <Override PartName="/word/charts/style3.xml" ContentType="application/vnd.ms-office.chartstyle+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theme/themeOverride1.xml" ContentType="application/vnd.openxmlformats-officedocument.themeOverride+xml"/>
  <Override PartName="/word/theme/themeOverride2.xml" ContentType="application/vnd.openxmlformats-officedocument.themeOverride+xml"/>
  <Override PartName="/word/theme/themeOverride3.xml" ContentType="application/vnd.openxmlformats-officedocument.themeOverrid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02C1853">
      <w:pPr>
        <w:pStyle w:val="4"/>
        <w:rPr>
          <w:rFonts w:ascii="Times New Roman"/>
          <w:sz w:val="20"/>
        </w:rPr>
      </w:pPr>
    </w:p>
    <w:p w14:paraId="6D1DEE48">
      <w:pPr>
        <w:pStyle w:val="4"/>
        <w:rPr>
          <w:rFonts w:ascii="Times New Roman"/>
          <w:sz w:val="20"/>
        </w:rPr>
      </w:pPr>
    </w:p>
    <w:p w14:paraId="01FB0211">
      <w:pPr>
        <w:pStyle w:val="4"/>
        <w:rPr>
          <w:rFonts w:ascii="Times New Roman"/>
          <w:sz w:val="20"/>
        </w:rPr>
      </w:pPr>
    </w:p>
    <w:p w14:paraId="140C82B1">
      <w:pPr>
        <w:pStyle w:val="4"/>
        <w:rPr>
          <w:rFonts w:ascii="Times New Roman"/>
          <w:sz w:val="20"/>
        </w:rPr>
      </w:pPr>
    </w:p>
    <w:p w14:paraId="1E1C581B">
      <w:pPr>
        <w:pStyle w:val="4"/>
        <w:rPr>
          <w:rFonts w:ascii="Times New Roman"/>
          <w:sz w:val="20"/>
        </w:rPr>
      </w:pPr>
    </w:p>
    <w:p w14:paraId="522B1AEE">
      <w:pPr>
        <w:pStyle w:val="4"/>
        <w:rPr>
          <w:rFonts w:ascii="Times New Roman"/>
          <w:sz w:val="20"/>
        </w:rPr>
      </w:pPr>
    </w:p>
    <w:p w14:paraId="1058012C">
      <w:pPr>
        <w:pStyle w:val="4"/>
        <w:rPr>
          <w:rFonts w:ascii="Times New Roman"/>
          <w:sz w:val="20"/>
        </w:rPr>
      </w:pPr>
    </w:p>
    <w:p w14:paraId="66ECC4AB">
      <w:pPr>
        <w:pStyle w:val="4"/>
        <w:rPr>
          <w:rFonts w:ascii="Times New Roman"/>
          <w:sz w:val="20"/>
        </w:rPr>
      </w:pPr>
    </w:p>
    <w:p w14:paraId="1B28157B">
      <w:pPr>
        <w:pStyle w:val="4"/>
        <w:rPr>
          <w:rFonts w:ascii="Times New Roman"/>
          <w:sz w:val="20"/>
        </w:rPr>
      </w:pPr>
    </w:p>
    <w:p w14:paraId="713EAAD6">
      <w:pPr>
        <w:pStyle w:val="4"/>
        <w:rPr>
          <w:rFonts w:ascii="Times New Roman"/>
          <w:sz w:val="20"/>
        </w:rPr>
      </w:pPr>
    </w:p>
    <w:p w14:paraId="58DDDE13">
      <w:pPr>
        <w:pStyle w:val="4"/>
        <w:rPr>
          <w:rFonts w:ascii="Times New Roman"/>
          <w:sz w:val="20"/>
        </w:rPr>
      </w:pPr>
    </w:p>
    <w:p w14:paraId="7C2B5FA3">
      <w:pPr>
        <w:pStyle w:val="4"/>
        <w:rPr>
          <w:rFonts w:ascii="Times New Roman"/>
          <w:sz w:val="20"/>
        </w:rPr>
      </w:pPr>
    </w:p>
    <w:p w14:paraId="093B897B">
      <w:pPr>
        <w:pStyle w:val="4"/>
        <w:rPr>
          <w:rFonts w:ascii="Times New Roman"/>
          <w:sz w:val="20"/>
        </w:rPr>
      </w:pPr>
    </w:p>
    <w:p w14:paraId="1FD1093D">
      <w:pPr>
        <w:pStyle w:val="4"/>
        <w:rPr>
          <w:rFonts w:ascii="Times New Roman"/>
          <w:sz w:val="20"/>
        </w:rPr>
      </w:pPr>
    </w:p>
    <w:p w14:paraId="2619D32A">
      <w:pPr>
        <w:pStyle w:val="4"/>
        <w:rPr>
          <w:rFonts w:ascii="Times New Roman"/>
          <w:sz w:val="20"/>
        </w:rPr>
      </w:pPr>
    </w:p>
    <w:p w14:paraId="5E6DC6D1">
      <w:pPr>
        <w:pStyle w:val="4"/>
        <w:rPr>
          <w:rFonts w:ascii="Times New Roman"/>
          <w:sz w:val="20"/>
        </w:rPr>
      </w:pPr>
    </w:p>
    <w:p w14:paraId="38578CF0">
      <w:pPr>
        <w:pStyle w:val="4"/>
        <w:rPr>
          <w:rFonts w:ascii="Times New Roman"/>
          <w:sz w:val="20"/>
        </w:rPr>
      </w:pPr>
    </w:p>
    <w:p w14:paraId="2BE12786">
      <w:pPr>
        <w:pStyle w:val="4"/>
        <w:rPr>
          <w:rFonts w:ascii="Times New Roman"/>
          <w:sz w:val="20"/>
        </w:rPr>
      </w:pPr>
    </w:p>
    <w:p w14:paraId="1D62B76D">
      <w:pPr>
        <w:spacing w:before="66" w:line="1251" w:lineRule="exact"/>
        <w:ind w:left="511"/>
        <w:jc w:val="center"/>
        <w:rPr>
          <w:rFonts w:hint="eastAsia" w:ascii="黑体" w:hAnsi="黑体" w:eastAsia="黑体" w:cs="黑体"/>
          <w:b/>
          <w:sz w:val="72"/>
          <w:szCs w:val="72"/>
        </w:rPr>
      </w:pPr>
      <w:r>
        <w:rPr>
          <w:rFonts w:hint="eastAsia" w:ascii="黑体" w:hAnsi="黑体" w:eastAsia="黑体" w:cs="黑体"/>
          <w:b/>
          <w:sz w:val="72"/>
          <w:szCs w:val="72"/>
          <w:lang w:val="en-US" w:eastAsia="zh-CN"/>
        </w:rPr>
        <w:t>滦州市</w:t>
      </w:r>
      <w:r>
        <w:rPr>
          <w:rFonts w:hint="eastAsia" w:ascii="黑体" w:hAnsi="黑体" w:eastAsia="黑体" w:cs="黑体"/>
          <w:b/>
          <w:sz w:val="72"/>
          <w:szCs w:val="72"/>
        </w:rPr>
        <w:t>消防救援</w:t>
      </w:r>
      <w:r>
        <w:rPr>
          <w:rFonts w:hint="eastAsia" w:ascii="黑体" w:hAnsi="黑体" w:eastAsia="黑体" w:cs="黑体"/>
          <w:b/>
          <w:sz w:val="72"/>
          <w:szCs w:val="72"/>
          <w:lang w:eastAsia="zh-CN"/>
        </w:rPr>
        <w:t>大</w:t>
      </w:r>
      <w:r>
        <w:rPr>
          <w:rFonts w:hint="eastAsia" w:ascii="黑体" w:hAnsi="黑体" w:eastAsia="黑体" w:cs="黑体"/>
          <w:b/>
          <w:sz w:val="72"/>
          <w:szCs w:val="72"/>
        </w:rPr>
        <w:t>队</w:t>
      </w:r>
    </w:p>
    <w:p w14:paraId="52D0F8BD">
      <w:pPr>
        <w:spacing w:line="1251" w:lineRule="exact"/>
        <w:ind w:left="513"/>
        <w:jc w:val="center"/>
        <w:rPr>
          <w:rFonts w:ascii="微软雅黑" w:eastAsia="微软雅黑"/>
          <w:b/>
          <w:sz w:val="68"/>
        </w:rPr>
      </w:pPr>
      <w:r>
        <w:rPr>
          <w:rFonts w:hint="eastAsia" w:ascii="黑体" w:hAnsi="黑体" w:eastAsia="黑体" w:cs="黑体"/>
          <w:b/>
          <w:sz w:val="72"/>
          <w:szCs w:val="72"/>
        </w:rPr>
        <w:t>2</w:t>
      </w:r>
      <w:r>
        <w:rPr>
          <w:rFonts w:hint="eastAsia" w:ascii="黑体" w:hAnsi="黑体" w:eastAsia="黑体" w:cs="黑体"/>
          <w:b/>
          <w:sz w:val="72"/>
          <w:szCs w:val="72"/>
          <w:lang w:val="en-US" w:eastAsia="zh-CN"/>
        </w:rPr>
        <w:t xml:space="preserve">024 </w:t>
      </w:r>
      <w:r>
        <w:rPr>
          <w:rFonts w:hint="eastAsia" w:ascii="黑体" w:hAnsi="黑体" w:eastAsia="黑体" w:cs="黑体"/>
          <w:b/>
          <w:sz w:val="72"/>
          <w:szCs w:val="72"/>
        </w:rPr>
        <w:t>年度部门决算</w:t>
      </w:r>
    </w:p>
    <w:p w14:paraId="4E12E677">
      <w:pPr>
        <w:pStyle w:val="4"/>
        <w:rPr>
          <w:rFonts w:ascii="微软雅黑"/>
          <w:b/>
          <w:sz w:val="90"/>
        </w:rPr>
      </w:pPr>
    </w:p>
    <w:p w14:paraId="0377B568">
      <w:pPr>
        <w:pStyle w:val="4"/>
        <w:spacing w:before="17"/>
        <w:rPr>
          <w:rFonts w:ascii="微软雅黑"/>
          <w:b/>
          <w:sz w:val="111"/>
        </w:rPr>
      </w:pPr>
    </w:p>
    <w:p w14:paraId="4B9C6199">
      <w:pPr>
        <w:ind w:left="511"/>
        <w:jc w:val="center"/>
        <w:rPr>
          <w:rFonts w:ascii="微软雅黑" w:eastAsia="微软雅黑"/>
          <w:b/>
          <w:sz w:val="36"/>
        </w:rPr>
      </w:pPr>
      <w:r>
        <w:rPr>
          <w:rFonts w:hint="eastAsia" w:ascii="华文楷体" w:hAnsi="华文楷体" w:eastAsia="华文楷体" w:cstheme="minorBidi"/>
          <w:b/>
          <w:kern w:val="2"/>
          <w:sz w:val="52"/>
          <w:szCs w:val="52"/>
          <w:lang w:val="en-US" w:bidi="ar-SA"/>
        </w:rPr>
        <w:t>二〇二</w:t>
      </w:r>
      <w:r>
        <w:rPr>
          <w:rFonts w:hint="eastAsia" w:ascii="华文楷体" w:hAnsi="华文楷体" w:eastAsia="华文楷体" w:cstheme="minorBidi"/>
          <w:b/>
          <w:kern w:val="2"/>
          <w:sz w:val="52"/>
          <w:szCs w:val="52"/>
          <w:lang w:val="en-US" w:eastAsia="zh-CN" w:bidi="ar-SA"/>
        </w:rPr>
        <w:t>五</w:t>
      </w:r>
      <w:r>
        <w:rPr>
          <w:rFonts w:hint="eastAsia" w:ascii="华文楷体" w:hAnsi="华文楷体" w:eastAsia="华文楷体" w:cstheme="minorBidi"/>
          <w:b/>
          <w:kern w:val="2"/>
          <w:sz w:val="52"/>
          <w:szCs w:val="52"/>
          <w:lang w:val="en-US" w:bidi="ar-SA"/>
        </w:rPr>
        <w:t>年八月</w:t>
      </w:r>
    </w:p>
    <w:p w14:paraId="6C73EE4F">
      <w:pPr>
        <w:jc w:val="center"/>
        <w:rPr>
          <w:rFonts w:ascii="微软雅黑" w:eastAsia="微软雅黑"/>
          <w:sz w:val="36"/>
        </w:rPr>
        <w:sectPr>
          <w:footerReference r:id="rId3" w:type="default"/>
          <w:type w:val="continuous"/>
          <w:pgSz w:w="11910" w:h="16840"/>
          <w:pgMar w:top="1580" w:right="0" w:bottom="1080" w:left="0" w:header="720" w:footer="895" w:gutter="0"/>
          <w:pgNumType w:start="1"/>
          <w:cols w:space="720" w:num="1"/>
        </w:sectPr>
      </w:pPr>
    </w:p>
    <w:p w14:paraId="44037657">
      <w:pPr>
        <w:pStyle w:val="2"/>
        <w:tabs>
          <w:tab w:val="left" w:pos="1814"/>
        </w:tabs>
        <w:spacing w:line="808" w:lineRule="exact"/>
        <w:ind w:left="511"/>
      </w:pPr>
      <w:r>
        <w:rPr>
          <w:rFonts w:hint="eastAsia" w:ascii="黑体" w:hAnsi="黑体" w:eastAsia="黑体" w:cs="黑体"/>
          <w:sz w:val="44"/>
          <w:szCs w:val="44"/>
        </w:rPr>
        <w:t>目</w:t>
      </w:r>
      <w:r>
        <w:rPr>
          <w:rFonts w:hint="eastAsia" w:ascii="黑体" w:hAnsi="黑体" w:eastAsia="黑体" w:cs="黑体"/>
          <w:sz w:val="44"/>
          <w:szCs w:val="44"/>
        </w:rPr>
        <w:tab/>
      </w:r>
      <w:r>
        <w:rPr>
          <w:rFonts w:hint="eastAsia" w:ascii="黑体" w:hAnsi="黑体" w:eastAsia="黑体" w:cs="黑体"/>
          <w:sz w:val="44"/>
          <w:szCs w:val="44"/>
        </w:rPr>
        <w:t>录</w:t>
      </w:r>
    </w:p>
    <w:p w14:paraId="4B4CE9EC">
      <w:pPr>
        <w:pStyle w:val="4"/>
        <w:spacing w:before="11"/>
        <w:rPr>
          <w:rFonts w:ascii="Microsoft JhengHei"/>
          <w:b/>
          <w:sz w:val="35"/>
        </w:rPr>
      </w:pPr>
    </w:p>
    <w:p w14:paraId="38D54385">
      <w:pPr>
        <w:tabs>
          <w:tab w:val="left" w:pos="4319"/>
        </w:tabs>
        <w:ind w:left="2520"/>
        <w:rPr>
          <w:rFonts w:hint="eastAsia" w:ascii="黑体" w:hAnsi="黑体" w:eastAsia="黑体" w:cs="黑体"/>
          <w:sz w:val="32"/>
          <w:szCs w:val="32"/>
        </w:rPr>
      </w:pPr>
      <w:r>
        <w:rPr>
          <w:rFonts w:hint="eastAsia" w:ascii="黑体" w:hAnsi="黑体" w:eastAsia="黑体" w:cs="黑体"/>
          <w:sz w:val="32"/>
          <w:szCs w:val="32"/>
        </w:rPr>
        <w:t>第一部分</w:t>
      </w:r>
      <w:r>
        <w:rPr>
          <w:rFonts w:hint="eastAsia" w:ascii="黑体" w:hAnsi="黑体" w:eastAsia="黑体" w:cs="黑体"/>
          <w:sz w:val="32"/>
          <w:szCs w:val="32"/>
        </w:rPr>
        <w:tab/>
      </w:r>
      <w:r>
        <w:rPr>
          <w:rFonts w:hint="eastAsia" w:ascii="黑体" w:hAnsi="黑体" w:eastAsia="黑体" w:cs="黑体"/>
          <w:sz w:val="32"/>
          <w:szCs w:val="32"/>
          <w:lang w:eastAsia="zh-CN"/>
        </w:rPr>
        <w:t>滦州市</w:t>
      </w:r>
      <w:r>
        <w:rPr>
          <w:rFonts w:hint="eastAsia" w:ascii="黑体" w:hAnsi="黑体" w:eastAsia="黑体" w:cs="黑体"/>
          <w:sz w:val="32"/>
          <w:szCs w:val="32"/>
        </w:rPr>
        <w:t>消防救援</w:t>
      </w:r>
      <w:r>
        <w:rPr>
          <w:rFonts w:hint="eastAsia" w:ascii="黑体" w:hAnsi="黑体" w:eastAsia="黑体" w:cs="黑体"/>
          <w:sz w:val="32"/>
          <w:szCs w:val="32"/>
          <w:lang w:eastAsia="zh-CN"/>
        </w:rPr>
        <w:t>大队</w:t>
      </w:r>
      <w:r>
        <w:rPr>
          <w:rFonts w:hint="eastAsia" w:ascii="黑体" w:hAnsi="黑体" w:eastAsia="黑体" w:cs="黑体"/>
          <w:sz w:val="32"/>
          <w:szCs w:val="32"/>
        </w:rPr>
        <w:t>概况</w:t>
      </w:r>
    </w:p>
    <w:p w14:paraId="1F52F384">
      <w:pPr>
        <w:pStyle w:val="4"/>
        <w:spacing w:before="26" w:line="268" w:lineRule="auto"/>
        <w:ind w:left="2440" w:right="7543"/>
      </w:pPr>
      <w:r>
        <w:rPr>
          <w:rFonts w:hint="eastAsia" w:ascii="仿宋_GB2312" w:hAnsi="仿宋_GB2312" w:eastAsia="仿宋_GB2312" w:cs="仿宋_GB2312"/>
        </w:rPr>
        <w:t>一、部门职责二、机构设置</w:t>
      </w:r>
    </w:p>
    <w:p w14:paraId="293C1353">
      <w:pPr>
        <w:pStyle w:val="4"/>
        <w:spacing w:before="26" w:line="268" w:lineRule="auto"/>
        <w:ind w:left="2440" w:right="7543"/>
      </w:pPr>
    </w:p>
    <w:p w14:paraId="4157D761">
      <w:pPr>
        <w:tabs>
          <w:tab w:val="left" w:pos="4319"/>
        </w:tabs>
        <w:spacing w:line="597" w:lineRule="exact"/>
        <w:ind w:left="2520"/>
        <w:rPr>
          <w:sz w:val="36"/>
        </w:rPr>
      </w:pPr>
      <w:r>
        <w:rPr>
          <w:rFonts w:hint="eastAsia" w:ascii="黑体" w:hAnsi="黑体" w:eastAsia="黑体" w:cs="黑体"/>
          <w:sz w:val="32"/>
          <w:szCs w:val="32"/>
        </w:rPr>
        <w:t>第二部分</w:t>
      </w:r>
      <w:r>
        <w:rPr>
          <w:rFonts w:hint="eastAsia" w:ascii="黑体" w:hAnsi="黑体" w:eastAsia="黑体" w:cs="黑体"/>
          <w:sz w:val="32"/>
          <w:szCs w:val="32"/>
          <w:lang w:val="en-US" w:eastAsia="zh-CN"/>
        </w:rPr>
        <w:t xml:space="preserve">  </w:t>
      </w:r>
      <w:r>
        <w:rPr>
          <w:rFonts w:hint="eastAsia" w:ascii="黑体" w:hAnsi="黑体" w:eastAsia="黑体" w:cs="黑体"/>
          <w:sz w:val="32"/>
          <w:szCs w:val="32"/>
        </w:rPr>
        <w:t>202</w:t>
      </w:r>
      <w:r>
        <w:rPr>
          <w:rFonts w:hint="eastAsia" w:ascii="黑体" w:hAnsi="黑体" w:eastAsia="黑体" w:cs="黑体"/>
          <w:sz w:val="32"/>
          <w:szCs w:val="32"/>
          <w:lang w:val="en-US" w:eastAsia="zh-CN"/>
        </w:rPr>
        <w:t>4</w:t>
      </w:r>
      <w:r>
        <w:rPr>
          <w:rFonts w:hint="eastAsia" w:ascii="黑体" w:hAnsi="黑体" w:eastAsia="黑体" w:cs="黑体"/>
          <w:sz w:val="32"/>
          <w:szCs w:val="32"/>
        </w:rPr>
        <w:t>年度部门决算表</w:t>
      </w:r>
    </w:p>
    <w:p w14:paraId="69B27403">
      <w:pPr>
        <w:pStyle w:val="4"/>
        <w:spacing w:before="26" w:line="268" w:lineRule="auto"/>
        <w:ind w:left="2440" w:right="6264"/>
        <w:rPr>
          <w:rFonts w:hint="eastAsia" w:ascii="仿宋_GB2312" w:hAnsi="仿宋_GB2312" w:eastAsia="仿宋_GB2312" w:cs="仿宋_GB2312"/>
        </w:rPr>
      </w:pPr>
      <w:r>
        <w:rPr>
          <w:rFonts w:hint="eastAsia" w:ascii="仿宋_GB2312" w:hAnsi="仿宋_GB2312" w:eastAsia="仿宋_GB2312" w:cs="仿宋_GB2312"/>
          <w:spacing w:val="-2"/>
        </w:rPr>
        <w:t>一、收入支出决算总表</w:t>
      </w:r>
      <w:r>
        <w:rPr>
          <w:rFonts w:hint="eastAsia" w:ascii="仿宋_GB2312" w:hAnsi="仿宋_GB2312" w:eastAsia="仿宋_GB2312" w:cs="仿宋_GB2312"/>
        </w:rPr>
        <w:t>二、收入决算表</w:t>
      </w:r>
    </w:p>
    <w:p w14:paraId="7CF7F8CB">
      <w:pPr>
        <w:pStyle w:val="4"/>
        <w:spacing w:before="1"/>
        <w:ind w:left="2440"/>
        <w:rPr>
          <w:rFonts w:hint="eastAsia" w:ascii="仿宋_GB2312" w:hAnsi="仿宋_GB2312" w:eastAsia="仿宋_GB2312" w:cs="仿宋_GB2312"/>
        </w:rPr>
      </w:pPr>
      <w:r>
        <w:rPr>
          <w:rFonts w:hint="eastAsia" w:ascii="仿宋_GB2312" w:hAnsi="仿宋_GB2312" w:eastAsia="仿宋_GB2312" w:cs="仿宋_GB2312"/>
          <w:w w:val="95"/>
        </w:rPr>
        <w:t>三、支出决算表</w:t>
      </w:r>
    </w:p>
    <w:p w14:paraId="1C805033">
      <w:pPr>
        <w:pStyle w:val="4"/>
        <w:spacing w:before="67"/>
        <w:ind w:left="2440"/>
        <w:rPr>
          <w:rFonts w:hint="eastAsia" w:ascii="仿宋_GB2312" w:hAnsi="仿宋_GB2312" w:eastAsia="仿宋_GB2312" w:cs="仿宋_GB2312"/>
        </w:rPr>
      </w:pPr>
      <w:r>
        <w:rPr>
          <w:rFonts w:hint="eastAsia" w:ascii="仿宋_GB2312" w:hAnsi="仿宋_GB2312" w:eastAsia="仿宋_GB2312" w:cs="仿宋_GB2312"/>
        </w:rPr>
        <w:t>四、财政拨款收入支出决算总表</w:t>
      </w:r>
    </w:p>
    <w:p w14:paraId="40CC7121">
      <w:pPr>
        <w:pStyle w:val="4"/>
        <w:spacing w:before="67"/>
        <w:ind w:left="2440"/>
        <w:rPr>
          <w:rFonts w:hint="eastAsia" w:ascii="仿宋_GB2312" w:hAnsi="仿宋_GB2312" w:eastAsia="仿宋_GB2312" w:cs="仿宋_GB2312"/>
        </w:rPr>
      </w:pPr>
      <w:r>
        <w:rPr>
          <w:rFonts w:hint="eastAsia" w:ascii="仿宋_GB2312" w:hAnsi="仿宋_GB2312" w:eastAsia="仿宋_GB2312" w:cs="仿宋_GB2312"/>
        </w:rPr>
        <w:t>五、一般公共预算财政拨款支出决算表</w:t>
      </w:r>
    </w:p>
    <w:p w14:paraId="3092B2BD">
      <w:pPr>
        <w:pStyle w:val="4"/>
        <w:spacing w:before="67" w:line="268" w:lineRule="auto"/>
        <w:ind w:left="2440" w:right="2745"/>
        <w:rPr>
          <w:rFonts w:hint="eastAsia" w:ascii="仿宋_GB2312" w:hAnsi="仿宋_GB2312" w:eastAsia="仿宋_GB2312" w:cs="仿宋_GB2312"/>
        </w:rPr>
      </w:pPr>
      <w:r>
        <w:rPr>
          <w:rFonts w:hint="eastAsia" w:ascii="仿宋_GB2312" w:hAnsi="仿宋_GB2312" w:eastAsia="仿宋_GB2312" w:cs="仿宋_GB2312"/>
          <w:spacing w:val="-1"/>
        </w:rPr>
        <w:t>六、一般公共预算财政拨款基本支出决算明细表</w:t>
      </w:r>
      <w:r>
        <w:rPr>
          <w:rFonts w:hint="eastAsia" w:ascii="仿宋_GB2312" w:hAnsi="仿宋_GB2312" w:eastAsia="仿宋_GB2312" w:cs="仿宋_GB2312"/>
        </w:rPr>
        <w:t>七、政府性基金预算财政拨款收入支出决算表 八、国有资本经营预算财政拨款支出决算表</w:t>
      </w:r>
    </w:p>
    <w:p w14:paraId="6BD370F1">
      <w:pPr>
        <w:pStyle w:val="4"/>
        <w:ind w:left="2440"/>
      </w:pPr>
      <w:r>
        <w:rPr>
          <w:rFonts w:hint="eastAsia" w:ascii="仿宋_GB2312" w:hAnsi="仿宋_GB2312" w:eastAsia="仿宋_GB2312" w:cs="仿宋_GB2312"/>
        </w:rPr>
        <w:t>九、财政拨款“三公”经费支出决算表</w:t>
      </w:r>
    </w:p>
    <w:p w14:paraId="39C4B1F4">
      <w:pPr>
        <w:pStyle w:val="4"/>
        <w:ind w:left="2440"/>
      </w:pPr>
    </w:p>
    <w:p w14:paraId="2964ADED">
      <w:pPr>
        <w:spacing w:before="38"/>
        <w:ind w:left="1800" w:right="1284" w:firstLine="720"/>
        <w:rPr>
          <w:sz w:val="36"/>
        </w:rPr>
      </w:pPr>
      <w:r>
        <w:rPr>
          <w:rFonts w:hint="eastAsia" w:ascii="黑体" w:hAnsi="黑体" w:eastAsia="黑体" w:cs="黑体"/>
          <w:sz w:val="32"/>
          <w:szCs w:val="32"/>
        </w:rPr>
        <w:t>第三部分</w:t>
      </w:r>
      <w:r>
        <w:rPr>
          <w:rFonts w:hint="eastAsia" w:ascii="黑体" w:hAnsi="黑体" w:eastAsia="黑体" w:cs="黑体"/>
          <w:sz w:val="32"/>
          <w:szCs w:val="32"/>
          <w:lang w:val="en-US" w:eastAsia="zh-CN"/>
        </w:rPr>
        <w:t xml:space="preserve"> </w:t>
      </w:r>
      <w:r>
        <w:rPr>
          <w:rFonts w:hint="eastAsia" w:ascii="黑体" w:hAnsi="黑体" w:eastAsia="黑体" w:cs="黑体"/>
          <w:sz w:val="32"/>
          <w:szCs w:val="32"/>
        </w:rPr>
        <w:t xml:space="preserve"> 202</w:t>
      </w:r>
      <w:r>
        <w:rPr>
          <w:rFonts w:hint="eastAsia" w:ascii="黑体" w:hAnsi="黑体" w:eastAsia="黑体" w:cs="黑体"/>
          <w:sz w:val="32"/>
          <w:szCs w:val="32"/>
          <w:lang w:val="en-US" w:eastAsia="zh-CN"/>
        </w:rPr>
        <w:t>4</w:t>
      </w:r>
      <w:r>
        <w:rPr>
          <w:rFonts w:hint="eastAsia" w:ascii="黑体" w:hAnsi="黑体" w:eastAsia="黑体" w:cs="黑体"/>
          <w:sz w:val="32"/>
          <w:szCs w:val="32"/>
        </w:rPr>
        <w:t>年度部门决算情况说明</w:t>
      </w:r>
    </w:p>
    <w:p w14:paraId="607178EE">
      <w:pPr>
        <w:pStyle w:val="4"/>
        <w:spacing w:before="24" w:line="268" w:lineRule="auto"/>
        <w:ind w:left="2440" w:right="4985"/>
        <w:rPr>
          <w:rFonts w:hint="eastAsia" w:ascii="仿宋_GB2312" w:hAnsi="仿宋_GB2312" w:eastAsia="仿宋_GB2312" w:cs="仿宋_GB2312"/>
        </w:rPr>
      </w:pPr>
      <w:r>
        <w:rPr>
          <w:rFonts w:hint="eastAsia" w:ascii="仿宋_GB2312" w:hAnsi="仿宋_GB2312" w:eastAsia="仿宋_GB2312" w:cs="仿宋_GB2312"/>
          <w:spacing w:val="-1"/>
        </w:rPr>
        <w:t>一、收入支出决算总体情况说明</w:t>
      </w:r>
      <w:r>
        <w:rPr>
          <w:rFonts w:hint="eastAsia" w:ascii="仿宋_GB2312" w:hAnsi="仿宋_GB2312" w:eastAsia="仿宋_GB2312" w:cs="仿宋_GB2312"/>
        </w:rPr>
        <w:t>二、收入决算情况说明</w:t>
      </w:r>
    </w:p>
    <w:p w14:paraId="6260C36C">
      <w:pPr>
        <w:pStyle w:val="4"/>
        <w:ind w:left="2440"/>
      </w:pPr>
      <w:r>
        <w:rPr>
          <w:rFonts w:hint="eastAsia" w:ascii="仿宋_GB2312" w:hAnsi="仿宋_GB2312" w:eastAsia="仿宋_GB2312" w:cs="仿宋_GB2312"/>
          <w:w w:val="95"/>
        </w:rPr>
        <w:t>三、支出决算情况说明</w:t>
      </w:r>
    </w:p>
    <w:p w14:paraId="1F9F24BB">
      <w:pPr>
        <w:sectPr>
          <w:pgSz w:w="11910" w:h="16840"/>
          <w:pgMar w:top="1520" w:right="0" w:bottom="1160" w:left="0" w:header="0" w:footer="895" w:gutter="0"/>
          <w:cols w:space="720" w:num="1"/>
        </w:sectPr>
      </w:pPr>
    </w:p>
    <w:p w14:paraId="626DCD0A">
      <w:pPr>
        <w:pStyle w:val="4"/>
        <w:spacing w:line="529" w:lineRule="exact"/>
        <w:ind w:left="2440"/>
        <w:rPr>
          <w:rFonts w:hint="eastAsia" w:ascii="仿宋_GB2312" w:hAnsi="仿宋_GB2312" w:eastAsia="仿宋_GB2312" w:cs="仿宋_GB2312"/>
        </w:rPr>
      </w:pPr>
      <w:r>
        <w:rPr>
          <w:rFonts w:hint="eastAsia" w:ascii="仿宋_GB2312" w:hAnsi="仿宋_GB2312" w:eastAsia="仿宋_GB2312" w:cs="仿宋_GB2312"/>
        </w:rPr>
        <w:t>四、财政拨款收入支出决算总体情况说明</w:t>
      </w:r>
    </w:p>
    <w:p w14:paraId="72960922">
      <w:pPr>
        <w:pStyle w:val="4"/>
        <w:spacing w:before="67"/>
        <w:ind w:left="2440"/>
        <w:rPr>
          <w:rFonts w:hint="eastAsia" w:ascii="仿宋_GB2312" w:hAnsi="仿宋_GB2312" w:eastAsia="仿宋_GB2312" w:cs="仿宋_GB2312"/>
        </w:rPr>
      </w:pPr>
      <w:r>
        <w:rPr>
          <w:rFonts w:hint="eastAsia" w:ascii="仿宋_GB2312" w:hAnsi="仿宋_GB2312" w:eastAsia="仿宋_GB2312" w:cs="仿宋_GB2312"/>
        </w:rPr>
        <w:t>五、一般公共预算财政拨款支出决算情况说明</w:t>
      </w:r>
    </w:p>
    <w:p w14:paraId="31249DC6">
      <w:pPr>
        <w:pStyle w:val="4"/>
        <w:spacing w:before="67" w:line="268" w:lineRule="auto"/>
        <w:ind w:left="2440" w:right="2424"/>
        <w:rPr>
          <w:rFonts w:hint="eastAsia" w:ascii="仿宋_GB2312" w:hAnsi="仿宋_GB2312" w:eastAsia="仿宋_GB2312" w:cs="仿宋_GB2312"/>
        </w:rPr>
      </w:pPr>
      <w:r>
        <w:rPr>
          <w:rFonts w:hint="eastAsia" w:ascii="仿宋_GB2312" w:hAnsi="仿宋_GB2312" w:eastAsia="仿宋_GB2312" w:cs="仿宋_GB2312"/>
        </w:rPr>
        <w:t>六、一般公共预算财政拨款基本支出决算情况说明七、财政拨款“三公”经费支出决算情况说明</w:t>
      </w:r>
    </w:p>
    <w:p w14:paraId="6E30421E">
      <w:pPr>
        <w:pStyle w:val="4"/>
        <w:spacing w:line="268" w:lineRule="auto"/>
        <w:ind w:left="2440" w:right="5625"/>
        <w:rPr>
          <w:rFonts w:hint="eastAsia" w:ascii="仿宋_GB2312" w:hAnsi="仿宋_GB2312" w:eastAsia="仿宋_GB2312" w:cs="仿宋_GB2312"/>
        </w:rPr>
      </w:pPr>
      <w:r>
        <w:rPr>
          <w:rFonts w:hint="eastAsia" w:ascii="仿宋_GB2312" w:hAnsi="仿宋_GB2312" w:eastAsia="仿宋_GB2312" w:cs="仿宋_GB2312"/>
        </w:rPr>
        <w:t>八、机关运行经费支出说明九、政府采购支出说明</w:t>
      </w:r>
    </w:p>
    <w:p w14:paraId="10993235">
      <w:pPr>
        <w:spacing w:line="261" w:lineRule="auto"/>
        <w:ind w:left="2440" w:right="5623"/>
        <w:rPr>
          <w:sz w:val="32"/>
        </w:rPr>
      </w:pPr>
      <w:r>
        <w:rPr>
          <w:rFonts w:hint="eastAsia" w:ascii="仿宋_GB2312" w:hAnsi="仿宋_GB2312" w:eastAsia="仿宋_GB2312" w:cs="仿宋_GB2312"/>
          <w:sz w:val="32"/>
        </w:rPr>
        <w:t>十、国有资产占用情况说明十一、预算绩效情况说明</w:t>
      </w:r>
    </w:p>
    <w:p w14:paraId="2F06E62C">
      <w:pPr>
        <w:spacing w:line="261" w:lineRule="auto"/>
        <w:ind w:left="2440" w:right="5623"/>
        <w:rPr>
          <w:sz w:val="32"/>
        </w:rPr>
      </w:pPr>
    </w:p>
    <w:p w14:paraId="4D7D0FF6">
      <w:pPr>
        <w:spacing w:line="261" w:lineRule="auto"/>
        <w:ind w:left="2440" w:right="5623"/>
        <w:rPr>
          <w:sz w:val="36"/>
        </w:rPr>
      </w:pPr>
      <w:r>
        <w:rPr>
          <w:rFonts w:hint="eastAsia" w:ascii="黑体" w:hAnsi="黑体" w:eastAsia="黑体" w:cs="黑体"/>
          <w:sz w:val="32"/>
          <w:szCs w:val="32"/>
        </w:rPr>
        <w:t>第四部分 名词解释</w:t>
      </w:r>
    </w:p>
    <w:p w14:paraId="35F90734">
      <w:pPr>
        <w:spacing w:line="261" w:lineRule="auto"/>
        <w:rPr>
          <w:sz w:val="36"/>
        </w:rPr>
        <w:sectPr>
          <w:pgSz w:w="11910" w:h="16840"/>
          <w:pgMar w:top="1480" w:right="0" w:bottom="1160" w:left="0" w:header="0" w:footer="895" w:gutter="0"/>
          <w:cols w:space="720" w:num="1"/>
        </w:sectPr>
      </w:pPr>
    </w:p>
    <w:p w14:paraId="09232309">
      <w:pPr>
        <w:pStyle w:val="4"/>
        <w:rPr>
          <w:rFonts w:ascii="Times New Roman"/>
          <w:sz w:val="20"/>
        </w:rPr>
      </w:pPr>
      <w:r>
        <mc:AlternateContent>
          <mc:Choice Requires="wps">
            <w:drawing>
              <wp:anchor distT="0" distB="0" distL="114300" distR="114300" simplePos="0" relativeHeight="251663360" behindDoc="0" locked="0" layoutInCell="1" allowOverlap="1">
                <wp:simplePos x="0" y="0"/>
                <wp:positionH relativeFrom="page">
                  <wp:posOffset>0</wp:posOffset>
                </wp:positionH>
                <wp:positionV relativeFrom="page">
                  <wp:posOffset>3990975</wp:posOffset>
                </wp:positionV>
                <wp:extent cx="7559675" cy="25400"/>
                <wp:effectExtent l="0" t="0" r="14605" b="5080"/>
                <wp:wrapNone/>
                <wp:docPr id="14" name="矩形 2"/>
                <wp:cNvGraphicFramePr/>
                <a:graphic xmlns:a="http://schemas.openxmlformats.org/drawingml/2006/main">
                  <a:graphicData uri="http://schemas.microsoft.com/office/word/2010/wordprocessingShape">
                    <wps:wsp>
                      <wps:cNvSpPr/>
                      <wps:spPr>
                        <a:xfrm>
                          <a:off x="0" y="0"/>
                          <a:ext cx="7559675" cy="25400"/>
                        </a:xfrm>
                        <a:prstGeom prst="rect">
                          <a:avLst/>
                        </a:prstGeom>
                        <a:solidFill>
                          <a:srgbClr val="385D89"/>
                        </a:solidFill>
                        <a:ln>
                          <a:noFill/>
                        </a:ln>
                      </wps:spPr>
                      <wps:bodyPr upright="1"/>
                    </wps:wsp>
                  </a:graphicData>
                </a:graphic>
              </wp:anchor>
            </w:drawing>
          </mc:Choice>
          <mc:Fallback>
            <w:pict>
              <v:rect id="矩形 2" o:spid="_x0000_s1026" o:spt="1" style="position:absolute;left:0pt;margin-left:0pt;margin-top:314.25pt;height:2pt;width:595.25pt;mso-position-horizontal-relative:page;mso-position-vertical-relative:page;z-index:251663360;mso-width-relative:page;mso-height-relative:page;" fillcolor="#385D89" filled="t" stroked="f" coordsize="21600,21600" o:gfxdata="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">
                <v:fill on="t" focussize="0,0"/>
                <v:stroke on="f"/>
                <v:imagedata o:title=""/>
                <o:lock v:ext="edit" aspectratio="f"/>
              </v:rect>
            </w:pict>
          </mc:Fallback>
        </mc:AlternateContent>
      </w:r>
      <w:r>
        <mc:AlternateContent>
          <mc:Choice Requires="wps">
            <w:drawing>
              <wp:anchor distT="0" distB="0" distL="114300" distR="114300" simplePos="0" relativeHeight="251664384" behindDoc="0" locked="0" layoutInCell="1" allowOverlap="1">
                <wp:simplePos x="0" y="0"/>
                <wp:positionH relativeFrom="page">
                  <wp:posOffset>0</wp:posOffset>
                </wp:positionH>
                <wp:positionV relativeFrom="page">
                  <wp:posOffset>5920105</wp:posOffset>
                </wp:positionV>
                <wp:extent cx="7559675" cy="25400"/>
                <wp:effectExtent l="0" t="0" r="14605" b="5080"/>
                <wp:wrapNone/>
                <wp:docPr id="18" name="矩形 3"/>
                <wp:cNvGraphicFramePr/>
                <a:graphic xmlns:a="http://schemas.openxmlformats.org/drawingml/2006/main">
                  <a:graphicData uri="http://schemas.microsoft.com/office/word/2010/wordprocessingShape">
                    <wps:wsp>
                      <wps:cNvSpPr/>
                      <wps:spPr>
                        <a:xfrm>
                          <a:off x="0" y="0"/>
                          <a:ext cx="7559675" cy="25400"/>
                        </a:xfrm>
                        <a:prstGeom prst="rect">
                          <a:avLst/>
                        </a:prstGeom>
                        <a:solidFill>
                          <a:srgbClr val="385D89"/>
                        </a:solidFill>
                        <a:ln>
                          <a:noFill/>
                        </a:ln>
                      </wps:spPr>
                      <wps:bodyPr upright="1"/>
                    </wps:wsp>
                  </a:graphicData>
                </a:graphic>
              </wp:anchor>
            </w:drawing>
          </mc:Choice>
          <mc:Fallback>
            <w:pict>
              <v:rect id="矩形 3" o:spid="_x0000_s1026" o:spt="1" style="position:absolute;left:0pt;margin-left:0pt;margin-top:466.15pt;height:2pt;width:595.25pt;mso-position-horizontal-relative:page;mso-position-vertical-relative:page;z-index:251664384;mso-width-relative:page;mso-height-relative:page;" fillcolor="#385D89" filled="t" stroked="f" coordsize="21600,21600" o:gfxdata="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">
                <v:fill on="t" focussize="0,0"/>
                <v:stroke on="f"/>
                <v:imagedata o:title=""/>
                <o:lock v:ext="edit" aspectratio="f"/>
              </v:rect>
            </w:pict>
          </mc:Fallback>
        </mc:AlternateContent>
      </w:r>
    </w:p>
    <w:p w14:paraId="362A87F0">
      <w:pPr>
        <w:pStyle w:val="4"/>
        <w:rPr>
          <w:rFonts w:ascii="Times New Roman"/>
          <w:sz w:val="20"/>
        </w:rPr>
      </w:pPr>
    </w:p>
    <w:p w14:paraId="22B94154">
      <w:pPr>
        <w:pStyle w:val="4"/>
        <w:rPr>
          <w:rFonts w:ascii="Times New Roman"/>
          <w:sz w:val="20"/>
        </w:rPr>
      </w:pPr>
    </w:p>
    <w:p w14:paraId="429A8561">
      <w:pPr>
        <w:pStyle w:val="4"/>
        <w:rPr>
          <w:rFonts w:ascii="Times New Roman"/>
          <w:sz w:val="20"/>
        </w:rPr>
      </w:pPr>
    </w:p>
    <w:p w14:paraId="152BA64C">
      <w:pPr>
        <w:pStyle w:val="4"/>
        <w:rPr>
          <w:rFonts w:ascii="Times New Roman"/>
          <w:sz w:val="20"/>
        </w:rPr>
      </w:pPr>
    </w:p>
    <w:p w14:paraId="07698FE2">
      <w:pPr>
        <w:pStyle w:val="4"/>
        <w:rPr>
          <w:rFonts w:ascii="Times New Roman"/>
          <w:sz w:val="20"/>
        </w:rPr>
      </w:pPr>
    </w:p>
    <w:p w14:paraId="31FE009E">
      <w:pPr>
        <w:pStyle w:val="4"/>
        <w:rPr>
          <w:rFonts w:ascii="Times New Roman"/>
          <w:sz w:val="20"/>
        </w:rPr>
      </w:pPr>
    </w:p>
    <w:p w14:paraId="19788E6D">
      <w:pPr>
        <w:pStyle w:val="4"/>
        <w:rPr>
          <w:rFonts w:ascii="Times New Roman"/>
          <w:sz w:val="20"/>
        </w:rPr>
      </w:pPr>
    </w:p>
    <w:p w14:paraId="43A3C6C7">
      <w:pPr>
        <w:pStyle w:val="4"/>
        <w:rPr>
          <w:rFonts w:ascii="Times New Roman"/>
          <w:sz w:val="20"/>
        </w:rPr>
      </w:pPr>
    </w:p>
    <w:p w14:paraId="69DA32AD">
      <w:pPr>
        <w:pStyle w:val="4"/>
        <w:rPr>
          <w:rFonts w:ascii="Times New Roman"/>
          <w:sz w:val="20"/>
        </w:rPr>
      </w:pPr>
    </w:p>
    <w:p w14:paraId="06F4BA56">
      <w:pPr>
        <w:pStyle w:val="4"/>
        <w:rPr>
          <w:rFonts w:ascii="Times New Roman"/>
          <w:sz w:val="20"/>
        </w:rPr>
      </w:pPr>
    </w:p>
    <w:p w14:paraId="331C18F0">
      <w:pPr>
        <w:pStyle w:val="4"/>
        <w:rPr>
          <w:rFonts w:ascii="Times New Roman"/>
          <w:sz w:val="20"/>
        </w:rPr>
      </w:pPr>
    </w:p>
    <w:p w14:paraId="442E0AF7">
      <w:pPr>
        <w:pStyle w:val="4"/>
        <w:rPr>
          <w:rFonts w:ascii="Times New Roman"/>
          <w:sz w:val="20"/>
        </w:rPr>
      </w:pPr>
    </w:p>
    <w:p w14:paraId="0E10629F">
      <w:pPr>
        <w:pStyle w:val="4"/>
        <w:rPr>
          <w:rFonts w:ascii="Times New Roman"/>
          <w:sz w:val="20"/>
        </w:rPr>
      </w:pPr>
    </w:p>
    <w:p w14:paraId="05A7C75E">
      <w:pPr>
        <w:pStyle w:val="4"/>
        <w:rPr>
          <w:rFonts w:ascii="Times New Roman"/>
          <w:sz w:val="20"/>
        </w:rPr>
      </w:pPr>
    </w:p>
    <w:p w14:paraId="5D08B9B9">
      <w:pPr>
        <w:pStyle w:val="4"/>
        <w:rPr>
          <w:rFonts w:ascii="Times New Roman"/>
          <w:sz w:val="20"/>
        </w:rPr>
      </w:pPr>
    </w:p>
    <w:p w14:paraId="68ED9ECC">
      <w:pPr>
        <w:pStyle w:val="4"/>
        <w:rPr>
          <w:rFonts w:ascii="Times New Roman"/>
          <w:sz w:val="20"/>
        </w:rPr>
      </w:pPr>
    </w:p>
    <w:p w14:paraId="324C8E28">
      <w:pPr>
        <w:pStyle w:val="4"/>
        <w:rPr>
          <w:rFonts w:ascii="Times New Roman"/>
          <w:sz w:val="20"/>
        </w:rPr>
      </w:pPr>
    </w:p>
    <w:p w14:paraId="144DDBDF">
      <w:pPr>
        <w:pStyle w:val="4"/>
        <w:rPr>
          <w:rFonts w:ascii="Times New Roman"/>
          <w:sz w:val="20"/>
        </w:rPr>
      </w:pPr>
    </w:p>
    <w:p w14:paraId="6F0CAB5D">
      <w:pPr>
        <w:pStyle w:val="4"/>
        <w:rPr>
          <w:rFonts w:ascii="Times New Roman"/>
          <w:sz w:val="20"/>
        </w:rPr>
      </w:pPr>
    </w:p>
    <w:p w14:paraId="3E5AF979">
      <w:pPr>
        <w:pStyle w:val="4"/>
        <w:spacing w:after="1"/>
        <w:rPr>
          <w:rFonts w:ascii="Times New Roman"/>
          <w:sz w:val="11"/>
        </w:rPr>
      </w:pPr>
    </w:p>
    <w:p w14:paraId="0A4279E8">
      <w:pPr>
        <w:pStyle w:val="4"/>
        <w:ind w:right="-58"/>
        <w:rPr>
          <w:rFonts w:ascii="Times New Roman"/>
          <w:sz w:val="20"/>
        </w:rPr>
      </w:pPr>
      <w:r>
        <w:rPr>
          <w:rFonts w:ascii="Times New Roman"/>
          <w:sz w:val="20"/>
        </w:rPr>
        <mc:AlternateContent>
          <mc:Choice Requires="wps">
            <w:drawing>
              <wp:inline distT="0" distB="0" distL="114300" distR="114300">
                <wp:extent cx="7560310" cy="1903730"/>
                <wp:effectExtent l="0" t="0" r="13970" b="1270"/>
                <wp:docPr id="1" name="文本框 19"/>
                <wp:cNvGraphicFramePr/>
                <a:graphic xmlns:a="http://schemas.openxmlformats.org/drawingml/2006/main">
                  <a:graphicData uri="http://schemas.microsoft.com/office/word/2010/wordprocessingShape">
                    <wps:wsp>
                      <wps:cNvSpPr txBox="1"/>
                      <wps:spPr>
                        <a:xfrm>
                          <a:off x="0" y="0"/>
                          <a:ext cx="7560310" cy="1903730"/>
                        </a:xfrm>
                        <a:prstGeom prst="rect">
                          <a:avLst/>
                        </a:prstGeom>
                        <a:solidFill>
                          <a:srgbClr val="94B3D6"/>
                        </a:solidFill>
                        <a:ln>
                          <a:noFill/>
                        </a:ln>
                      </wps:spPr>
                      <wps:txbx>
                        <w:txbxContent>
                          <w:p w14:paraId="75C1650C">
                            <w:pPr>
                              <w:tabs>
                                <w:tab w:val="left" w:pos="2383"/>
                              </w:tabs>
                              <w:spacing w:before="362"/>
                              <w:ind w:left="36"/>
                              <w:jc w:val="center"/>
                              <w:rPr>
                                <w:rFonts w:ascii="Microsoft JhengHei" w:eastAsia="Microsoft JhengHei"/>
                                <w:b/>
                                <w:sz w:val="52"/>
                              </w:rPr>
                            </w:pPr>
                            <w:r>
                              <w:rPr>
                                <w:rFonts w:hint="eastAsia" w:ascii="Microsoft JhengHei" w:eastAsia="Microsoft JhengHei"/>
                                <w:b/>
                                <w:sz w:val="52"/>
                              </w:rPr>
                              <w:t>第一部分</w:t>
                            </w:r>
                            <w:r>
                              <w:rPr>
                                <w:rFonts w:hint="eastAsia" w:ascii="Microsoft JhengHei" w:eastAsia="Microsoft JhengHei"/>
                                <w:b/>
                                <w:sz w:val="52"/>
                              </w:rPr>
                              <w:tab/>
                            </w:r>
                            <w:r>
                              <w:rPr>
                                <w:rFonts w:hint="eastAsia" w:ascii="Microsoft JhengHei" w:eastAsia="Microsoft JhengHei"/>
                                <w:b/>
                                <w:sz w:val="52"/>
                                <w:lang w:eastAsia="zh-CN"/>
                              </w:rPr>
                              <w:t>滦州市</w:t>
                            </w:r>
                            <w:r>
                              <w:rPr>
                                <w:rFonts w:hint="eastAsia" w:ascii="Microsoft JhengHei" w:eastAsia="Microsoft JhengHei"/>
                                <w:b/>
                                <w:sz w:val="52"/>
                              </w:rPr>
                              <w:t>消防救援</w:t>
                            </w:r>
                            <w:r>
                              <w:rPr>
                                <w:rFonts w:hint="eastAsia" w:ascii="Microsoft JhengHei" w:eastAsia="Microsoft JhengHei"/>
                                <w:b/>
                                <w:sz w:val="52"/>
                                <w:lang w:eastAsia="zh-CN"/>
                              </w:rPr>
                              <w:t>大队</w:t>
                            </w:r>
                            <w:r>
                              <w:rPr>
                                <w:rFonts w:hint="eastAsia" w:ascii="Microsoft JhengHei" w:eastAsia="Microsoft JhengHei"/>
                                <w:b/>
                                <w:sz w:val="52"/>
                              </w:rPr>
                              <w:t>概况</w:t>
                            </w:r>
                          </w:p>
                        </w:txbxContent>
                      </wps:txbx>
                      <wps:bodyPr lIns="0" tIns="0" rIns="0" bIns="0" upright="1"/>
                    </wps:wsp>
                  </a:graphicData>
                </a:graphic>
              </wp:inline>
            </w:drawing>
          </mc:Choice>
          <mc:Fallback>
            <w:pict>
              <v:shape id="文本框 19" o:spid="_x0000_s1026" o:spt="202" type="#_x0000_t202" style="height:149.9pt;width:595.3pt;" fillcolor="#94B3D6" filled="t" stroked="f" coordsize="21600,21600" o:gfxdata="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">
                <v:fill on="t" focussize="0,0"/>
                <v:stroke on="f"/>
                <v:imagedata o:title=""/>
                <o:lock v:ext="edit" aspectratio="f"/>
                <v:textbox inset="0mm,0mm,0mm,0mm">
                  <w:txbxContent>
                    <w:p w14:paraId="75C1650C">
                      <w:pPr>
                        <w:tabs>
                          <w:tab w:val="left" w:pos="2383"/>
                        </w:tabs>
                        <w:spacing w:before="362"/>
                        <w:ind w:left="36"/>
                        <w:jc w:val="center"/>
                        <w:rPr>
                          <w:rFonts w:ascii="Microsoft JhengHei" w:eastAsia="Microsoft JhengHei"/>
                          <w:b/>
                          <w:sz w:val="52"/>
                        </w:rPr>
                      </w:pPr>
                      <w:r>
                        <w:rPr>
                          <w:rFonts w:hint="eastAsia" w:ascii="Microsoft JhengHei" w:eastAsia="Microsoft JhengHei"/>
                          <w:b/>
                          <w:sz w:val="52"/>
                        </w:rPr>
                        <w:t>第一部分</w:t>
                      </w:r>
                      <w:r>
                        <w:rPr>
                          <w:rFonts w:hint="eastAsia" w:ascii="Microsoft JhengHei" w:eastAsia="Microsoft JhengHei"/>
                          <w:b/>
                          <w:sz w:val="52"/>
                        </w:rPr>
                        <w:tab/>
                      </w:r>
                      <w:r>
                        <w:rPr>
                          <w:rFonts w:hint="eastAsia" w:ascii="Microsoft JhengHei" w:eastAsia="Microsoft JhengHei"/>
                          <w:b/>
                          <w:sz w:val="52"/>
                          <w:lang w:eastAsia="zh-CN"/>
                        </w:rPr>
                        <w:t>滦州市</w:t>
                      </w:r>
                      <w:r>
                        <w:rPr>
                          <w:rFonts w:hint="eastAsia" w:ascii="Microsoft JhengHei" w:eastAsia="Microsoft JhengHei"/>
                          <w:b/>
                          <w:sz w:val="52"/>
                        </w:rPr>
                        <w:t>消防救援</w:t>
                      </w:r>
                      <w:r>
                        <w:rPr>
                          <w:rFonts w:hint="eastAsia" w:ascii="Microsoft JhengHei" w:eastAsia="Microsoft JhengHei"/>
                          <w:b/>
                          <w:sz w:val="52"/>
                          <w:lang w:eastAsia="zh-CN"/>
                        </w:rPr>
                        <w:t>大队</w:t>
                      </w:r>
                      <w:r>
                        <w:rPr>
                          <w:rFonts w:hint="eastAsia" w:ascii="Microsoft JhengHei" w:eastAsia="Microsoft JhengHei"/>
                          <w:b/>
                          <w:sz w:val="52"/>
                        </w:rPr>
                        <w:t>概况</w:t>
                      </w:r>
                    </w:p>
                  </w:txbxContent>
                </v:textbox>
                <w10:wrap type="none"/>
                <w10:anchorlock/>
              </v:shape>
            </w:pict>
          </mc:Fallback>
        </mc:AlternateContent>
      </w:r>
    </w:p>
    <w:p w14:paraId="1648C9EF">
      <w:pPr>
        <w:rPr>
          <w:rFonts w:ascii="Times New Roman"/>
          <w:sz w:val="20"/>
        </w:rPr>
        <w:sectPr>
          <w:pgSz w:w="11910" w:h="16840"/>
          <w:pgMar w:top="1580" w:right="0" w:bottom="1160" w:left="0" w:header="0" w:footer="895" w:gutter="0"/>
          <w:cols w:space="720" w:num="1"/>
        </w:sectPr>
      </w:pPr>
    </w:p>
    <w:p w14:paraId="1A89E183">
      <w:pPr>
        <w:pStyle w:val="4"/>
        <w:spacing w:line="532" w:lineRule="exact"/>
        <w:ind w:left="2440"/>
        <w:rPr>
          <w:rFonts w:hint="eastAsia" w:ascii="黑体" w:hAnsi="黑体" w:eastAsia="黑体" w:cs="黑体"/>
        </w:rPr>
      </w:pPr>
      <w:r>
        <w:rPr>
          <w:rFonts w:hint="eastAsia" w:ascii="黑体" w:hAnsi="黑体" w:eastAsia="黑体" w:cs="黑体"/>
        </w:rPr>
        <w:t>一、部门职责</w:t>
      </w:r>
    </w:p>
    <w:p w14:paraId="2F709C64">
      <w:pPr>
        <w:pStyle w:val="4"/>
        <w:keepNext w:val="0"/>
        <w:keepLines w:val="0"/>
        <w:pageBreakBefore w:val="0"/>
        <w:widowControl w:val="0"/>
        <w:kinsoku/>
        <w:wordWrap/>
        <w:overflowPunct/>
        <w:topLinePunct w:val="0"/>
        <w:autoSpaceDE w:val="0"/>
        <w:autoSpaceDN w:val="0"/>
        <w:bidi w:val="0"/>
        <w:adjustRightInd/>
        <w:snapToGrid/>
        <w:spacing w:line="560" w:lineRule="exact"/>
        <w:ind w:left="1803" w:right="1049" w:rightChars="477" w:firstLine="640" w:firstLineChars="200"/>
        <w:jc w:val="left"/>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滦州市消防救援大队隶属于唐山市消防救援支队，是国家综合性消防救援队伍的重要组成，作为应急救援的主力军和国家队的一份子，承担“全灾种”、“大应急”救援任务。改革转制以来，滦州市消防救援队伍认真贯彻落实习近平总书记重要训词精神，着眼我市灾害事故的基本情况，承担火灾预防、消防监督执法以及火灾事故调查处理相关工作；依法行使消防安全综合监管职能，推动落实消防安全责任制；参与拟订消防专项规划，参与起草地方性消防法规、规章草案并监督实施；负责消防救援队伍综合性消防救援预案编制、战术研究和执勤备战、训练演练等工作；负责消防安全宣传教育，组织指导社会消防力量建设；完成应急管理部和所在市党委、政府交办的相关任务。</w:t>
      </w:r>
    </w:p>
    <w:p w14:paraId="0A444679">
      <w:pPr>
        <w:pStyle w:val="4"/>
        <w:spacing w:line="533" w:lineRule="exact"/>
        <w:ind w:left="2438"/>
      </w:pPr>
      <w:r>
        <w:rPr>
          <w:rFonts w:hint="eastAsia" w:ascii="黑体" w:hAnsi="黑体" w:eastAsia="黑体" w:cs="黑体"/>
        </w:rPr>
        <w:t>二、机构设置</w:t>
      </w:r>
    </w:p>
    <w:p w14:paraId="14C31598">
      <w:pPr>
        <w:pStyle w:val="4"/>
        <w:keepNext w:val="0"/>
        <w:keepLines w:val="0"/>
        <w:pageBreakBefore w:val="0"/>
        <w:widowControl w:val="0"/>
        <w:kinsoku/>
        <w:wordWrap/>
        <w:overflowPunct/>
        <w:topLinePunct w:val="0"/>
        <w:autoSpaceDE w:val="0"/>
        <w:autoSpaceDN w:val="0"/>
        <w:bidi w:val="0"/>
        <w:adjustRightInd/>
        <w:snapToGrid/>
        <w:spacing w:line="560" w:lineRule="exact"/>
        <w:ind w:left="1803" w:right="1049" w:rightChars="477" w:firstLine="640" w:firstLineChars="200"/>
        <w:jc w:val="left"/>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滦州市消防救援大队决算单位包括：滦州市消防救援大队本级。纳入滦州市消防救援大队 2024 年度部门决算编制范围的四级决算单位如下：</w:t>
      </w:r>
    </w:p>
    <w:p w14:paraId="1889A858">
      <w:pPr>
        <w:pStyle w:val="4"/>
        <w:rPr>
          <w:rFonts w:ascii="宋体"/>
          <w:sz w:val="20"/>
        </w:rPr>
      </w:pPr>
    </w:p>
    <w:p w14:paraId="09F25036">
      <w:pPr>
        <w:pStyle w:val="4"/>
        <w:spacing w:before="11"/>
        <w:rPr>
          <w:rFonts w:ascii="宋体"/>
          <w:sz w:val="13"/>
        </w:rPr>
      </w:pPr>
    </w:p>
    <w:tbl>
      <w:tblPr>
        <w:tblStyle w:val="6"/>
        <w:tblW w:w="0" w:type="auto"/>
        <w:tblInd w:w="1805"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2416"/>
        <w:gridCol w:w="6512"/>
      </w:tblGrid>
      <w:tr w14:paraId="2470870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23" w:hRule="atLeast"/>
        </w:trPr>
        <w:tc>
          <w:tcPr>
            <w:tcW w:w="2416" w:type="dxa"/>
          </w:tcPr>
          <w:p w14:paraId="625092B7">
            <w:pPr>
              <w:pStyle w:val="10"/>
              <w:ind w:left="866" w:right="859"/>
              <w:rPr>
                <w:rFonts w:ascii="黑体" w:eastAsia="黑体"/>
                <w:sz w:val="32"/>
              </w:rPr>
            </w:pPr>
            <w:r>
              <w:rPr>
                <w:rFonts w:hint="eastAsia" w:ascii="黑体" w:eastAsia="黑体"/>
                <w:sz w:val="32"/>
              </w:rPr>
              <w:t>序号</w:t>
            </w:r>
          </w:p>
        </w:tc>
        <w:tc>
          <w:tcPr>
            <w:tcW w:w="6512" w:type="dxa"/>
          </w:tcPr>
          <w:p w14:paraId="09F8FF4C">
            <w:pPr>
              <w:pStyle w:val="10"/>
              <w:ind w:left="1473"/>
              <w:rPr>
                <w:rFonts w:ascii="黑体" w:eastAsia="黑体"/>
                <w:sz w:val="32"/>
              </w:rPr>
            </w:pPr>
            <w:r>
              <w:rPr>
                <w:rFonts w:hint="eastAsia" w:ascii="黑体" w:eastAsia="黑体"/>
                <w:sz w:val="32"/>
              </w:rPr>
              <w:t>四级决算单位名称</w:t>
            </w:r>
          </w:p>
        </w:tc>
      </w:tr>
      <w:tr w14:paraId="548325A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23" w:hRule="atLeast"/>
        </w:trPr>
        <w:tc>
          <w:tcPr>
            <w:tcW w:w="2416" w:type="dxa"/>
          </w:tcPr>
          <w:p w14:paraId="05C45C43">
            <w:pPr>
              <w:pStyle w:val="10"/>
              <w:ind w:right="0"/>
              <w:rPr>
                <w:sz w:val="32"/>
              </w:rPr>
            </w:pPr>
            <w:r>
              <w:rPr>
                <w:w w:val="99"/>
                <w:sz w:val="32"/>
              </w:rPr>
              <w:t>1</w:t>
            </w:r>
          </w:p>
        </w:tc>
        <w:tc>
          <w:tcPr>
            <w:tcW w:w="6512" w:type="dxa"/>
          </w:tcPr>
          <w:p w14:paraId="2E7E3B33">
            <w:pPr>
              <w:pStyle w:val="10"/>
              <w:ind w:left="1476"/>
              <w:rPr>
                <w:rFonts w:hint="eastAsia" w:eastAsia="宋体"/>
                <w:sz w:val="32"/>
                <w:lang w:eastAsia="zh-CN"/>
              </w:rPr>
            </w:pPr>
            <w:r>
              <w:rPr>
                <w:rFonts w:hint="eastAsia"/>
                <w:sz w:val="32"/>
                <w:lang w:eastAsia="zh-CN"/>
              </w:rPr>
              <w:t>滦州市消防救援大队</w:t>
            </w:r>
          </w:p>
        </w:tc>
      </w:tr>
    </w:tbl>
    <w:p w14:paraId="7871DF6B">
      <w:pPr>
        <w:rPr>
          <w:sz w:val="32"/>
        </w:rPr>
        <w:sectPr>
          <w:pgSz w:w="11910" w:h="16840"/>
          <w:pgMar w:top="1500" w:right="0" w:bottom="1160" w:left="0" w:header="0" w:footer="895" w:gutter="0"/>
          <w:cols w:space="720" w:num="1"/>
        </w:sectPr>
      </w:pPr>
    </w:p>
    <w:p w14:paraId="313D27DC">
      <w:pPr>
        <w:pStyle w:val="4"/>
        <w:rPr>
          <w:rFonts w:ascii="Times New Roman"/>
          <w:sz w:val="20"/>
        </w:rPr>
      </w:pPr>
      <w:r>
        <mc:AlternateContent>
          <mc:Choice Requires="wps">
            <w:drawing>
              <wp:anchor distT="0" distB="0" distL="114300" distR="114300" simplePos="0" relativeHeight="251665408" behindDoc="0" locked="0" layoutInCell="1" allowOverlap="1">
                <wp:simplePos x="0" y="0"/>
                <wp:positionH relativeFrom="page">
                  <wp:posOffset>0</wp:posOffset>
                </wp:positionH>
                <wp:positionV relativeFrom="page">
                  <wp:posOffset>4109720</wp:posOffset>
                </wp:positionV>
                <wp:extent cx="7559675" cy="25400"/>
                <wp:effectExtent l="0" t="0" r="14605" b="5080"/>
                <wp:wrapNone/>
                <wp:docPr id="19" name="矩形 5"/>
                <wp:cNvGraphicFramePr/>
                <a:graphic xmlns:a="http://schemas.openxmlformats.org/drawingml/2006/main">
                  <a:graphicData uri="http://schemas.microsoft.com/office/word/2010/wordprocessingShape">
                    <wps:wsp>
                      <wps:cNvSpPr/>
                      <wps:spPr>
                        <a:xfrm>
                          <a:off x="0" y="0"/>
                          <a:ext cx="7559675" cy="25400"/>
                        </a:xfrm>
                        <a:prstGeom prst="rect">
                          <a:avLst/>
                        </a:prstGeom>
                        <a:solidFill>
                          <a:srgbClr val="385D89"/>
                        </a:solidFill>
                        <a:ln>
                          <a:noFill/>
                        </a:ln>
                      </wps:spPr>
                      <wps:bodyPr upright="1"/>
                    </wps:wsp>
                  </a:graphicData>
                </a:graphic>
              </wp:anchor>
            </w:drawing>
          </mc:Choice>
          <mc:Fallback>
            <w:pict>
              <v:rect id="矩形 5" o:spid="_x0000_s1026" o:spt="1" style="position:absolute;left:0pt;margin-left:0pt;margin-top:323.6pt;height:2pt;width:595.25pt;mso-position-horizontal-relative:page;mso-position-vertical-relative:page;z-index:251665408;mso-width-relative:page;mso-height-relative:page;" fillcolor="#385D89" filled="t" stroked="f" coordsize="21600,21600" o:gfxdata="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">
                <v:fill on="t" focussize="0,0"/>
                <v:stroke on="f"/>
                <v:imagedata o:title=""/>
                <o:lock v:ext="edit" aspectratio="f"/>
              </v:rect>
            </w:pict>
          </mc:Fallback>
        </mc:AlternateContent>
      </w:r>
      <w:r>
        <mc:AlternateContent>
          <mc:Choice Requires="wps">
            <w:drawing>
              <wp:anchor distT="0" distB="0" distL="114300" distR="114300" simplePos="0" relativeHeight="251666432" behindDoc="0" locked="0" layoutInCell="1" allowOverlap="1">
                <wp:simplePos x="0" y="0"/>
                <wp:positionH relativeFrom="page">
                  <wp:posOffset>0</wp:posOffset>
                </wp:positionH>
                <wp:positionV relativeFrom="page">
                  <wp:posOffset>6072505</wp:posOffset>
                </wp:positionV>
                <wp:extent cx="7559675" cy="25400"/>
                <wp:effectExtent l="0" t="0" r="14605" b="5080"/>
                <wp:wrapNone/>
                <wp:docPr id="20" name="矩形 6"/>
                <wp:cNvGraphicFramePr/>
                <a:graphic xmlns:a="http://schemas.openxmlformats.org/drawingml/2006/main">
                  <a:graphicData uri="http://schemas.microsoft.com/office/word/2010/wordprocessingShape">
                    <wps:wsp>
                      <wps:cNvSpPr/>
                      <wps:spPr>
                        <a:xfrm>
                          <a:off x="0" y="0"/>
                          <a:ext cx="7559675" cy="25400"/>
                        </a:xfrm>
                        <a:prstGeom prst="rect">
                          <a:avLst/>
                        </a:prstGeom>
                        <a:solidFill>
                          <a:srgbClr val="385D89"/>
                        </a:solidFill>
                        <a:ln>
                          <a:noFill/>
                        </a:ln>
                      </wps:spPr>
                      <wps:bodyPr upright="1"/>
                    </wps:wsp>
                  </a:graphicData>
                </a:graphic>
              </wp:anchor>
            </w:drawing>
          </mc:Choice>
          <mc:Fallback>
            <w:pict>
              <v:rect id="矩形 6" o:spid="_x0000_s1026" o:spt="1" style="position:absolute;left:0pt;margin-left:0pt;margin-top:478.15pt;height:2pt;width:595.25pt;mso-position-horizontal-relative:page;mso-position-vertical-relative:page;z-index:251666432;mso-width-relative:page;mso-height-relative:page;" fillcolor="#385D89" filled="t" stroked="f" coordsize="21600,21600" o:gfxdata="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">
                <v:fill on="t" focussize="0,0"/>
                <v:stroke on="f"/>
                <v:imagedata o:title=""/>
                <o:lock v:ext="edit" aspectratio="f"/>
              </v:rect>
            </w:pict>
          </mc:Fallback>
        </mc:AlternateContent>
      </w:r>
    </w:p>
    <w:p w14:paraId="24A4E197">
      <w:pPr>
        <w:pStyle w:val="4"/>
        <w:rPr>
          <w:rFonts w:ascii="Times New Roman"/>
          <w:sz w:val="20"/>
        </w:rPr>
      </w:pPr>
    </w:p>
    <w:p w14:paraId="7A67F53D">
      <w:pPr>
        <w:pStyle w:val="4"/>
        <w:rPr>
          <w:rFonts w:ascii="Times New Roman"/>
          <w:sz w:val="20"/>
        </w:rPr>
      </w:pPr>
    </w:p>
    <w:p w14:paraId="45FE1595">
      <w:pPr>
        <w:pStyle w:val="4"/>
        <w:rPr>
          <w:rFonts w:ascii="Times New Roman"/>
          <w:sz w:val="20"/>
        </w:rPr>
      </w:pPr>
    </w:p>
    <w:p w14:paraId="535B1A54">
      <w:pPr>
        <w:pStyle w:val="4"/>
        <w:rPr>
          <w:rFonts w:ascii="Times New Roman"/>
          <w:sz w:val="20"/>
        </w:rPr>
      </w:pPr>
    </w:p>
    <w:p w14:paraId="18722413">
      <w:pPr>
        <w:pStyle w:val="4"/>
        <w:rPr>
          <w:rFonts w:ascii="Times New Roman"/>
          <w:sz w:val="20"/>
        </w:rPr>
      </w:pPr>
    </w:p>
    <w:p w14:paraId="442C3529">
      <w:pPr>
        <w:pStyle w:val="4"/>
        <w:rPr>
          <w:rFonts w:ascii="Times New Roman"/>
          <w:sz w:val="20"/>
        </w:rPr>
      </w:pPr>
    </w:p>
    <w:p w14:paraId="3151FB8A">
      <w:pPr>
        <w:pStyle w:val="4"/>
        <w:rPr>
          <w:rFonts w:ascii="Times New Roman"/>
          <w:sz w:val="20"/>
        </w:rPr>
      </w:pPr>
    </w:p>
    <w:p w14:paraId="44AC80BB">
      <w:pPr>
        <w:pStyle w:val="4"/>
        <w:rPr>
          <w:rFonts w:ascii="Times New Roman"/>
          <w:sz w:val="20"/>
        </w:rPr>
      </w:pPr>
    </w:p>
    <w:p w14:paraId="76880A61">
      <w:pPr>
        <w:pStyle w:val="4"/>
        <w:rPr>
          <w:rFonts w:ascii="Times New Roman"/>
          <w:sz w:val="20"/>
        </w:rPr>
      </w:pPr>
    </w:p>
    <w:p w14:paraId="15E68BFD">
      <w:pPr>
        <w:pStyle w:val="4"/>
        <w:rPr>
          <w:rFonts w:ascii="Times New Roman"/>
          <w:sz w:val="20"/>
        </w:rPr>
      </w:pPr>
    </w:p>
    <w:p w14:paraId="11A5CDA1">
      <w:pPr>
        <w:pStyle w:val="4"/>
        <w:rPr>
          <w:rFonts w:ascii="Times New Roman"/>
          <w:sz w:val="20"/>
        </w:rPr>
      </w:pPr>
    </w:p>
    <w:p w14:paraId="5D7E9C2C">
      <w:pPr>
        <w:pStyle w:val="4"/>
        <w:rPr>
          <w:rFonts w:ascii="Times New Roman"/>
          <w:sz w:val="20"/>
        </w:rPr>
      </w:pPr>
    </w:p>
    <w:p w14:paraId="2D41EF9C">
      <w:pPr>
        <w:pStyle w:val="4"/>
        <w:rPr>
          <w:rFonts w:ascii="Times New Roman"/>
          <w:sz w:val="20"/>
        </w:rPr>
      </w:pPr>
    </w:p>
    <w:p w14:paraId="02821A1F">
      <w:pPr>
        <w:pStyle w:val="4"/>
        <w:rPr>
          <w:rFonts w:ascii="Times New Roman"/>
          <w:sz w:val="20"/>
        </w:rPr>
      </w:pPr>
    </w:p>
    <w:p w14:paraId="5EE1E4DF">
      <w:pPr>
        <w:pStyle w:val="4"/>
        <w:rPr>
          <w:rFonts w:ascii="Times New Roman"/>
          <w:sz w:val="20"/>
        </w:rPr>
      </w:pPr>
    </w:p>
    <w:p w14:paraId="53533E3D">
      <w:pPr>
        <w:pStyle w:val="4"/>
        <w:rPr>
          <w:rFonts w:ascii="Times New Roman"/>
          <w:sz w:val="20"/>
        </w:rPr>
      </w:pPr>
    </w:p>
    <w:p w14:paraId="2B3E3B65">
      <w:pPr>
        <w:pStyle w:val="4"/>
        <w:rPr>
          <w:rFonts w:ascii="Times New Roman"/>
          <w:sz w:val="20"/>
        </w:rPr>
      </w:pPr>
    </w:p>
    <w:p w14:paraId="17C916C1">
      <w:pPr>
        <w:pStyle w:val="4"/>
        <w:rPr>
          <w:rFonts w:ascii="Times New Roman"/>
          <w:sz w:val="20"/>
        </w:rPr>
      </w:pPr>
    </w:p>
    <w:p w14:paraId="78E76E8A">
      <w:pPr>
        <w:pStyle w:val="4"/>
        <w:rPr>
          <w:rFonts w:ascii="Times New Roman"/>
          <w:sz w:val="20"/>
        </w:rPr>
      </w:pPr>
    </w:p>
    <w:p w14:paraId="5AE8213B">
      <w:pPr>
        <w:pStyle w:val="4"/>
        <w:spacing w:before="3" w:after="1"/>
        <w:rPr>
          <w:rFonts w:ascii="Times New Roman"/>
          <w:sz w:val="27"/>
        </w:rPr>
      </w:pPr>
    </w:p>
    <w:p w14:paraId="6E1D6DB0">
      <w:pPr>
        <w:pStyle w:val="4"/>
        <w:ind w:right="-58"/>
        <w:rPr>
          <w:rFonts w:ascii="Times New Roman"/>
          <w:sz w:val="20"/>
        </w:rPr>
      </w:pPr>
      <w:r>
        <w:rPr>
          <w:rFonts w:ascii="Times New Roman"/>
          <w:sz w:val="20"/>
        </w:rPr>
        <mc:AlternateContent>
          <mc:Choice Requires="wps">
            <w:drawing>
              <wp:inline distT="0" distB="0" distL="114300" distR="114300">
                <wp:extent cx="7560310" cy="1937385"/>
                <wp:effectExtent l="0" t="0" r="13970" b="13335"/>
                <wp:docPr id="2" name="文本框 18"/>
                <wp:cNvGraphicFramePr/>
                <a:graphic xmlns:a="http://schemas.openxmlformats.org/drawingml/2006/main">
                  <a:graphicData uri="http://schemas.microsoft.com/office/word/2010/wordprocessingShape">
                    <wps:wsp>
                      <wps:cNvSpPr txBox="1"/>
                      <wps:spPr>
                        <a:xfrm>
                          <a:off x="0" y="0"/>
                          <a:ext cx="7560310" cy="1937385"/>
                        </a:xfrm>
                        <a:prstGeom prst="rect">
                          <a:avLst/>
                        </a:prstGeom>
                        <a:solidFill>
                          <a:srgbClr val="94B3D6"/>
                        </a:solidFill>
                        <a:ln>
                          <a:noFill/>
                        </a:ln>
                      </wps:spPr>
                      <wps:txbx>
                        <w:txbxContent>
                          <w:p w14:paraId="4B43B67B">
                            <w:pPr>
                              <w:tabs>
                                <w:tab w:val="left" w:pos="3420"/>
                              </w:tabs>
                              <w:spacing w:before="21" w:line="947" w:lineRule="exact"/>
                              <w:ind w:left="1070"/>
                              <w:jc w:val="center"/>
                              <w:rPr>
                                <w:rFonts w:hint="eastAsia" w:ascii="Microsoft JhengHei" w:eastAsia="Microsoft JhengHei"/>
                                <w:b/>
                                <w:sz w:val="52"/>
                              </w:rPr>
                            </w:pPr>
                          </w:p>
                          <w:p w14:paraId="7D14B096">
                            <w:pPr>
                              <w:tabs>
                                <w:tab w:val="left" w:pos="3420"/>
                              </w:tabs>
                              <w:spacing w:before="21" w:line="947" w:lineRule="exact"/>
                              <w:ind w:left="1070"/>
                              <w:jc w:val="center"/>
                              <w:rPr>
                                <w:rFonts w:ascii="Microsoft JhengHei" w:eastAsia="Microsoft JhengHei"/>
                                <w:b/>
                                <w:sz w:val="52"/>
                              </w:rPr>
                            </w:pPr>
                            <w:r>
                              <w:rPr>
                                <w:rFonts w:hint="eastAsia" w:ascii="Microsoft JhengHei" w:eastAsia="Microsoft JhengHei"/>
                                <w:b/>
                                <w:sz w:val="52"/>
                              </w:rPr>
                              <w:t>第二部分</w:t>
                            </w:r>
                            <w:r>
                              <w:rPr>
                                <w:rFonts w:hint="eastAsia" w:ascii="Microsoft JhengHei" w:eastAsia="Microsoft JhengHei"/>
                                <w:b/>
                                <w:sz w:val="52"/>
                              </w:rPr>
                              <w:tab/>
                            </w:r>
                            <w:r>
                              <w:rPr>
                                <w:rFonts w:ascii="Times New Roman" w:eastAsia="Times New Roman"/>
                                <w:b/>
                                <w:sz w:val="52"/>
                              </w:rPr>
                              <w:t>202</w:t>
                            </w:r>
                            <w:r>
                              <w:rPr>
                                <w:rFonts w:hint="eastAsia" w:ascii="Times New Roman" w:eastAsia="宋体"/>
                                <w:b/>
                                <w:sz w:val="52"/>
                                <w:lang w:val="en-US" w:eastAsia="zh-CN"/>
                              </w:rPr>
                              <w:t>4</w:t>
                            </w:r>
                            <w:r>
                              <w:rPr>
                                <w:rFonts w:ascii="Times New Roman" w:eastAsia="Times New Roman"/>
                                <w:b/>
                                <w:sz w:val="52"/>
                              </w:rPr>
                              <w:t xml:space="preserve"> </w:t>
                            </w:r>
                            <w:r>
                              <w:rPr>
                                <w:rFonts w:hint="eastAsia" w:ascii="Microsoft JhengHei" w:eastAsia="Microsoft JhengHei"/>
                                <w:b/>
                                <w:sz w:val="52"/>
                              </w:rPr>
                              <w:t>年度部门决算表</w:t>
                            </w:r>
                          </w:p>
                        </w:txbxContent>
                      </wps:txbx>
                      <wps:bodyPr lIns="0" tIns="0" rIns="0" bIns="0" upright="1"/>
                    </wps:wsp>
                  </a:graphicData>
                </a:graphic>
              </wp:inline>
            </w:drawing>
          </mc:Choice>
          <mc:Fallback>
            <w:pict>
              <v:shape id="文本框 18" o:spid="_x0000_s1026" o:spt="202" type="#_x0000_t202" style="height:152.55pt;width:595.3pt;" fillcolor="#94B3D6" filled="t" stroked="f" coordsize="21600,21600" o:gfxdata="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">
                <v:fill on="t" focussize="0,0"/>
                <v:stroke on="f"/>
                <v:imagedata o:title=""/>
                <o:lock v:ext="edit" aspectratio="f"/>
                <v:textbox inset="0mm,0mm,0mm,0mm">
                  <w:txbxContent>
                    <w:p w14:paraId="4B43B67B">
                      <w:pPr>
                        <w:tabs>
                          <w:tab w:val="left" w:pos="3420"/>
                        </w:tabs>
                        <w:spacing w:before="21" w:line="947" w:lineRule="exact"/>
                        <w:ind w:left="1070"/>
                        <w:jc w:val="center"/>
                        <w:rPr>
                          <w:rFonts w:hint="eastAsia" w:ascii="Microsoft JhengHei" w:eastAsia="Microsoft JhengHei"/>
                          <w:b/>
                          <w:sz w:val="52"/>
                        </w:rPr>
                      </w:pPr>
                    </w:p>
                    <w:p w14:paraId="7D14B096">
                      <w:pPr>
                        <w:tabs>
                          <w:tab w:val="left" w:pos="3420"/>
                        </w:tabs>
                        <w:spacing w:before="21" w:line="947" w:lineRule="exact"/>
                        <w:ind w:left="1070"/>
                        <w:jc w:val="center"/>
                        <w:rPr>
                          <w:rFonts w:ascii="Microsoft JhengHei" w:eastAsia="Microsoft JhengHei"/>
                          <w:b/>
                          <w:sz w:val="52"/>
                        </w:rPr>
                      </w:pPr>
                      <w:r>
                        <w:rPr>
                          <w:rFonts w:hint="eastAsia" w:ascii="Microsoft JhengHei" w:eastAsia="Microsoft JhengHei"/>
                          <w:b/>
                          <w:sz w:val="52"/>
                        </w:rPr>
                        <w:t>第二部分</w:t>
                      </w:r>
                      <w:r>
                        <w:rPr>
                          <w:rFonts w:hint="eastAsia" w:ascii="Microsoft JhengHei" w:eastAsia="Microsoft JhengHei"/>
                          <w:b/>
                          <w:sz w:val="52"/>
                        </w:rPr>
                        <w:tab/>
                      </w:r>
                      <w:r>
                        <w:rPr>
                          <w:rFonts w:ascii="Times New Roman" w:eastAsia="Times New Roman"/>
                          <w:b/>
                          <w:sz w:val="52"/>
                        </w:rPr>
                        <w:t>202</w:t>
                      </w:r>
                      <w:r>
                        <w:rPr>
                          <w:rFonts w:hint="eastAsia" w:ascii="Times New Roman" w:eastAsia="宋体"/>
                          <w:b/>
                          <w:sz w:val="52"/>
                          <w:lang w:val="en-US" w:eastAsia="zh-CN"/>
                        </w:rPr>
                        <w:t>4</w:t>
                      </w:r>
                      <w:r>
                        <w:rPr>
                          <w:rFonts w:ascii="Times New Roman" w:eastAsia="Times New Roman"/>
                          <w:b/>
                          <w:sz w:val="52"/>
                        </w:rPr>
                        <w:t xml:space="preserve"> </w:t>
                      </w:r>
                      <w:r>
                        <w:rPr>
                          <w:rFonts w:hint="eastAsia" w:ascii="Microsoft JhengHei" w:eastAsia="Microsoft JhengHei"/>
                          <w:b/>
                          <w:sz w:val="52"/>
                        </w:rPr>
                        <w:t>年度部门决算表</w:t>
                      </w:r>
                    </w:p>
                  </w:txbxContent>
                </v:textbox>
                <w10:wrap type="none"/>
                <w10:anchorlock/>
              </v:shape>
            </w:pict>
          </mc:Fallback>
        </mc:AlternateContent>
      </w:r>
    </w:p>
    <w:p w14:paraId="6811C55E">
      <w:pPr>
        <w:rPr>
          <w:rFonts w:ascii="Times New Roman"/>
          <w:sz w:val="20"/>
        </w:rPr>
        <w:sectPr>
          <w:pgSz w:w="11910" w:h="16840"/>
          <w:pgMar w:top="1580" w:right="0" w:bottom="1160" w:left="0" w:header="0" w:footer="895" w:gutter="0"/>
          <w:cols w:space="720" w:num="1"/>
        </w:sectPr>
      </w:pPr>
    </w:p>
    <w:p w14:paraId="43F332ED">
      <w:pPr>
        <w:pStyle w:val="4"/>
        <w:jc w:val="center"/>
        <w:rPr>
          <w:rFonts w:hint="eastAsia" w:eastAsia="Arial Unicode MS"/>
          <w:lang w:eastAsia="zh-CN"/>
        </w:rPr>
      </w:pPr>
      <w:r>
        <w:rPr>
          <w:rFonts w:hint="eastAsia" w:eastAsia="Arial Unicode MS"/>
          <w:lang w:eastAsia="zh-CN"/>
        </w:rPr>
        <w:drawing>
          <wp:inline distT="0" distB="0" distL="114300" distR="114300">
            <wp:extent cx="7014210" cy="5080635"/>
            <wp:effectExtent l="0" t="0" r="15240" b="5715"/>
            <wp:docPr id="6" name="图片 6" descr="57ce2312-c9a1-4b4f-9ff4-b49b747e7ea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6" descr="57ce2312-c9a1-4b4f-9ff4-b49b747e7ea0"/>
                    <pic:cNvPicPr>
                      <a:picLocks noChangeAspect="1"/>
                    </pic:cNvPicPr>
                  </pic:nvPicPr>
                  <pic:blipFill>
                    <a:blip r:embed="rId7"/>
                    <a:stretch>
                      <a:fillRect/>
                    </a:stretch>
                  </pic:blipFill>
                  <pic:spPr>
                    <a:xfrm>
                      <a:off x="0" y="0"/>
                      <a:ext cx="7014210" cy="5080635"/>
                    </a:xfrm>
                    <a:prstGeom prst="rect">
                      <a:avLst/>
                    </a:prstGeom>
                  </pic:spPr>
                </pic:pic>
              </a:graphicData>
            </a:graphic>
          </wp:inline>
        </w:drawing>
      </w:r>
    </w:p>
    <w:p w14:paraId="6C7B3C5B">
      <w:pPr>
        <w:pStyle w:val="4"/>
        <w:jc w:val="center"/>
        <w:rPr>
          <w:rFonts w:hint="eastAsia" w:eastAsia="Arial Unicode MS"/>
          <w:lang w:eastAsia="zh-CN"/>
        </w:rPr>
        <w:sectPr>
          <w:pgSz w:w="11910" w:h="16840"/>
          <w:pgMar w:top="1560" w:right="0" w:bottom="1080" w:left="0" w:header="0" w:footer="895" w:gutter="0"/>
          <w:cols w:space="720" w:num="1"/>
        </w:sectPr>
      </w:pPr>
    </w:p>
    <w:p w14:paraId="617C2C5A">
      <w:pPr>
        <w:pStyle w:val="4"/>
        <w:jc w:val="center"/>
        <w:rPr>
          <w:rFonts w:hint="eastAsia" w:ascii="Times New Roman" w:eastAsia="Arial Unicode MS"/>
          <w:sz w:val="20"/>
          <w:lang w:eastAsia="zh-CN"/>
        </w:rPr>
        <w:sectPr>
          <w:pgSz w:w="11910" w:h="16840"/>
          <w:pgMar w:top="1580" w:right="0" w:bottom="1080" w:left="0" w:header="0" w:footer="895" w:gutter="0"/>
          <w:cols w:space="720" w:num="1"/>
        </w:sectPr>
      </w:pPr>
      <w:r>
        <w:rPr>
          <w:rFonts w:hint="eastAsia" w:ascii="Times New Roman" w:eastAsia="Arial Unicode MS"/>
          <w:sz w:val="20"/>
          <w:lang w:eastAsia="zh-CN"/>
        </w:rPr>
        <w:drawing>
          <wp:inline distT="0" distB="0" distL="114300" distR="114300">
            <wp:extent cx="6972935" cy="1143635"/>
            <wp:effectExtent l="0" t="0" r="18415" b="18415"/>
            <wp:docPr id="7" name="图片 7" descr="55483efd-36b5-4dc6-a426-a63c2ec424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descr="55483efd-36b5-4dc6-a426-a63c2ec42498"/>
                    <pic:cNvPicPr>
                      <a:picLocks noChangeAspect="1"/>
                    </pic:cNvPicPr>
                  </pic:nvPicPr>
                  <pic:blipFill>
                    <a:blip r:embed="rId8"/>
                    <a:stretch>
                      <a:fillRect/>
                    </a:stretch>
                  </pic:blipFill>
                  <pic:spPr>
                    <a:xfrm>
                      <a:off x="0" y="0"/>
                      <a:ext cx="6972935" cy="1143635"/>
                    </a:xfrm>
                    <a:prstGeom prst="rect">
                      <a:avLst/>
                    </a:prstGeom>
                  </pic:spPr>
                </pic:pic>
              </a:graphicData>
            </a:graphic>
          </wp:inline>
        </w:drawing>
      </w:r>
    </w:p>
    <w:p w14:paraId="745673A2">
      <w:pPr>
        <w:pStyle w:val="4"/>
        <w:jc w:val="center"/>
        <w:rPr>
          <w:rFonts w:hint="eastAsia" w:ascii="Times New Roman" w:eastAsia="Arial Unicode MS"/>
          <w:sz w:val="20"/>
          <w:lang w:eastAsia="zh-CN"/>
        </w:rPr>
        <w:sectPr>
          <w:pgSz w:w="11910" w:h="16840"/>
          <w:pgMar w:top="1500" w:right="0" w:bottom="1080" w:left="0" w:header="0" w:footer="895" w:gutter="0"/>
          <w:cols w:space="720" w:num="1"/>
        </w:sectPr>
      </w:pPr>
      <w:r>
        <w:drawing>
          <wp:inline distT="0" distB="0" distL="114300" distR="114300">
            <wp:extent cx="7152640" cy="1279525"/>
            <wp:effectExtent l="0" t="0" r="10160" b="15875"/>
            <wp:docPr id="1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图片 1"/>
                    <pic:cNvPicPr>
                      <a:picLocks noChangeAspect="1"/>
                    </pic:cNvPicPr>
                  </pic:nvPicPr>
                  <pic:blipFill>
                    <a:blip r:embed="rId9"/>
                    <a:stretch>
                      <a:fillRect/>
                    </a:stretch>
                  </pic:blipFill>
                  <pic:spPr>
                    <a:xfrm>
                      <a:off x="0" y="0"/>
                      <a:ext cx="7152640" cy="1279525"/>
                    </a:xfrm>
                    <a:prstGeom prst="rect">
                      <a:avLst/>
                    </a:prstGeom>
                    <a:noFill/>
                    <a:ln>
                      <a:noFill/>
                    </a:ln>
                  </pic:spPr>
                </pic:pic>
              </a:graphicData>
            </a:graphic>
          </wp:inline>
        </w:drawing>
      </w:r>
      <w:r>
        <w:rPr>
          <w:rFonts w:hint="eastAsia" w:ascii="Times New Roman"/>
          <w:sz w:val="20"/>
          <w:lang w:val="en-US" w:eastAsia="zh-CN"/>
        </w:rPr>
        <w:t xml:space="preserve">         </w:t>
      </w:r>
    </w:p>
    <w:p w14:paraId="4404D4D1">
      <w:pPr>
        <w:pStyle w:val="4"/>
        <w:jc w:val="center"/>
        <w:rPr>
          <w:rFonts w:hint="eastAsia" w:ascii="Times New Roman" w:eastAsia="Arial Unicode MS"/>
          <w:sz w:val="20"/>
          <w:lang w:eastAsia="zh-CN"/>
        </w:rPr>
        <w:sectPr>
          <w:footerReference r:id="rId4" w:type="default"/>
          <w:pgSz w:w="11910" w:h="16840"/>
          <w:pgMar w:top="1540" w:right="0" w:bottom="1080" w:left="0" w:header="0" w:footer="895" w:gutter="0"/>
          <w:pgNumType w:start="10"/>
          <w:cols w:space="720" w:num="1"/>
        </w:sectPr>
      </w:pPr>
      <w:r>
        <w:drawing>
          <wp:inline distT="0" distB="0" distL="114300" distR="114300">
            <wp:extent cx="7318375" cy="3623310"/>
            <wp:effectExtent l="0" t="0" r="15875" b="15240"/>
            <wp:docPr id="15"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图片 2"/>
                    <pic:cNvPicPr>
                      <a:picLocks noChangeAspect="1"/>
                    </pic:cNvPicPr>
                  </pic:nvPicPr>
                  <pic:blipFill>
                    <a:blip r:embed="rId10"/>
                    <a:stretch>
                      <a:fillRect/>
                    </a:stretch>
                  </pic:blipFill>
                  <pic:spPr>
                    <a:xfrm>
                      <a:off x="0" y="0"/>
                      <a:ext cx="7318375" cy="3623310"/>
                    </a:xfrm>
                    <a:prstGeom prst="rect">
                      <a:avLst/>
                    </a:prstGeom>
                    <a:noFill/>
                    <a:ln>
                      <a:noFill/>
                    </a:ln>
                  </pic:spPr>
                </pic:pic>
              </a:graphicData>
            </a:graphic>
          </wp:inline>
        </w:drawing>
      </w:r>
    </w:p>
    <w:p w14:paraId="198C6870">
      <w:pPr>
        <w:pStyle w:val="4"/>
        <w:rPr>
          <w:rFonts w:hint="eastAsia" w:ascii="Times New Roman" w:eastAsia="Arial Unicode MS"/>
          <w:sz w:val="20"/>
          <w:lang w:eastAsia="zh-CN"/>
        </w:rPr>
        <w:sectPr>
          <w:pgSz w:w="11910" w:h="16840"/>
          <w:pgMar w:top="1460" w:right="0" w:bottom="1080" w:left="0" w:header="0" w:footer="895" w:gutter="0"/>
          <w:cols w:space="720" w:num="1"/>
        </w:sectPr>
      </w:pPr>
      <w:r>
        <w:rPr>
          <w:rFonts w:hint="eastAsia" w:ascii="Times New Roman"/>
          <w:sz w:val="20"/>
          <w:lang w:val="en-US" w:eastAsia="zh-CN"/>
        </w:rPr>
        <w:t xml:space="preserve">                     </w:t>
      </w:r>
      <w:r>
        <w:drawing>
          <wp:inline distT="0" distB="0" distL="114300" distR="114300">
            <wp:extent cx="6700520" cy="1760220"/>
            <wp:effectExtent l="0" t="0" r="5080" b="11430"/>
            <wp:docPr id="17"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图片 3"/>
                    <pic:cNvPicPr>
                      <a:picLocks noChangeAspect="1"/>
                    </pic:cNvPicPr>
                  </pic:nvPicPr>
                  <pic:blipFill>
                    <a:blip r:embed="rId11"/>
                    <a:stretch>
                      <a:fillRect/>
                    </a:stretch>
                  </pic:blipFill>
                  <pic:spPr>
                    <a:xfrm>
                      <a:off x="0" y="0"/>
                      <a:ext cx="6700520" cy="1760220"/>
                    </a:xfrm>
                    <a:prstGeom prst="rect">
                      <a:avLst/>
                    </a:prstGeom>
                    <a:noFill/>
                    <a:ln>
                      <a:noFill/>
                    </a:ln>
                  </pic:spPr>
                </pic:pic>
              </a:graphicData>
            </a:graphic>
          </wp:inline>
        </w:drawing>
      </w:r>
    </w:p>
    <w:p w14:paraId="5E89A501">
      <w:pPr>
        <w:pStyle w:val="4"/>
        <w:jc w:val="both"/>
        <w:rPr>
          <w:rFonts w:hint="eastAsia" w:ascii="Times New Roman" w:eastAsia="Arial Unicode MS"/>
          <w:sz w:val="20"/>
          <w:lang w:eastAsia="zh-CN"/>
        </w:rPr>
        <w:sectPr>
          <w:pgSz w:w="11910" w:h="16840"/>
          <w:pgMar w:top="1480" w:right="0" w:bottom="1080" w:left="0" w:header="0" w:footer="895" w:gutter="0"/>
          <w:cols w:space="720" w:num="1"/>
        </w:sectPr>
      </w:pPr>
      <w:r>
        <w:rPr>
          <w:rFonts w:hint="eastAsia" w:ascii="Times New Roman"/>
          <w:sz w:val="20"/>
          <w:lang w:val="en-US" w:eastAsia="zh-CN"/>
        </w:rPr>
        <w:t xml:space="preserve">                   </w:t>
      </w:r>
      <w:r>
        <w:drawing>
          <wp:inline distT="0" distB="0" distL="114300" distR="114300">
            <wp:extent cx="6899275" cy="2827020"/>
            <wp:effectExtent l="0" t="0" r="15875" b="11430"/>
            <wp:docPr id="28"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图片 4"/>
                    <pic:cNvPicPr>
                      <a:picLocks noChangeAspect="1"/>
                    </pic:cNvPicPr>
                  </pic:nvPicPr>
                  <pic:blipFill>
                    <a:blip r:embed="rId12"/>
                    <a:stretch>
                      <a:fillRect/>
                    </a:stretch>
                  </pic:blipFill>
                  <pic:spPr>
                    <a:xfrm>
                      <a:off x="0" y="0"/>
                      <a:ext cx="6899275" cy="2827020"/>
                    </a:xfrm>
                    <a:prstGeom prst="rect">
                      <a:avLst/>
                    </a:prstGeom>
                    <a:noFill/>
                    <a:ln>
                      <a:noFill/>
                    </a:ln>
                  </pic:spPr>
                </pic:pic>
              </a:graphicData>
            </a:graphic>
          </wp:inline>
        </w:drawing>
      </w:r>
    </w:p>
    <w:p w14:paraId="7B017C5D">
      <w:pPr>
        <w:pStyle w:val="4"/>
        <w:ind w:left="1991"/>
        <w:rPr>
          <w:rFonts w:ascii="Times New Roman"/>
          <w:sz w:val="20"/>
        </w:rPr>
      </w:pPr>
    </w:p>
    <w:p w14:paraId="642E9C7A">
      <w:pPr>
        <w:jc w:val="center"/>
        <w:rPr>
          <w:rFonts w:hint="eastAsia" w:ascii="Times New Roman" w:eastAsia="Arial Unicode MS"/>
          <w:sz w:val="20"/>
          <w:lang w:eastAsia="zh-CN"/>
        </w:rPr>
        <w:sectPr>
          <w:pgSz w:w="11910" w:h="16840"/>
          <w:pgMar w:top="1460" w:right="0" w:bottom="1080" w:left="0" w:header="0" w:footer="895" w:gutter="0"/>
          <w:cols w:space="720" w:num="1"/>
        </w:sectPr>
      </w:pPr>
      <w:r>
        <w:drawing>
          <wp:inline distT="0" distB="0" distL="114300" distR="114300">
            <wp:extent cx="7553325" cy="1064260"/>
            <wp:effectExtent l="0" t="0" r="9525" b="2540"/>
            <wp:docPr id="29" name="图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 name="图片 5"/>
                    <pic:cNvPicPr>
                      <a:picLocks noChangeAspect="1"/>
                    </pic:cNvPicPr>
                  </pic:nvPicPr>
                  <pic:blipFill>
                    <a:blip r:embed="rId13"/>
                    <a:stretch>
                      <a:fillRect/>
                    </a:stretch>
                  </pic:blipFill>
                  <pic:spPr>
                    <a:xfrm>
                      <a:off x="0" y="0"/>
                      <a:ext cx="7553325" cy="1064260"/>
                    </a:xfrm>
                    <a:prstGeom prst="rect">
                      <a:avLst/>
                    </a:prstGeom>
                    <a:noFill/>
                    <a:ln>
                      <a:noFill/>
                    </a:ln>
                  </pic:spPr>
                </pic:pic>
              </a:graphicData>
            </a:graphic>
          </wp:inline>
        </w:drawing>
      </w:r>
    </w:p>
    <w:p w14:paraId="0A2397ED">
      <w:pPr>
        <w:pStyle w:val="4"/>
        <w:spacing w:before="6"/>
        <w:rPr>
          <w:rFonts w:ascii="Times New Roman"/>
          <w:sz w:val="3"/>
        </w:rPr>
      </w:pPr>
    </w:p>
    <w:p w14:paraId="0C57EF6A">
      <w:pPr>
        <w:pStyle w:val="4"/>
        <w:rPr>
          <w:rFonts w:hint="eastAsia" w:ascii="Times New Roman" w:eastAsia="Arial Unicode MS"/>
          <w:sz w:val="20"/>
          <w:lang w:eastAsia="zh-CN"/>
        </w:rPr>
        <w:sectPr>
          <w:pgSz w:w="11910" w:h="16840"/>
          <w:pgMar w:top="1580" w:right="0" w:bottom="1080" w:left="0" w:header="0" w:footer="895" w:gutter="0"/>
          <w:cols w:space="720" w:num="1"/>
        </w:sectPr>
      </w:pPr>
      <w:r>
        <w:rPr>
          <w:rFonts w:hint="eastAsia" w:ascii="Times New Roman"/>
          <w:sz w:val="20"/>
          <w:lang w:val="en-US" w:eastAsia="zh-CN"/>
        </w:rPr>
        <w:t xml:space="preserve">                 </w:t>
      </w:r>
      <w:r>
        <w:drawing>
          <wp:inline distT="0" distB="0" distL="114300" distR="114300">
            <wp:extent cx="6609080" cy="1528445"/>
            <wp:effectExtent l="0" t="0" r="1270" b="14605"/>
            <wp:docPr id="30" name="图片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 name="图片 6"/>
                    <pic:cNvPicPr>
                      <a:picLocks noChangeAspect="1"/>
                    </pic:cNvPicPr>
                  </pic:nvPicPr>
                  <pic:blipFill>
                    <a:blip r:embed="rId14"/>
                    <a:stretch>
                      <a:fillRect/>
                    </a:stretch>
                  </pic:blipFill>
                  <pic:spPr>
                    <a:xfrm>
                      <a:off x="0" y="0"/>
                      <a:ext cx="6609080" cy="1528445"/>
                    </a:xfrm>
                    <a:prstGeom prst="rect">
                      <a:avLst/>
                    </a:prstGeom>
                    <a:noFill/>
                    <a:ln>
                      <a:noFill/>
                    </a:ln>
                  </pic:spPr>
                </pic:pic>
              </a:graphicData>
            </a:graphic>
          </wp:inline>
        </w:drawing>
      </w:r>
    </w:p>
    <w:p w14:paraId="7BFA4CA5">
      <w:pPr>
        <w:pStyle w:val="4"/>
        <w:ind w:left="1859"/>
        <w:rPr>
          <w:rFonts w:ascii="Times New Roman"/>
          <w:sz w:val="20"/>
        </w:rPr>
      </w:pPr>
    </w:p>
    <w:p w14:paraId="2C246D45">
      <w:pPr>
        <w:jc w:val="center"/>
        <w:rPr>
          <w:rFonts w:hint="eastAsia" w:ascii="Times New Roman" w:eastAsia="Arial Unicode MS"/>
          <w:sz w:val="20"/>
          <w:lang w:eastAsia="zh-CN"/>
        </w:rPr>
        <w:sectPr>
          <w:pgSz w:w="11910" w:h="16840"/>
          <w:pgMar w:top="1560" w:right="0" w:bottom="1080" w:left="0" w:header="0" w:footer="895" w:gutter="0"/>
          <w:cols w:space="720" w:num="1"/>
        </w:sectPr>
      </w:pPr>
      <w:r>
        <w:drawing>
          <wp:inline distT="0" distB="0" distL="114300" distR="114300">
            <wp:extent cx="7550785" cy="839470"/>
            <wp:effectExtent l="0" t="0" r="12065" b="17780"/>
            <wp:docPr id="31" name="图片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 name="图片 7"/>
                    <pic:cNvPicPr>
                      <a:picLocks noChangeAspect="1"/>
                    </pic:cNvPicPr>
                  </pic:nvPicPr>
                  <pic:blipFill>
                    <a:blip r:embed="rId15"/>
                    <a:stretch>
                      <a:fillRect/>
                    </a:stretch>
                  </pic:blipFill>
                  <pic:spPr>
                    <a:xfrm>
                      <a:off x="0" y="0"/>
                      <a:ext cx="7550785" cy="839470"/>
                    </a:xfrm>
                    <a:prstGeom prst="rect">
                      <a:avLst/>
                    </a:prstGeom>
                    <a:noFill/>
                    <a:ln>
                      <a:noFill/>
                    </a:ln>
                  </pic:spPr>
                </pic:pic>
              </a:graphicData>
            </a:graphic>
          </wp:inline>
        </w:drawing>
      </w:r>
    </w:p>
    <w:p w14:paraId="69CD6CDA">
      <w:pPr>
        <w:pStyle w:val="4"/>
        <w:rPr>
          <w:rFonts w:ascii="Times New Roman"/>
          <w:sz w:val="20"/>
        </w:rPr>
      </w:pPr>
      <w:r>
        <mc:AlternateContent>
          <mc:Choice Requires="wps">
            <w:drawing>
              <wp:anchor distT="0" distB="0" distL="114300" distR="114300" simplePos="0" relativeHeight="251667456" behindDoc="0" locked="0" layoutInCell="1" allowOverlap="1">
                <wp:simplePos x="0" y="0"/>
                <wp:positionH relativeFrom="page">
                  <wp:posOffset>0</wp:posOffset>
                </wp:positionH>
                <wp:positionV relativeFrom="page">
                  <wp:posOffset>4201160</wp:posOffset>
                </wp:positionV>
                <wp:extent cx="7559675" cy="25400"/>
                <wp:effectExtent l="0" t="0" r="14605" b="5080"/>
                <wp:wrapNone/>
                <wp:docPr id="21" name="矩形 8"/>
                <wp:cNvGraphicFramePr/>
                <a:graphic xmlns:a="http://schemas.openxmlformats.org/drawingml/2006/main">
                  <a:graphicData uri="http://schemas.microsoft.com/office/word/2010/wordprocessingShape">
                    <wps:wsp>
                      <wps:cNvSpPr/>
                      <wps:spPr>
                        <a:xfrm>
                          <a:off x="0" y="0"/>
                          <a:ext cx="7559675" cy="25400"/>
                        </a:xfrm>
                        <a:prstGeom prst="rect">
                          <a:avLst/>
                        </a:prstGeom>
                        <a:solidFill>
                          <a:srgbClr val="385D89"/>
                        </a:solidFill>
                        <a:ln>
                          <a:noFill/>
                        </a:ln>
                      </wps:spPr>
                      <wps:bodyPr upright="1"/>
                    </wps:wsp>
                  </a:graphicData>
                </a:graphic>
              </wp:anchor>
            </w:drawing>
          </mc:Choice>
          <mc:Fallback>
            <w:pict>
              <v:rect id="矩形 8" o:spid="_x0000_s1026" o:spt="1" style="position:absolute;left:0pt;margin-left:0pt;margin-top:330.8pt;height:2pt;width:595.25pt;mso-position-horizontal-relative:page;mso-position-vertical-relative:page;z-index:251667456;mso-width-relative:page;mso-height-relative:page;" fillcolor="#385D89" filled="t" stroked="f" coordsize="21600,21600" o:gfxdata="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">
                <v:fill on="t" focussize="0,0"/>
                <v:stroke on="f"/>
                <v:imagedata o:title=""/>
                <o:lock v:ext="edit" aspectratio="f"/>
              </v:rect>
            </w:pict>
          </mc:Fallback>
        </mc:AlternateContent>
      </w:r>
      <w:r>
        <mc:AlternateContent>
          <mc:Choice Requires="wps">
            <w:drawing>
              <wp:anchor distT="0" distB="0" distL="114300" distR="114300" simplePos="0" relativeHeight="251668480" behindDoc="0" locked="0" layoutInCell="1" allowOverlap="1">
                <wp:simplePos x="0" y="0"/>
                <wp:positionH relativeFrom="page">
                  <wp:posOffset>0</wp:posOffset>
                </wp:positionH>
                <wp:positionV relativeFrom="page">
                  <wp:posOffset>6113780</wp:posOffset>
                </wp:positionV>
                <wp:extent cx="7559675" cy="25400"/>
                <wp:effectExtent l="0" t="0" r="14605" b="5080"/>
                <wp:wrapNone/>
                <wp:docPr id="22" name="矩形 9"/>
                <wp:cNvGraphicFramePr/>
                <a:graphic xmlns:a="http://schemas.openxmlformats.org/drawingml/2006/main">
                  <a:graphicData uri="http://schemas.microsoft.com/office/word/2010/wordprocessingShape">
                    <wps:wsp>
                      <wps:cNvSpPr/>
                      <wps:spPr>
                        <a:xfrm>
                          <a:off x="0" y="0"/>
                          <a:ext cx="7559675" cy="25400"/>
                        </a:xfrm>
                        <a:prstGeom prst="rect">
                          <a:avLst/>
                        </a:prstGeom>
                        <a:solidFill>
                          <a:srgbClr val="385D89"/>
                        </a:solidFill>
                        <a:ln>
                          <a:noFill/>
                        </a:ln>
                      </wps:spPr>
                      <wps:bodyPr upright="1"/>
                    </wps:wsp>
                  </a:graphicData>
                </a:graphic>
              </wp:anchor>
            </w:drawing>
          </mc:Choice>
          <mc:Fallback>
            <w:pict>
              <v:rect id="矩形 9" o:spid="_x0000_s1026" o:spt="1" style="position:absolute;left:0pt;margin-left:0pt;margin-top:481.4pt;height:2pt;width:595.25pt;mso-position-horizontal-relative:page;mso-position-vertical-relative:page;z-index:251668480;mso-width-relative:page;mso-height-relative:page;" fillcolor="#385D89" filled="t" stroked="f" coordsize="21600,21600" o:gfxdata="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">
                <v:fill on="t" focussize="0,0"/>
                <v:stroke on="f"/>
                <v:imagedata o:title=""/>
                <o:lock v:ext="edit" aspectratio="f"/>
              </v:rect>
            </w:pict>
          </mc:Fallback>
        </mc:AlternateContent>
      </w:r>
    </w:p>
    <w:p w14:paraId="26426E1A">
      <w:pPr>
        <w:pStyle w:val="4"/>
        <w:rPr>
          <w:rFonts w:ascii="Times New Roman"/>
          <w:sz w:val="20"/>
        </w:rPr>
      </w:pPr>
    </w:p>
    <w:p w14:paraId="7A827E3B">
      <w:pPr>
        <w:pStyle w:val="4"/>
        <w:rPr>
          <w:rFonts w:ascii="Times New Roman"/>
          <w:sz w:val="20"/>
        </w:rPr>
      </w:pPr>
    </w:p>
    <w:p w14:paraId="0C25A42D">
      <w:pPr>
        <w:pStyle w:val="4"/>
        <w:rPr>
          <w:rFonts w:ascii="Times New Roman"/>
          <w:sz w:val="20"/>
        </w:rPr>
      </w:pPr>
    </w:p>
    <w:p w14:paraId="585B7148">
      <w:pPr>
        <w:pStyle w:val="4"/>
        <w:rPr>
          <w:rFonts w:ascii="Times New Roman"/>
          <w:sz w:val="20"/>
        </w:rPr>
      </w:pPr>
    </w:p>
    <w:p w14:paraId="6F67DFEE">
      <w:pPr>
        <w:pStyle w:val="4"/>
        <w:rPr>
          <w:rFonts w:ascii="Times New Roman"/>
          <w:sz w:val="20"/>
        </w:rPr>
      </w:pPr>
    </w:p>
    <w:p w14:paraId="59815C47">
      <w:pPr>
        <w:pStyle w:val="4"/>
        <w:rPr>
          <w:rFonts w:ascii="Times New Roman"/>
          <w:sz w:val="20"/>
        </w:rPr>
      </w:pPr>
    </w:p>
    <w:p w14:paraId="6DD9DAF0">
      <w:pPr>
        <w:pStyle w:val="4"/>
        <w:rPr>
          <w:rFonts w:ascii="Times New Roman"/>
          <w:sz w:val="20"/>
        </w:rPr>
      </w:pPr>
    </w:p>
    <w:p w14:paraId="788771D5">
      <w:pPr>
        <w:pStyle w:val="4"/>
        <w:rPr>
          <w:rFonts w:ascii="Times New Roman"/>
          <w:sz w:val="20"/>
        </w:rPr>
      </w:pPr>
    </w:p>
    <w:p w14:paraId="624F5F0C">
      <w:pPr>
        <w:pStyle w:val="4"/>
        <w:rPr>
          <w:rFonts w:ascii="Times New Roman"/>
          <w:sz w:val="20"/>
        </w:rPr>
      </w:pPr>
    </w:p>
    <w:p w14:paraId="25BE9135">
      <w:pPr>
        <w:pStyle w:val="4"/>
        <w:rPr>
          <w:rFonts w:ascii="Times New Roman"/>
          <w:sz w:val="20"/>
        </w:rPr>
      </w:pPr>
    </w:p>
    <w:p w14:paraId="5962B321">
      <w:pPr>
        <w:pStyle w:val="4"/>
        <w:rPr>
          <w:rFonts w:ascii="Times New Roman"/>
          <w:sz w:val="20"/>
        </w:rPr>
      </w:pPr>
    </w:p>
    <w:p w14:paraId="7796E67B">
      <w:pPr>
        <w:pStyle w:val="4"/>
        <w:rPr>
          <w:rFonts w:ascii="Times New Roman"/>
          <w:sz w:val="20"/>
        </w:rPr>
      </w:pPr>
    </w:p>
    <w:p w14:paraId="14491F06">
      <w:pPr>
        <w:pStyle w:val="4"/>
        <w:rPr>
          <w:rFonts w:ascii="Times New Roman"/>
          <w:sz w:val="20"/>
        </w:rPr>
      </w:pPr>
    </w:p>
    <w:p w14:paraId="14E5D8CF">
      <w:pPr>
        <w:pStyle w:val="4"/>
        <w:rPr>
          <w:rFonts w:ascii="Times New Roman"/>
          <w:sz w:val="20"/>
        </w:rPr>
      </w:pPr>
    </w:p>
    <w:p w14:paraId="214E4FE3">
      <w:pPr>
        <w:pStyle w:val="4"/>
        <w:rPr>
          <w:rFonts w:ascii="Times New Roman"/>
          <w:sz w:val="20"/>
        </w:rPr>
      </w:pPr>
    </w:p>
    <w:p w14:paraId="5EF0A19B">
      <w:pPr>
        <w:pStyle w:val="4"/>
        <w:rPr>
          <w:rFonts w:ascii="Times New Roman"/>
          <w:sz w:val="20"/>
        </w:rPr>
      </w:pPr>
    </w:p>
    <w:p w14:paraId="7D8A4F8E">
      <w:pPr>
        <w:pStyle w:val="4"/>
        <w:rPr>
          <w:rFonts w:ascii="Times New Roman"/>
          <w:sz w:val="20"/>
        </w:rPr>
      </w:pPr>
    </w:p>
    <w:p w14:paraId="1BF15CE9">
      <w:pPr>
        <w:pStyle w:val="4"/>
        <w:rPr>
          <w:rFonts w:ascii="Times New Roman"/>
          <w:sz w:val="20"/>
        </w:rPr>
      </w:pPr>
    </w:p>
    <w:p w14:paraId="72D4AE81">
      <w:pPr>
        <w:pStyle w:val="4"/>
        <w:rPr>
          <w:rFonts w:ascii="Times New Roman"/>
          <w:sz w:val="20"/>
        </w:rPr>
      </w:pPr>
    </w:p>
    <w:p w14:paraId="1A61F573">
      <w:pPr>
        <w:pStyle w:val="4"/>
        <w:rPr>
          <w:rFonts w:ascii="Times New Roman"/>
          <w:sz w:val="20"/>
        </w:rPr>
      </w:pPr>
    </w:p>
    <w:p w14:paraId="2A8208BE">
      <w:pPr>
        <w:pStyle w:val="4"/>
        <w:spacing w:before="9" w:after="1"/>
        <w:rPr>
          <w:rFonts w:ascii="Times New Roman"/>
          <w:sz w:val="19"/>
        </w:rPr>
      </w:pPr>
    </w:p>
    <w:p w14:paraId="41902E49">
      <w:pPr>
        <w:pStyle w:val="4"/>
        <w:ind w:right="-58"/>
        <w:rPr>
          <w:rFonts w:ascii="Times New Roman"/>
          <w:sz w:val="20"/>
        </w:rPr>
      </w:pPr>
      <w:r>
        <w:rPr>
          <w:rFonts w:ascii="Times New Roman"/>
          <w:sz w:val="20"/>
        </w:rPr>
        <mc:AlternateContent>
          <mc:Choice Requires="wps">
            <w:drawing>
              <wp:inline distT="0" distB="0" distL="114300" distR="114300">
                <wp:extent cx="7560310" cy="1887220"/>
                <wp:effectExtent l="0" t="0" r="13970" b="2540"/>
                <wp:docPr id="3" name="文本框 17"/>
                <wp:cNvGraphicFramePr/>
                <a:graphic xmlns:a="http://schemas.openxmlformats.org/drawingml/2006/main">
                  <a:graphicData uri="http://schemas.microsoft.com/office/word/2010/wordprocessingShape">
                    <wps:wsp>
                      <wps:cNvSpPr txBox="1"/>
                      <wps:spPr>
                        <a:xfrm>
                          <a:off x="0" y="0"/>
                          <a:ext cx="7560310" cy="1887220"/>
                        </a:xfrm>
                        <a:prstGeom prst="rect">
                          <a:avLst/>
                        </a:prstGeom>
                        <a:solidFill>
                          <a:srgbClr val="94B3D6"/>
                        </a:solidFill>
                        <a:ln>
                          <a:noFill/>
                        </a:ln>
                      </wps:spPr>
                      <wps:txbx>
                        <w:txbxContent>
                          <w:p w14:paraId="7F0ECC26">
                            <w:pPr>
                              <w:tabs>
                                <w:tab w:val="left" w:pos="2378"/>
                              </w:tabs>
                              <w:spacing w:before="21" w:line="947" w:lineRule="exact"/>
                              <w:ind w:left="31"/>
                              <w:jc w:val="center"/>
                              <w:rPr>
                                <w:rFonts w:hint="eastAsia" w:ascii="Microsoft JhengHei" w:eastAsia="Microsoft JhengHei"/>
                                <w:b/>
                                <w:sz w:val="52"/>
                              </w:rPr>
                            </w:pPr>
                          </w:p>
                          <w:p w14:paraId="416EAED5">
                            <w:pPr>
                              <w:tabs>
                                <w:tab w:val="left" w:pos="2378"/>
                              </w:tabs>
                              <w:spacing w:before="21" w:line="947" w:lineRule="exact"/>
                              <w:ind w:left="31"/>
                              <w:jc w:val="center"/>
                              <w:rPr>
                                <w:rFonts w:ascii="Microsoft JhengHei" w:eastAsia="Microsoft JhengHei"/>
                                <w:b/>
                                <w:sz w:val="52"/>
                              </w:rPr>
                            </w:pPr>
                            <w:r>
                              <w:rPr>
                                <w:rFonts w:hint="eastAsia" w:ascii="Microsoft JhengHei" w:eastAsia="Microsoft JhengHei"/>
                                <w:b/>
                                <w:sz w:val="52"/>
                              </w:rPr>
                              <w:t>第三部分</w:t>
                            </w:r>
                            <w:r>
                              <w:rPr>
                                <w:rFonts w:ascii="Times New Roman" w:eastAsia="Times New Roman"/>
                                <w:b/>
                                <w:sz w:val="52"/>
                              </w:rPr>
                              <w:t>202</w:t>
                            </w:r>
                            <w:r>
                              <w:rPr>
                                <w:rFonts w:hint="eastAsia" w:ascii="Times New Roman" w:eastAsia="宋体"/>
                                <w:b/>
                                <w:sz w:val="52"/>
                                <w:lang w:val="en-US" w:eastAsia="zh-CN"/>
                              </w:rPr>
                              <w:t>4</w:t>
                            </w:r>
                            <w:r>
                              <w:rPr>
                                <w:rFonts w:hint="eastAsia" w:ascii="Microsoft JhengHei" w:eastAsia="Microsoft JhengHei"/>
                                <w:b/>
                                <w:sz w:val="52"/>
                              </w:rPr>
                              <w:t>年度部门决算情况说明</w:t>
                            </w:r>
                          </w:p>
                        </w:txbxContent>
                      </wps:txbx>
                      <wps:bodyPr lIns="0" tIns="0" rIns="0" bIns="0" upright="1"/>
                    </wps:wsp>
                  </a:graphicData>
                </a:graphic>
              </wp:inline>
            </w:drawing>
          </mc:Choice>
          <mc:Fallback>
            <w:pict>
              <v:shape id="文本框 17" o:spid="_x0000_s1026" o:spt="202" type="#_x0000_t202" style="height:148.6pt;width:595.3pt;" fillcolor="#94B3D6" filled="t" stroked="f" coordsize="21600,21600" o:gfxdata="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">
                <v:fill on="t" focussize="0,0"/>
                <v:stroke on="f"/>
                <v:imagedata o:title=""/>
                <o:lock v:ext="edit" aspectratio="f"/>
                <v:textbox inset="0mm,0mm,0mm,0mm">
                  <w:txbxContent>
                    <w:p w14:paraId="7F0ECC26">
                      <w:pPr>
                        <w:tabs>
                          <w:tab w:val="left" w:pos="2378"/>
                        </w:tabs>
                        <w:spacing w:before="21" w:line="947" w:lineRule="exact"/>
                        <w:ind w:left="31"/>
                        <w:jc w:val="center"/>
                        <w:rPr>
                          <w:rFonts w:hint="eastAsia" w:ascii="Microsoft JhengHei" w:eastAsia="Microsoft JhengHei"/>
                          <w:b/>
                          <w:sz w:val="52"/>
                        </w:rPr>
                      </w:pPr>
                    </w:p>
                    <w:p w14:paraId="416EAED5">
                      <w:pPr>
                        <w:tabs>
                          <w:tab w:val="left" w:pos="2378"/>
                        </w:tabs>
                        <w:spacing w:before="21" w:line="947" w:lineRule="exact"/>
                        <w:ind w:left="31"/>
                        <w:jc w:val="center"/>
                        <w:rPr>
                          <w:rFonts w:ascii="Microsoft JhengHei" w:eastAsia="Microsoft JhengHei"/>
                          <w:b/>
                          <w:sz w:val="52"/>
                        </w:rPr>
                      </w:pPr>
                      <w:r>
                        <w:rPr>
                          <w:rFonts w:hint="eastAsia" w:ascii="Microsoft JhengHei" w:eastAsia="Microsoft JhengHei"/>
                          <w:b/>
                          <w:sz w:val="52"/>
                        </w:rPr>
                        <w:t>第三部分</w:t>
                      </w:r>
                      <w:r>
                        <w:rPr>
                          <w:rFonts w:ascii="Times New Roman" w:eastAsia="Times New Roman"/>
                          <w:b/>
                          <w:sz w:val="52"/>
                        </w:rPr>
                        <w:t>202</w:t>
                      </w:r>
                      <w:r>
                        <w:rPr>
                          <w:rFonts w:hint="eastAsia" w:ascii="Times New Roman" w:eastAsia="宋体"/>
                          <w:b/>
                          <w:sz w:val="52"/>
                          <w:lang w:val="en-US" w:eastAsia="zh-CN"/>
                        </w:rPr>
                        <w:t>4</w:t>
                      </w:r>
                      <w:r>
                        <w:rPr>
                          <w:rFonts w:hint="eastAsia" w:ascii="Microsoft JhengHei" w:eastAsia="Microsoft JhengHei"/>
                          <w:b/>
                          <w:sz w:val="52"/>
                        </w:rPr>
                        <w:t>年度部门决算情况说明</w:t>
                      </w:r>
                    </w:p>
                  </w:txbxContent>
                </v:textbox>
                <w10:wrap type="none"/>
                <w10:anchorlock/>
              </v:shape>
            </w:pict>
          </mc:Fallback>
        </mc:AlternateContent>
      </w:r>
    </w:p>
    <w:p w14:paraId="6162A631">
      <w:pPr>
        <w:rPr>
          <w:rFonts w:ascii="Times New Roman"/>
          <w:sz w:val="20"/>
        </w:rPr>
        <w:sectPr>
          <w:pgSz w:w="11910" w:h="16840"/>
          <w:pgMar w:top="1580" w:right="0" w:bottom="1080" w:left="0" w:header="0" w:footer="895" w:gutter="0"/>
          <w:cols w:space="720" w:num="1"/>
        </w:sectPr>
      </w:pPr>
    </w:p>
    <w:p w14:paraId="4D6C1ED2">
      <w:pPr>
        <w:pStyle w:val="4"/>
        <w:spacing w:line="530" w:lineRule="exact"/>
        <w:ind w:left="2440"/>
      </w:pPr>
      <w:r>
        <w:rPr>
          <w:rFonts w:hint="eastAsia" w:ascii="黑体" w:hAnsi="黑体" w:eastAsia="黑体" w:cs="黑体"/>
        </w:rPr>
        <w:t>一、收入支出决算总体情况说明</w:t>
      </w:r>
    </w:p>
    <w:p w14:paraId="10A89B96">
      <w:pPr>
        <w:pStyle w:val="4"/>
        <w:spacing w:line="539" w:lineRule="exact"/>
        <w:ind w:left="2440"/>
        <w:rPr>
          <w:rFonts w:hint="eastAsia" w:ascii="仿宋_GB2312" w:hAnsi="仿宋_GB2312" w:eastAsia="仿宋_GB2312" w:cs="仿宋_GB2312"/>
          <w:spacing w:val="-44"/>
          <w:sz w:val="32"/>
          <w:szCs w:val="32"/>
        </w:rPr>
      </w:pPr>
      <w:r>
        <w:rPr>
          <w:rFonts w:hint="eastAsia" w:ascii="仿宋_GB2312" w:hAnsi="仿宋_GB2312" w:eastAsia="仿宋_GB2312" w:cs="仿宋_GB2312"/>
          <w:sz w:val="32"/>
          <w:szCs w:val="32"/>
          <w:lang w:val="en-US" w:eastAsia="zh-CN"/>
        </w:rPr>
        <w:t>2024年度滦州市消防救援大队</w:t>
      </w:r>
      <w:r>
        <w:rPr>
          <w:rFonts w:hint="eastAsia" w:ascii="仿宋_GB2312" w:hAnsi="仿宋_GB2312" w:eastAsia="仿宋_GB2312" w:cs="仿宋_GB2312"/>
          <w:sz w:val="32"/>
          <w:szCs w:val="32"/>
        </w:rPr>
        <w:t>收、支总计</w:t>
      </w:r>
      <w:r>
        <w:rPr>
          <w:rFonts w:hint="eastAsia" w:ascii="仿宋_GB2312" w:hAnsi="仿宋_GB2312" w:eastAsia="仿宋_GB2312" w:cs="仿宋_GB2312"/>
          <w:sz w:val="32"/>
          <w:szCs w:val="32"/>
          <w:lang w:val="en-US" w:eastAsia="zh-CN"/>
        </w:rPr>
        <w:t>834.34</w:t>
      </w:r>
      <w:r>
        <w:rPr>
          <w:rFonts w:hint="eastAsia" w:ascii="仿宋_GB2312" w:hAnsi="仿宋_GB2312" w:eastAsia="仿宋_GB2312" w:cs="仿宋_GB2312"/>
          <w:sz w:val="32"/>
          <w:szCs w:val="32"/>
        </w:rPr>
        <w:t>万</w:t>
      </w:r>
      <w:r>
        <w:rPr>
          <w:rFonts w:hint="eastAsia" w:ascii="仿宋_GB2312" w:hAnsi="仿宋_GB2312" w:eastAsia="仿宋_GB2312" w:cs="仿宋_GB2312"/>
          <w:spacing w:val="-44"/>
          <w:sz w:val="32"/>
          <w:szCs w:val="32"/>
        </w:rPr>
        <w:t>元，</w:t>
      </w:r>
    </w:p>
    <w:p w14:paraId="2EAD9DD4">
      <w:pPr>
        <w:pStyle w:val="4"/>
        <w:spacing w:line="539" w:lineRule="exact"/>
        <w:ind w:firstLine="1856" w:firstLineChars="800"/>
        <w:rPr>
          <w:rFonts w:hint="eastAsia" w:ascii="仿宋_GB2312" w:hAnsi="仿宋_GB2312" w:eastAsia="仿宋_GB2312" w:cs="仿宋_GB2312"/>
          <w:sz w:val="32"/>
          <w:szCs w:val="32"/>
        </w:rPr>
      </w:pPr>
      <w:r>
        <w:rPr>
          <w:rFonts w:hint="eastAsia" w:ascii="仿宋_GB2312" w:hAnsi="仿宋_GB2312" w:eastAsia="仿宋_GB2312" w:cs="仿宋_GB2312"/>
          <w:spacing w:val="-44"/>
          <w:sz w:val="32"/>
          <w:szCs w:val="32"/>
        </w:rPr>
        <w:t xml:space="preserve">与 </w:t>
      </w:r>
      <w:r>
        <w:rPr>
          <w:rFonts w:hint="eastAsia" w:ascii="仿宋_GB2312" w:hAnsi="仿宋_GB2312" w:eastAsia="仿宋_GB2312" w:cs="仿宋_GB2312"/>
          <w:sz w:val="32"/>
          <w:szCs w:val="32"/>
        </w:rPr>
        <w:t>202</w:t>
      </w:r>
      <w:r>
        <w:rPr>
          <w:rFonts w:hint="eastAsia" w:ascii="仿宋_GB2312" w:hAnsi="仿宋_GB2312" w:eastAsia="仿宋_GB2312" w:cs="仿宋_GB2312"/>
          <w:sz w:val="32"/>
          <w:szCs w:val="32"/>
          <w:lang w:val="en-US" w:eastAsia="zh-CN"/>
        </w:rPr>
        <w:t>3</w:t>
      </w:r>
      <w:r>
        <w:rPr>
          <w:rFonts w:hint="eastAsia" w:ascii="仿宋_GB2312" w:hAnsi="仿宋_GB2312" w:eastAsia="仿宋_GB2312" w:cs="仿宋_GB2312"/>
          <w:spacing w:val="-29"/>
          <w:sz w:val="32"/>
          <w:szCs w:val="32"/>
        </w:rPr>
        <w:t>年度相比，收、支总计</w:t>
      </w:r>
      <w:r>
        <w:rPr>
          <w:rFonts w:hint="eastAsia" w:ascii="仿宋_GB2312" w:hAnsi="仿宋_GB2312" w:eastAsia="仿宋_GB2312" w:cs="仿宋_GB2312"/>
          <w:spacing w:val="-29"/>
          <w:sz w:val="32"/>
          <w:szCs w:val="32"/>
          <w:lang w:val="en-US" w:eastAsia="zh-CN"/>
        </w:rPr>
        <w:t>减少28.2</w:t>
      </w:r>
      <w:r>
        <w:rPr>
          <w:rFonts w:hint="eastAsia" w:ascii="仿宋_GB2312" w:hAnsi="仿宋_GB2312" w:eastAsia="仿宋_GB2312" w:cs="仿宋_GB2312"/>
          <w:spacing w:val="-29"/>
          <w:sz w:val="32"/>
          <w:szCs w:val="32"/>
        </w:rPr>
        <w:t>万元，</w:t>
      </w:r>
      <w:r>
        <w:rPr>
          <w:rFonts w:hint="eastAsia" w:ascii="仿宋_GB2312" w:hAnsi="仿宋_GB2312" w:eastAsia="仿宋_GB2312" w:cs="仿宋_GB2312"/>
          <w:spacing w:val="-29"/>
          <w:sz w:val="32"/>
          <w:szCs w:val="32"/>
          <w:lang w:eastAsia="zh-CN"/>
        </w:rPr>
        <w:t>下降</w:t>
      </w:r>
      <w:r>
        <w:rPr>
          <w:rFonts w:hint="eastAsia" w:ascii="仿宋_GB2312" w:hAnsi="仿宋_GB2312" w:eastAsia="仿宋_GB2312" w:cs="仿宋_GB2312"/>
          <w:spacing w:val="-29"/>
          <w:sz w:val="32"/>
          <w:szCs w:val="32"/>
          <w:lang w:val="en-US" w:eastAsia="zh-CN"/>
        </w:rPr>
        <w:t>3.38</w:t>
      </w:r>
      <w:r>
        <w:rPr>
          <w:rFonts w:hint="eastAsia" w:ascii="仿宋_GB2312" w:hAnsi="仿宋_GB2312" w:eastAsia="仿宋_GB2312" w:cs="仿宋_GB2312"/>
          <w:sz w:val="32"/>
          <w:szCs w:val="32"/>
        </w:rPr>
        <w:t>%，主要</w:t>
      </w:r>
    </w:p>
    <w:p w14:paraId="337BA00B">
      <w:pPr>
        <w:pStyle w:val="4"/>
        <w:spacing w:line="539" w:lineRule="exact"/>
        <w:ind w:firstLine="1920" w:firstLineChars="600"/>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rPr>
        <w:t>是</w:t>
      </w:r>
      <w:r>
        <w:rPr>
          <w:rFonts w:hint="eastAsia" w:ascii="仿宋_GB2312" w:hAnsi="仿宋_GB2312" w:eastAsia="仿宋_GB2312" w:cs="仿宋_GB2312"/>
          <w:sz w:val="32"/>
          <w:szCs w:val="32"/>
          <w:lang w:val="en-US" w:eastAsia="zh-CN"/>
        </w:rPr>
        <w:t>厉行节约压减经费支出</w:t>
      </w:r>
      <w:r>
        <w:rPr>
          <w:rFonts w:hint="eastAsia" w:ascii="仿宋_GB2312" w:hAnsi="仿宋_GB2312" w:eastAsia="仿宋_GB2312" w:cs="仿宋_GB2312"/>
          <w:sz w:val="32"/>
          <w:szCs w:val="32"/>
        </w:rPr>
        <w:t>。</w:t>
      </w:r>
    </w:p>
    <w:p w14:paraId="726036C4">
      <w:pPr>
        <w:spacing w:before="67"/>
        <w:ind w:left="1073"/>
        <w:jc w:val="cente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图 1：收、支决算总计变动情况</w:t>
      </w:r>
    </w:p>
    <w:p w14:paraId="027B4490">
      <w:pPr>
        <w:spacing w:before="53"/>
        <w:ind w:left="1073"/>
        <w:jc w:val="center"/>
        <w:rPr>
          <w:sz w:val="28"/>
        </w:rPr>
      </w:pPr>
      <w:r>
        <w:rPr>
          <w:rFonts w:hint="eastAsia" w:ascii="仿宋_GB2312" w:hAnsi="仿宋_GB2312" w:eastAsia="仿宋_GB2312" w:cs="仿宋_GB2312"/>
          <w:sz w:val="32"/>
          <w:szCs w:val="32"/>
        </w:rPr>
        <w:t>（单位:万元）</w:t>
      </w:r>
    </w:p>
    <w:p w14:paraId="699C4593">
      <w:pPr>
        <w:spacing w:before="53"/>
        <w:ind w:left="1073"/>
        <w:jc w:val="center"/>
        <w:rPr>
          <w:rFonts w:hint="eastAsia" w:eastAsia="Arial Unicode MS"/>
          <w:sz w:val="34"/>
          <w:lang w:eastAsia="zh-CN"/>
        </w:rPr>
      </w:pPr>
      <w:r>
        <w:drawing>
          <wp:inline distT="0" distB="0" distL="114300" distR="114300">
            <wp:extent cx="4795520" cy="2080895"/>
            <wp:effectExtent l="4445" t="4445" r="19685" b="10160"/>
            <wp:docPr id="8" name="图表 1"/>
            <wp:cNvGraphicFramePr/>
            <a:graphic xmlns:a="http://schemas.openxmlformats.org/drawingml/2006/main">
              <a:graphicData uri="http://schemas.openxmlformats.org/drawingml/2006/chart">
                <c:chart xmlns:c="http://schemas.openxmlformats.org/drawingml/2006/chart" xmlns:r="http://schemas.openxmlformats.org/officeDocument/2006/relationships" r:id="rId16"/>
              </a:graphicData>
            </a:graphic>
          </wp:inline>
        </w:drawing>
      </w:r>
    </w:p>
    <w:p w14:paraId="10CB2B4E">
      <w:pPr>
        <w:pStyle w:val="4"/>
        <w:spacing w:line="550" w:lineRule="exact"/>
        <w:ind w:left="2440"/>
      </w:pPr>
      <w:r>
        <w:rPr>
          <w:rFonts w:hint="eastAsia" w:ascii="黑体" w:hAnsi="黑体" w:eastAsia="黑体" w:cs="黑体"/>
        </w:rPr>
        <w:t>二、收入决算情况说明</w:t>
      </w:r>
    </w:p>
    <w:p w14:paraId="7E80B1A6">
      <w:pPr>
        <w:pStyle w:val="4"/>
        <w:spacing w:line="541" w:lineRule="exact"/>
        <w:ind w:left="2440"/>
        <w:rPr>
          <w:rFonts w:hint="eastAsia" w:ascii="仿宋_GB2312" w:hAnsi="仿宋_GB2312" w:eastAsia="仿宋_GB2312" w:cs="仿宋_GB2312"/>
          <w:sz w:val="32"/>
          <w:szCs w:val="32"/>
        </w:rPr>
      </w:pPr>
      <w:r>
        <w:rPr>
          <w:rFonts w:hint="eastAsia" w:ascii="仿宋_GB2312" w:hAnsi="仿宋_GB2312" w:eastAsia="仿宋_GB2312" w:cs="仿宋_GB2312"/>
          <w:spacing w:val="48"/>
          <w:sz w:val="32"/>
          <w:szCs w:val="32"/>
        </w:rPr>
        <w:t>本年收入合计</w:t>
      </w:r>
      <w:r>
        <w:rPr>
          <w:rFonts w:hint="eastAsia" w:ascii="仿宋_GB2312" w:hAnsi="仿宋_GB2312" w:eastAsia="仿宋_GB2312" w:cs="仿宋_GB2312"/>
          <w:sz w:val="32"/>
          <w:szCs w:val="32"/>
          <w:lang w:val="en-US" w:eastAsia="zh-CN"/>
        </w:rPr>
        <w:t>834.34</w:t>
      </w:r>
      <w:r>
        <w:rPr>
          <w:rFonts w:hint="eastAsia" w:ascii="仿宋_GB2312" w:hAnsi="仿宋_GB2312" w:eastAsia="仿宋_GB2312" w:cs="仿宋_GB2312"/>
          <w:spacing w:val="31"/>
          <w:sz w:val="32"/>
          <w:szCs w:val="32"/>
        </w:rPr>
        <w:t>万元，其中： 财政拨款收入</w:t>
      </w:r>
    </w:p>
    <w:p w14:paraId="2DCC0FAB">
      <w:pPr>
        <w:pStyle w:val="4"/>
        <w:spacing w:line="549" w:lineRule="exact"/>
        <w:ind w:left="1800"/>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15.45</w:t>
      </w:r>
      <w:r>
        <w:rPr>
          <w:rFonts w:hint="eastAsia" w:ascii="仿宋_GB2312" w:hAnsi="仿宋_GB2312" w:eastAsia="仿宋_GB2312" w:cs="仿宋_GB2312"/>
          <w:sz w:val="32"/>
          <w:szCs w:val="32"/>
        </w:rPr>
        <w:t xml:space="preserve">万元，占 </w:t>
      </w:r>
      <w:r>
        <w:rPr>
          <w:rFonts w:hint="eastAsia" w:ascii="仿宋_GB2312" w:hAnsi="仿宋_GB2312" w:eastAsia="仿宋_GB2312" w:cs="仿宋_GB2312"/>
          <w:sz w:val="32"/>
          <w:szCs w:val="32"/>
          <w:lang w:val="en-US" w:eastAsia="zh-CN"/>
        </w:rPr>
        <w:t>1.85</w:t>
      </w:r>
      <w:r>
        <w:rPr>
          <w:rFonts w:hint="eastAsia" w:ascii="仿宋_GB2312" w:hAnsi="仿宋_GB2312" w:eastAsia="仿宋_GB2312" w:cs="仿宋_GB2312"/>
          <w:sz w:val="32"/>
          <w:szCs w:val="32"/>
        </w:rPr>
        <w:t>%；其他收入</w:t>
      </w:r>
      <w:r>
        <w:rPr>
          <w:rFonts w:hint="eastAsia" w:ascii="仿宋_GB2312" w:hAnsi="仿宋_GB2312" w:eastAsia="仿宋_GB2312" w:cs="仿宋_GB2312"/>
          <w:sz w:val="32"/>
          <w:szCs w:val="32"/>
          <w:lang w:val="en-US" w:eastAsia="zh-CN"/>
        </w:rPr>
        <w:t>818.89</w:t>
      </w:r>
      <w:r>
        <w:rPr>
          <w:rFonts w:hint="eastAsia" w:ascii="仿宋_GB2312" w:hAnsi="仿宋_GB2312" w:eastAsia="仿宋_GB2312" w:cs="仿宋_GB2312"/>
          <w:sz w:val="32"/>
          <w:szCs w:val="32"/>
        </w:rPr>
        <w:t>万元，占</w:t>
      </w:r>
      <w:r>
        <w:rPr>
          <w:rFonts w:hint="eastAsia" w:ascii="仿宋_GB2312" w:hAnsi="仿宋_GB2312" w:eastAsia="仿宋_GB2312" w:cs="仿宋_GB2312"/>
          <w:sz w:val="32"/>
          <w:szCs w:val="32"/>
          <w:lang w:val="en-US" w:eastAsia="zh-CN"/>
        </w:rPr>
        <w:t>98.15</w:t>
      </w:r>
      <w:r>
        <w:rPr>
          <w:rFonts w:hint="eastAsia" w:ascii="仿宋_GB2312" w:hAnsi="仿宋_GB2312" w:eastAsia="仿宋_GB2312" w:cs="仿宋_GB2312"/>
          <w:sz w:val="32"/>
          <w:szCs w:val="32"/>
        </w:rPr>
        <w:t>%。</w:t>
      </w:r>
    </w:p>
    <w:p w14:paraId="3FE5186C">
      <w:pPr>
        <w:spacing w:before="28"/>
        <w:ind w:left="305"/>
        <w:jc w:val="cente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图 2：收入决算</w:t>
      </w:r>
    </w:p>
    <w:p w14:paraId="50C98F47">
      <w:pPr>
        <w:jc w:val="center"/>
        <w:rPr>
          <w:sz w:val="28"/>
        </w:rPr>
      </w:pPr>
    </w:p>
    <w:p w14:paraId="502B9092">
      <w:pPr>
        <w:jc w:val="center"/>
        <w:rPr>
          <w:rFonts w:hint="eastAsia" w:eastAsia="Arial Unicode MS"/>
          <w:sz w:val="28"/>
          <w:lang w:eastAsia="zh-CN"/>
        </w:rPr>
        <w:sectPr>
          <w:pgSz w:w="11910" w:h="16840"/>
          <w:pgMar w:top="1480" w:right="0" w:bottom="1160" w:left="0" w:header="0" w:footer="895" w:gutter="0"/>
          <w:cols w:space="720" w:num="1"/>
        </w:sectPr>
      </w:pPr>
      <w:r>
        <w:rPr>
          <w:rFonts w:hint="eastAsia"/>
          <w:sz w:val="84"/>
          <w:szCs w:val="84"/>
          <w:lang w:val="en-US" w:eastAsia="zh-CN"/>
        </w:rPr>
        <w:drawing>
          <wp:inline distT="0" distB="0" distL="114300" distR="114300">
            <wp:extent cx="3828415" cy="2607945"/>
            <wp:effectExtent l="4445" t="4445" r="15240" b="54610"/>
            <wp:docPr id="9" name="图表 9" descr="7b0a202020202263686172745265734964223a20223230343736343637220a7d0a"/>
            <wp:cNvGraphicFramePr/>
            <a:graphic xmlns:a="http://schemas.openxmlformats.org/drawingml/2006/main">
              <a:graphicData uri="http://schemas.openxmlformats.org/drawingml/2006/chart">
                <c:chart xmlns:c="http://schemas.openxmlformats.org/drawingml/2006/chart" xmlns:r="http://schemas.openxmlformats.org/officeDocument/2006/relationships" r:id="rId17"/>
              </a:graphicData>
            </a:graphic>
          </wp:inline>
        </w:drawing>
      </w:r>
    </w:p>
    <w:p w14:paraId="2FB91127">
      <w:pPr>
        <w:pStyle w:val="4"/>
        <w:spacing w:line="524" w:lineRule="exact"/>
        <w:ind w:left="2440"/>
      </w:pPr>
      <w:r>
        <w:rPr>
          <w:rFonts w:hint="eastAsia" w:ascii="黑体" w:hAnsi="黑体" w:eastAsia="黑体" w:cs="黑体"/>
        </w:rPr>
        <w:t>三、支出决算情况说明</w:t>
      </w:r>
    </w:p>
    <w:p w14:paraId="7D3E41D8">
      <w:pPr>
        <w:pStyle w:val="4"/>
        <w:keepNext w:val="0"/>
        <w:keepLines w:val="0"/>
        <w:pageBreakBefore w:val="0"/>
        <w:widowControl w:val="0"/>
        <w:kinsoku/>
        <w:wordWrap/>
        <w:overflowPunct/>
        <w:topLinePunct w:val="0"/>
        <w:autoSpaceDE w:val="0"/>
        <w:autoSpaceDN w:val="0"/>
        <w:bidi w:val="0"/>
        <w:adjustRightInd/>
        <w:snapToGrid/>
        <w:spacing w:line="560" w:lineRule="exact"/>
        <w:ind w:left="1803" w:right="1049" w:rightChars="477" w:firstLine="640" w:firstLineChars="200"/>
        <w:jc w:val="left"/>
        <w:textAlignment w:val="auto"/>
        <w:rPr>
          <w:rFonts w:hint="eastAsia" w:ascii="仿宋_GB2312" w:hAnsi="仿宋_GB2312" w:eastAsia="仿宋_GB2312" w:cs="仿宋_GB2312"/>
          <w:spacing w:val="48"/>
          <w:sz w:val="32"/>
          <w:szCs w:val="32"/>
          <w:lang w:val="en-US" w:eastAsia="zh-CN"/>
        </w:rPr>
      </w:pPr>
      <w:r>
        <w:rPr>
          <w:rFonts w:hint="eastAsia" w:ascii="仿宋_GB2312" w:hAnsi="仿宋_GB2312" w:eastAsia="仿宋_GB2312" w:cs="仿宋_GB2312"/>
          <w:sz w:val="32"/>
          <w:szCs w:val="32"/>
          <w:lang w:val="en-US" w:eastAsia="zh-CN"/>
        </w:rPr>
        <w:t>本年</w:t>
      </w:r>
      <w:r>
        <w:rPr>
          <w:rFonts w:hint="eastAsia" w:ascii="仿宋_GB2312" w:hAnsi="仿宋_GB2312" w:eastAsia="仿宋_GB2312" w:cs="仿宋_GB2312"/>
          <w:spacing w:val="48"/>
          <w:sz w:val="32"/>
          <w:szCs w:val="32"/>
          <w:lang w:val="en-US" w:eastAsia="zh-CN"/>
        </w:rPr>
        <w:t>支出合计826.37万元，其中：基本支出4.95万元，占0.6%；项目支出821.42万元，占99.4%。</w:t>
      </w:r>
    </w:p>
    <w:p w14:paraId="6ECBAA65">
      <w:pPr>
        <w:spacing w:before="5" w:after="7"/>
        <w:ind w:left="305"/>
        <w:jc w:val="center"/>
        <w:rPr>
          <w:sz w:val="28"/>
        </w:rPr>
      </w:pPr>
      <w:r>
        <w:rPr>
          <w:rFonts w:hint="eastAsia" w:ascii="仿宋_GB2312" w:hAnsi="仿宋_GB2312" w:eastAsia="仿宋_GB2312" w:cs="仿宋_GB2312"/>
          <w:sz w:val="32"/>
          <w:szCs w:val="32"/>
        </w:rPr>
        <w:t>图 3：支出决算</w:t>
      </w:r>
    </w:p>
    <w:p w14:paraId="4DD76D68">
      <w:pPr>
        <w:pStyle w:val="4"/>
        <w:ind w:left="2084"/>
        <w:jc w:val="both"/>
        <w:rPr>
          <w:rFonts w:hint="eastAsia" w:eastAsia="Arial Unicode MS"/>
          <w:sz w:val="20"/>
          <w:lang w:eastAsia="zh-CN"/>
        </w:rPr>
      </w:pPr>
      <w:r>
        <w:rPr>
          <w:rFonts w:hint="eastAsia"/>
          <w:sz w:val="20"/>
          <w:lang w:val="en-US" w:eastAsia="zh-CN"/>
        </w:rPr>
        <w:t xml:space="preserve">           </w:t>
      </w:r>
      <w:r>
        <w:rPr>
          <w:rFonts w:hint="eastAsia"/>
          <w:sz w:val="84"/>
          <w:szCs w:val="84"/>
          <w:lang w:val="en-US" w:eastAsia="zh-CN"/>
        </w:rPr>
        <w:drawing>
          <wp:inline distT="0" distB="0" distL="114300" distR="114300">
            <wp:extent cx="3876040" cy="2583815"/>
            <wp:effectExtent l="4445" t="4445" r="5715" b="59690"/>
            <wp:docPr id="13" name="图表 13" descr="7b0a202020202263686172745265734964223a20223230343736343637220a7d0a"/>
            <wp:cNvGraphicFramePr/>
            <a:graphic xmlns:a="http://schemas.openxmlformats.org/drawingml/2006/main">
              <a:graphicData uri="http://schemas.openxmlformats.org/drawingml/2006/chart">
                <c:chart xmlns:c="http://schemas.openxmlformats.org/drawingml/2006/chart" xmlns:r="http://schemas.openxmlformats.org/officeDocument/2006/relationships" r:id="rId18"/>
              </a:graphicData>
            </a:graphic>
          </wp:inline>
        </w:drawing>
      </w:r>
      <w:r>
        <w:rPr>
          <w:rFonts w:hint="eastAsia"/>
          <w:sz w:val="20"/>
          <w:lang w:val="en-US" w:eastAsia="zh-CN"/>
        </w:rPr>
        <w:t xml:space="preserve">  </w:t>
      </w:r>
    </w:p>
    <w:p w14:paraId="1AE0D97F">
      <w:pPr>
        <w:pStyle w:val="4"/>
        <w:spacing w:before="20" w:line="549" w:lineRule="exact"/>
        <w:ind w:left="2438"/>
      </w:pPr>
      <w:r>
        <w:rPr>
          <w:rFonts w:hint="eastAsia" w:ascii="黑体" w:hAnsi="黑体" w:eastAsia="黑体" w:cs="黑体"/>
        </w:rPr>
        <w:t>四、财政拨款收入支出决算总体情况说明</w:t>
      </w:r>
    </w:p>
    <w:p w14:paraId="28521B8E">
      <w:pPr>
        <w:pStyle w:val="4"/>
        <w:keepNext w:val="0"/>
        <w:keepLines w:val="0"/>
        <w:pageBreakBefore w:val="0"/>
        <w:widowControl w:val="0"/>
        <w:kinsoku/>
        <w:wordWrap/>
        <w:overflowPunct/>
        <w:topLinePunct w:val="0"/>
        <w:autoSpaceDE w:val="0"/>
        <w:autoSpaceDN w:val="0"/>
        <w:bidi w:val="0"/>
        <w:adjustRightInd/>
        <w:snapToGrid/>
        <w:spacing w:line="560" w:lineRule="exact"/>
        <w:ind w:left="1803" w:right="1049" w:rightChars="477" w:firstLine="640" w:firstLineChars="200"/>
        <w:jc w:val="left"/>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2024年度财政拨款收、支总计15.45万元。与 2023年度相比，财政拨款收、支总计减少2.64万元，减少17.09%， 主要是中央经费减少。</w:t>
      </w:r>
    </w:p>
    <w:p w14:paraId="08290D17">
      <w:pPr>
        <w:spacing w:before="36"/>
        <w:ind w:left="3196"/>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图 4：财政拨款收、支决算总计变动情况</w:t>
      </w:r>
    </w:p>
    <w:p w14:paraId="343B0C70">
      <w:pPr>
        <w:spacing w:before="53"/>
        <w:ind w:left="4879"/>
        <w:rPr>
          <w:sz w:val="28"/>
        </w:rPr>
      </w:pPr>
      <w:r>
        <w:rPr>
          <w:rFonts w:hint="eastAsia" w:ascii="仿宋_GB2312" w:hAnsi="仿宋_GB2312" w:eastAsia="仿宋_GB2312" w:cs="仿宋_GB2312"/>
          <w:sz w:val="32"/>
          <w:szCs w:val="32"/>
        </w:rPr>
        <w:t>（单位：万元）</w:t>
      </w:r>
    </w:p>
    <w:p w14:paraId="256B7D35">
      <w:pPr>
        <w:rPr>
          <w:sz w:val="28"/>
        </w:rPr>
      </w:pPr>
    </w:p>
    <w:p w14:paraId="2EEE98EF">
      <w:pPr>
        <w:jc w:val="center"/>
        <w:rPr>
          <w:sz w:val="28"/>
        </w:rPr>
        <w:sectPr>
          <w:pgSz w:w="11910" w:h="16840"/>
          <w:pgMar w:top="1480" w:right="0" w:bottom="1160" w:left="0" w:header="0" w:footer="895" w:gutter="0"/>
          <w:cols w:space="720" w:num="1"/>
        </w:sectPr>
      </w:pPr>
      <w:r>
        <w:drawing>
          <wp:inline distT="0" distB="0" distL="114300" distR="114300">
            <wp:extent cx="4795520" cy="2080895"/>
            <wp:effectExtent l="4445" t="4445" r="19685" b="10160"/>
            <wp:docPr id="5" name="图表 1"/>
            <wp:cNvGraphicFramePr/>
            <a:graphic xmlns:a="http://schemas.openxmlformats.org/drawingml/2006/main">
              <a:graphicData uri="http://schemas.openxmlformats.org/drawingml/2006/chart">
                <c:chart xmlns:c="http://schemas.openxmlformats.org/drawingml/2006/chart" xmlns:r="http://schemas.openxmlformats.org/officeDocument/2006/relationships" r:id="rId19"/>
              </a:graphicData>
            </a:graphic>
          </wp:inline>
        </w:drawing>
      </w:r>
    </w:p>
    <w:p w14:paraId="0ED36261">
      <w:pPr>
        <w:pStyle w:val="4"/>
        <w:spacing w:line="531" w:lineRule="exact"/>
        <w:ind w:left="2440"/>
      </w:pPr>
      <w:r>
        <w:rPr>
          <w:rFonts w:hint="eastAsia" w:ascii="黑体" w:hAnsi="黑体" w:eastAsia="黑体" w:cs="黑体"/>
        </w:rPr>
        <w:t>五、一般公共预算财政拨款支出决算情况说明</w:t>
      </w:r>
    </w:p>
    <w:p w14:paraId="6F80C531">
      <w:pPr>
        <w:pStyle w:val="3"/>
        <w:spacing w:before="22" w:line="240" w:lineRule="auto"/>
      </w:pPr>
      <w:r>
        <w:rPr>
          <w:rFonts w:hint="eastAsia" w:ascii="华文楷体" w:hAnsi="华文楷体" w:eastAsia="华文楷体" w:cstheme="minorBidi"/>
          <w:b w:val="0"/>
          <w:bCs w:val="0"/>
          <w:kern w:val="2"/>
          <w:sz w:val="32"/>
          <w:szCs w:val="32"/>
          <w:lang w:val="en-US" w:eastAsia="zh-CN" w:bidi="ar-SA"/>
        </w:rPr>
        <w:t>（一）财政拨款支出决算总体情况</w:t>
      </w:r>
    </w:p>
    <w:p w14:paraId="52BF77FC">
      <w:pPr>
        <w:pStyle w:val="4"/>
        <w:keepNext w:val="0"/>
        <w:keepLines w:val="0"/>
        <w:pageBreakBefore w:val="0"/>
        <w:widowControl w:val="0"/>
        <w:kinsoku/>
        <w:wordWrap/>
        <w:overflowPunct/>
        <w:topLinePunct w:val="0"/>
        <w:autoSpaceDE w:val="0"/>
        <w:autoSpaceDN w:val="0"/>
        <w:bidi w:val="0"/>
        <w:adjustRightInd/>
        <w:snapToGrid/>
        <w:spacing w:line="560" w:lineRule="exact"/>
        <w:ind w:left="1803" w:right="1049" w:rightChars="477" w:firstLine="1280" w:firstLineChars="400"/>
        <w:jc w:val="left"/>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2024年度财政拨款支出</w:t>
      </w:r>
      <w:r>
        <w:rPr>
          <w:rFonts w:hint="default" w:ascii="仿宋_GB2312" w:hAnsi="仿宋_GB2312" w:eastAsia="仿宋_GB2312" w:cs="仿宋_GB2312"/>
          <w:sz w:val="32"/>
          <w:szCs w:val="32"/>
          <w:lang w:eastAsia="zh-CN"/>
        </w:rPr>
        <w:t>7.48</w:t>
      </w:r>
      <w:r>
        <w:rPr>
          <w:rFonts w:hint="eastAsia" w:ascii="仿宋_GB2312" w:hAnsi="仿宋_GB2312" w:eastAsia="仿宋_GB2312" w:cs="仿宋_GB2312"/>
          <w:sz w:val="32"/>
          <w:szCs w:val="32"/>
          <w:lang w:val="en-US" w:eastAsia="zh-CN"/>
        </w:rPr>
        <w:t>万元，占本年支出的</w:t>
      </w:r>
      <w:r>
        <w:rPr>
          <w:rFonts w:hint="default" w:ascii="仿宋_GB2312" w:hAnsi="仿宋_GB2312" w:eastAsia="仿宋_GB2312" w:cs="仿宋_GB2312"/>
          <w:sz w:val="32"/>
          <w:szCs w:val="32"/>
          <w:lang w:eastAsia="zh-CN"/>
        </w:rPr>
        <w:t>0.91</w:t>
      </w:r>
      <w:r>
        <w:rPr>
          <w:rFonts w:hint="eastAsia" w:ascii="仿宋_GB2312" w:hAnsi="仿宋_GB2312" w:eastAsia="仿宋_GB2312" w:cs="仿宋_GB2312"/>
          <w:sz w:val="32"/>
          <w:szCs w:val="32"/>
          <w:lang w:val="en-US" w:eastAsia="zh-CN"/>
        </w:rPr>
        <w:t>%。</w:t>
      </w:r>
    </w:p>
    <w:p w14:paraId="5D7F22A8">
      <w:pPr>
        <w:pStyle w:val="4"/>
        <w:keepNext w:val="0"/>
        <w:keepLines w:val="0"/>
        <w:pageBreakBefore w:val="0"/>
        <w:widowControl w:val="0"/>
        <w:kinsoku/>
        <w:wordWrap/>
        <w:overflowPunct/>
        <w:topLinePunct w:val="0"/>
        <w:autoSpaceDE w:val="0"/>
        <w:autoSpaceDN w:val="0"/>
        <w:bidi w:val="0"/>
        <w:adjustRightInd/>
        <w:snapToGrid/>
        <w:spacing w:line="560" w:lineRule="exact"/>
        <w:ind w:left="1803" w:right="1049" w:rightChars="477" w:firstLine="640" w:firstLineChars="200"/>
        <w:jc w:val="left"/>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与2023年度相比，财政拨款支出</w:t>
      </w:r>
      <w:r>
        <w:rPr>
          <w:rFonts w:hint="default" w:ascii="仿宋_GB2312" w:hAnsi="仿宋_GB2312" w:eastAsia="仿宋_GB2312" w:cs="仿宋_GB2312"/>
          <w:sz w:val="32"/>
          <w:szCs w:val="32"/>
          <w:lang w:eastAsia="zh-CN"/>
        </w:rPr>
        <w:t>减少10.61</w:t>
      </w:r>
      <w:r>
        <w:rPr>
          <w:rFonts w:hint="eastAsia" w:ascii="仿宋_GB2312" w:hAnsi="仿宋_GB2312" w:eastAsia="仿宋_GB2312" w:cs="仿宋_GB2312"/>
          <w:sz w:val="32"/>
          <w:szCs w:val="32"/>
          <w:lang w:val="en-US" w:eastAsia="zh-CN"/>
        </w:rPr>
        <w:t>万元，</w:t>
      </w:r>
      <w:r>
        <w:rPr>
          <w:rFonts w:hint="default" w:ascii="仿宋_GB2312" w:hAnsi="仿宋_GB2312" w:eastAsia="仿宋_GB2312" w:cs="仿宋_GB2312"/>
          <w:sz w:val="32"/>
          <w:szCs w:val="32"/>
          <w:lang w:eastAsia="zh-CN"/>
        </w:rPr>
        <w:t>减少</w:t>
      </w:r>
      <w:r>
        <w:rPr>
          <w:rFonts w:hint="eastAsia" w:ascii="仿宋_GB2312" w:hAnsi="仿宋_GB2312" w:eastAsia="仿宋_GB2312" w:cs="仿宋_GB2312"/>
          <w:sz w:val="32"/>
          <w:szCs w:val="32"/>
          <w:lang w:val="en-US" w:eastAsia="zh-CN"/>
        </w:rPr>
        <w:t xml:space="preserve"> </w:t>
      </w:r>
      <w:r>
        <w:rPr>
          <w:rFonts w:hint="default" w:ascii="仿宋_GB2312" w:hAnsi="仿宋_GB2312" w:eastAsia="仿宋_GB2312" w:cs="仿宋_GB2312"/>
          <w:sz w:val="32"/>
          <w:szCs w:val="32"/>
          <w:lang w:eastAsia="zh-CN"/>
        </w:rPr>
        <w:t>141.84</w:t>
      </w:r>
      <w:r>
        <w:rPr>
          <w:rFonts w:hint="eastAsia" w:ascii="仿宋_GB2312" w:hAnsi="仿宋_GB2312" w:eastAsia="仿宋_GB2312" w:cs="仿宋_GB2312"/>
          <w:sz w:val="32"/>
          <w:szCs w:val="32"/>
          <w:lang w:val="en-US" w:eastAsia="zh-CN"/>
        </w:rPr>
        <w:t>%，主要是</w:t>
      </w:r>
      <w:r>
        <w:rPr>
          <w:rFonts w:hint="default" w:ascii="仿宋_GB2312" w:hAnsi="仿宋_GB2312" w:eastAsia="仿宋_GB2312" w:cs="仿宋_GB2312"/>
          <w:sz w:val="32"/>
          <w:szCs w:val="32"/>
          <w:lang w:eastAsia="zh-CN"/>
        </w:rPr>
        <w:t>部分项目未支出</w:t>
      </w:r>
      <w:r>
        <w:rPr>
          <w:rFonts w:hint="eastAsia" w:ascii="仿宋_GB2312" w:hAnsi="仿宋_GB2312" w:eastAsia="仿宋_GB2312" w:cs="仿宋_GB2312"/>
          <w:sz w:val="32"/>
          <w:szCs w:val="32"/>
          <w:lang w:val="en-US" w:eastAsia="zh-CN"/>
        </w:rPr>
        <w:t>。</w:t>
      </w:r>
    </w:p>
    <w:p w14:paraId="6766B3D2">
      <w:pPr>
        <w:spacing w:before="50"/>
        <w:ind w:left="4034"/>
        <w:jc w:val="both"/>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rPr>
        <w:t>图 5：财政拨款支出决算变动情况</w:t>
      </w:r>
      <w:r>
        <w:rPr>
          <w:rFonts w:hint="eastAsia" w:ascii="仿宋_GB2312" w:hAnsi="仿宋_GB2312" w:eastAsia="仿宋_GB2312" w:cs="仿宋_GB2312"/>
          <w:sz w:val="32"/>
          <w:szCs w:val="32"/>
          <w:lang w:val="en-US" w:eastAsia="zh-CN"/>
        </w:rPr>
        <w:t xml:space="preserve">   </w:t>
      </w:r>
    </w:p>
    <w:p w14:paraId="1879278D">
      <w:pPr>
        <w:spacing w:before="50"/>
        <w:ind w:left="4034" w:firstLine="1920" w:firstLineChars="600"/>
        <w:jc w:val="both"/>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 xml:space="preserve"> (</w:t>
      </w:r>
      <w:r>
        <w:rPr>
          <w:sz w:val="28"/>
        </w:rPr>
        <w:t>单位</w:t>
      </w:r>
      <w:r>
        <w:rPr>
          <w:rFonts w:ascii="Times New Roman" w:eastAsia="Times New Roman"/>
          <w:sz w:val="28"/>
        </w:rPr>
        <w:t>:</w:t>
      </w:r>
      <w:r>
        <w:rPr>
          <w:sz w:val="28"/>
        </w:rPr>
        <w:t>万元）</w:t>
      </w:r>
    </w:p>
    <w:p w14:paraId="244A3F27">
      <w:pPr>
        <w:spacing w:before="134"/>
        <w:ind w:left="713"/>
        <w:jc w:val="center"/>
        <w:rPr>
          <w:rFonts w:hint="eastAsia" w:ascii="仿宋_GB2312" w:hAnsi="仿宋_GB2312" w:eastAsia="仿宋_GB2312" w:cs="仿宋_GB2312"/>
          <w:sz w:val="32"/>
          <w:szCs w:val="32"/>
        </w:rPr>
      </w:pPr>
      <w:r>
        <w:rPr>
          <w:sz w:val="28"/>
        </w:rPr>
        <w:t>（单位</w:t>
      </w:r>
      <w:r>
        <w:rPr>
          <w:rFonts w:ascii="Times New Roman" w:eastAsia="Times New Roman"/>
          <w:sz w:val="28"/>
        </w:rPr>
        <w:t>:</w:t>
      </w:r>
      <w:r>
        <w:rPr>
          <w:sz w:val="28"/>
        </w:rPr>
        <w:t>万元）</w:t>
      </w:r>
    </w:p>
    <w:p w14:paraId="4A2E8BFA">
      <w:pPr>
        <w:tabs>
          <w:tab w:val="center" w:pos="6371"/>
          <w:tab w:val="left" w:pos="11220"/>
        </w:tabs>
        <w:spacing w:before="134"/>
        <w:ind w:left="713"/>
        <w:jc w:val="left"/>
        <w:rPr>
          <w:rFonts w:hint="default" w:eastAsia="Arial Unicode MS"/>
          <w:lang w:val="en-US" w:eastAsia="zh-CN"/>
        </w:rPr>
      </w:pPr>
      <w:r>
        <w:rPr>
          <w:rFonts w:hint="eastAsia"/>
          <w:lang w:eastAsia="zh-CN"/>
        </w:rPr>
        <w:tab/>
      </w:r>
      <w:r>
        <w:rPr>
          <w:rFonts w:hint="eastAsia"/>
          <w:lang w:eastAsia="zh-CN"/>
        </w:rPr>
        <w:tab/>
      </w:r>
      <w:r>
        <w:rPr>
          <w:rFonts w:hint="eastAsia"/>
          <w:lang w:val="en-US" w:eastAsia="zh-CN"/>
        </w:rPr>
        <w:t xml:space="preserve"> </w:t>
      </w:r>
    </w:p>
    <w:p w14:paraId="639CF506">
      <w:pPr>
        <w:spacing w:before="134"/>
        <w:ind w:left="713"/>
        <w:jc w:val="both"/>
        <w:rPr>
          <w:sz w:val="28"/>
        </w:rPr>
      </w:pPr>
      <w:r>
        <w:rPr>
          <w:rFonts w:hint="eastAsia"/>
          <w:lang w:val="en-US" w:eastAsia="zh-CN"/>
        </w:rPr>
        <w:t xml:space="preserve">                  </w:t>
      </w:r>
      <w:r>
        <w:drawing>
          <wp:inline distT="0" distB="0" distL="114300" distR="114300">
            <wp:extent cx="4572000" cy="2743200"/>
            <wp:effectExtent l="4445" t="4445" r="14605" b="14605"/>
            <wp:docPr id="10" name="图表 1"/>
            <wp:cNvGraphicFramePr/>
            <a:graphic xmlns:a="http://schemas.openxmlformats.org/drawingml/2006/main">
              <a:graphicData uri="http://schemas.openxmlformats.org/drawingml/2006/chart">
                <c:chart xmlns:c="http://schemas.openxmlformats.org/drawingml/2006/chart" xmlns:r="http://schemas.openxmlformats.org/officeDocument/2006/relationships" r:id="rId20"/>
              </a:graphicData>
            </a:graphic>
          </wp:inline>
        </w:drawing>
      </w:r>
    </w:p>
    <w:p w14:paraId="2652A96D">
      <w:pPr>
        <w:pStyle w:val="3"/>
        <w:spacing w:line="240" w:lineRule="auto"/>
      </w:pPr>
      <w:r>
        <w:rPr>
          <w:rFonts w:hint="eastAsia" w:ascii="华文楷体" w:hAnsi="华文楷体" w:eastAsia="华文楷体" w:cstheme="minorBidi"/>
          <w:b w:val="0"/>
          <w:bCs w:val="0"/>
          <w:kern w:val="2"/>
          <w:sz w:val="32"/>
          <w:szCs w:val="32"/>
          <w:lang w:val="en-US" w:eastAsia="zh-CN" w:bidi="ar-SA"/>
        </w:rPr>
        <w:t>（二）财政拨款支出决算结构情况</w:t>
      </w:r>
    </w:p>
    <w:p w14:paraId="33409135">
      <w:pPr>
        <w:pStyle w:val="4"/>
        <w:keepNext w:val="0"/>
        <w:keepLines w:val="0"/>
        <w:pageBreakBefore w:val="0"/>
        <w:widowControl w:val="0"/>
        <w:kinsoku/>
        <w:wordWrap/>
        <w:overflowPunct/>
        <w:topLinePunct w:val="0"/>
        <w:autoSpaceDE w:val="0"/>
        <w:autoSpaceDN w:val="0"/>
        <w:bidi w:val="0"/>
        <w:adjustRightInd/>
        <w:snapToGrid/>
        <w:spacing w:line="560" w:lineRule="exact"/>
        <w:ind w:left="1803" w:right="1049" w:rightChars="477" w:firstLine="640" w:firstLineChars="200"/>
        <w:jc w:val="left"/>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2024年度财政拨款支出7.48万元，主要用于以下方面：灾害防治及应急管理（类）支出7.48万元，占100%。</w:t>
      </w:r>
    </w:p>
    <w:p w14:paraId="6667C167">
      <w:pPr>
        <w:pStyle w:val="4"/>
        <w:keepNext w:val="0"/>
        <w:keepLines w:val="0"/>
        <w:pageBreakBefore w:val="0"/>
        <w:widowControl w:val="0"/>
        <w:kinsoku/>
        <w:wordWrap/>
        <w:overflowPunct/>
        <w:topLinePunct w:val="0"/>
        <w:autoSpaceDE w:val="0"/>
        <w:autoSpaceDN w:val="0"/>
        <w:bidi w:val="0"/>
        <w:adjustRightInd/>
        <w:snapToGrid/>
        <w:spacing w:line="560" w:lineRule="exact"/>
        <w:ind w:left="1803" w:right="1049" w:rightChars="477" w:firstLine="640" w:firstLineChars="200"/>
        <w:jc w:val="left"/>
        <w:textAlignment w:val="auto"/>
        <w:rPr>
          <w:rFonts w:hint="eastAsia" w:ascii="仿宋_GB2312" w:hAnsi="仿宋_GB2312" w:eastAsia="仿宋_GB2312" w:cs="仿宋_GB2312"/>
          <w:sz w:val="32"/>
          <w:szCs w:val="32"/>
          <w:lang w:val="en-US" w:eastAsia="zh-CN"/>
        </w:rPr>
        <w:sectPr>
          <w:pgSz w:w="11910" w:h="16840"/>
          <w:pgMar w:top="1560" w:right="0" w:bottom="1160" w:left="0" w:header="0" w:footer="895" w:gutter="0"/>
          <w:cols w:space="720" w:num="1"/>
        </w:sectPr>
      </w:pPr>
    </w:p>
    <w:p w14:paraId="0B45D580">
      <w:pPr>
        <w:pStyle w:val="4"/>
        <w:rPr>
          <w:sz w:val="20"/>
        </w:rPr>
      </w:pPr>
    </w:p>
    <w:p w14:paraId="7279DF34">
      <w:pPr>
        <w:pStyle w:val="4"/>
        <w:spacing w:before="16"/>
        <w:rPr>
          <w:sz w:val="14"/>
        </w:rPr>
      </w:pPr>
    </w:p>
    <w:p w14:paraId="565720C0">
      <w:pPr>
        <w:spacing w:before="15"/>
        <w:ind w:left="305"/>
        <w:jc w:val="center"/>
      </w:pPr>
      <w:r>
        <w:rPr>
          <w:rFonts w:hint="eastAsia"/>
          <w:sz w:val="84"/>
          <w:szCs w:val="84"/>
          <w:lang w:val="en-US" w:eastAsia="zh-CN"/>
        </w:rPr>
        <w:drawing>
          <wp:inline distT="0" distB="0" distL="114300" distR="114300">
            <wp:extent cx="4662170" cy="2429510"/>
            <wp:effectExtent l="4445" t="4445" r="19685" b="61595"/>
            <wp:docPr id="16" name="图表 16" descr="7b0a202020202263686172745265734964223a20223230343736343637220a7d0a"/>
            <wp:cNvGraphicFramePr/>
            <a:graphic xmlns:a="http://schemas.openxmlformats.org/drawingml/2006/main">
              <a:graphicData uri="http://schemas.openxmlformats.org/drawingml/2006/chart">
                <c:chart xmlns:c="http://schemas.openxmlformats.org/drawingml/2006/chart" xmlns:r="http://schemas.openxmlformats.org/officeDocument/2006/relationships" r:id="rId21"/>
              </a:graphicData>
            </a:graphic>
          </wp:inline>
        </w:drawing>
      </w:r>
    </w:p>
    <w:p w14:paraId="5A5E132F">
      <w:pPr>
        <w:spacing w:before="15"/>
        <w:ind w:left="305"/>
        <w:jc w:val="center"/>
        <w:rPr>
          <w:sz w:val="28"/>
        </w:rPr>
      </w:pPr>
      <w:r>
        <w:rPr>
          <w:rFonts w:hint="eastAsia" w:ascii="仿宋_GB2312" w:hAnsi="仿宋_GB2312" w:eastAsia="仿宋_GB2312" w:cs="仿宋_GB2312"/>
          <w:sz w:val="32"/>
          <w:szCs w:val="32"/>
        </w:rPr>
        <w:t>图 6：财政拨款支出决算结构</w:t>
      </w:r>
    </w:p>
    <w:p w14:paraId="3A31E98E">
      <w:pPr>
        <w:pStyle w:val="4"/>
        <w:spacing w:before="9"/>
        <w:rPr>
          <w:sz w:val="24"/>
        </w:rPr>
      </w:pPr>
    </w:p>
    <w:p w14:paraId="45B2FAA5">
      <w:pPr>
        <w:pStyle w:val="3"/>
        <w:spacing w:line="585" w:lineRule="exact"/>
      </w:pPr>
      <w:r>
        <w:rPr>
          <w:rFonts w:hint="eastAsia" w:ascii="华文楷体" w:hAnsi="华文楷体" w:eastAsia="华文楷体" w:cstheme="minorBidi"/>
          <w:b w:val="0"/>
          <w:bCs w:val="0"/>
          <w:kern w:val="2"/>
          <w:sz w:val="32"/>
          <w:szCs w:val="32"/>
          <w:lang w:val="en-US" w:eastAsia="zh-CN" w:bidi="ar-SA"/>
        </w:rPr>
        <w:t>（三）财政拨款支出决算具体情况</w:t>
      </w:r>
    </w:p>
    <w:p w14:paraId="7D676F2C">
      <w:pPr>
        <w:pStyle w:val="4"/>
        <w:keepNext w:val="0"/>
        <w:keepLines w:val="0"/>
        <w:pageBreakBefore w:val="0"/>
        <w:widowControl w:val="0"/>
        <w:kinsoku/>
        <w:wordWrap/>
        <w:overflowPunct/>
        <w:topLinePunct w:val="0"/>
        <w:autoSpaceDE w:val="0"/>
        <w:autoSpaceDN w:val="0"/>
        <w:bidi w:val="0"/>
        <w:adjustRightInd/>
        <w:snapToGrid/>
        <w:spacing w:line="560" w:lineRule="exact"/>
        <w:ind w:left="1803" w:right="1049" w:rightChars="477" w:firstLine="640" w:firstLineChars="200"/>
        <w:jc w:val="left"/>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2024年度财政拨款支出年初预算为15.45万元，支出决算为 7.48万元，完成年初预算的48.41%。其中：</w:t>
      </w:r>
    </w:p>
    <w:p w14:paraId="19388CAE">
      <w:pPr>
        <w:pStyle w:val="4"/>
        <w:keepNext w:val="0"/>
        <w:keepLines w:val="0"/>
        <w:pageBreakBefore w:val="0"/>
        <w:widowControl w:val="0"/>
        <w:kinsoku/>
        <w:wordWrap/>
        <w:overflowPunct/>
        <w:topLinePunct w:val="0"/>
        <w:autoSpaceDE w:val="0"/>
        <w:autoSpaceDN w:val="0"/>
        <w:bidi w:val="0"/>
        <w:adjustRightInd/>
        <w:snapToGrid/>
        <w:spacing w:line="560" w:lineRule="exact"/>
        <w:ind w:left="1803" w:right="1049" w:rightChars="477" w:firstLine="640" w:firstLineChars="200"/>
        <w:jc w:val="left"/>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1.灾害防治及应急管理（类）消防事务（款）行政运行（项）。年初预算为4.95万元，支出决算为4.95万元，完成年初预算的 100%。</w:t>
      </w:r>
    </w:p>
    <w:p w14:paraId="4B71DAEE">
      <w:pPr>
        <w:pStyle w:val="4"/>
        <w:keepNext w:val="0"/>
        <w:keepLines w:val="0"/>
        <w:pageBreakBefore w:val="0"/>
        <w:widowControl w:val="0"/>
        <w:kinsoku/>
        <w:wordWrap/>
        <w:overflowPunct/>
        <w:topLinePunct w:val="0"/>
        <w:autoSpaceDE w:val="0"/>
        <w:autoSpaceDN w:val="0"/>
        <w:bidi w:val="0"/>
        <w:adjustRightInd/>
        <w:snapToGrid/>
        <w:spacing w:line="560" w:lineRule="exact"/>
        <w:ind w:left="1803" w:right="1049" w:rightChars="477" w:firstLine="640" w:firstLineChars="200"/>
        <w:jc w:val="left"/>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2.灾害防治及应急管理（类）消防事务（款）消防应急救援</w:t>
      </w:r>
    </w:p>
    <w:p w14:paraId="679D44F7">
      <w:pPr>
        <w:pStyle w:val="4"/>
        <w:keepNext w:val="0"/>
        <w:keepLines w:val="0"/>
        <w:pageBreakBefore w:val="0"/>
        <w:widowControl w:val="0"/>
        <w:kinsoku/>
        <w:wordWrap/>
        <w:overflowPunct/>
        <w:topLinePunct w:val="0"/>
        <w:autoSpaceDE w:val="0"/>
        <w:autoSpaceDN w:val="0"/>
        <w:bidi w:val="0"/>
        <w:adjustRightInd/>
        <w:snapToGrid/>
        <w:spacing w:line="560" w:lineRule="exact"/>
        <w:ind w:left="1915" w:leftChars="725" w:right="1049" w:rightChars="477" w:hanging="320" w:hangingChars="100"/>
        <w:jc w:val="left"/>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（项）。年初预算为10.5万元，支出决算为2.53万元。完成年初预算的24.1%。主要原因部分项目未支出。</w:t>
      </w:r>
    </w:p>
    <w:p w14:paraId="333B9593">
      <w:pPr>
        <w:pStyle w:val="4"/>
        <w:spacing w:line="536" w:lineRule="exact"/>
        <w:ind w:left="2428"/>
      </w:pPr>
      <w:r>
        <w:rPr>
          <w:rFonts w:hint="eastAsia" w:ascii="黑体" w:hAnsi="黑体" w:eastAsia="黑体" w:cs="黑体"/>
        </w:rPr>
        <w:t>六、一般公共预算财政拨款基本支出决算情况说明</w:t>
      </w:r>
    </w:p>
    <w:p w14:paraId="621E695C">
      <w:pPr>
        <w:pStyle w:val="4"/>
        <w:keepNext w:val="0"/>
        <w:keepLines w:val="0"/>
        <w:pageBreakBefore w:val="0"/>
        <w:widowControl w:val="0"/>
        <w:kinsoku/>
        <w:wordWrap/>
        <w:overflowPunct/>
        <w:topLinePunct w:val="0"/>
        <w:autoSpaceDE w:val="0"/>
        <w:autoSpaceDN w:val="0"/>
        <w:bidi w:val="0"/>
        <w:adjustRightInd/>
        <w:snapToGrid/>
        <w:spacing w:line="560" w:lineRule="exact"/>
        <w:ind w:left="1803" w:right="1049" w:rightChars="477" w:firstLine="640" w:firstLineChars="200"/>
        <w:jc w:val="left"/>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2024年度财政拨款基本支出4.95万元，公用经费4.95万元，主要包括办公费、印刷费、咨询费、手续费、水费、电费、邮电</w:t>
      </w:r>
    </w:p>
    <w:p w14:paraId="5FD630DF">
      <w:pPr>
        <w:pStyle w:val="4"/>
        <w:keepNext w:val="0"/>
        <w:keepLines w:val="0"/>
        <w:pageBreakBefore w:val="0"/>
        <w:widowControl w:val="0"/>
        <w:kinsoku/>
        <w:wordWrap/>
        <w:overflowPunct/>
        <w:topLinePunct w:val="0"/>
        <w:autoSpaceDE w:val="0"/>
        <w:autoSpaceDN w:val="0"/>
        <w:bidi w:val="0"/>
        <w:adjustRightInd/>
        <w:snapToGrid/>
        <w:spacing w:line="560" w:lineRule="exact"/>
        <w:ind w:left="1914" w:leftChars="870" w:right="1049" w:rightChars="477" w:firstLine="0" w:firstLineChars="0"/>
        <w:jc w:val="left"/>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费、取暖费、物业管理费、差旅费、维修（护）费、租赁费、会议费、培训费、公务接待费、专用材料费、被装购置费、专用燃料费、劳务费、委托业务费、工会经费、福利费、公务用车运行维护费、其他交通费用、税金及附加费用、其他商品和服务支出、办公设备购置、专用设备购置、大型修缮、信息网络及软件购置更新、物资储备、公务用车购置、其他交通工具购置、无形资产购置、其他资本性支出、其他支出。</w:t>
      </w:r>
    </w:p>
    <w:p w14:paraId="41A7D182">
      <w:pPr>
        <w:pStyle w:val="4"/>
        <w:keepNext w:val="0"/>
        <w:keepLines w:val="0"/>
        <w:pageBreakBefore w:val="0"/>
        <w:widowControl w:val="0"/>
        <w:kinsoku/>
        <w:wordWrap/>
        <w:overflowPunct/>
        <w:topLinePunct w:val="0"/>
        <w:autoSpaceDE w:val="0"/>
        <w:autoSpaceDN w:val="0"/>
        <w:bidi w:val="0"/>
        <w:adjustRightInd/>
        <w:snapToGrid/>
        <w:spacing w:line="560" w:lineRule="atLeast"/>
        <w:ind w:left="2440"/>
        <w:jc w:val="left"/>
        <w:textAlignment w:val="auto"/>
      </w:pPr>
      <w:r>
        <w:rPr>
          <w:rFonts w:hint="eastAsia" w:ascii="黑体" w:hAnsi="黑体" w:eastAsia="黑体" w:cs="黑体"/>
        </w:rPr>
        <w:t>七、财政拨款“三公”经费支出决算情况说明</w:t>
      </w:r>
    </w:p>
    <w:p w14:paraId="76154569">
      <w:pPr>
        <w:pStyle w:val="3"/>
        <w:keepNext w:val="0"/>
        <w:keepLines w:val="0"/>
        <w:pageBreakBefore w:val="0"/>
        <w:widowControl w:val="0"/>
        <w:kinsoku/>
        <w:wordWrap/>
        <w:overflowPunct/>
        <w:topLinePunct w:val="0"/>
        <w:autoSpaceDE w:val="0"/>
        <w:autoSpaceDN w:val="0"/>
        <w:bidi w:val="0"/>
        <w:adjustRightInd/>
        <w:snapToGrid/>
        <w:spacing w:line="560" w:lineRule="atLeast"/>
        <w:jc w:val="left"/>
        <w:textAlignment w:val="auto"/>
      </w:pPr>
      <w:r>
        <w:rPr>
          <w:rFonts w:hint="eastAsia" w:ascii="华文楷体" w:hAnsi="华文楷体" w:eastAsia="华文楷体" w:cstheme="minorBidi"/>
          <w:b w:val="0"/>
          <w:bCs w:val="0"/>
          <w:kern w:val="2"/>
          <w:sz w:val="32"/>
          <w:szCs w:val="32"/>
          <w:lang w:val="en-US" w:eastAsia="zh-CN" w:bidi="ar-SA"/>
        </w:rPr>
        <w:t>（一）“三公”经费财政拨款支出决算总体情况说明</w:t>
      </w:r>
    </w:p>
    <w:p w14:paraId="55C6F3C1">
      <w:pPr>
        <w:pStyle w:val="3"/>
        <w:keepNext w:val="0"/>
        <w:keepLines w:val="0"/>
        <w:pageBreakBefore w:val="0"/>
        <w:widowControl w:val="0"/>
        <w:numPr>
          <w:ilvl w:val="0"/>
          <w:numId w:val="0"/>
        </w:numPr>
        <w:kinsoku/>
        <w:wordWrap/>
        <w:overflowPunct/>
        <w:topLinePunct w:val="0"/>
        <w:autoSpaceDE w:val="0"/>
        <w:autoSpaceDN w:val="0"/>
        <w:bidi w:val="0"/>
        <w:adjustRightInd/>
        <w:snapToGrid/>
        <w:spacing w:line="560" w:lineRule="atLeast"/>
        <w:ind w:firstLine="2560" w:firstLineChars="800"/>
        <w:jc w:val="left"/>
        <w:textAlignment w:val="auto"/>
        <w:rPr>
          <w:rFonts w:hint="eastAsia" w:ascii="仿宋_GB2312" w:hAnsi="仿宋_GB2312" w:eastAsia="仿宋_GB2312" w:cs="仿宋_GB2312"/>
          <w:b w:val="0"/>
          <w:bCs w:val="0"/>
          <w:sz w:val="32"/>
          <w:szCs w:val="32"/>
          <w:lang w:val="en-US" w:eastAsia="zh-CN" w:bidi="zh-CN"/>
        </w:rPr>
      </w:pPr>
      <w:r>
        <w:rPr>
          <w:rFonts w:hint="eastAsia" w:ascii="仿宋_GB2312" w:hAnsi="仿宋_GB2312" w:eastAsia="仿宋_GB2312" w:cs="仿宋_GB2312"/>
          <w:b w:val="0"/>
          <w:bCs w:val="0"/>
          <w:sz w:val="32"/>
          <w:szCs w:val="32"/>
          <w:lang w:val="en-US" w:eastAsia="zh-CN" w:bidi="zh-CN"/>
        </w:rPr>
        <w:t>滦州市消防救援大队不涉及“三公经费”支出。</w:t>
      </w:r>
    </w:p>
    <w:p w14:paraId="1C41C645">
      <w:pPr>
        <w:pStyle w:val="3"/>
        <w:keepNext w:val="0"/>
        <w:keepLines w:val="0"/>
        <w:pageBreakBefore w:val="0"/>
        <w:widowControl w:val="0"/>
        <w:numPr>
          <w:ilvl w:val="0"/>
          <w:numId w:val="1"/>
        </w:numPr>
        <w:kinsoku/>
        <w:wordWrap/>
        <w:overflowPunct/>
        <w:topLinePunct w:val="0"/>
        <w:autoSpaceDE w:val="0"/>
        <w:autoSpaceDN w:val="0"/>
        <w:bidi w:val="0"/>
        <w:adjustRightInd/>
        <w:snapToGrid/>
        <w:spacing w:line="560" w:lineRule="atLeast"/>
        <w:jc w:val="left"/>
        <w:textAlignment w:val="auto"/>
        <w:rPr>
          <w:rFonts w:hint="eastAsia" w:ascii="华文楷体" w:hAnsi="华文楷体" w:eastAsia="华文楷体" w:cstheme="minorBidi"/>
          <w:b w:val="0"/>
          <w:bCs w:val="0"/>
          <w:kern w:val="2"/>
          <w:sz w:val="32"/>
          <w:szCs w:val="32"/>
          <w:lang w:val="en-US" w:eastAsia="zh-CN" w:bidi="ar-SA"/>
        </w:rPr>
      </w:pPr>
      <w:r>
        <w:rPr>
          <w:rFonts w:hint="eastAsia" w:ascii="华文楷体" w:hAnsi="华文楷体" w:eastAsia="华文楷体" w:cstheme="minorBidi"/>
          <w:b w:val="0"/>
          <w:bCs w:val="0"/>
          <w:kern w:val="2"/>
          <w:sz w:val="32"/>
          <w:szCs w:val="32"/>
          <w:lang w:val="en-US" w:eastAsia="zh-CN" w:bidi="ar-SA"/>
        </w:rPr>
        <w:t>“三公”经费财政拨款支出决算具体情况说明</w:t>
      </w:r>
    </w:p>
    <w:p w14:paraId="77AB5BB5">
      <w:pPr>
        <w:pStyle w:val="4"/>
        <w:spacing w:before="94" w:line="549" w:lineRule="exact"/>
        <w:ind w:firstLine="2560" w:firstLineChars="800"/>
        <w:rPr>
          <w:rFonts w:hint="eastAsia" w:ascii="仿宋_GB2312" w:hAnsi="仿宋_GB2312" w:eastAsia="仿宋_GB2312" w:cs="仿宋_GB2312"/>
          <w:b w:val="0"/>
          <w:bCs w:val="0"/>
          <w:sz w:val="32"/>
          <w:szCs w:val="32"/>
          <w:lang w:val="en-US" w:eastAsia="zh-CN" w:bidi="zh-CN"/>
        </w:rPr>
      </w:pPr>
      <w:r>
        <w:rPr>
          <w:rFonts w:hint="eastAsia" w:ascii="仿宋_GB2312" w:hAnsi="仿宋_GB2312" w:eastAsia="仿宋_GB2312" w:cs="仿宋_GB2312"/>
          <w:b w:val="0"/>
          <w:bCs w:val="0"/>
          <w:sz w:val="32"/>
          <w:szCs w:val="32"/>
          <w:lang w:val="en-US" w:eastAsia="zh-CN" w:bidi="zh-CN"/>
        </w:rPr>
        <w:t>滦州市消防救援大队不涉及“三公经费”支出。</w:t>
      </w:r>
    </w:p>
    <w:p w14:paraId="7E5354FE">
      <w:pPr>
        <w:pStyle w:val="4"/>
        <w:keepNext w:val="0"/>
        <w:keepLines w:val="0"/>
        <w:pageBreakBefore w:val="0"/>
        <w:widowControl w:val="0"/>
        <w:kinsoku/>
        <w:wordWrap/>
        <w:overflowPunct/>
        <w:topLinePunct w:val="0"/>
        <w:autoSpaceDE w:val="0"/>
        <w:autoSpaceDN w:val="0"/>
        <w:bidi w:val="0"/>
        <w:adjustRightInd/>
        <w:snapToGrid/>
        <w:spacing w:before="94" w:line="560" w:lineRule="atLeast"/>
        <w:ind w:left="2440"/>
        <w:jc w:val="left"/>
        <w:textAlignment w:val="auto"/>
        <w:rPr>
          <w:rFonts w:hint="eastAsia" w:ascii="黑体" w:hAnsi="黑体" w:eastAsia="黑体" w:cs="黑体"/>
        </w:rPr>
      </w:pPr>
      <w:r>
        <w:rPr>
          <w:rFonts w:hint="eastAsia" w:ascii="黑体" w:hAnsi="黑体" w:eastAsia="黑体" w:cs="黑体"/>
        </w:rPr>
        <w:t>八、机关运行经费支出说明</w:t>
      </w:r>
    </w:p>
    <w:p w14:paraId="2E74EBCA">
      <w:pPr>
        <w:pStyle w:val="4"/>
        <w:keepNext w:val="0"/>
        <w:keepLines w:val="0"/>
        <w:pageBreakBefore w:val="0"/>
        <w:widowControl w:val="0"/>
        <w:kinsoku/>
        <w:wordWrap/>
        <w:overflowPunct/>
        <w:topLinePunct w:val="0"/>
        <w:autoSpaceDE w:val="0"/>
        <w:autoSpaceDN w:val="0"/>
        <w:bidi w:val="0"/>
        <w:adjustRightInd/>
        <w:snapToGrid/>
        <w:spacing w:line="560" w:lineRule="atLeast"/>
        <w:ind w:right="1209" w:firstLine="2560" w:firstLineChars="800"/>
        <w:jc w:val="left"/>
        <w:textAlignment w:val="auto"/>
        <w:rPr>
          <w:rFonts w:hint="eastAsia" w:ascii="仿宋_GB2312" w:hAnsi="仿宋_GB2312" w:eastAsia="仿宋_GB2312" w:cs="仿宋_GB2312"/>
          <w:sz w:val="32"/>
          <w:szCs w:val="32"/>
        </w:rPr>
      </w:pPr>
      <w:r>
        <w:rPr>
          <w:rFonts w:hint="eastAsia" w:ascii="仿宋_GB2312" w:hAnsi="仿宋_GB2312" w:eastAsia="仿宋_GB2312" w:cs="仿宋_GB2312"/>
          <w:lang w:eastAsia="zh-CN"/>
        </w:rPr>
        <w:t>滦州市</w:t>
      </w:r>
      <w:r>
        <w:rPr>
          <w:rFonts w:hint="eastAsia" w:ascii="仿宋_GB2312" w:hAnsi="仿宋_GB2312" w:eastAsia="仿宋_GB2312" w:cs="仿宋_GB2312"/>
        </w:rPr>
        <w:t>消防救援大队 202</w:t>
      </w:r>
      <w:r>
        <w:rPr>
          <w:rFonts w:hint="eastAsia" w:ascii="仿宋_GB2312" w:hAnsi="仿宋_GB2312" w:eastAsia="仿宋_GB2312" w:cs="仿宋_GB2312"/>
          <w:lang w:val="en-US" w:eastAsia="zh-CN"/>
        </w:rPr>
        <w:t>4</w:t>
      </w:r>
      <w:r>
        <w:rPr>
          <w:rFonts w:hint="eastAsia" w:ascii="仿宋_GB2312" w:hAnsi="仿宋_GB2312" w:eastAsia="仿宋_GB2312" w:cs="仿宋_GB2312"/>
        </w:rPr>
        <w:t>年度不涉及机关运行经费支出。</w:t>
      </w:r>
    </w:p>
    <w:p w14:paraId="5B34B6EC">
      <w:pPr>
        <w:pStyle w:val="4"/>
        <w:keepNext w:val="0"/>
        <w:keepLines w:val="0"/>
        <w:pageBreakBefore w:val="0"/>
        <w:widowControl w:val="0"/>
        <w:kinsoku/>
        <w:wordWrap/>
        <w:overflowPunct/>
        <w:topLinePunct w:val="0"/>
        <w:autoSpaceDE w:val="0"/>
        <w:autoSpaceDN w:val="0"/>
        <w:bidi w:val="0"/>
        <w:adjustRightInd/>
        <w:snapToGrid/>
        <w:spacing w:line="560" w:lineRule="atLeast"/>
        <w:ind w:left="2440"/>
        <w:jc w:val="left"/>
        <w:textAlignment w:val="auto"/>
      </w:pPr>
      <w:r>
        <w:rPr>
          <w:rFonts w:hint="eastAsia" w:ascii="黑体" w:hAnsi="黑体" w:eastAsia="黑体" w:cs="黑体"/>
        </w:rPr>
        <w:t>九、政府采购支出说明</w:t>
      </w:r>
    </w:p>
    <w:p w14:paraId="7E724FB8">
      <w:pPr>
        <w:pStyle w:val="4"/>
        <w:keepNext w:val="0"/>
        <w:keepLines w:val="0"/>
        <w:pageBreakBefore w:val="0"/>
        <w:widowControl w:val="0"/>
        <w:kinsoku/>
        <w:wordWrap/>
        <w:overflowPunct/>
        <w:topLinePunct w:val="0"/>
        <w:autoSpaceDE w:val="0"/>
        <w:autoSpaceDN w:val="0"/>
        <w:bidi w:val="0"/>
        <w:adjustRightInd/>
        <w:snapToGrid/>
        <w:spacing w:line="560" w:lineRule="atLeast"/>
        <w:ind w:left="1800" w:right="1284" w:firstLine="640" w:firstLineChars="200"/>
        <w:jc w:val="left"/>
        <w:textAlignment w:val="auto"/>
        <w:rPr>
          <w:rFonts w:hint="eastAsia" w:ascii="仿宋_GB2312" w:hAnsi="仿宋_GB2312" w:eastAsia="仿宋_GB2312" w:cs="仿宋_GB2312"/>
          <w:sz w:val="32"/>
          <w:szCs w:val="32"/>
        </w:rPr>
      </w:pPr>
      <w:r>
        <w:rPr>
          <w:rFonts w:hint="eastAsia" w:ascii="仿宋_GB2312" w:hAnsi="仿宋_GB2312" w:eastAsia="仿宋_GB2312" w:cs="仿宋_GB2312"/>
          <w:lang w:eastAsia="zh-CN"/>
        </w:rPr>
        <w:t>滦州市</w:t>
      </w:r>
      <w:r>
        <w:rPr>
          <w:rFonts w:hint="eastAsia" w:ascii="仿宋_GB2312" w:hAnsi="仿宋_GB2312" w:eastAsia="仿宋_GB2312" w:cs="仿宋_GB2312"/>
        </w:rPr>
        <w:t>消防救援大队</w:t>
      </w:r>
      <w:r>
        <w:rPr>
          <w:rFonts w:hint="eastAsia" w:ascii="仿宋_GB2312" w:hAnsi="仿宋_GB2312" w:eastAsia="仿宋_GB2312" w:cs="仿宋_GB2312"/>
          <w:sz w:val="32"/>
          <w:szCs w:val="32"/>
        </w:rPr>
        <w:t xml:space="preserve"> 202</w:t>
      </w:r>
      <w:r>
        <w:rPr>
          <w:rFonts w:hint="eastAsia" w:ascii="仿宋_GB2312" w:hAnsi="仿宋_GB2312" w:eastAsia="仿宋_GB2312" w:cs="仿宋_GB2312"/>
          <w:sz w:val="32"/>
          <w:szCs w:val="32"/>
          <w:lang w:val="en-US" w:eastAsia="zh-CN"/>
        </w:rPr>
        <w:t>4</w:t>
      </w:r>
      <w:r>
        <w:rPr>
          <w:rFonts w:hint="eastAsia" w:ascii="仿宋_GB2312" w:hAnsi="仿宋_GB2312" w:eastAsia="仿宋_GB2312" w:cs="仿宋_GB2312"/>
        </w:rPr>
        <w:t>年度不涉及政府采购支出。</w:t>
      </w:r>
    </w:p>
    <w:p w14:paraId="4C8C7AE3">
      <w:pPr>
        <w:pStyle w:val="4"/>
        <w:keepNext w:val="0"/>
        <w:keepLines w:val="0"/>
        <w:pageBreakBefore w:val="0"/>
        <w:widowControl w:val="0"/>
        <w:kinsoku/>
        <w:wordWrap/>
        <w:overflowPunct/>
        <w:topLinePunct w:val="0"/>
        <w:autoSpaceDE w:val="0"/>
        <w:autoSpaceDN w:val="0"/>
        <w:bidi w:val="0"/>
        <w:adjustRightInd/>
        <w:snapToGrid/>
        <w:spacing w:line="560" w:lineRule="atLeast"/>
        <w:ind w:left="2440"/>
        <w:jc w:val="left"/>
        <w:textAlignment w:val="auto"/>
      </w:pPr>
      <w:r>
        <w:rPr>
          <w:rFonts w:hint="eastAsia" w:ascii="黑体" w:hAnsi="黑体" w:eastAsia="黑体" w:cs="黑体"/>
        </w:rPr>
        <w:t>十、国有资产占用情况说明</w:t>
      </w:r>
    </w:p>
    <w:p w14:paraId="5EE9CAE7">
      <w:pPr>
        <w:pStyle w:val="4"/>
        <w:keepNext w:val="0"/>
        <w:keepLines w:val="0"/>
        <w:pageBreakBefore w:val="0"/>
        <w:widowControl w:val="0"/>
        <w:kinsoku/>
        <w:wordWrap/>
        <w:overflowPunct/>
        <w:topLinePunct w:val="0"/>
        <w:autoSpaceDE w:val="0"/>
        <w:autoSpaceDN w:val="0"/>
        <w:bidi w:val="0"/>
        <w:adjustRightInd/>
        <w:snapToGrid/>
        <w:spacing w:line="560" w:lineRule="atLeast"/>
        <w:ind w:left="2440"/>
        <w:jc w:val="left"/>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截至 202</w:t>
      </w:r>
      <w:r>
        <w:rPr>
          <w:rFonts w:hint="eastAsia" w:ascii="仿宋_GB2312" w:hAnsi="仿宋_GB2312" w:eastAsia="仿宋_GB2312" w:cs="仿宋_GB2312"/>
          <w:sz w:val="32"/>
          <w:szCs w:val="32"/>
          <w:lang w:val="en-US" w:eastAsia="zh-CN"/>
        </w:rPr>
        <w:t>4</w:t>
      </w:r>
      <w:r>
        <w:rPr>
          <w:rFonts w:hint="eastAsia" w:ascii="仿宋_GB2312" w:hAnsi="仿宋_GB2312" w:eastAsia="仿宋_GB2312" w:cs="仿宋_GB2312"/>
          <w:sz w:val="32"/>
          <w:szCs w:val="32"/>
        </w:rPr>
        <w:t xml:space="preserve"> 年 12 月 31 日，消防救援队伍共有车辆</w:t>
      </w:r>
      <w:r>
        <w:rPr>
          <w:rFonts w:hint="eastAsia" w:ascii="仿宋_GB2312" w:hAnsi="仿宋_GB2312" w:eastAsia="仿宋_GB2312" w:cs="仿宋_GB2312"/>
          <w:sz w:val="32"/>
          <w:szCs w:val="32"/>
          <w:lang w:val="en-US" w:eastAsia="zh-CN"/>
        </w:rPr>
        <w:t>9</w:t>
      </w:r>
      <w:r>
        <w:rPr>
          <w:rFonts w:hint="eastAsia" w:ascii="仿宋_GB2312" w:hAnsi="仿宋_GB2312" w:eastAsia="仿宋_GB2312" w:cs="仿宋_GB2312"/>
          <w:sz w:val="32"/>
          <w:szCs w:val="32"/>
        </w:rPr>
        <w:t>辆，</w:t>
      </w:r>
    </w:p>
    <w:p w14:paraId="023CE22E">
      <w:pPr>
        <w:pStyle w:val="4"/>
        <w:keepNext w:val="0"/>
        <w:keepLines w:val="0"/>
        <w:pageBreakBefore w:val="0"/>
        <w:widowControl w:val="0"/>
        <w:kinsoku/>
        <w:wordWrap/>
        <w:overflowPunct/>
        <w:topLinePunct w:val="0"/>
        <w:autoSpaceDE w:val="0"/>
        <w:autoSpaceDN w:val="0"/>
        <w:bidi w:val="0"/>
        <w:adjustRightInd/>
        <w:snapToGrid/>
        <w:spacing w:line="560" w:lineRule="atLeast"/>
        <w:ind w:left="1800"/>
        <w:jc w:val="left"/>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其中：机要通信用车0辆、应急保障用车</w:t>
      </w:r>
      <w:r>
        <w:rPr>
          <w:rFonts w:hint="eastAsia" w:ascii="仿宋_GB2312" w:hAnsi="仿宋_GB2312" w:eastAsia="仿宋_GB2312" w:cs="仿宋_GB2312"/>
          <w:sz w:val="32"/>
          <w:szCs w:val="32"/>
          <w:lang w:val="en-US" w:eastAsia="zh-CN"/>
        </w:rPr>
        <w:t>0</w:t>
      </w:r>
      <w:r>
        <w:rPr>
          <w:rFonts w:hint="eastAsia" w:ascii="仿宋_GB2312" w:hAnsi="仿宋_GB2312" w:eastAsia="仿宋_GB2312" w:cs="仿宋_GB2312"/>
          <w:sz w:val="32"/>
          <w:szCs w:val="32"/>
        </w:rPr>
        <w:t>辆、执法执勤用车</w:t>
      </w:r>
    </w:p>
    <w:p w14:paraId="27BE84B6">
      <w:pPr>
        <w:pStyle w:val="4"/>
        <w:keepNext w:val="0"/>
        <w:keepLines w:val="0"/>
        <w:pageBreakBefore w:val="0"/>
        <w:widowControl w:val="0"/>
        <w:kinsoku/>
        <w:wordWrap/>
        <w:overflowPunct/>
        <w:topLinePunct w:val="0"/>
        <w:autoSpaceDE w:val="0"/>
        <w:autoSpaceDN w:val="0"/>
        <w:bidi w:val="0"/>
        <w:adjustRightInd/>
        <w:snapToGrid/>
        <w:spacing w:before="1" w:line="560" w:lineRule="atLeast"/>
        <w:ind w:left="1800" w:right="1338"/>
        <w:jc w:val="left"/>
        <w:textAlignment w:val="auto"/>
        <w:rPr>
          <w:highlight w:val="yellow"/>
        </w:rPr>
      </w:pPr>
      <w:r>
        <w:rPr>
          <w:rFonts w:hint="eastAsia" w:ascii="仿宋_GB2312" w:hAnsi="仿宋_GB2312" w:eastAsia="仿宋_GB2312" w:cs="仿宋_GB2312"/>
          <w:sz w:val="32"/>
          <w:szCs w:val="32"/>
          <w:lang w:val="en-US" w:eastAsia="zh-CN"/>
        </w:rPr>
        <w:t>0</w:t>
      </w:r>
      <w:r>
        <w:rPr>
          <w:rFonts w:hint="eastAsia" w:ascii="仿宋_GB2312" w:hAnsi="仿宋_GB2312" w:eastAsia="仿宋_GB2312" w:cs="仿宋_GB2312"/>
          <w:sz w:val="32"/>
          <w:szCs w:val="32"/>
        </w:rPr>
        <w:t>辆、特种专业技术用车</w:t>
      </w:r>
      <w:r>
        <w:rPr>
          <w:rFonts w:hint="eastAsia" w:ascii="仿宋_GB2312" w:hAnsi="仿宋_GB2312" w:eastAsia="仿宋_GB2312" w:cs="仿宋_GB2312"/>
          <w:sz w:val="32"/>
          <w:szCs w:val="32"/>
          <w:lang w:val="en-US" w:eastAsia="zh-CN"/>
        </w:rPr>
        <w:t>9</w:t>
      </w:r>
      <w:r>
        <w:rPr>
          <w:rFonts w:hint="eastAsia" w:ascii="仿宋_GB2312" w:hAnsi="仿宋_GB2312" w:eastAsia="仿宋_GB2312" w:cs="仿宋_GB2312"/>
          <w:sz w:val="32"/>
          <w:szCs w:val="32"/>
        </w:rPr>
        <w:t>辆、其他用车</w:t>
      </w:r>
      <w:r>
        <w:rPr>
          <w:rFonts w:hint="eastAsia" w:ascii="仿宋_GB2312" w:hAnsi="仿宋_GB2312" w:eastAsia="仿宋_GB2312" w:cs="仿宋_GB2312"/>
          <w:sz w:val="32"/>
          <w:szCs w:val="32"/>
          <w:lang w:val="en-US" w:eastAsia="zh-CN"/>
        </w:rPr>
        <w:t>0</w:t>
      </w:r>
      <w:r>
        <w:rPr>
          <w:rFonts w:hint="eastAsia" w:ascii="仿宋_GB2312" w:hAnsi="仿宋_GB2312" w:eastAsia="仿宋_GB2312" w:cs="仿宋_GB2312"/>
          <w:sz w:val="32"/>
          <w:szCs w:val="32"/>
        </w:rPr>
        <w:t>辆</w:t>
      </w:r>
      <w:r>
        <w:rPr>
          <w:rFonts w:hint="eastAsia" w:ascii="仿宋_GB2312" w:hAnsi="仿宋_GB2312" w:eastAsia="仿宋_GB2312" w:cs="仿宋_GB2312"/>
          <w:sz w:val="32"/>
          <w:szCs w:val="32"/>
          <w:highlight w:val="none"/>
        </w:rPr>
        <w:t>。</w:t>
      </w:r>
    </w:p>
    <w:p w14:paraId="2D6AA95B">
      <w:pPr>
        <w:pStyle w:val="4"/>
        <w:spacing w:line="530" w:lineRule="exact"/>
        <w:ind w:left="2440"/>
        <w:rPr>
          <w:rFonts w:hint="eastAsia" w:ascii="黑体" w:hAnsi="黑体" w:eastAsia="黑体" w:cs="黑体"/>
        </w:rPr>
      </w:pPr>
      <w:r>
        <w:rPr>
          <w:rFonts w:hint="eastAsia" w:ascii="黑体" w:hAnsi="黑体" w:eastAsia="黑体" w:cs="黑体"/>
        </w:rPr>
        <w:t>十一、预算绩效情况说明</w:t>
      </w:r>
    </w:p>
    <w:p w14:paraId="31F7A9A8">
      <w:pPr>
        <w:spacing w:line="530" w:lineRule="exact"/>
        <w:sectPr>
          <w:footerReference r:id="rId5" w:type="default"/>
          <w:pgSz w:w="11910" w:h="16840"/>
          <w:pgMar w:top="1500" w:right="0" w:bottom="1160" w:left="0" w:header="0" w:footer="895" w:gutter="0"/>
          <w:cols w:space="720" w:num="1"/>
        </w:sectPr>
      </w:pPr>
    </w:p>
    <w:p w14:paraId="17D293FF">
      <w:pPr>
        <w:spacing w:line="515" w:lineRule="exact"/>
        <w:ind w:left="2440"/>
        <w:rPr>
          <w:rFonts w:ascii="Microsoft JhengHei" w:eastAsia="Microsoft JhengHei"/>
          <w:b/>
          <w:sz w:val="31"/>
        </w:rPr>
      </w:pPr>
      <w:r>
        <w:rPr>
          <w:rFonts w:hint="eastAsia" w:ascii="华文楷体" w:hAnsi="华文楷体" w:eastAsia="华文楷体" w:cstheme="minorBidi"/>
          <w:b w:val="0"/>
          <w:bCs w:val="0"/>
          <w:kern w:val="2"/>
          <w:sz w:val="32"/>
          <w:szCs w:val="32"/>
          <w:lang w:val="en-US" w:eastAsia="zh-CN" w:bidi="ar-SA"/>
        </w:rPr>
        <w:t>（一）预算绩效管理工作开展情况</w:t>
      </w:r>
    </w:p>
    <w:p w14:paraId="514A5FE8">
      <w:pPr>
        <w:pStyle w:val="4"/>
        <w:keepNext w:val="0"/>
        <w:keepLines w:val="0"/>
        <w:pageBreakBefore w:val="0"/>
        <w:widowControl w:val="0"/>
        <w:kinsoku/>
        <w:wordWrap/>
        <w:overflowPunct/>
        <w:topLinePunct w:val="0"/>
        <w:autoSpaceDE w:val="0"/>
        <w:autoSpaceDN w:val="0"/>
        <w:bidi w:val="0"/>
        <w:adjustRightInd/>
        <w:snapToGrid/>
        <w:spacing w:line="560" w:lineRule="atLeast"/>
        <w:ind w:left="2440"/>
        <w:jc w:val="left"/>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根据预算绩效管理要求，支队本级组织对 202</w:t>
      </w:r>
      <w:r>
        <w:rPr>
          <w:rFonts w:hint="eastAsia" w:ascii="仿宋_GB2312" w:hAnsi="仿宋_GB2312" w:eastAsia="仿宋_GB2312" w:cs="仿宋_GB2312"/>
          <w:sz w:val="32"/>
          <w:szCs w:val="32"/>
          <w:lang w:val="en-US" w:eastAsia="zh-CN"/>
        </w:rPr>
        <w:t>4</w:t>
      </w:r>
      <w:r>
        <w:rPr>
          <w:rFonts w:hint="eastAsia" w:ascii="仿宋_GB2312" w:hAnsi="仿宋_GB2312" w:eastAsia="仿宋_GB2312" w:cs="仿宋_GB2312"/>
          <w:sz w:val="32"/>
          <w:szCs w:val="32"/>
        </w:rPr>
        <w:t>年度一般公共</w:t>
      </w:r>
    </w:p>
    <w:p w14:paraId="206EB4A6">
      <w:pPr>
        <w:pStyle w:val="4"/>
        <w:keepNext w:val="0"/>
        <w:keepLines w:val="0"/>
        <w:pageBreakBefore w:val="0"/>
        <w:widowControl w:val="0"/>
        <w:kinsoku/>
        <w:wordWrap/>
        <w:overflowPunct/>
        <w:topLinePunct w:val="0"/>
        <w:autoSpaceDE w:val="0"/>
        <w:autoSpaceDN w:val="0"/>
        <w:bidi w:val="0"/>
        <w:adjustRightInd/>
        <w:snapToGrid/>
        <w:spacing w:line="560" w:lineRule="atLeast"/>
        <w:ind w:firstLine="1920" w:firstLineChars="600"/>
        <w:jc w:val="left"/>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预算项目支出全面开展绩效自评，其中，一级项目 1个，二级</w:t>
      </w:r>
    </w:p>
    <w:p w14:paraId="188C1A1B">
      <w:pPr>
        <w:pStyle w:val="4"/>
        <w:keepNext w:val="0"/>
        <w:keepLines w:val="0"/>
        <w:pageBreakBefore w:val="0"/>
        <w:widowControl w:val="0"/>
        <w:kinsoku/>
        <w:wordWrap/>
        <w:overflowPunct/>
        <w:topLinePunct w:val="0"/>
        <w:autoSpaceDE w:val="0"/>
        <w:autoSpaceDN w:val="0"/>
        <w:bidi w:val="0"/>
        <w:adjustRightInd/>
        <w:snapToGrid/>
        <w:spacing w:line="560" w:lineRule="atLeast"/>
        <w:ind w:firstLine="1920" w:firstLineChars="600"/>
        <w:jc w:val="left"/>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项目 1 个，共涉及资金</w:t>
      </w:r>
      <w:r>
        <w:rPr>
          <w:rFonts w:hint="eastAsia" w:ascii="仿宋_GB2312" w:hAnsi="仿宋_GB2312" w:eastAsia="仿宋_GB2312" w:cs="仿宋_GB2312"/>
          <w:sz w:val="32"/>
          <w:szCs w:val="32"/>
          <w:lang w:val="en-US" w:eastAsia="zh-CN"/>
        </w:rPr>
        <w:t>10.5</w:t>
      </w:r>
      <w:r>
        <w:rPr>
          <w:rFonts w:hint="eastAsia" w:ascii="仿宋_GB2312" w:hAnsi="仿宋_GB2312" w:eastAsia="仿宋_GB2312" w:cs="仿宋_GB2312"/>
          <w:sz w:val="32"/>
          <w:szCs w:val="32"/>
        </w:rPr>
        <w:t>万元。</w:t>
      </w:r>
    </w:p>
    <w:p w14:paraId="11B34F57">
      <w:pPr>
        <w:pStyle w:val="3"/>
        <w:spacing w:line="556" w:lineRule="exact"/>
      </w:pPr>
      <w:r>
        <w:rPr>
          <w:rFonts w:hint="eastAsia" w:ascii="华文楷体" w:hAnsi="华文楷体" w:eastAsia="华文楷体" w:cstheme="minorBidi"/>
          <w:b w:val="0"/>
          <w:bCs w:val="0"/>
          <w:kern w:val="2"/>
          <w:sz w:val="32"/>
          <w:szCs w:val="32"/>
          <w:lang w:val="en-US" w:eastAsia="zh-CN" w:bidi="ar-SA"/>
        </w:rPr>
        <w:t>（二）部门决算中项目绩效自评结果</w:t>
      </w:r>
    </w:p>
    <w:p w14:paraId="2E8939CE">
      <w:pPr>
        <w:pStyle w:val="4"/>
        <w:keepNext w:val="0"/>
        <w:keepLines w:val="0"/>
        <w:pageBreakBefore w:val="0"/>
        <w:widowControl w:val="0"/>
        <w:kinsoku/>
        <w:wordWrap/>
        <w:overflowPunct/>
        <w:topLinePunct w:val="0"/>
        <w:autoSpaceDE w:val="0"/>
        <w:autoSpaceDN w:val="0"/>
        <w:bidi w:val="0"/>
        <w:adjustRightInd/>
        <w:snapToGrid/>
        <w:spacing w:line="560" w:lineRule="atLeast"/>
        <w:ind w:left="2233" w:leftChars="1015" w:right="880" w:rightChars="400" w:firstLine="320" w:firstLineChars="100"/>
        <w:jc w:val="left"/>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本部门在今年部门决算公开中反映伙食补助项目绩效自评</w:t>
      </w:r>
    </w:p>
    <w:p w14:paraId="1ACE5D8C">
      <w:pPr>
        <w:pStyle w:val="4"/>
        <w:keepNext w:val="0"/>
        <w:keepLines w:val="0"/>
        <w:pageBreakBefore w:val="0"/>
        <w:widowControl w:val="0"/>
        <w:kinsoku/>
        <w:wordWrap/>
        <w:overflowPunct/>
        <w:topLinePunct w:val="0"/>
        <w:autoSpaceDE w:val="0"/>
        <w:autoSpaceDN w:val="0"/>
        <w:bidi w:val="0"/>
        <w:adjustRightInd/>
        <w:snapToGrid/>
        <w:spacing w:line="560" w:lineRule="atLeast"/>
        <w:ind w:right="880" w:rightChars="400" w:firstLine="1920" w:firstLineChars="600"/>
        <w:jc w:val="left"/>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果。</w:t>
      </w:r>
    </w:p>
    <w:p w14:paraId="372E2F15">
      <w:pPr>
        <w:pStyle w:val="4"/>
        <w:keepNext w:val="0"/>
        <w:keepLines w:val="0"/>
        <w:pageBreakBefore w:val="0"/>
        <w:widowControl w:val="0"/>
        <w:kinsoku/>
        <w:wordWrap/>
        <w:overflowPunct/>
        <w:topLinePunct w:val="0"/>
        <w:autoSpaceDE w:val="0"/>
        <w:autoSpaceDN w:val="0"/>
        <w:bidi w:val="0"/>
        <w:adjustRightInd/>
        <w:snapToGrid/>
        <w:spacing w:line="560" w:lineRule="atLeast"/>
        <w:ind w:left="1914" w:leftChars="870" w:right="880" w:rightChars="400" w:firstLine="640" w:firstLineChars="200"/>
        <w:jc w:val="left"/>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rPr>
        <w:t xml:space="preserve">伙食补助项目绩效自评综述：根据年初设定的绩效目标，项目自评得分 </w:t>
      </w:r>
      <w:r>
        <w:rPr>
          <w:rFonts w:hint="eastAsia" w:ascii="仿宋_GB2312" w:hAnsi="仿宋_GB2312" w:eastAsia="仿宋_GB2312" w:cs="仿宋_GB2312"/>
          <w:sz w:val="32"/>
          <w:szCs w:val="32"/>
          <w:lang w:val="en-US"/>
        </w:rPr>
        <w:t>90</w:t>
      </w:r>
      <w:r>
        <w:rPr>
          <w:rFonts w:hint="eastAsia" w:ascii="仿宋_GB2312" w:hAnsi="仿宋_GB2312" w:eastAsia="仿宋_GB2312" w:cs="仿宋_GB2312"/>
          <w:sz w:val="32"/>
          <w:szCs w:val="32"/>
        </w:rPr>
        <w:t>分。项目全年预算数为</w:t>
      </w:r>
      <w:r>
        <w:rPr>
          <w:rFonts w:hint="eastAsia" w:ascii="仿宋_GB2312" w:hAnsi="仿宋_GB2312" w:eastAsia="仿宋_GB2312" w:cs="仿宋_GB2312"/>
          <w:sz w:val="32"/>
          <w:szCs w:val="32"/>
          <w:lang w:val="en-US" w:eastAsia="zh-CN"/>
        </w:rPr>
        <w:t>10.5</w:t>
      </w:r>
      <w:r>
        <w:rPr>
          <w:rFonts w:hint="eastAsia" w:ascii="仿宋_GB2312" w:hAnsi="仿宋_GB2312" w:eastAsia="仿宋_GB2312" w:cs="仿宋_GB2312"/>
          <w:sz w:val="32"/>
          <w:szCs w:val="32"/>
        </w:rPr>
        <w:t>万元，执行数为</w:t>
      </w:r>
      <w:r>
        <w:rPr>
          <w:rFonts w:hint="eastAsia" w:ascii="仿宋_GB2312" w:hAnsi="仿宋_GB2312" w:eastAsia="仿宋_GB2312" w:cs="仿宋_GB2312"/>
          <w:sz w:val="32"/>
          <w:szCs w:val="32"/>
          <w:lang w:val="en-US" w:eastAsia="zh-CN"/>
        </w:rPr>
        <w:t>2.53</w:t>
      </w:r>
      <w:r>
        <w:rPr>
          <w:rFonts w:hint="eastAsia" w:ascii="仿宋_GB2312" w:hAnsi="仿宋_GB2312" w:eastAsia="仿宋_GB2312" w:cs="仿宋_GB2312"/>
          <w:sz w:val="32"/>
          <w:szCs w:val="32"/>
        </w:rPr>
        <w:t>万元，完成预算的</w:t>
      </w:r>
      <w:r>
        <w:rPr>
          <w:rFonts w:hint="eastAsia" w:ascii="仿宋_GB2312" w:hAnsi="仿宋_GB2312" w:eastAsia="仿宋_GB2312" w:cs="仿宋_GB2312"/>
          <w:sz w:val="32"/>
          <w:szCs w:val="32"/>
          <w:lang w:val="en-US" w:eastAsia="zh-CN"/>
        </w:rPr>
        <w:t>24.1</w:t>
      </w:r>
      <w:r>
        <w:rPr>
          <w:rFonts w:hint="eastAsia" w:ascii="仿宋_GB2312" w:hAnsi="仿宋_GB2312" w:eastAsia="仿宋_GB2312" w:cs="仿宋_GB2312"/>
          <w:sz w:val="32"/>
          <w:szCs w:val="32"/>
        </w:rPr>
        <w:t>%。项目绩效目标完成情况：科学调剂伙食，保证消防救援指战员营养和体能消耗需要，提升队伍战斗力</w:t>
      </w:r>
      <w:r>
        <w:rPr>
          <w:rFonts w:hint="eastAsia" w:ascii="仿宋_GB2312" w:hAnsi="仿宋_GB2312" w:eastAsia="仿宋_GB2312" w:cs="仿宋_GB2312"/>
          <w:sz w:val="32"/>
          <w:szCs w:val="32"/>
          <w:lang w:eastAsia="zh-CN"/>
        </w:rPr>
        <w:t>。</w:t>
      </w:r>
    </w:p>
    <w:p w14:paraId="1E633704">
      <w:pPr>
        <w:pStyle w:val="4"/>
        <w:keepNext w:val="0"/>
        <w:keepLines w:val="0"/>
        <w:pageBreakBefore w:val="0"/>
        <w:widowControl w:val="0"/>
        <w:kinsoku/>
        <w:wordWrap/>
        <w:overflowPunct/>
        <w:topLinePunct w:val="0"/>
        <w:autoSpaceDE w:val="0"/>
        <w:autoSpaceDN w:val="0"/>
        <w:bidi w:val="0"/>
        <w:adjustRightInd/>
        <w:snapToGrid/>
        <w:spacing w:line="560" w:lineRule="atLeast"/>
        <w:ind w:left="2440" w:right="880" w:rightChars="400" w:firstLine="640" w:firstLineChars="200"/>
        <w:jc w:val="left"/>
        <w:textAlignment w:val="auto"/>
        <w:rPr>
          <w:rFonts w:hint="eastAsia" w:ascii="仿宋_GB2312" w:hAnsi="仿宋_GB2312" w:eastAsia="仿宋_GB2312" w:cs="仿宋_GB2312"/>
          <w:sz w:val="32"/>
          <w:szCs w:val="32"/>
        </w:rPr>
        <w:sectPr>
          <w:pgSz w:w="11910" w:h="16840"/>
          <w:pgMar w:top="1500" w:right="0" w:bottom="1160" w:left="0" w:header="0" w:footer="895" w:gutter="0"/>
          <w:cols w:space="720" w:num="1"/>
        </w:sectPr>
      </w:pPr>
    </w:p>
    <w:p w14:paraId="665CD366">
      <w:pPr>
        <w:pStyle w:val="4"/>
        <w:spacing w:before="1"/>
        <w:rPr>
          <w:rFonts w:ascii="Times New Roman"/>
          <w:sz w:val="4"/>
        </w:rPr>
      </w:pPr>
    </w:p>
    <w:p w14:paraId="67CDF380">
      <w:pPr>
        <w:pStyle w:val="4"/>
        <w:ind w:left="1887"/>
        <w:rPr>
          <w:rFonts w:ascii="Times New Roman"/>
          <w:sz w:val="20"/>
        </w:rPr>
      </w:pPr>
    </w:p>
    <w:p w14:paraId="20A9E547">
      <w:pPr>
        <w:jc w:val="center"/>
        <w:rPr>
          <w:rFonts w:hint="eastAsia" w:ascii="Times New Roman" w:eastAsia="Arial Unicode MS"/>
          <w:sz w:val="20"/>
          <w:lang w:eastAsia="zh-CN"/>
        </w:rPr>
        <w:sectPr>
          <w:pgSz w:w="11910" w:h="16840"/>
          <w:pgMar w:top="1580" w:right="0" w:bottom="1080" w:left="0" w:header="0" w:footer="895" w:gutter="0"/>
          <w:cols w:space="720" w:num="1"/>
        </w:sectPr>
      </w:pPr>
      <w:r>
        <w:drawing>
          <wp:inline distT="0" distB="0" distL="114300" distR="114300">
            <wp:extent cx="5915025" cy="6467475"/>
            <wp:effectExtent l="0" t="0" r="9525" b="9525"/>
            <wp:docPr id="12"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图片 1"/>
                    <pic:cNvPicPr>
                      <a:picLocks noChangeAspect="1"/>
                    </pic:cNvPicPr>
                  </pic:nvPicPr>
                  <pic:blipFill>
                    <a:blip r:embed="rId22"/>
                    <a:stretch>
                      <a:fillRect/>
                    </a:stretch>
                  </pic:blipFill>
                  <pic:spPr>
                    <a:xfrm>
                      <a:off x="0" y="0"/>
                      <a:ext cx="5915025" cy="6467475"/>
                    </a:xfrm>
                    <a:prstGeom prst="rect">
                      <a:avLst/>
                    </a:prstGeom>
                    <a:noFill/>
                    <a:ln>
                      <a:noFill/>
                    </a:ln>
                  </pic:spPr>
                </pic:pic>
              </a:graphicData>
            </a:graphic>
          </wp:inline>
        </w:drawing>
      </w:r>
      <w:bookmarkStart w:id="0" w:name="_GoBack"/>
      <w:bookmarkEnd w:id="0"/>
    </w:p>
    <w:p w14:paraId="2B2E91A5">
      <w:pPr>
        <w:pStyle w:val="4"/>
        <w:rPr>
          <w:rFonts w:ascii="Times New Roman"/>
          <w:sz w:val="20"/>
        </w:rPr>
      </w:pPr>
      <w:r>
        <mc:AlternateContent>
          <mc:Choice Requires="wps">
            <w:drawing>
              <wp:anchor distT="0" distB="0" distL="114300" distR="114300" simplePos="0" relativeHeight="251669504" behindDoc="0" locked="0" layoutInCell="1" allowOverlap="1">
                <wp:simplePos x="0" y="0"/>
                <wp:positionH relativeFrom="page">
                  <wp:posOffset>0</wp:posOffset>
                </wp:positionH>
                <wp:positionV relativeFrom="page">
                  <wp:posOffset>4572000</wp:posOffset>
                </wp:positionV>
                <wp:extent cx="7559675" cy="25400"/>
                <wp:effectExtent l="0" t="0" r="14605" b="5080"/>
                <wp:wrapNone/>
                <wp:docPr id="23" name="矩形 14"/>
                <wp:cNvGraphicFramePr/>
                <a:graphic xmlns:a="http://schemas.openxmlformats.org/drawingml/2006/main">
                  <a:graphicData uri="http://schemas.microsoft.com/office/word/2010/wordprocessingShape">
                    <wps:wsp>
                      <wps:cNvSpPr/>
                      <wps:spPr>
                        <a:xfrm>
                          <a:off x="0" y="0"/>
                          <a:ext cx="7559675" cy="25400"/>
                        </a:xfrm>
                        <a:prstGeom prst="rect">
                          <a:avLst/>
                        </a:prstGeom>
                        <a:solidFill>
                          <a:srgbClr val="385D89"/>
                        </a:solidFill>
                        <a:ln>
                          <a:noFill/>
                        </a:ln>
                      </wps:spPr>
                      <wps:bodyPr upright="1"/>
                    </wps:wsp>
                  </a:graphicData>
                </a:graphic>
              </wp:anchor>
            </w:drawing>
          </mc:Choice>
          <mc:Fallback>
            <w:pict>
              <v:rect id="矩形 14" o:spid="_x0000_s1026" o:spt="1" style="position:absolute;left:0pt;margin-left:0pt;margin-top:360pt;height:2pt;width:595.25pt;mso-position-horizontal-relative:page;mso-position-vertical-relative:page;z-index:251669504;mso-width-relative:page;mso-height-relative:page;" fillcolor="#385D89" filled="t" stroked="f" coordsize="21600,21600" o:gfxdata="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">
                <v:fill on="t" focussize="0,0"/>
                <v:stroke on="f"/>
                <v:imagedata o:title=""/>
                <o:lock v:ext="edit" aspectratio="f"/>
              </v:rect>
            </w:pict>
          </mc:Fallback>
        </mc:AlternateContent>
      </w:r>
      <w:r>
        <mc:AlternateContent>
          <mc:Choice Requires="wps">
            <w:drawing>
              <wp:anchor distT="0" distB="0" distL="114300" distR="114300" simplePos="0" relativeHeight="251670528" behindDoc="0" locked="0" layoutInCell="1" allowOverlap="1">
                <wp:simplePos x="0" y="0"/>
                <wp:positionH relativeFrom="page">
                  <wp:posOffset>0</wp:posOffset>
                </wp:positionH>
                <wp:positionV relativeFrom="page">
                  <wp:posOffset>6484620</wp:posOffset>
                </wp:positionV>
                <wp:extent cx="7559675" cy="25400"/>
                <wp:effectExtent l="0" t="0" r="14605" b="5080"/>
                <wp:wrapNone/>
                <wp:docPr id="24" name="矩形 15"/>
                <wp:cNvGraphicFramePr/>
                <a:graphic xmlns:a="http://schemas.openxmlformats.org/drawingml/2006/main">
                  <a:graphicData uri="http://schemas.microsoft.com/office/word/2010/wordprocessingShape">
                    <wps:wsp>
                      <wps:cNvSpPr/>
                      <wps:spPr>
                        <a:xfrm>
                          <a:off x="0" y="0"/>
                          <a:ext cx="7559675" cy="25400"/>
                        </a:xfrm>
                        <a:prstGeom prst="rect">
                          <a:avLst/>
                        </a:prstGeom>
                        <a:solidFill>
                          <a:srgbClr val="385D89"/>
                        </a:solidFill>
                        <a:ln>
                          <a:noFill/>
                        </a:ln>
                      </wps:spPr>
                      <wps:bodyPr upright="1"/>
                    </wps:wsp>
                  </a:graphicData>
                </a:graphic>
              </wp:anchor>
            </w:drawing>
          </mc:Choice>
          <mc:Fallback>
            <w:pict>
              <v:rect id="矩形 15" o:spid="_x0000_s1026" o:spt="1" style="position:absolute;left:0pt;margin-left:0pt;margin-top:510.6pt;height:2pt;width:595.25pt;mso-position-horizontal-relative:page;mso-position-vertical-relative:page;z-index:251670528;mso-width-relative:page;mso-height-relative:page;" fillcolor="#385D89" filled="t" stroked="f" coordsize="21600,21600" o:gfxdata="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">
                <v:fill on="t" focussize="0,0"/>
                <v:stroke on="f"/>
                <v:imagedata o:title=""/>
                <o:lock v:ext="edit" aspectratio="f"/>
              </v:rect>
            </w:pict>
          </mc:Fallback>
        </mc:AlternateContent>
      </w:r>
    </w:p>
    <w:p w14:paraId="270F5E07">
      <w:pPr>
        <w:pStyle w:val="4"/>
        <w:rPr>
          <w:rFonts w:ascii="Times New Roman"/>
          <w:sz w:val="20"/>
        </w:rPr>
      </w:pPr>
    </w:p>
    <w:p w14:paraId="7BAF2518">
      <w:pPr>
        <w:pStyle w:val="4"/>
        <w:rPr>
          <w:rFonts w:ascii="Times New Roman"/>
          <w:sz w:val="20"/>
        </w:rPr>
      </w:pPr>
    </w:p>
    <w:p w14:paraId="401FD62D">
      <w:pPr>
        <w:pStyle w:val="4"/>
        <w:rPr>
          <w:rFonts w:ascii="Times New Roman"/>
          <w:sz w:val="20"/>
        </w:rPr>
      </w:pPr>
    </w:p>
    <w:p w14:paraId="608F4B03">
      <w:pPr>
        <w:pStyle w:val="4"/>
        <w:rPr>
          <w:rFonts w:ascii="Times New Roman"/>
          <w:sz w:val="20"/>
        </w:rPr>
      </w:pPr>
    </w:p>
    <w:p w14:paraId="0C6EA913">
      <w:pPr>
        <w:pStyle w:val="4"/>
        <w:rPr>
          <w:rFonts w:ascii="Times New Roman"/>
          <w:sz w:val="20"/>
        </w:rPr>
      </w:pPr>
    </w:p>
    <w:p w14:paraId="7AA04B45">
      <w:pPr>
        <w:pStyle w:val="4"/>
        <w:rPr>
          <w:rFonts w:ascii="Times New Roman"/>
          <w:sz w:val="20"/>
        </w:rPr>
      </w:pPr>
    </w:p>
    <w:p w14:paraId="71C0211D">
      <w:pPr>
        <w:pStyle w:val="4"/>
        <w:rPr>
          <w:rFonts w:ascii="Times New Roman"/>
          <w:sz w:val="20"/>
        </w:rPr>
      </w:pPr>
    </w:p>
    <w:p w14:paraId="61FED8D4">
      <w:pPr>
        <w:pStyle w:val="4"/>
        <w:rPr>
          <w:rFonts w:ascii="Times New Roman"/>
          <w:sz w:val="20"/>
        </w:rPr>
      </w:pPr>
    </w:p>
    <w:p w14:paraId="54180600">
      <w:pPr>
        <w:pStyle w:val="4"/>
        <w:rPr>
          <w:rFonts w:ascii="Times New Roman"/>
          <w:sz w:val="20"/>
        </w:rPr>
      </w:pPr>
    </w:p>
    <w:p w14:paraId="1C2C34BE">
      <w:pPr>
        <w:pStyle w:val="4"/>
        <w:rPr>
          <w:rFonts w:ascii="Times New Roman"/>
          <w:sz w:val="20"/>
        </w:rPr>
      </w:pPr>
    </w:p>
    <w:p w14:paraId="0A7CD8B9">
      <w:pPr>
        <w:pStyle w:val="4"/>
        <w:rPr>
          <w:rFonts w:ascii="Times New Roman"/>
          <w:sz w:val="20"/>
        </w:rPr>
      </w:pPr>
    </w:p>
    <w:p w14:paraId="2202323D">
      <w:pPr>
        <w:pStyle w:val="4"/>
        <w:rPr>
          <w:rFonts w:ascii="Times New Roman"/>
          <w:sz w:val="20"/>
        </w:rPr>
      </w:pPr>
    </w:p>
    <w:p w14:paraId="053899C7">
      <w:pPr>
        <w:pStyle w:val="4"/>
        <w:rPr>
          <w:rFonts w:ascii="Times New Roman"/>
          <w:sz w:val="20"/>
        </w:rPr>
      </w:pPr>
    </w:p>
    <w:p w14:paraId="033BF85E">
      <w:pPr>
        <w:pStyle w:val="4"/>
        <w:rPr>
          <w:rFonts w:ascii="Times New Roman"/>
          <w:sz w:val="20"/>
        </w:rPr>
      </w:pPr>
    </w:p>
    <w:p w14:paraId="3C1989E4">
      <w:pPr>
        <w:pStyle w:val="4"/>
        <w:rPr>
          <w:rFonts w:ascii="Times New Roman"/>
          <w:sz w:val="20"/>
        </w:rPr>
      </w:pPr>
    </w:p>
    <w:p w14:paraId="2868B3DF">
      <w:pPr>
        <w:pStyle w:val="4"/>
        <w:rPr>
          <w:rFonts w:ascii="Times New Roman"/>
          <w:sz w:val="20"/>
        </w:rPr>
      </w:pPr>
    </w:p>
    <w:p w14:paraId="70273E20">
      <w:pPr>
        <w:pStyle w:val="4"/>
        <w:rPr>
          <w:rFonts w:ascii="Times New Roman"/>
          <w:sz w:val="20"/>
        </w:rPr>
      </w:pPr>
    </w:p>
    <w:p w14:paraId="165E873B">
      <w:pPr>
        <w:pStyle w:val="4"/>
        <w:rPr>
          <w:rFonts w:ascii="Times New Roman"/>
          <w:sz w:val="20"/>
        </w:rPr>
      </w:pPr>
    </w:p>
    <w:p w14:paraId="086C7D1E">
      <w:pPr>
        <w:pStyle w:val="4"/>
        <w:rPr>
          <w:rFonts w:ascii="Times New Roman"/>
          <w:sz w:val="20"/>
        </w:rPr>
      </w:pPr>
    </w:p>
    <w:p w14:paraId="1C0A895C">
      <w:pPr>
        <w:pStyle w:val="4"/>
        <w:rPr>
          <w:rFonts w:ascii="Times New Roman"/>
          <w:sz w:val="20"/>
        </w:rPr>
      </w:pPr>
    </w:p>
    <w:p w14:paraId="0CA20A77">
      <w:pPr>
        <w:pStyle w:val="4"/>
        <w:rPr>
          <w:rFonts w:ascii="Times New Roman"/>
          <w:sz w:val="20"/>
        </w:rPr>
      </w:pPr>
    </w:p>
    <w:p w14:paraId="09273997">
      <w:pPr>
        <w:pStyle w:val="4"/>
        <w:rPr>
          <w:rFonts w:ascii="Times New Roman"/>
          <w:sz w:val="20"/>
        </w:rPr>
      </w:pPr>
    </w:p>
    <w:p w14:paraId="74BCD99F">
      <w:pPr>
        <w:pStyle w:val="4"/>
        <w:rPr>
          <w:rFonts w:ascii="Times New Roman"/>
          <w:sz w:val="20"/>
        </w:rPr>
      </w:pPr>
    </w:p>
    <w:p w14:paraId="49724383">
      <w:pPr>
        <w:pStyle w:val="4"/>
        <w:spacing w:before="7"/>
        <w:rPr>
          <w:rFonts w:ascii="Times New Roman"/>
          <w:sz w:val="10"/>
        </w:rPr>
      </w:pPr>
    </w:p>
    <w:p w14:paraId="6E75D73B">
      <w:pPr>
        <w:pStyle w:val="4"/>
        <w:ind w:right="-58"/>
        <w:rPr>
          <w:rFonts w:ascii="Times New Roman"/>
          <w:sz w:val="20"/>
        </w:rPr>
      </w:pPr>
      <w:r>
        <w:rPr>
          <w:rFonts w:ascii="Times New Roman"/>
          <w:sz w:val="20"/>
        </w:rPr>
        <mc:AlternateContent>
          <mc:Choice Requires="wps">
            <w:drawing>
              <wp:inline distT="0" distB="0" distL="114300" distR="114300">
                <wp:extent cx="7560310" cy="1887220"/>
                <wp:effectExtent l="0" t="0" r="13970" b="2540"/>
                <wp:docPr id="4" name="文本框 16"/>
                <wp:cNvGraphicFramePr/>
                <a:graphic xmlns:a="http://schemas.openxmlformats.org/drawingml/2006/main">
                  <a:graphicData uri="http://schemas.microsoft.com/office/word/2010/wordprocessingShape">
                    <wps:wsp>
                      <wps:cNvSpPr txBox="1"/>
                      <wps:spPr>
                        <a:xfrm>
                          <a:off x="0" y="0"/>
                          <a:ext cx="7560310" cy="1887220"/>
                        </a:xfrm>
                        <a:prstGeom prst="rect">
                          <a:avLst/>
                        </a:prstGeom>
                        <a:solidFill>
                          <a:srgbClr val="94B3D6"/>
                        </a:solidFill>
                        <a:ln>
                          <a:noFill/>
                        </a:ln>
                      </wps:spPr>
                      <wps:txbx>
                        <w:txbxContent>
                          <w:p w14:paraId="7DE5290D">
                            <w:pPr>
                              <w:tabs>
                                <w:tab w:val="left" w:pos="2383"/>
                              </w:tabs>
                              <w:spacing w:before="361"/>
                              <w:ind w:left="34"/>
                              <w:jc w:val="center"/>
                              <w:rPr>
                                <w:rFonts w:ascii="Microsoft JhengHei" w:eastAsia="Microsoft JhengHei"/>
                                <w:b/>
                                <w:sz w:val="52"/>
                              </w:rPr>
                            </w:pPr>
                            <w:r>
                              <w:rPr>
                                <w:rFonts w:hint="eastAsia" w:ascii="Microsoft JhengHei" w:eastAsia="Microsoft JhengHei"/>
                                <w:b/>
                                <w:sz w:val="52"/>
                              </w:rPr>
                              <w:t>第四部分</w:t>
                            </w:r>
                            <w:r>
                              <w:rPr>
                                <w:rFonts w:hint="eastAsia" w:ascii="Microsoft JhengHei" w:eastAsia="Microsoft JhengHei"/>
                                <w:b/>
                                <w:sz w:val="52"/>
                              </w:rPr>
                              <w:tab/>
                            </w:r>
                            <w:r>
                              <w:rPr>
                                <w:rFonts w:hint="eastAsia" w:ascii="Microsoft JhengHei" w:eastAsia="Microsoft JhengHei"/>
                                <w:b/>
                                <w:sz w:val="52"/>
                              </w:rPr>
                              <w:t>名词解释</w:t>
                            </w:r>
                          </w:p>
                        </w:txbxContent>
                      </wps:txbx>
                      <wps:bodyPr lIns="0" tIns="0" rIns="0" bIns="0" upright="1"/>
                    </wps:wsp>
                  </a:graphicData>
                </a:graphic>
              </wp:inline>
            </w:drawing>
          </mc:Choice>
          <mc:Fallback>
            <w:pict>
              <v:shape id="文本框 16" o:spid="_x0000_s1026" o:spt="202" type="#_x0000_t202" style="height:148.6pt;width:595.3pt;" fillcolor="#94B3D6" filled="t" stroked="f" coordsize="21600,21600" o:gfxdata="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">
                <v:fill on="t" focussize="0,0"/>
                <v:stroke on="f"/>
                <v:imagedata o:title=""/>
                <o:lock v:ext="edit" aspectratio="f"/>
                <v:textbox inset="0mm,0mm,0mm,0mm">
                  <w:txbxContent>
                    <w:p w14:paraId="7DE5290D">
                      <w:pPr>
                        <w:tabs>
                          <w:tab w:val="left" w:pos="2383"/>
                        </w:tabs>
                        <w:spacing w:before="361"/>
                        <w:ind w:left="34"/>
                        <w:jc w:val="center"/>
                        <w:rPr>
                          <w:rFonts w:ascii="Microsoft JhengHei" w:eastAsia="Microsoft JhengHei"/>
                          <w:b/>
                          <w:sz w:val="52"/>
                        </w:rPr>
                      </w:pPr>
                      <w:r>
                        <w:rPr>
                          <w:rFonts w:hint="eastAsia" w:ascii="Microsoft JhengHei" w:eastAsia="Microsoft JhengHei"/>
                          <w:b/>
                          <w:sz w:val="52"/>
                        </w:rPr>
                        <w:t>第四部分</w:t>
                      </w:r>
                      <w:r>
                        <w:rPr>
                          <w:rFonts w:hint="eastAsia" w:ascii="Microsoft JhengHei" w:eastAsia="Microsoft JhengHei"/>
                          <w:b/>
                          <w:sz w:val="52"/>
                        </w:rPr>
                        <w:tab/>
                      </w:r>
                      <w:r>
                        <w:rPr>
                          <w:rFonts w:hint="eastAsia" w:ascii="Microsoft JhengHei" w:eastAsia="Microsoft JhengHei"/>
                          <w:b/>
                          <w:sz w:val="52"/>
                        </w:rPr>
                        <w:t>名词解释</w:t>
                      </w:r>
                    </w:p>
                  </w:txbxContent>
                </v:textbox>
                <w10:wrap type="none"/>
                <w10:anchorlock/>
              </v:shape>
            </w:pict>
          </mc:Fallback>
        </mc:AlternateContent>
      </w:r>
    </w:p>
    <w:p w14:paraId="5BDE7319">
      <w:pPr>
        <w:rPr>
          <w:rFonts w:ascii="Times New Roman"/>
          <w:sz w:val="20"/>
        </w:rPr>
        <w:sectPr>
          <w:pgSz w:w="11910" w:h="16840"/>
          <w:pgMar w:top="1580" w:right="0" w:bottom="1080" w:left="0" w:header="0" w:footer="895" w:gutter="0"/>
          <w:cols w:space="720" w:num="1"/>
        </w:sectPr>
      </w:pPr>
    </w:p>
    <w:p w14:paraId="754A04E3">
      <w:pPr>
        <w:spacing w:line="520" w:lineRule="exact"/>
        <w:ind w:left="2440"/>
        <w:rPr>
          <w:rFonts w:hint="eastAsia" w:ascii="仿宋_GB2312" w:hAnsi="仿宋_GB2312" w:eastAsia="仿宋_GB2312" w:cs="仿宋_GB2312"/>
          <w:sz w:val="32"/>
          <w:szCs w:val="32"/>
        </w:rPr>
      </w:pPr>
      <w:r>
        <w:rPr>
          <w:rFonts w:hint="eastAsia" w:ascii="仿宋_GB2312" w:hAnsi="仿宋_GB2312" w:eastAsia="仿宋_GB2312" w:cs="仿宋_GB2312"/>
          <w:b/>
          <w:sz w:val="32"/>
          <w:szCs w:val="32"/>
        </w:rPr>
        <w:t>（一</w:t>
      </w:r>
      <w:r>
        <w:rPr>
          <w:rFonts w:hint="eastAsia" w:ascii="仿宋_GB2312" w:hAnsi="仿宋_GB2312" w:eastAsia="仿宋_GB2312" w:cs="仿宋_GB2312"/>
          <w:b/>
          <w:spacing w:val="-77"/>
          <w:sz w:val="32"/>
          <w:szCs w:val="32"/>
        </w:rPr>
        <w:t>）</w:t>
      </w:r>
      <w:r>
        <w:rPr>
          <w:rFonts w:hint="eastAsia" w:ascii="仿宋_GB2312" w:hAnsi="仿宋_GB2312" w:eastAsia="仿宋_GB2312" w:cs="仿宋_GB2312"/>
          <w:b/>
          <w:spacing w:val="-6"/>
          <w:sz w:val="32"/>
          <w:szCs w:val="32"/>
        </w:rPr>
        <w:t>一般公共预算财政拨款收入：</w:t>
      </w:r>
      <w:r>
        <w:rPr>
          <w:rFonts w:hint="eastAsia" w:ascii="仿宋_GB2312" w:hAnsi="仿宋_GB2312" w:eastAsia="仿宋_GB2312" w:cs="仿宋_GB2312"/>
          <w:sz w:val="32"/>
          <w:szCs w:val="32"/>
        </w:rPr>
        <w:t>指中央财政当年拨付的</w:t>
      </w:r>
    </w:p>
    <w:p w14:paraId="6B96CD48">
      <w:pPr>
        <w:pStyle w:val="4"/>
        <w:spacing w:line="519" w:lineRule="exact"/>
        <w:ind w:left="18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资金。</w:t>
      </w:r>
    </w:p>
    <w:p w14:paraId="478841AB">
      <w:pPr>
        <w:spacing w:line="561" w:lineRule="exact"/>
        <w:ind w:left="2440"/>
        <w:rPr>
          <w:rFonts w:hint="eastAsia" w:ascii="仿宋_GB2312" w:hAnsi="仿宋_GB2312" w:eastAsia="仿宋_GB2312" w:cs="仿宋_GB2312"/>
          <w:sz w:val="32"/>
          <w:szCs w:val="32"/>
        </w:rPr>
      </w:pPr>
      <w:r>
        <w:rPr>
          <w:rFonts w:hint="eastAsia" w:ascii="仿宋_GB2312" w:hAnsi="仿宋_GB2312" w:eastAsia="仿宋_GB2312" w:cs="仿宋_GB2312"/>
          <w:b/>
          <w:sz w:val="32"/>
          <w:szCs w:val="32"/>
        </w:rPr>
        <w:t>（二</w:t>
      </w:r>
      <w:r>
        <w:rPr>
          <w:rFonts w:hint="eastAsia" w:ascii="仿宋_GB2312" w:hAnsi="仿宋_GB2312" w:eastAsia="仿宋_GB2312" w:cs="仿宋_GB2312"/>
          <w:b/>
          <w:spacing w:val="-72"/>
          <w:sz w:val="32"/>
          <w:szCs w:val="32"/>
        </w:rPr>
        <w:t>）</w:t>
      </w:r>
      <w:r>
        <w:rPr>
          <w:rFonts w:hint="eastAsia" w:ascii="仿宋_GB2312" w:hAnsi="仿宋_GB2312" w:eastAsia="仿宋_GB2312" w:cs="仿宋_GB2312"/>
          <w:b/>
          <w:spacing w:val="-15"/>
          <w:sz w:val="32"/>
          <w:szCs w:val="32"/>
        </w:rPr>
        <w:t>事业收入：</w:t>
      </w:r>
      <w:r>
        <w:rPr>
          <w:rFonts w:hint="eastAsia" w:ascii="仿宋_GB2312" w:hAnsi="仿宋_GB2312" w:eastAsia="仿宋_GB2312" w:cs="仿宋_GB2312"/>
          <w:sz w:val="32"/>
          <w:szCs w:val="32"/>
        </w:rPr>
        <w:t>指事业单位开展专业业务活动及辅助活动</w:t>
      </w:r>
    </w:p>
    <w:p w14:paraId="0524F182">
      <w:pPr>
        <w:pStyle w:val="4"/>
        <w:spacing w:before="3" w:line="232" w:lineRule="auto"/>
        <w:ind w:left="1800" w:right="1284"/>
        <w:rPr>
          <w:rFonts w:hint="eastAsia" w:ascii="仿宋_GB2312" w:hAnsi="仿宋_GB2312" w:eastAsia="仿宋_GB2312" w:cs="仿宋_GB2312"/>
          <w:sz w:val="32"/>
          <w:szCs w:val="32"/>
        </w:rPr>
      </w:pPr>
      <w:r>
        <w:rPr>
          <w:rFonts w:hint="eastAsia" w:ascii="仿宋_GB2312" w:hAnsi="仿宋_GB2312" w:eastAsia="仿宋_GB2312" w:cs="仿宋_GB2312"/>
          <w:spacing w:val="-12"/>
          <w:sz w:val="32"/>
          <w:szCs w:val="32"/>
        </w:rPr>
        <w:t>所取得的收入。如唐山市消防救援支队本级所主管科研单位开展专用产品检测等专业业务活动及辅助活动所取得的收入。</w:t>
      </w:r>
    </w:p>
    <w:p w14:paraId="61E0152D">
      <w:pPr>
        <w:spacing w:line="536" w:lineRule="exact"/>
        <w:ind w:left="2440"/>
        <w:rPr>
          <w:rFonts w:hint="eastAsia" w:ascii="仿宋_GB2312" w:hAnsi="仿宋_GB2312" w:eastAsia="仿宋_GB2312" w:cs="仿宋_GB2312"/>
          <w:sz w:val="32"/>
          <w:szCs w:val="32"/>
        </w:rPr>
      </w:pPr>
      <w:r>
        <w:rPr>
          <w:rFonts w:hint="eastAsia" w:ascii="仿宋_GB2312" w:hAnsi="仿宋_GB2312" w:eastAsia="仿宋_GB2312" w:cs="仿宋_GB2312"/>
          <w:b/>
          <w:sz w:val="32"/>
          <w:szCs w:val="32"/>
        </w:rPr>
        <w:t>（三）其他收入：</w:t>
      </w:r>
      <w:r>
        <w:rPr>
          <w:rFonts w:hint="eastAsia" w:ascii="仿宋_GB2312" w:hAnsi="仿宋_GB2312" w:eastAsia="仿宋_GB2312" w:cs="仿宋_GB2312"/>
          <w:sz w:val="32"/>
          <w:szCs w:val="32"/>
        </w:rPr>
        <w:t>指除上述“一般公共预算财政拨款收入”、</w:t>
      </w:r>
    </w:p>
    <w:p w14:paraId="1EF294A2">
      <w:pPr>
        <w:pStyle w:val="4"/>
        <w:spacing w:line="519" w:lineRule="exact"/>
        <w:ind w:left="18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“事业收入”、“事业单位经营收入”等以外的收入。</w:t>
      </w:r>
    </w:p>
    <w:p w14:paraId="4C054946">
      <w:pPr>
        <w:spacing w:line="561" w:lineRule="exact"/>
        <w:ind w:left="2440"/>
        <w:rPr>
          <w:rFonts w:hint="eastAsia" w:ascii="仿宋_GB2312" w:hAnsi="仿宋_GB2312" w:eastAsia="仿宋_GB2312" w:cs="仿宋_GB2312"/>
          <w:sz w:val="32"/>
          <w:szCs w:val="32"/>
        </w:rPr>
      </w:pPr>
      <w:r>
        <w:rPr>
          <w:rFonts w:hint="eastAsia" w:ascii="仿宋_GB2312" w:hAnsi="仿宋_GB2312" w:eastAsia="仿宋_GB2312" w:cs="仿宋_GB2312"/>
          <w:b/>
          <w:sz w:val="32"/>
          <w:szCs w:val="32"/>
        </w:rPr>
        <w:t>（四</w:t>
      </w:r>
      <w:r>
        <w:rPr>
          <w:rFonts w:hint="eastAsia" w:ascii="仿宋_GB2312" w:hAnsi="仿宋_GB2312" w:eastAsia="仿宋_GB2312" w:cs="仿宋_GB2312"/>
          <w:b/>
          <w:spacing w:val="-77"/>
          <w:sz w:val="32"/>
          <w:szCs w:val="32"/>
        </w:rPr>
        <w:t>）</w:t>
      </w:r>
      <w:r>
        <w:rPr>
          <w:rFonts w:hint="eastAsia" w:ascii="仿宋_GB2312" w:hAnsi="仿宋_GB2312" w:eastAsia="仿宋_GB2312" w:cs="仿宋_GB2312"/>
          <w:b/>
          <w:spacing w:val="-8"/>
          <w:sz w:val="32"/>
          <w:szCs w:val="32"/>
        </w:rPr>
        <w:t>使用非财政拨款结余：</w:t>
      </w:r>
      <w:r>
        <w:rPr>
          <w:rFonts w:hint="eastAsia" w:ascii="仿宋_GB2312" w:hAnsi="仿宋_GB2312" w:eastAsia="仿宋_GB2312" w:cs="仿宋_GB2312"/>
          <w:sz w:val="32"/>
          <w:szCs w:val="32"/>
        </w:rPr>
        <w:t>指事业单位使用以前年度积累</w:t>
      </w:r>
    </w:p>
    <w:p w14:paraId="292B0B34">
      <w:pPr>
        <w:pStyle w:val="4"/>
        <w:spacing w:line="519" w:lineRule="exact"/>
        <w:ind w:left="18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的非财政拨款结余弥补当年收支差额的金额。</w:t>
      </w:r>
    </w:p>
    <w:p w14:paraId="1192F370">
      <w:pPr>
        <w:spacing w:line="561" w:lineRule="exact"/>
        <w:ind w:left="2440"/>
        <w:rPr>
          <w:rFonts w:hint="eastAsia" w:ascii="仿宋_GB2312" w:hAnsi="仿宋_GB2312" w:eastAsia="仿宋_GB2312" w:cs="仿宋_GB2312"/>
          <w:sz w:val="32"/>
          <w:szCs w:val="32"/>
        </w:rPr>
      </w:pPr>
      <w:r>
        <w:rPr>
          <w:rFonts w:hint="eastAsia" w:ascii="仿宋_GB2312" w:hAnsi="仿宋_GB2312" w:eastAsia="仿宋_GB2312" w:cs="仿宋_GB2312"/>
          <w:b/>
          <w:sz w:val="32"/>
          <w:szCs w:val="32"/>
        </w:rPr>
        <w:t>（五）年初结转和结余：</w:t>
      </w:r>
      <w:r>
        <w:rPr>
          <w:rFonts w:hint="eastAsia" w:ascii="仿宋_GB2312" w:hAnsi="仿宋_GB2312" w:eastAsia="仿宋_GB2312" w:cs="仿宋_GB2312"/>
          <w:sz w:val="32"/>
          <w:szCs w:val="32"/>
        </w:rPr>
        <w:t>指单位以前年度尚未完成、结转到</w:t>
      </w:r>
    </w:p>
    <w:p w14:paraId="0B5E7574">
      <w:pPr>
        <w:pStyle w:val="4"/>
        <w:spacing w:line="519" w:lineRule="exact"/>
        <w:ind w:left="18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本年按有关规定继续使用的资金。</w:t>
      </w:r>
    </w:p>
    <w:p w14:paraId="0DBC080F">
      <w:pPr>
        <w:pStyle w:val="3"/>
        <w:spacing w:line="556" w:lineRule="exact"/>
        <w:rPr>
          <w:rFonts w:hint="eastAsia" w:ascii="仿宋_GB2312" w:hAnsi="仿宋_GB2312" w:eastAsia="仿宋_GB2312" w:cs="仿宋_GB2312"/>
          <w:sz w:val="32"/>
          <w:szCs w:val="32"/>
        </w:rPr>
      </w:pPr>
      <w:r>
        <w:rPr>
          <w:rFonts w:hint="eastAsia" w:ascii="仿宋_GB2312" w:hAnsi="仿宋_GB2312" w:eastAsia="仿宋_GB2312" w:cs="仿宋_GB2312"/>
          <w:w w:val="99"/>
          <w:sz w:val="32"/>
          <w:szCs w:val="32"/>
        </w:rPr>
        <w:t>（</w:t>
      </w:r>
      <w:r>
        <w:rPr>
          <w:rFonts w:hint="eastAsia" w:ascii="仿宋_GB2312" w:hAnsi="仿宋_GB2312" w:eastAsia="仿宋_GB2312" w:cs="仿宋_GB2312"/>
          <w:spacing w:val="2"/>
          <w:w w:val="99"/>
          <w:sz w:val="32"/>
          <w:szCs w:val="32"/>
        </w:rPr>
        <w:t>六</w:t>
      </w:r>
      <w:r>
        <w:rPr>
          <w:rFonts w:hint="eastAsia" w:ascii="仿宋_GB2312" w:hAnsi="仿宋_GB2312" w:eastAsia="仿宋_GB2312" w:cs="仿宋_GB2312"/>
          <w:spacing w:val="-27"/>
          <w:w w:val="99"/>
          <w:sz w:val="32"/>
          <w:szCs w:val="32"/>
        </w:rPr>
        <w:t>）</w:t>
      </w:r>
      <w:r>
        <w:rPr>
          <w:rFonts w:hint="eastAsia" w:ascii="仿宋_GB2312" w:hAnsi="仿宋_GB2312" w:eastAsia="仿宋_GB2312" w:cs="仿宋_GB2312"/>
          <w:spacing w:val="-4"/>
          <w:w w:val="99"/>
          <w:sz w:val="32"/>
          <w:szCs w:val="32"/>
        </w:rPr>
        <w:t>科学技术支出</w:t>
      </w:r>
      <w:r>
        <w:rPr>
          <w:rFonts w:hint="eastAsia" w:ascii="仿宋_GB2312" w:hAnsi="仿宋_GB2312" w:eastAsia="仿宋_GB2312" w:cs="仿宋_GB2312"/>
          <w:w w:val="99"/>
          <w:sz w:val="32"/>
          <w:szCs w:val="32"/>
        </w:rPr>
        <w:t>（</w:t>
      </w:r>
      <w:r>
        <w:rPr>
          <w:rFonts w:hint="eastAsia" w:ascii="仿宋_GB2312" w:hAnsi="仿宋_GB2312" w:eastAsia="仿宋_GB2312" w:cs="仿宋_GB2312"/>
          <w:spacing w:val="2"/>
          <w:w w:val="99"/>
          <w:sz w:val="32"/>
          <w:szCs w:val="32"/>
        </w:rPr>
        <w:t>类</w:t>
      </w:r>
      <w:r>
        <w:rPr>
          <w:rFonts w:hint="eastAsia" w:ascii="仿宋_GB2312" w:hAnsi="仿宋_GB2312" w:eastAsia="仿宋_GB2312" w:cs="仿宋_GB2312"/>
          <w:spacing w:val="-27"/>
          <w:w w:val="99"/>
          <w:sz w:val="32"/>
          <w:szCs w:val="32"/>
        </w:rPr>
        <w:t>）</w:t>
      </w:r>
      <w:r>
        <w:rPr>
          <w:rFonts w:hint="eastAsia" w:ascii="仿宋_GB2312" w:hAnsi="仿宋_GB2312" w:eastAsia="仿宋_GB2312" w:cs="仿宋_GB2312"/>
          <w:spacing w:val="-6"/>
          <w:w w:val="99"/>
          <w:sz w:val="32"/>
          <w:szCs w:val="32"/>
        </w:rPr>
        <w:t>应用研究</w:t>
      </w:r>
      <w:r>
        <w:rPr>
          <w:rFonts w:hint="eastAsia" w:ascii="仿宋_GB2312" w:hAnsi="仿宋_GB2312" w:eastAsia="仿宋_GB2312" w:cs="仿宋_GB2312"/>
          <w:w w:val="99"/>
          <w:sz w:val="32"/>
          <w:szCs w:val="32"/>
        </w:rPr>
        <w:t>（</w:t>
      </w:r>
      <w:r>
        <w:rPr>
          <w:rFonts w:hint="eastAsia" w:ascii="仿宋_GB2312" w:hAnsi="仿宋_GB2312" w:eastAsia="仿宋_GB2312" w:cs="仿宋_GB2312"/>
          <w:spacing w:val="2"/>
          <w:w w:val="99"/>
          <w:sz w:val="32"/>
          <w:szCs w:val="32"/>
        </w:rPr>
        <w:t>款</w:t>
      </w:r>
      <w:r>
        <w:rPr>
          <w:rFonts w:hint="eastAsia" w:ascii="仿宋_GB2312" w:hAnsi="仿宋_GB2312" w:eastAsia="仿宋_GB2312" w:cs="仿宋_GB2312"/>
          <w:spacing w:val="-27"/>
          <w:w w:val="99"/>
          <w:sz w:val="32"/>
          <w:szCs w:val="32"/>
        </w:rPr>
        <w:t>）</w:t>
      </w:r>
      <w:r>
        <w:rPr>
          <w:rFonts w:hint="eastAsia" w:ascii="仿宋_GB2312" w:hAnsi="仿宋_GB2312" w:eastAsia="仿宋_GB2312" w:cs="仿宋_GB2312"/>
          <w:spacing w:val="-6"/>
          <w:w w:val="99"/>
          <w:sz w:val="32"/>
          <w:szCs w:val="32"/>
        </w:rPr>
        <w:t>机构运行</w:t>
      </w:r>
      <w:r>
        <w:rPr>
          <w:rFonts w:hint="eastAsia" w:ascii="仿宋_GB2312" w:hAnsi="仿宋_GB2312" w:eastAsia="仿宋_GB2312" w:cs="仿宋_GB2312"/>
          <w:w w:val="99"/>
          <w:sz w:val="32"/>
          <w:szCs w:val="32"/>
        </w:rPr>
        <w:t>（</w:t>
      </w:r>
      <w:r>
        <w:rPr>
          <w:rFonts w:hint="eastAsia" w:ascii="仿宋_GB2312" w:hAnsi="仿宋_GB2312" w:eastAsia="仿宋_GB2312" w:cs="仿宋_GB2312"/>
          <w:spacing w:val="2"/>
          <w:w w:val="99"/>
          <w:sz w:val="32"/>
          <w:szCs w:val="32"/>
        </w:rPr>
        <w:t>项</w:t>
      </w:r>
      <w:r>
        <w:rPr>
          <w:rFonts w:hint="eastAsia" w:ascii="仿宋_GB2312" w:hAnsi="仿宋_GB2312" w:eastAsia="仿宋_GB2312" w:cs="仿宋_GB2312"/>
          <w:spacing w:val="-159"/>
          <w:w w:val="99"/>
          <w:sz w:val="32"/>
          <w:szCs w:val="32"/>
        </w:rPr>
        <w:t>）</w:t>
      </w:r>
      <w:r>
        <w:rPr>
          <w:rFonts w:hint="eastAsia" w:ascii="仿宋_GB2312" w:hAnsi="仿宋_GB2312" w:eastAsia="仿宋_GB2312" w:cs="仿宋_GB2312"/>
          <w:w w:val="99"/>
          <w:sz w:val="32"/>
          <w:szCs w:val="32"/>
        </w:rPr>
        <w:t>：</w:t>
      </w:r>
    </w:p>
    <w:p w14:paraId="71449C73">
      <w:pPr>
        <w:pStyle w:val="4"/>
        <w:spacing w:before="8" w:line="232" w:lineRule="auto"/>
        <w:ind w:left="1800" w:right="1284"/>
        <w:rPr>
          <w:rFonts w:hint="eastAsia" w:ascii="仿宋_GB2312" w:hAnsi="仿宋_GB2312" w:eastAsia="仿宋_GB2312" w:cs="仿宋_GB2312"/>
          <w:sz w:val="32"/>
          <w:szCs w:val="32"/>
        </w:rPr>
      </w:pPr>
      <w:r>
        <w:rPr>
          <w:rFonts w:hint="eastAsia" w:ascii="仿宋_GB2312" w:hAnsi="仿宋_GB2312" w:eastAsia="仿宋_GB2312" w:cs="仿宋_GB2312"/>
          <w:spacing w:val="6"/>
          <w:w w:val="95"/>
          <w:sz w:val="32"/>
          <w:szCs w:val="32"/>
        </w:rPr>
        <w:t xml:space="preserve">指唐山市消防救援支队本级所主管承担科研任务事业单位的基  </w:t>
      </w:r>
      <w:r>
        <w:rPr>
          <w:rFonts w:hint="eastAsia" w:ascii="仿宋_GB2312" w:hAnsi="仿宋_GB2312" w:eastAsia="仿宋_GB2312" w:cs="仿宋_GB2312"/>
          <w:spacing w:val="6"/>
          <w:sz w:val="32"/>
          <w:szCs w:val="32"/>
        </w:rPr>
        <w:t>本支出。</w:t>
      </w:r>
    </w:p>
    <w:p w14:paraId="2B68EFF2">
      <w:pPr>
        <w:pStyle w:val="3"/>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（七）科学技术支出（类）应用研究（款）社会公益研究</w:t>
      </w:r>
    </w:p>
    <w:p w14:paraId="42F3BB9B">
      <w:pPr>
        <w:pStyle w:val="4"/>
        <w:spacing w:line="232" w:lineRule="auto"/>
        <w:ind w:left="1800" w:right="1284"/>
        <w:rPr>
          <w:rFonts w:hint="eastAsia" w:ascii="仿宋_GB2312" w:hAnsi="仿宋_GB2312" w:eastAsia="仿宋_GB2312" w:cs="仿宋_GB2312"/>
          <w:sz w:val="32"/>
          <w:szCs w:val="32"/>
        </w:rPr>
      </w:pPr>
      <w:r>
        <w:rPr>
          <w:rFonts w:hint="eastAsia" w:ascii="仿宋_GB2312" w:hAnsi="仿宋_GB2312" w:eastAsia="仿宋_GB2312" w:cs="仿宋_GB2312"/>
          <w:b/>
          <w:sz w:val="32"/>
          <w:szCs w:val="32"/>
        </w:rPr>
        <w:t>（项</w:t>
      </w:r>
      <w:r>
        <w:rPr>
          <w:rFonts w:hint="eastAsia" w:ascii="仿宋_GB2312" w:hAnsi="仿宋_GB2312" w:eastAsia="仿宋_GB2312" w:cs="仿宋_GB2312"/>
          <w:b/>
          <w:spacing w:val="-70"/>
          <w:sz w:val="32"/>
          <w:szCs w:val="32"/>
        </w:rPr>
        <w:t>）：</w:t>
      </w:r>
      <w:r>
        <w:rPr>
          <w:rFonts w:hint="eastAsia" w:ascii="仿宋_GB2312" w:hAnsi="仿宋_GB2312" w:eastAsia="仿宋_GB2312" w:cs="仿宋_GB2312"/>
          <w:sz w:val="32"/>
          <w:szCs w:val="32"/>
        </w:rPr>
        <w:t>指唐山市消防救援支队本级所主管承担科研任务事业单位开展消防技术等社会公益专项科研方面的支出。</w:t>
      </w:r>
    </w:p>
    <w:p w14:paraId="32B448FD">
      <w:pPr>
        <w:pStyle w:val="3"/>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（八）科学技术支出（类）科技条件与服务（款）科技条</w:t>
      </w:r>
    </w:p>
    <w:p w14:paraId="30C26E9F">
      <w:pPr>
        <w:pStyle w:val="4"/>
        <w:spacing w:line="232" w:lineRule="auto"/>
        <w:ind w:left="1800" w:right="1284"/>
        <w:rPr>
          <w:rFonts w:hint="eastAsia" w:ascii="仿宋_GB2312" w:hAnsi="仿宋_GB2312" w:eastAsia="仿宋_GB2312" w:cs="仿宋_GB2312"/>
          <w:sz w:val="32"/>
          <w:szCs w:val="32"/>
        </w:rPr>
      </w:pPr>
      <w:r>
        <w:rPr>
          <w:rFonts w:hint="eastAsia" w:ascii="仿宋_GB2312" w:hAnsi="仿宋_GB2312" w:eastAsia="仿宋_GB2312" w:cs="仿宋_GB2312"/>
          <w:b/>
          <w:spacing w:val="-16"/>
          <w:sz w:val="32"/>
          <w:szCs w:val="32"/>
        </w:rPr>
        <w:t>件专项</w:t>
      </w:r>
      <w:r>
        <w:rPr>
          <w:rFonts w:hint="eastAsia" w:ascii="仿宋_GB2312" w:hAnsi="仿宋_GB2312" w:eastAsia="仿宋_GB2312" w:cs="仿宋_GB2312"/>
          <w:b/>
          <w:sz w:val="32"/>
          <w:szCs w:val="32"/>
        </w:rPr>
        <w:t>（项</w:t>
      </w:r>
      <w:r>
        <w:rPr>
          <w:rFonts w:hint="eastAsia" w:ascii="仿宋_GB2312" w:hAnsi="仿宋_GB2312" w:eastAsia="仿宋_GB2312" w:cs="仿宋_GB2312"/>
          <w:b/>
          <w:spacing w:val="-47"/>
          <w:sz w:val="32"/>
          <w:szCs w:val="32"/>
        </w:rPr>
        <w:t>）：</w:t>
      </w:r>
      <w:r>
        <w:rPr>
          <w:rFonts w:hint="eastAsia" w:ascii="仿宋_GB2312" w:hAnsi="仿宋_GB2312" w:eastAsia="仿宋_GB2312" w:cs="仿宋_GB2312"/>
          <w:sz w:val="32"/>
          <w:szCs w:val="32"/>
        </w:rPr>
        <w:t>指财政部核定唐山市消防救援支队本级的中央级科学事业单位修缮购置经费。</w:t>
      </w:r>
    </w:p>
    <w:p w14:paraId="4D0D245E">
      <w:pPr>
        <w:pStyle w:val="3"/>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（九）科学技术支出（类）其他科学技术支出（款）其他</w:t>
      </w:r>
    </w:p>
    <w:p w14:paraId="06C39AB1">
      <w:pPr>
        <w:spacing w:line="232" w:lineRule="auto"/>
        <w:ind w:left="1800" w:right="1284"/>
        <w:rPr>
          <w:rFonts w:hint="eastAsia" w:ascii="仿宋_GB2312" w:hAnsi="仿宋_GB2312" w:eastAsia="仿宋_GB2312" w:cs="仿宋_GB2312"/>
          <w:sz w:val="32"/>
          <w:szCs w:val="32"/>
        </w:rPr>
      </w:pPr>
      <w:r>
        <w:rPr>
          <w:rFonts w:hint="eastAsia" w:ascii="仿宋_GB2312" w:hAnsi="仿宋_GB2312" w:eastAsia="仿宋_GB2312" w:cs="仿宋_GB2312"/>
          <w:b/>
          <w:spacing w:val="-8"/>
          <w:sz w:val="32"/>
          <w:szCs w:val="32"/>
        </w:rPr>
        <w:t>科学技术支出</w:t>
      </w:r>
      <w:r>
        <w:rPr>
          <w:rFonts w:hint="eastAsia" w:ascii="仿宋_GB2312" w:hAnsi="仿宋_GB2312" w:eastAsia="仿宋_GB2312" w:cs="仿宋_GB2312"/>
          <w:b/>
          <w:sz w:val="32"/>
          <w:szCs w:val="32"/>
        </w:rPr>
        <w:t>（</w:t>
      </w:r>
      <w:r>
        <w:rPr>
          <w:rFonts w:hint="eastAsia" w:ascii="仿宋_GB2312" w:hAnsi="仿宋_GB2312" w:eastAsia="仿宋_GB2312" w:cs="仿宋_GB2312"/>
          <w:b/>
          <w:spacing w:val="5"/>
          <w:sz w:val="32"/>
          <w:szCs w:val="32"/>
        </w:rPr>
        <w:t>项</w:t>
      </w:r>
      <w:r>
        <w:rPr>
          <w:rFonts w:hint="eastAsia" w:ascii="仿宋_GB2312" w:hAnsi="仿宋_GB2312" w:eastAsia="仿宋_GB2312" w:cs="仿宋_GB2312"/>
          <w:b/>
          <w:spacing w:val="-50"/>
          <w:sz w:val="32"/>
          <w:szCs w:val="32"/>
        </w:rPr>
        <w:t>）：</w:t>
      </w:r>
      <w:r>
        <w:rPr>
          <w:rFonts w:hint="eastAsia" w:ascii="仿宋_GB2312" w:hAnsi="仿宋_GB2312" w:eastAsia="仿宋_GB2312" w:cs="仿宋_GB2312"/>
          <w:sz w:val="32"/>
          <w:szCs w:val="32"/>
        </w:rPr>
        <w:t>指财政部核定唐山市消防救援支队本级的科技业务管理费支出。</w:t>
      </w:r>
    </w:p>
    <w:p w14:paraId="48D97FF5">
      <w:pPr>
        <w:pStyle w:val="3"/>
        <w:rPr>
          <w:rFonts w:hint="eastAsia" w:ascii="仿宋_GB2312" w:hAnsi="仿宋_GB2312" w:eastAsia="仿宋_GB2312" w:cs="仿宋_GB2312"/>
          <w:sz w:val="32"/>
          <w:szCs w:val="32"/>
        </w:rPr>
      </w:pPr>
      <w:r>
        <w:rPr>
          <w:rFonts w:hint="eastAsia" w:ascii="仿宋_GB2312" w:hAnsi="仿宋_GB2312" w:eastAsia="仿宋_GB2312" w:cs="仿宋_GB2312"/>
          <w:spacing w:val="7"/>
          <w:w w:val="95"/>
          <w:sz w:val="32"/>
          <w:szCs w:val="32"/>
        </w:rPr>
        <w:t>（</w:t>
      </w:r>
      <w:r>
        <w:rPr>
          <w:rFonts w:hint="eastAsia" w:ascii="仿宋_GB2312" w:hAnsi="仿宋_GB2312" w:eastAsia="仿宋_GB2312" w:cs="仿宋_GB2312"/>
          <w:spacing w:val="9"/>
          <w:w w:val="95"/>
          <w:sz w:val="32"/>
          <w:szCs w:val="32"/>
        </w:rPr>
        <w:t>十</w:t>
      </w:r>
      <w:r>
        <w:rPr>
          <w:rFonts w:hint="eastAsia" w:ascii="仿宋_GB2312" w:hAnsi="仿宋_GB2312" w:eastAsia="仿宋_GB2312" w:cs="仿宋_GB2312"/>
          <w:spacing w:val="7"/>
          <w:w w:val="95"/>
          <w:sz w:val="32"/>
          <w:szCs w:val="32"/>
        </w:rPr>
        <w:t>）住房保障支出（</w:t>
      </w:r>
      <w:r>
        <w:rPr>
          <w:rFonts w:hint="eastAsia" w:ascii="仿宋_GB2312" w:hAnsi="仿宋_GB2312" w:eastAsia="仿宋_GB2312" w:cs="仿宋_GB2312"/>
          <w:spacing w:val="9"/>
          <w:w w:val="95"/>
          <w:sz w:val="32"/>
          <w:szCs w:val="32"/>
        </w:rPr>
        <w:t>类</w:t>
      </w:r>
      <w:r>
        <w:rPr>
          <w:rFonts w:hint="eastAsia" w:ascii="仿宋_GB2312" w:hAnsi="仿宋_GB2312" w:eastAsia="仿宋_GB2312" w:cs="仿宋_GB2312"/>
          <w:spacing w:val="7"/>
          <w:w w:val="95"/>
          <w:sz w:val="32"/>
          <w:szCs w:val="32"/>
        </w:rPr>
        <w:t>）住房改革支出（</w:t>
      </w:r>
      <w:r>
        <w:rPr>
          <w:rFonts w:hint="eastAsia" w:ascii="仿宋_GB2312" w:hAnsi="仿宋_GB2312" w:eastAsia="仿宋_GB2312" w:cs="仿宋_GB2312"/>
          <w:spacing w:val="9"/>
          <w:w w:val="95"/>
          <w:sz w:val="32"/>
          <w:szCs w:val="32"/>
        </w:rPr>
        <w:t>款</w:t>
      </w:r>
      <w:r>
        <w:rPr>
          <w:rFonts w:hint="eastAsia" w:ascii="仿宋_GB2312" w:hAnsi="仿宋_GB2312" w:eastAsia="仿宋_GB2312" w:cs="仿宋_GB2312"/>
          <w:spacing w:val="7"/>
          <w:w w:val="95"/>
          <w:sz w:val="32"/>
          <w:szCs w:val="32"/>
        </w:rPr>
        <w:t>）</w:t>
      </w:r>
      <w:r>
        <w:rPr>
          <w:rFonts w:hint="eastAsia" w:ascii="仿宋_GB2312" w:hAnsi="仿宋_GB2312" w:eastAsia="仿宋_GB2312" w:cs="仿宋_GB2312"/>
          <w:spacing w:val="6"/>
          <w:w w:val="95"/>
          <w:sz w:val="32"/>
          <w:szCs w:val="32"/>
        </w:rPr>
        <w:t>住房公积</w:t>
      </w:r>
    </w:p>
    <w:p w14:paraId="434A2C00">
      <w:pPr>
        <w:pStyle w:val="4"/>
        <w:spacing w:line="575" w:lineRule="exact"/>
        <w:ind w:left="1800"/>
        <w:rPr>
          <w:rFonts w:hint="eastAsia" w:ascii="仿宋_GB2312" w:hAnsi="仿宋_GB2312" w:eastAsia="仿宋_GB2312" w:cs="仿宋_GB2312"/>
          <w:sz w:val="32"/>
          <w:szCs w:val="32"/>
        </w:rPr>
      </w:pPr>
      <w:r>
        <w:rPr>
          <w:rFonts w:hint="eastAsia" w:ascii="仿宋_GB2312" w:hAnsi="仿宋_GB2312" w:eastAsia="仿宋_GB2312" w:cs="仿宋_GB2312"/>
          <w:b/>
          <w:spacing w:val="-34"/>
          <w:w w:val="95"/>
          <w:sz w:val="32"/>
          <w:szCs w:val="32"/>
        </w:rPr>
        <w:t>金</w:t>
      </w:r>
      <w:r>
        <w:rPr>
          <w:rFonts w:hint="eastAsia" w:ascii="仿宋_GB2312" w:hAnsi="仿宋_GB2312" w:eastAsia="仿宋_GB2312" w:cs="仿宋_GB2312"/>
          <w:b/>
          <w:w w:val="95"/>
          <w:sz w:val="32"/>
          <w:szCs w:val="32"/>
        </w:rPr>
        <w:t>（项</w:t>
      </w:r>
      <w:r>
        <w:rPr>
          <w:rFonts w:hint="eastAsia" w:ascii="仿宋_GB2312" w:hAnsi="仿宋_GB2312" w:eastAsia="仿宋_GB2312" w:cs="仿宋_GB2312"/>
          <w:b/>
          <w:spacing w:val="-35"/>
          <w:w w:val="95"/>
          <w:sz w:val="32"/>
          <w:szCs w:val="32"/>
        </w:rPr>
        <w:t>）</w:t>
      </w:r>
      <w:r>
        <w:rPr>
          <w:rFonts w:hint="eastAsia" w:ascii="仿宋_GB2312" w:hAnsi="仿宋_GB2312" w:eastAsia="仿宋_GB2312" w:cs="仿宋_GB2312"/>
          <w:spacing w:val="-8"/>
          <w:w w:val="95"/>
          <w:sz w:val="32"/>
          <w:szCs w:val="32"/>
        </w:rPr>
        <w:t>：反映行政事业单位按人力资源和社会保障部、财政部</w:t>
      </w:r>
    </w:p>
    <w:p w14:paraId="47EF39BA">
      <w:pPr>
        <w:spacing w:line="575" w:lineRule="exact"/>
        <w:rPr>
          <w:rFonts w:hint="eastAsia" w:ascii="仿宋_GB2312" w:hAnsi="仿宋_GB2312" w:eastAsia="仿宋_GB2312" w:cs="仿宋_GB2312"/>
          <w:sz w:val="32"/>
          <w:szCs w:val="32"/>
        </w:rPr>
        <w:sectPr>
          <w:pgSz w:w="11910" w:h="16840"/>
          <w:pgMar w:top="1500" w:right="0" w:bottom="1160" w:left="0" w:header="0" w:footer="895" w:gutter="0"/>
          <w:cols w:space="720" w:num="1"/>
        </w:sectPr>
      </w:pPr>
    </w:p>
    <w:p w14:paraId="12D1B5BB">
      <w:pPr>
        <w:pStyle w:val="4"/>
        <w:spacing w:line="520" w:lineRule="exact"/>
        <w:ind w:left="18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规定的基本工资和津贴补贴以及规定比例为职工缴纳的住房公</w:t>
      </w:r>
    </w:p>
    <w:p w14:paraId="5F1CB25C">
      <w:pPr>
        <w:pStyle w:val="4"/>
        <w:spacing w:line="519" w:lineRule="exact"/>
        <w:ind w:left="18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积金。</w:t>
      </w:r>
    </w:p>
    <w:p w14:paraId="652E461B">
      <w:pPr>
        <w:spacing w:line="225" w:lineRule="auto"/>
        <w:ind w:left="1800" w:right="1284" w:firstLine="640"/>
        <w:jc w:val="both"/>
        <w:rPr>
          <w:rFonts w:hint="eastAsia" w:ascii="仿宋_GB2312" w:hAnsi="仿宋_GB2312" w:eastAsia="仿宋_GB2312" w:cs="仿宋_GB2312"/>
          <w:sz w:val="32"/>
          <w:szCs w:val="32"/>
        </w:rPr>
      </w:pPr>
      <w:r>
        <w:rPr>
          <w:rFonts w:hint="eastAsia" w:ascii="仿宋_GB2312" w:hAnsi="仿宋_GB2312" w:eastAsia="仿宋_GB2312" w:cs="仿宋_GB2312"/>
          <w:b/>
          <w:spacing w:val="7"/>
          <w:w w:val="95"/>
          <w:sz w:val="32"/>
          <w:szCs w:val="32"/>
        </w:rPr>
        <w:t>（</w:t>
      </w:r>
      <w:r>
        <w:rPr>
          <w:rFonts w:hint="eastAsia" w:ascii="仿宋_GB2312" w:hAnsi="仿宋_GB2312" w:eastAsia="仿宋_GB2312" w:cs="仿宋_GB2312"/>
          <w:b/>
          <w:spacing w:val="8"/>
          <w:w w:val="95"/>
          <w:sz w:val="32"/>
          <w:szCs w:val="32"/>
        </w:rPr>
        <w:t>十一</w:t>
      </w:r>
      <w:r>
        <w:rPr>
          <w:rFonts w:hint="eastAsia" w:ascii="仿宋_GB2312" w:hAnsi="仿宋_GB2312" w:eastAsia="仿宋_GB2312" w:cs="仿宋_GB2312"/>
          <w:b/>
          <w:spacing w:val="7"/>
          <w:w w:val="95"/>
          <w:sz w:val="32"/>
          <w:szCs w:val="32"/>
        </w:rPr>
        <w:t>）住房保障支出</w:t>
      </w:r>
      <w:r>
        <w:rPr>
          <w:rFonts w:hint="eastAsia" w:ascii="仿宋_GB2312" w:hAnsi="仿宋_GB2312" w:eastAsia="仿宋_GB2312" w:cs="仿宋_GB2312"/>
          <w:b/>
          <w:spacing w:val="9"/>
          <w:w w:val="95"/>
          <w:sz w:val="32"/>
          <w:szCs w:val="32"/>
        </w:rPr>
        <w:t>（</w:t>
      </w:r>
      <w:r>
        <w:rPr>
          <w:rFonts w:hint="eastAsia" w:ascii="仿宋_GB2312" w:hAnsi="仿宋_GB2312" w:eastAsia="仿宋_GB2312" w:cs="仿宋_GB2312"/>
          <w:b/>
          <w:spacing w:val="7"/>
          <w:w w:val="95"/>
          <w:sz w:val="32"/>
          <w:szCs w:val="32"/>
        </w:rPr>
        <w:t>类）住房改革支出（</w:t>
      </w:r>
      <w:r>
        <w:rPr>
          <w:rFonts w:hint="eastAsia" w:ascii="仿宋_GB2312" w:hAnsi="仿宋_GB2312" w:eastAsia="仿宋_GB2312" w:cs="仿宋_GB2312"/>
          <w:b/>
          <w:spacing w:val="9"/>
          <w:w w:val="95"/>
          <w:sz w:val="32"/>
          <w:szCs w:val="32"/>
        </w:rPr>
        <w:t>款</w:t>
      </w:r>
      <w:r>
        <w:rPr>
          <w:rFonts w:hint="eastAsia" w:ascii="仿宋_GB2312" w:hAnsi="仿宋_GB2312" w:eastAsia="仿宋_GB2312" w:cs="仿宋_GB2312"/>
          <w:b/>
          <w:spacing w:val="7"/>
          <w:w w:val="95"/>
          <w:sz w:val="32"/>
          <w:szCs w:val="32"/>
        </w:rPr>
        <w:t>）</w:t>
      </w:r>
      <w:r>
        <w:rPr>
          <w:rFonts w:hint="eastAsia" w:ascii="仿宋_GB2312" w:hAnsi="仿宋_GB2312" w:eastAsia="仿宋_GB2312" w:cs="仿宋_GB2312"/>
          <w:b/>
          <w:spacing w:val="5"/>
          <w:w w:val="95"/>
          <w:sz w:val="32"/>
          <w:szCs w:val="32"/>
        </w:rPr>
        <w:t xml:space="preserve">提租补   </w:t>
      </w:r>
      <w:r>
        <w:rPr>
          <w:rFonts w:hint="eastAsia" w:ascii="仿宋_GB2312" w:hAnsi="仿宋_GB2312" w:eastAsia="仿宋_GB2312" w:cs="仿宋_GB2312"/>
          <w:b/>
          <w:spacing w:val="-94"/>
          <w:sz w:val="32"/>
          <w:szCs w:val="32"/>
        </w:rPr>
        <w:t>贴</w:t>
      </w:r>
      <w:r>
        <w:rPr>
          <w:rFonts w:hint="eastAsia" w:ascii="仿宋_GB2312" w:hAnsi="仿宋_GB2312" w:eastAsia="仿宋_GB2312" w:cs="仿宋_GB2312"/>
          <w:b/>
          <w:sz w:val="32"/>
          <w:szCs w:val="32"/>
        </w:rPr>
        <w:t>（项</w:t>
      </w:r>
      <w:r>
        <w:rPr>
          <w:rFonts w:hint="eastAsia" w:ascii="仿宋_GB2312" w:hAnsi="仿宋_GB2312" w:eastAsia="仿宋_GB2312" w:cs="仿宋_GB2312"/>
          <w:b/>
          <w:spacing w:val="-97"/>
          <w:sz w:val="32"/>
          <w:szCs w:val="32"/>
        </w:rPr>
        <w:t>）</w:t>
      </w:r>
      <w:r>
        <w:rPr>
          <w:rFonts w:hint="eastAsia" w:ascii="仿宋_GB2312" w:hAnsi="仿宋_GB2312" w:eastAsia="仿宋_GB2312" w:cs="仿宋_GB2312"/>
          <w:spacing w:val="-18"/>
          <w:sz w:val="32"/>
          <w:szCs w:val="32"/>
        </w:rPr>
        <w:t>：反映按房改政策规定的标准，行政事业单位向职工</w:t>
      </w:r>
      <w:r>
        <w:rPr>
          <w:rFonts w:hint="eastAsia" w:ascii="仿宋_GB2312" w:hAnsi="仿宋_GB2312" w:eastAsia="仿宋_GB2312" w:cs="仿宋_GB2312"/>
          <w:sz w:val="32"/>
          <w:szCs w:val="32"/>
        </w:rPr>
        <w:t>（含离退休人员）发放的租金补贴。</w:t>
      </w:r>
    </w:p>
    <w:p w14:paraId="679E6BE3">
      <w:pPr>
        <w:spacing w:line="220" w:lineRule="auto"/>
        <w:ind w:left="1800" w:right="1284" w:firstLine="640"/>
        <w:rPr>
          <w:rFonts w:hint="eastAsia" w:ascii="仿宋_GB2312" w:hAnsi="仿宋_GB2312" w:eastAsia="仿宋_GB2312" w:cs="仿宋_GB2312"/>
          <w:sz w:val="32"/>
          <w:szCs w:val="32"/>
        </w:rPr>
      </w:pPr>
      <w:r>
        <w:rPr>
          <w:rFonts w:hint="eastAsia" w:ascii="仿宋_GB2312" w:hAnsi="仿宋_GB2312" w:eastAsia="仿宋_GB2312" w:cs="仿宋_GB2312"/>
          <w:b/>
          <w:spacing w:val="7"/>
          <w:w w:val="95"/>
          <w:sz w:val="32"/>
          <w:szCs w:val="32"/>
        </w:rPr>
        <w:t>（</w:t>
      </w:r>
      <w:r>
        <w:rPr>
          <w:rFonts w:hint="eastAsia" w:ascii="仿宋_GB2312" w:hAnsi="仿宋_GB2312" w:eastAsia="仿宋_GB2312" w:cs="仿宋_GB2312"/>
          <w:b/>
          <w:spacing w:val="8"/>
          <w:w w:val="95"/>
          <w:sz w:val="32"/>
          <w:szCs w:val="32"/>
        </w:rPr>
        <w:t>十二</w:t>
      </w:r>
      <w:r>
        <w:rPr>
          <w:rFonts w:hint="eastAsia" w:ascii="仿宋_GB2312" w:hAnsi="仿宋_GB2312" w:eastAsia="仿宋_GB2312" w:cs="仿宋_GB2312"/>
          <w:b/>
          <w:spacing w:val="7"/>
          <w:w w:val="95"/>
          <w:sz w:val="32"/>
          <w:szCs w:val="32"/>
        </w:rPr>
        <w:t>）住房保障支出</w:t>
      </w:r>
      <w:r>
        <w:rPr>
          <w:rFonts w:hint="eastAsia" w:ascii="仿宋_GB2312" w:hAnsi="仿宋_GB2312" w:eastAsia="仿宋_GB2312" w:cs="仿宋_GB2312"/>
          <w:b/>
          <w:spacing w:val="9"/>
          <w:w w:val="95"/>
          <w:sz w:val="32"/>
          <w:szCs w:val="32"/>
        </w:rPr>
        <w:t>（</w:t>
      </w:r>
      <w:r>
        <w:rPr>
          <w:rFonts w:hint="eastAsia" w:ascii="仿宋_GB2312" w:hAnsi="仿宋_GB2312" w:eastAsia="仿宋_GB2312" w:cs="仿宋_GB2312"/>
          <w:b/>
          <w:spacing w:val="7"/>
          <w:w w:val="95"/>
          <w:sz w:val="32"/>
          <w:szCs w:val="32"/>
        </w:rPr>
        <w:t>类）住房改革支出（</w:t>
      </w:r>
      <w:r>
        <w:rPr>
          <w:rFonts w:hint="eastAsia" w:ascii="仿宋_GB2312" w:hAnsi="仿宋_GB2312" w:eastAsia="仿宋_GB2312" w:cs="仿宋_GB2312"/>
          <w:b/>
          <w:spacing w:val="9"/>
          <w:w w:val="95"/>
          <w:sz w:val="32"/>
          <w:szCs w:val="32"/>
        </w:rPr>
        <w:t>款</w:t>
      </w:r>
      <w:r>
        <w:rPr>
          <w:rFonts w:hint="eastAsia" w:ascii="仿宋_GB2312" w:hAnsi="仿宋_GB2312" w:eastAsia="仿宋_GB2312" w:cs="仿宋_GB2312"/>
          <w:b/>
          <w:spacing w:val="7"/>
          <w:w w:val="95"/>
          <w:sz w:val="32"/>
          <w:szCs w:val="32"/>
        </w:rPr>
        <w:t>）</w:t>
      </w:r>
      <w:r>
        <w:rPr>
          <w:rFonts w:hint="eastAsia" w:ascii="仿宋_GB2312" w:hAnsi="仿宋_GB2312" w:eastAsia="仿宋_GB2312" w:cs="仿宋_GB2312"/>
          <w:b/>
          <w:spacing w:val="5"/>
          <w:w w:val="95"/>
          <w:sz w:val="32"/>
          <w:szCs w:val="32"/>
        </w:rPr>
        <w:t xml:space="preserve">购房补  </w:t>
      </w:r>
      <w:r>
        <w:rPr>
          <w:rFonts w:hint="eastAsia" w:ascii="仿宋_GB2312" w:hAnsi="仿宋_GB2312" w:eastAsia="仿宋_GB2312" w:cs="仿宋_GB2312"/>
          <w:b/>
          <w:spacing w:val="-34"/>
          <w:w w:val="95"/>
          <w:sz w:val="32"/>
          <w:szCs w:val="32"/>
        </w:rPr>
        <w:t>贴</w:t>
      </w:r>
      <w:r>
        <w:rPr>
          <w:rFonts w:hint="eastAsia" w:ascii="仿宋_GB2312" w:hAnsi="仿宋_GB2312" w:eastAsia="仿宋_GB2312" w:cs="仿宋_GB2312"/>
          <w:b/>
          <w:w w:val="95"/>
          <w:sz w:val="32"/>
          <w:szCs w:val="32"/>
        </w:rPr>
        <w:t>（项</w:t>
      </w:r>
      <w:r>
        <w:rPr>
          <w:rFonts w:hint="eastAsia" w:ascii="仿宋_GB2312" w:hAnsi="仿宋_GB2312" w:eastAsia="仿宋_GB2312" w:cs="仿宋_GB2312"/>
          <w:b/>
          <w:spacing w:val="-35"/>
          <w:w w:val="95"/>
          <w:sz w:val="32"/>
          <w:szCs w:val="32"/>
        </w:rPr>
        <w:t>）</w:t>
      </w:r>
      <w:r>
        <w:rPr>
          <w:rFonts w:hint="eastAsia" w:ascii="仿宋_GB2312" w:hAnsi="仿宋_GB2312" w:eastAsia="仿宋_GB2312" w:cs="仿宋_GB2312"/>
          <w:spacing w:val="-9"/>
          <w:w w:val="95"/>
          <w:sz w:val="32"/>
          <w:szCs w:val="32"/>
        </w:rPr>
        <w:t>：反映按房改政策规定，行政事业单位向符合条件职工</w:t>
      </w:r>
    </w:p>
    <w:p w14:paraId="767D7094">
      <w:pPr>
        <w:pStyle w:val="4"/>
        <w:spacing w:line="522" w:lineRule="exact"/>
        <w:ind w:left="18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（含离退休人员）发放的用于购买住房的补贴。</w:t>
      </w:r>
    </w:p>
    <w:p w14:paraId="36E90C50">
      <w:pPr>
        <w:spacing w:line="225" w:lineRule="auto"/>
        <w:ind w:left="1800" w:right="1286" w:firstLine="640"/>
        <w:jc w:val="both"/>
        <w:rPr>
          <w:rFonts w:hint="eastAsia" w:ascii="仿宋_GB2312" w:hAnsi="仿宋_GB2312" w:eastAsia="仿宋_GB2312" w:cs="仿宋_GB2312"/>
          <w:sz w:val="32"/>
          <w:szCs w:val="32"/>
        </w:rPr>
      </w:pPr>
      <w:r>
        <w:rPr>
          <w:rFonts w:hint="eastAsia" w:ascii="仿宋_GB2312" w:hAnsi="仿宋_GB2312" w:eastAsia="仿宋_GB2312" w:cs="仿宋_GB2312"/>
          <w:b/>
          <w:spacing w:val="7"/>
          <w:w w:val="95"/>
          <w:sz w:val="32"/>
          <w:szCs w:val="32"/>
        </w:rPr>
        <w:t>（</w:t>
      </w:r>
      <w:r>
        <w:rPr>
          <w:rFonts w:hint="eastAsia" w:ascii="仿宋_GB2312" w:hAnsi="仿宋_GB2312" w:eastAsia="仿宋_GB2312" w:cs="仿宋_GB2312"/>
          <w:b/>
          <w:spacing w:val="8"/>
          <w:w w:val="95"/>
          <w:sz w:val="32"/>
          <w:szCs w:val="32"/>
        </w:rPr>
        <w:t>十三</w:t>
      </w:r>
      <w:r>
        <w:rPr>
          <w:rFonts w:hint="eastAsia" w:ascii="仿宋_GB2312" w:hAnsi="仿宋_GB2312" w:eastAsia="仿宋_GB2312" w:cs="仿宋_GB2312"/>
          <w:b/>
          <w:spacing w:val="7"/>
          <w:w w:val="95"/>
          <w:sz w:val="32"/>
          <w:szCs w:val="32"/>
        </w:rPr>
        <w:t>）灾害防治及应急管理支出</w:t>
      </w:r>
      <w:r>
        <w:rPr>
          <w:rFonts w:hint="eastAsia" w:ascii="仿宋_GB2312" w:hAnsi="仿宋_GB2312" w:eastAsia="仿宋_GB2312" w:cs="仿宋_GB2312"/>
          <w:b/>
          <w:spacing w:val="9"/>
          <w:w w:val="95"/>
          <w:sz w:val="32"/>
          <w:szCs w:val="32"/>
        </w:rPr>
        <w:t>（</w:t>
      </w:r>
      <w:r>
        <w:rPr>
          <w:rFonts w:hint="eastAsia" w:ascii="仿宋_GB2312" w:hAnsi="仿宋_GB2312" w:eastAsia="仿宋_GB2312" w:cs="仿宋_GB2312"/>
          <w:b/>
          <w:spacing w:val="7"/>
          <w:w w:val="95"/>
          <w:sz w:val="32"/>
          <w:szCs w:val="32"/>
        </w:rPr>
        <w:t>类</w:t>
      </w:r>
      <w:r>
        <w:rPr>
          <w:rFonts w:hint="eastAsia" w:ascii="仿宋_GB2312" w:hAnsi="仿宋_GB2312" w:eastAsia="仿宋_GB2312" w:cs="仿宋_GB2312"/>
          <w:b/>
          <w:spacing w:val="9"/>
          <w:w w:val="95"/>
          <w:sz w:val="32"/>
          <w:szCs w:val="32"/>
        </w:rPr>
        <w:t>）</w:t>
      </w:r>
      <w:r>
        <w:rPr>
          <w:rFonts w:hint="eastAsia" w:ascii="仿宋_GB2312" w:hAnsi="仿宋_GB2312" w:eastAsia="仿宋_GB2312" w:cs="仿宋_GB2312"/>
          <w:b/>
          <w:spacing w:val="7"/>
          <w:w w:val="95"/>
          <w:sz w:val="32"/>
          <w:szCs w:val="32"/>
        </w:rPr>
        <w:t>消防事务</w:t>
      </w:r>
      <w:r>
        <w:rPr>
          <w:rFonts w:hint="eastAsia" w:ascii="仿宋_GB2312" w:hAnsi="仿宋_GB2312" w:eastAsia="仿宋_GB2312" w:cs="仿宋_GB2312"/>
          <w:b/>
          <w:spacing w:val="9"/>
          <w:w w:val="95"/>
          <w:sz w:val="32"/>
          <w:szCs w:val="32"/>
        </w:rPr>
        <w:t>（</w:t>
      </w:r>
      <w:r>
        <w:rPr>
          <w:rFonts w:hint="eastAsia" w:ascii="仿宋_GB2312" w:hAnsi="仿宋_GB2312" w:eastAsia="仿宋_GB2312" w:cs="仿宋_GB2312"/>
          <w:b/>
          <w:spacing w:val="7"/>
          <w:w w:val="95"/>
          <w:sz w:val="32"/>
          <w:szCs w:val="32"/>
        </w:rPr>
        <w:t>款</w:t>
      </w:r>
      <w:r>
        <w:rPr>
          <w:rFonts w:hint="eastAsia" w:ascii="仿宋_GB2312" w:hAnsi="仿宋_GB2312" w:eastAsia="仿宋_GB2312" w:cs="仿宋_GB2312"/>
          <w:b/>
          <w:w w:val="95"/>
          <w:sz w:val="32"/>
          <w:szCs w:val="32"/>
        </w:rPr>
        <w:t xml:space="preserve">）  </w:t>
      </w:r>
      <w:r>
        <w:rPr>
          <w:rFonts w:hint="eastAsia" w:ascii="仿宋_GB2312" w:hAnsi="仿宋_GB2312" w:eastAsia="仿宋_GB2312" w:cs="仿宋_GB2312"/>
          <w:b/>
          <w:spacing w:val="-12"/>
          <w:sz w:val="32"/>
          <w:szCs w:val="32"/>
        </w:rPr>
        <w:t>行政运行</w:t>
      </w:r>
      <w:r>
        <w:rPr>
          <w:rFonts w:hint="eastAsia" w:ascii="仿宋_GB2312" w:hAnsi="仿宋_GB2312" w:eastAsia="仿宋_GB2312" w:cs="仿宋_GB2312"/>
          <w:b/>
          <w:sz w:val="32"/>
          <w:szCs w:val="32"/>
        </w:rPr>
        <w:t>（项</w:t>
      </w:r>
      <w:r>
        <w:rPr>
          <w:rFonts w:hint="eastAsia" w:ascii="仿宋_GB2312" w:hAnsi="仿宋_GB2312" w:eastAsia="仿宋_GB2312" w:cs="仿宋_GB2312"/>
          <w:b/>
          <w:spacing w:val="-48"/>
          <w:sz w:val="32"/>
          <w:szCs w:val="32"/>
        </w:rPr>
        <w:t>）</w:t>
      </w:r>
      <w:r>
        <w:rPr>
          <w:rFonts w:hint="eastAsia" w:ascii="仿宋_GB2312" w:hAnsi="仿宋_GB2312" w:eastAsia="仿宋_GB2312" w:cs="仿宋_GB2312"/>
          <w:spacing w:val="-7"/>
          <w:sz w:val="32"/>
          <w:szCs w:val="32"/>
        </w:rPr>
        <w:t>：指唐山市消防救援支队本级用于保障机构正常运行、开展日常工作的基本支出。</w:t>
      </w:r>
    </w:p>
    <w:p w14:paraId="68BF795F">
      <w:pPr>
        <w:spacing w:line="220" w:lineRule="auto"/>
        <w:ind w:left="1800" w:right="1284" w:firstLine="640"/>
        <w:rPr>
          <w:rFonts w:hint="eastAsia" w:ascii="仿宋_GB2312" w:hAnsi="仿宋_GB2312" w:eastAsia="仿宋_GB2312" w:cs="仿宋_GB2312"/>
          <w:sz w:val="32"/>
          <w:szCs w:val="32"/>
        </w:rPr>
      </w:pPr>
      <w:r>
        <w:rPr>
          <w:rFonts w:hint="eastAsia" w:ascii="仿宋_GB2312" w:hAnsi="仿宋_GB2312" w:eastAsia="仿宋_GB2312" w:cs="仿宋_GB2312"/>
          <w:b/>
          <w:spacing w:val="7"/>
          <w:w w:val="95"/>
          <w:sz w:val="32"/>
          <w:szCs w:val="32"/>
        </w:rPr>
        <w:t>（</w:t>
      </w:r>
      <w:r>
        <w:rPr>
          <w:rFonts w:hint="eastAsia" w:ascii="仿宋_GB2312" w:hAnsi="仿宋_GB2312" w:eastAsia="仿宋_GB2312" w:cs="仿宋_GB2312"/>
          <w:b/>
          <w:spacing w:val="8"/>
          <w:w w:val="95"/>
          <w:sz w:val="32"/>
          <w:szCs w:val="32"/>
        </w:rPr>
        <w:t>十四</w:t>
      </w:r>
      <w:r>
        <w:rPr>
          <w:rFonts w:hint="eastAsia" w:ascii="仿宋_GB2312" w:hAnsi="仿宋_GB2312" w:eastAsia="仿宋_GB2312" w:cs="仿宋_GB2312"/>
          <w:b/>
          <w:spacing w:val="7"/>
          <w:w w:val="95"/>
          <w:sz w:val="32"/>
          <w:szCs w:val="32"/>
        </w:rPr>
        <w:t>）灾害防治及应急管理支出</w:t>
      </w:r>
      <w:r>
        <w:rPr>
          <w:rFonts w:hint="eastAsia" w:ascii="仿宋_GB2312" w:hAnsi="仿宋_GB2312" w:eastAsia="仿宋_GB2312" w:cs="仿宋_GB2312"/>
          <w:b/>
          <w:spacing w:val="9"/>
          <w:w w:val="95"/>
          <w:sz w:val="32"/>
          <w:szCs w:val="32"/>
        </w:rPr>
        <w:t>（</w:t>
      </w:r>
      <w:r>
        <w:rPr>
          <w:rFonts w:hint="eastAsia" w:ascii="仿宋_GB2312" w:hAnsi="仿宋_GB2312" w:eastAsia="仿宋_GB2312" w:cs="仿宋_GB2312"/>
          <w:b/>
          <w:spacing w:val="7"/>
          <w:w w:val="95"/>
          <w:sz w:val="32"/>
          <w:szCs w:val="32"/>
        </w:rPr>
        <w:t>类</w:t>
      </w:r>
      <w:r>
        <w:rPr>
          <w:rFonts w:hint="eastAsia" w:ascii="仿宋_GB2312" w:hAnsi="仿宋_GB2312" w:eastAsia="仿宋_GB2312" w:cs="仿宋_GB2312"/>
          <w:b/>
          <w:spacing w:val="9"/>
          <w:w w:val="95"/>
          <w:sz w:val="32"/>
          <w:szCs w:val="32"/>
        </w:rPr>
        <w:t>）</w:t>
      </w:r>
      <w:r>
        <w:rPr>
          <w:rFonts w:hint="eastAsia" w:ascii="仿宋_GB2312" w:hAnsi="仿宋_GB2312" w:eastAsia="仿宋_GB2312" w:cs="仿宋_GB2312"/>
          <w:b/>
          <w:spacing w:val="7"/>
          <w:w w:val="95"/>
          <w:sz w:val="32"/>
          <w:szCs w:val="32"/>
        </w:rPr>
        <w:t>消防事务</w:t>
      </w:r>
      <w:r>
        <w:rPr>
          <w:rFonts w:hint="eastAsia" w:ascii="仿宋_GB2312" w:hAnsi="仿宋_GB2312" w:eastAsia="仿宋_GB2312" w:cs="仿宋_GB2312"/>
          <w:b/>
          <w:spacing w:val="9"/>
          <w:w w:val="95"/>
          <w:sz w:val="32"/>
          <w:szCs w:val="32"/>
        </w:rPr>
        <w:t>（</w:t>
      </w:r>
      <w:r>
        <w:rPr>
          <w:rFonts w:hint="eastAsia" w:ascii="仿宋_GB2312" w:hAnsi="仿宋_GB2312" w:eastAsia="仿宋_GB2312" w:cs="仿宋_GB2312"/>
          <w:b/>
          <w:spacing w:val="7"/>
          <w:w w:val="95"/>
          <w:sz w:val="32"/>
          <w:szCs w:val="32"/>
        </w:rPr>
        <w:t>款</w:t>
      </w:r>
      <w:r>
        <w:rPr>
          <w:rFonts w:hint="eastAsia" w:ascii="仿宋_GB2312" w:hAnsi="仿宋_GB2312" w:eastAsia="仿宋_GB2312" w:cs="仿宋_GB2312"/>
          <w:b/>
          <w:w w:val="95"/>
          <w:sz w:val="32"/>
          <w:szCs w:val="32"/>
        </w:rPr>
        <w:t xml:space="preserve">）  </w:t>
      </w:r>
      <w:r>
        <w:rPr>
          <w:rFonts w:hint="eastAsia" w:ascii="仿宋_GB2312" w:hAnsi="仿宋_GB2312" w:eastAsia="仿宋_GB2312" w:cs="仿宋_GB2312"/>
          <w:b/>
          <w:spacing w:val="-8"/>
          <w:sz w:val="32"/>
          <w:szCs w:val="32"/>
        </w:rPr>
        <w:t>消防应急救援</w:t>
      </w:r>
      <w:r>
        <w:rPr>
          <w:rFonts w:hint="eastAsia" w:ascii="仿宋_GB2312" w:hAnsi="仿宋_GB2312" w:eastAsia="仿宋_GB2312" w:cs="仿宋_GB2312"/>
          <w:b/>
          <w:sz w:val="32"/>
          <w:szCs w:val="32"/>
        </w:rPr>
        <w:t>（项</w:t>
      </w:r>
      <w:r>
        <w:rPr>
          <w:rFonts w:hint="eastAsia" w:ascii="仿宋_GB2312" w:hAnsi="仿宋_GB2312" w:eastAsia="仿宋_GB2312" w:cs="仿宋_GB2312"/>
          <w:b/>
          <w:spacing w:val="-50"/>
          <w:sz w:val="32"/>
          <w:szCs w:val="32"/>
        </w:rPr>
        <w:t>）</w:t>
      </w:r>
      <w:r>
        <w:rPr>
          <w:rFonts w:hint="eastAsia" w:ascii="仿宋_GB2312" w:hAnsi="仿宋_GB2312" w:eastAsia="仿宋_GB2312" w:cs="仿宋_GB2312"/>
          <w:spacing w:val="-8"/>
          <w:sz w:val="32"/>
          <w:szCs w:val="32"/>
        </w:rPr>
        <w:t>：指唐山市消防救援支队本级开展消防应急</w:t>
      </w:r>
    </w:p>
    <w:p w14:paraId="7F82955D">
      <w:pPr>
        <w:pStyle w:val="4"/>
        <w:spacing w:line="522" w:lineRule="exact"/>
        <w:ind w:left="18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救援方面的支出。</w:t>
      </w:r>
    </w:p>
    <w:p w14:paraId="1FD48930">
      <w:pPr>
        <w:spacing w:line="225" w:lineRule="auto"/>
        <w:ind w:left="1800" w:right="1284" w:firstLine="640"/>
        <w:jc w:val="both"/>
        <w:rPr>
          <w:rFonts w:hint="eastAsia" w:ascii="仿宋_GB2312" w:hAnsi="仿宋_GB2312" w:eastAsia="仿宋_GB2312" w:cs="仿宋_GB2312"/>
          <w:sz w:val="32"/>
          <w:szCs w:val="32"/>
        </w:rPr>
      </w:pPr>
      <w:r>
        <w:rPr>
          <w:rFonts w:hint="eastAsia" w:ascii="仿宋_GB2312" w:hAnsi="仿宋_GB2312" w:eastAsia="仿宋_GB2312" w:cs="仿宋_GB2312"/>
          <w:b/>
          <w:spacing w:val="7"/>
          <w:w w:val="95"/>
          <w:sz w:val="32"/>
          <w:szCs w:val="32"/>
        </w:rPr>
        <w:t>（</w:t>
      </w:r>
      <w:r>
        <w:rPr>
          <w:rFonts w:hint="eastAsia" w:ascii="仿宋_GB2312" w:hAnsi="仿宋_GB2312" w:eastAsia="仿宋_GB2312" w:cs="仿宋_GB2312"/>
          <w:b/>
          <w:spacing w:val="8"/>
          <w:w w:val="95"/>
          <w:sz w:val="32"/>
          <w:szCs w:val="32"/>
        </w:rPr>
        <w:t>十五</w:t>
      </w:r>
      <w:r>
        <w:rPr>
          <w:rFonts w:hint="eastAsia" w:ascii="仿宋_GB2312" w:hAnsi="仿宋_GB2312" w:eastAsia="仿宋_GB2312" w:cs="仿宋_GB2312"/>
          <w:b/>
          <w:spacing w:val="7"/>
          <w:w w:val="95"/>
          <w:sz w:val="32"/>
          <w:szCs w:val="32"/>
        </w:rPr>
        <w:t>）灾害防治及应急管理支出</w:t>
      </w:r>
      <w:r>
        <w:rPr>
          <w:rFonts w:hint="eastAsia" w:ascii="仿宋_GB2312" w:hAnsi="仿宋_GB2312" w:eastAsia="仿宋_GB2312" w:cs="仿宋_GB2312"/>
          <w:b/>
          <w:spacing w:val="9"/>
          <w:w w:val="95"/>
          <w:sz w:val="32"/>
          <w:szCs w:val="32"/>
        </w:rPr>
        <w:t>（</w:t>
      </w:r>
      <w:r>
        <w:rPr>
          <w:rFonts w:hint="eastAsia" w:ascii="仿宋_GB2312" w:hAnsi="仿宋_GB2312" w:eastAsia="仿宋_GB2312" w:cs="仿宋_GB2312"/>
          <w:b/>
          <w:spacing w:val="7"/>
          <w:w w:val="95"/>
          <w:sz w:val="32"/>
          <w:szCs w:val="32"/>
        </w:rPr>
        <w:t>类</w:t>
      </w:r>
      <w:r>
        <w:rPr>
          <w:rFonts w:hint="eastAsia" w:ascii="仿宋_GB2312" w:hAnsi="仿宋_GB2312" w:eastAsia="仿宋_GB2312" w:cs="仿宋_GB2312"/>
          <w:b/>
          <w:spacing w:val="9"/>
          <w:w w:val="95"/>
          <w:sz w:val="32"/>
          <w:szCs w:val="32"/>
        </w:rPr>
        <w:t>）</w:t>
      </w:r>
      <w:r>
        <w:rPr>
          <w:rFonts w:hint="eastAsia" w:ascii="仿宋_GB2312" w:hAnsi="仿宋_GB2312" w:eastAsia="仿宋_GB2312" w:cs="仿宋_GB2312"/>
          <w:b/>
          <w:spacing w:val="7"/>
          <w:w w:val="95"/>
          <w:sz w:val="32"/>
          <w:szCs w:val="32"/>
        </w:rPr>
        <w:t>消防事务</w:t>
      </w:r>
      <w:r>
        <w:rPr>
          <w:rFonts w:hint="eastAsia" w:ascii="仿宋_GB2312" w:hAnsi="仿宋_GB2312" w:eastAsia="仿宋_GB2312" w:cs="仿宋_GB2312"/>
          <w:b/>
          <w:spacing w:val="9"/>
          <w:w w:val="95"/>
          <w:sz w:val="32"/>
          <w:szCs w:val="32"/>
        </w:rPr>
        <w:t>（</w:t>
      </w:r>
      <w:r>
        <w:rPr>
          <w:rFonts w:hint="eastAsia" w:ascii="仿宋_GB2312" w:hAnsi="仿宋_GB2312" w:eastAsia="仿宋_GB2312" w:cs="仿宋_GB2312"/>
          <w:b/>
          <w:spacing w:val="7"/>
          <w:w w:val="95"/>
          <w:sz w:val="32"/>
          <w:szCs w:val="32"/>
        </w:rPr>
        <w:t>款</w:t>
      </w:r>
      <w:r>
        <w:rPr>
          <w:rFonts w:hint="eastAsia" w:ascii="仿宋_GB2312" w:hAnsi="仿宋_GB2312" w:eastAsia="仿宋_GB2312" w:cs="仿宋_GB2312"/>
          <w:b/>
          <w:w w:val="95"/>
          <w:sz w:val="32"/>
          <w:szCs w:val="32"/>
        </w:rPr>
        <w:t xml:space="preserve">）  </w:t>
      </w:r>
      <w:r>
        <w:rPr>
          <w:rFonts w:hint="eastAsia" w:ascii="仿宋_GB2312" w:hAnsi="仿宋_GB2312" w:eastAsia="仿宋_GB2312" w:cs="仿宋_GB2312"/>
          <w:b/>
          <w:spacing w:val="-6"/>
          <w:sz w:val="32"/>
          <w:szCs w:val="32"/>
        </w:rPr>
        <w:t>其他消防事务支出</w:t>
      </w:r>
      <w:r>
        <w:rPr>
          <w:rFonts w:hint="eastAsia" w:ascii="仿宋_GB2312" w:hAnsi="仿宋_GB2312" w:eastAsia="仿宋_GB2312" w:cs="仿宋_GB2312"/>
          <w:b/>
          <w:sz w:val="32"/>
          <w:szCs w:val="32"/>
        </w:rPr>
        <w:t>（项</w:t>
      </w:r>
      <w:r>
        <w:rPr>
          <w:rFonts w:hint="eastAsia" w:ascii="仿宋_GB2312" w:hAnsi="仿宋_GB2312" w:eastAsia="仿宋_GB2312" w:cs="仿宋_GB2312"/>
          <w:b/>
          <w:spacing w:val="-50"/>
          <w:sz w:val="32"/>
          <w:szCs w:val="32"/>
        </w:rPr>
        <w:t>）</w:t>
      </w:r>
      <w:r>
        <w:rPr>
          <w:rFonts w:hint="eastAsia" w:ascii="仿宋_GB2312" w:hAnsi="仿宋_GB2312" w:eastAsia="仿宋_GB2312" w:cs="仿宋_GB2312"/>
          <w:spacing w:val="-8"/>
          <w:sz w:val="32"/>
          <w:szCs w:val="32"/>
        </w:rPr>
        <w:t>：指唐山市消防救援支队本级部门机动费项目支出及消防产品合格评定中心的各项支出。</w:t>
      </w:r>
    </w:p>
    <w:p w14:paraId="48B64C72">
      <w:pPr>
        <w:spacing w:line="545" w:lineRule="exact"/>
        <w:ind w:left="2440"/>
        <w:rPr>
          <w:rFonts w:hint="eastAsia" w:ascii="仿宋_GB2312" w:hAnsi="仿宋_GB2312" w:eastAsia="仿宋_GB2312" w:cs="仿宋_GB2312"/>
          <w:sz w:val="32"/>
          <w:szCs w:val="32"/>
        </w:rPr>
      </w:pPr>
      <w:r>
        <w:rPr>
          <w:rFonts w:hint="eastAsia" w:ascii="仿宋_GB2312" w:hAnsi="仿宋_GB2312" w:eastAsia="仿宋_GB2312" w:cs="仿宋_GB2312"/>
          <w:b/>
          <w:sz w:val="32"/>
          <w:szCs w:val="32"/>
        </w:rPr>
        <w:t>（十六</w:t>
      </w:r>
      <w:r>
        <w:rPr>
          <w:rFonts w:hint="eastAsia" w:ascii="仿宋_GB2312" w:hAnsi="仿宋_GB2312" w:eastAsia="仿宋_GB2312" w:cs="仿宋_GB2312"/>
          <w:b/>
          <w:spacing w:val="-75"/>
          <w:sz w:val="32"/>
          <w:szCs w:val="32"/>
        </w:rPr>
        <w:t>）</w:t>
      </w:r>
      <w:r>
        <w:rPr>
          <w:rFonts w:hint="eastAsia" w:ascii="仿宋_GB2312" w:hAnsi="仿宋_GB2312" w:eastAsia="仿宋_GB2312" w:cs="仿宋_GB2312"/>
          <w:b/>
          <w:spacing w:val="-15"/>
          <w:sz w:val="32"/>
          <w:szCs w:val="32"/>
        </w:rPr>
        <w:t>结余分配：</w:t>
      </w:r>
      <w:r>
        <w:rPr>
          <w:rFonts w:hint="eastAsia" w:ascii="仿宋_GB2312" w:hAnsi="仿宋_GB2312" w:eastAsia="仿宋_GB2312" w:cs="仿宋_GB2312"/>
          <w:sz w:val="32"/>
          <w:szCs w:val="32"/>
        </w:rPr>
        <w:t>指事业单位按照会计制度规定缴纳的所</w:t>
      </w:r>
    </w:p>
    <w:p w14:paraId="05D3762F">
      <w:pPr>
        <w:pStyle w:val="4"/>
        <w:spacing w:line="232" w:lineRule="auto"/>
        <w:ind w:left="1800" w:right="1284"/>
        <w:rPr>
          <w:rFonts w:hint="eastAsia" w:ascii="仿宋_GB2312" w:hAnsi="仿宋_GB2312" w:eastAsia="仿宋_GB2312" w:cs="仿宋_GB2312"/>
          <w:sz w:val="32"/>
          <w:szCs w:val="32"/>
        </w:rPr>
      </w:pPr>
      <w:r>
        <w:rPr>
          <w:rFonts w:hint="eastAsia" w:ascii="仿宋_GB2312" w:hAnsi="仿宋_GB2312" w:eastAsia="仿宋_GB2312" w:cs="仿宋_GB2312"/>
          <w:spacing w:val="6"/>
          <w:w w:val="95"/>
          <w:sz w:val="32"/>
          <w:szCs w:val="32"/>
        </w:rPr>
        <w:t xml:space="preserve">得税以及从非财政补助结余中提取的职工福利基金、事业基金  </w:t>
      </w:r>
      <w:r>
        <w:rPr>
          <w:rFonts w:hint="eastAsia" w:ascii="仿宋_GB2312" w:hAnsi="仿宋_GB2312" w:eastAsia="仿宋_GB2312" w:cs="仿宋_GB2312"/>
          <w:spacing w:val="6"/>
          <w:sz w:val="32"/>
          <w:szCs w:val="32"/>
        </w:rPr>
        <w:t>等。</w:t>
      </w:r>
    </w:p>
    <w:p w14:paraId="693E7576">
      <w:pPr>
        <w:spacing w:line="503" w:lineRule="exact"/>
        <w:ind w:left="2440"/>
        <w:rPr>
          <w:rFonts w:hint="eastAsia" w:ascii="仿宋_GB2312" w:hAnsi="仿宋_GB2312" w:eastAsia="仿宋_GB2312" w:cs="仿宋_GB2312"/>
          <w:sz w:val="32"/>
          <w:szCs w:val="32"/>
        </w:rPr>
      </w:pPr>
      <w:r>
        <w:rPr>
          <w:rFonts w:hint="eastAsia" w:ascii="仿宋_GB2312" w:hAnsi="仿宋_GB2312" w:eastAsia="仿宋_GB2312" w:cs="仿宋_GB2312"/>
          <w:b/>
          <w:sz w:val="32"/>
          <w:szCs w:val="32"/>
        </w:rPr>
        <w:t>（十七</w:t>
      </w:r>
      <w:r>
        <w:rPr>
          <w:rFonts w:hint="eastAsia" w:ascii="仿宋_GB2312" w:hAnsi="仿宋_GB2312" w:eastAsia="仿宋_GB2312" w:cs="仿宋_GB2312"/>
          <w:b/>
          <w:spacing w:val="-75"/>
          <w:sz w:val="32"/>
          <w:szCs w:val="32"/>
        </w:rPr>
        <w:t>）</w:t>
      </w:r>
      <w:r>
        <w:rPr>
          <w:rFonts w:hint="eastAsia" w:ascii="仿宋_GB2312" w:hAnsi="仿宋_GB2312" w:eastAsia="仿宋_GB2312" w:cs="仿宋_GB2312"/>
          <w:b/>
          <w:spacing w:val="-10"/>
          <w:sz w:val="32"/>
          <w:szCs w:val="32"/>
        </w:rPr>
        <w:t>年末结转和结余：</w:t>
      </w:r>
      <w:r>
        <w:rPr>
          <w:rFonts w:hint="eastAsia" w:ascii="仿宋_GB2312" w:hAnsi="仿宋_GB2312" w:eastAsia="仿宋_GB2312" w:cs="仿宋_GB2312"/>
          <w:sz w:val="32"/>
          <w:szCs w:val="32"/>
        </w:rPr>
        <w:t>指单位本年度或以前年度预算安</w:t>
      </w:r>
    </w:p>
    <w:p w14:paraId="11FA4DBD">
      <w:pPr>
        <w:pStyle w:val="4"/>
        <w:spacing w:before="3" w:line="232" w:lineRule="auto"/>
        <w:ind w:left="1800" w:right="1284"/>
        <w:rPr>
          <w:rFonts w:hint="eastAsia" w:ascii="仿宋_GB2312" w:hAnsi="仿宋_GB2312" w:eastAsia="仿宋_GB2312" w:cs="仿宋_GB2312"/>
          <w:sz w:val="32"/>
          <w:szCs w:val="32"/>
        </w:rPr>
      </w:pPr>
      <w:r>
        <w:rPr>
          <w:rFonts w:hint="eastAsia" w:ascii="仿宋_GB2312" w:hAnsi="仿宋_GB2312" w:eastAsia="仿宋_GB2312" w:cs="仿宋_GB2312"/>
          <w:spacing w:val="-12"/>
          <w:w w:val="95"/>
          <w:sz w:val="32"/>
          <w:szCs w:val="32"/>
        </w:rPr>
        <w:t xml:space="preserve">排、因客观条件发生变化未全部执行或未执行，结转到以后年度  </w:t>
      </w:r>
      <w:r>
        <w:rPr>
          <w:rFonts w:hint="eastAsia" w:ascii="仿宋_GB2312" w:hAnsi="仿宋_GB2312" w:eastAsia="仿宋_GB2312" w:cs="仿宋_GB2312"/>
          <w:spacing w:val="-12"/>
          <w:sz w:val="32"/>
          <w:szCs w:val="32"/>
        </w:rPr>
        <w:t>继续使用的资金，或项目已完成等产生的结余资金。</w:t>
      </w:r>
    </w:p>
    <w:p w14:paraId="4676064C">
      <w:pPr>
        <w:spacing w:line="536" w:lineRule="exact"/>
        <w:ind w:left="2440"/>
        <w:rPr>
          <w:rFonts w:hint="eastAsia" w:ascii="仿宋_GB2312" w:hAnsi="仿宋_GB2312" w:eastAsia="仿宋_GB2312" w:cs="仿宋_GB2312"/>
          <w:sz w:val="32"/>
          <w:szCs w:val="32"/>
        </w:rPr>
      </w:pPr>
      <w:r>
        <w:rPr>
          <w:rFonts w:hint="eastAsia" w:ascii="仿宋_GB2312" w:hAnsi="仿宋_GB2312" w:eastAsia="仿宋_GB2312" w:cs="仿宋_GB2312"/>
          <w:b/>
          <w:sz w:val="32"/>
          <w:szCs w:val="32"/>
        </w:rPr>
        <w:t>（十八）基本支出：</w:t>
      </w:r>
      <w:r>
        <w:rPr>
          <w:rFonts w:hint="eastAsia" w:ascii="仿宋_GB2312" w:hAnsi="仿宋_GB2312" w:eastAsia="仿宋_GB2312" w:cs="仿宋_GB2312"/>
          <w:sz w:val="32"/>
          <w:szCs w:val="32"/>
        </w:rPr>
        <w:t>指为保障机构正常运转、完成日常工作</w:t>
      </w:r>
    </w:p>
    <w:p w14:paraId="2D0DC13B">
      <w:pPr>
        <w:pStyle w:val="4"/>
        <w:spacing w:line="549" w:lineRule="exact"/>
        <w:ind w:left="18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任务而发生的人员支出和公用支出。</w:t>
      </w:r>
    </w:p>
    <w:p w14:paraId="4F69057E">
      <w:pPr>
        <w:spacing w:line="549" w:lineRule="exact"/>
        <w:rPr>
          <w:rFonts w:hint="eastAsia" w:ascii="仿宋_GB2312" w:hAnsi="仿宋_GB2312" w:eastAsia="仿宋_GB2312" w:cs="仿宋_GB2312"/>
          <w:sz w:val="32"/>
          <w:szCs w:val="32"/>
        </w:rPr>
        <w:sectPr>
          <w:pgSz w:w="11910" w:h="16840"/>
          <w:pgMar w:top="1500" w:right="0" w:bottom="1160" w:left="0" w:header="0" w:footer="895" w:gutter="0"/>
          <w:cols w:space="720" w:num="1"/>
        </w:sectPr>
      </w:pPr>
    </w:p>
    <w:p w14:paraId="091651A0">
      <w:pPr>
        <w:spacing w:line="520" w:lineRule="exact"/>
        <w:ind w:left="2440"/>
        <w:rPr>
          <w:rFonts w:hint="eastAsia" w:ascii="仿宋_GB2312" w:hAnsi="仿宋_GB2312" w:eastAsia="仿宋_GB2312" w:cs="仿宋_GB2312"/>
          <w:sz w:val="32"/>
          <w:szCs w:val="32"/>
        </w:rPr>
      </w:pPr>
      <w:r>
        <w:rPr>
          <w:rFonts w:hint="eastAsia" w:ascii="仿宋_GB2312" w:hAnsi="仿宋_GB2312" w:eastAsia="仿宋_GB2312" w:cs="仿宋_GB2312"/>
          <w:b/>
          <w:sz w:val="32"/>
          <w:szCs w:val="32"/>
        </w:rPr>
        <w:t>（十九</w:t>
      </w:r>
      <w:r>
        <w:rPr>
          <w:rFonts w:hint="eastAsia" w:ascii="仿宋_GB2312" w:hAnsi="仿宋_GB2312" w:eastAsia="仿宋_GB2312" w:cs="仿宋_GB2312"/>
          <w:b/>
          <w:spacing w:val="-75"/>
          <w:sz w:val="32"/>
          <w:szCs w:val="32"/>
        </w:rPr>
        <w:t>）</w:t>
      </w:r>
      <w:r>
        <w:rPr>
          <w:rFonts w:hint="eastAsia" w:ascii="仿宋_GB2312" w:hAnsi="仿宋_GB2312" w:eastAsia="仿宋_GB2312" w:cs="仿宋_GB2312"/>
          <w:b/>
          <w:spacing w:val="-15"/>
          <w:sz w:val="32"/>
          <w:szCs w:val="32"/>
        </w:rPr>
        <w:t>项目支出：</w:t>
      </w:r>
      <w:r>
        <w:rPr>
          <w:rFonts w:hint="eastAsia" w:ascii="仿宋_GB2312" w:hAnsi="仿宋_GB2312" w:eastAsia="仿宋_GB2312" w:cs="仿宋_GB2312"/>
          <w:sz w:val="32"/>
          <w:szCs w:val="32"/>
        </w:rPr>
        <w:t>指在基本支出之外为完成特定行政任务</w:t>
      </w:r>
    </w:p>
    <w:p w14:paraId="30864598">
      <w:pPr>
        <w:pStyle w:val="4"/>
        <w:spacing w:line="519" w:lineRule="exact"/>
        <w:ind w:left="18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和事业发展目标所发生的支出。</w:t>
      </w:r>
    </w:p>
    <w:p w14:paraId="76F9A089">
      <w:pPr>
        <w:spacing w:line="561" w:lineRule="exact"/>
        <w:ind w:left="2440"/>
        <w:rPr>
          <w:rFonts w:hint="eastAsia" w:ascii="仿宋_GB2312" w:hAnsi="仿宋_GB2312" w:eastAsia="仿宋_GB2312" w:cs="仿宋_GB2312"/>
          <w:sz w:val="32"/>
          <w:szCs w:val="32"/>
        </w:rPr>
      </w:pPr>
      <w:r>
        <w:rPr>
          <w:rFonts w:hint="eastAsia" w:ascii="仿宋_GB2312" w:hAnsi="仿宋_GB2312" w:eastAsia="仿宋_GB2312" w:cs="仿宋_GB2312"/>
          <w:b/>
          <w:sz w:val="32"/>
          <w:szCs w:val="32"/>
        </w:rPr>
        <w:t>（二十）“三公”经费：</w:t>
      </w:r>
      <w:r>
        <w:rPr>
          <w:rFonts w:hint="eastAsia" w:ascii="仿宋_GB2312" w:hAnsi="仿宋_GB2312" w:eastAsia="仿宋_GB2312" w:cs="仿宋_GB2312"/>
          <w:sz w:val="32"/>
          <w:szCs w:val="32"/>
        </w:rPr>
        <w:t>纳入中央财政预决算管理的“三公”</w:t>
      </w:r>
    </w:p>
    <w:p w14:paraId="064D1A1D">
      <w:pPr>
        <w:pStyle w:val="4"/>
        <w:spacing w:before="3" w:line="232" w:lineRule="auto"/>
        <w:ind w:left="1800" w:right="1146"/>
        <w:rPr>
          <w:rFonts w:hint="eastAsia" w:ascii="仿宋_GB2312" w:hAnsi="仿宋_GB2312" w:eastAsia="仿宋_GB2312" w:cs="仿宋_GB2312"/>
          <w:sz w:val="32"/>
          <w:szCs w:val="32"/>
        </w:rPr>
      </w:pPr>
      <w:r>
        <w:rPr>
          <w:rFonts w:hint="eastAsia" w:ascii="仿宋_GB2312" w:hAnsi="仿宋_GB2312" w:eastAsia="仿宋_GB2312" w:cs="仿宋_GB2312"/>
          <w:spacing w:val="-8"/>
          <w:sz w:val="32"/>
          <w:szCs w:val="32"/>
        </w:rPr>
        <w:t>经费，是指中央部门用财政拨款安排的因公出国</w:t>
      </w:r>
      <w:r>
        <w:rPr>
          <w:rFonts w:hint="eastAsia" w:ascii="仿宋_GB2312" w:hAnsi="仿宋_GB2312" w:eastAsia="仿宋_GB2312" w:cs="仿宋_GB2312"/>
          <w:sz w:val="32"/>
          <w:szCs w:val="32"/>
        </w:rPr>
        <w:t>（境</w:t>
      </w:r>
      <w:r>
        <w:rPr>
          <w:rFonts w:hint="eastAsia" w:ascii="仿宋_GB2312" w:hAnsi="仿宋_GB2312" w:eastAsia="仿宋_GB2312" w:cs="仿宋_GB2312"/>
          <w:spacing w:val="-34"/>
          <w:sz w:val="32"/>
          <w:szCs w:val="32"/>
        </w:rPr>
        <w:t>）</w:t>
      </w:r>
      <w:r>
        <w:rPr>
          <w:rFonts w:hint="eastAsia" w:ascii="仿宋_GB2312" w:hAnsi="仿宋_GB2312" w:eastAsia="仿宋_GB2312" w:cs="仿宋_GB2312"/>
          <w:spacing w:val="-9"/>
          <w:sz w:val="32"/>
          <w:szCs w:val="32"/>
        </w:rPr>
        <w:t>费、公务</w:t>
      </w:r>
      <w:r>
        <w:rPr>
          <w:rFonts w:hint="eastAsia" w:ascii="仿宋_GB2312" w:hAnsi="仿宋_GB2312" w:eastAsia="仿宋_GB2312" w:cs="仿宋_GB2312"/>
          <w:spacing w:val="-14"/>
          <w:sz w:val="32"/>
          <w:szCs w:val="32"/>
        </w:rPr>
        <w:t>用车购置及运行费和公务接待费。其中，因公出国</w:t>
      </w:r>
      <w:r>
        <w:rPr>
          <w:rFonts w:hint="eastAsia" w:ascii="仿宋_GB2312" w:hAnsi="仿宋_GB2312" w:eastAsia="仿宋_GB2312" w:cs="仿宋_GB2312"/>
          <w:sz w:val="32"/>
          <w:szCs w:val="32"/>
        </w:rPr>
        <w:t>（境</w:t>
      </w:r>
      <w:r>
        <w:rPr>
          <w:rFonts w:hint="eastAsia" w:ascii="仿宋_GB2312" w:hAnsi="仿宋_GB2312" w:eastAsia="仿宋_GB2312" w:cs="仿宋_GB2312"/>
          <w:spacing w:val="-34"/>
          <w:sz w:val="32"/>
          <w:szCs w:val="32"/>
        </w:rPr>
        <w:t>）</w:t>
      </w:r>
      <w:r>
        <w:rPr>
          <w:rFonts w:hint="eastAsia" w:ascii="仿宋_GB2312" w:hAnsi="仿宋_GB2312" w:eastAsia="仿宋_GB2312" w:cs="仿宋_GB2312"/>
          <w:sz w:val="32"/>
          <w:szCs w:val="32"/>
        </w:rPr>
        <w:t>费反映单位公务出国（境）</w:t>
      </w:r>
      <w:r>
        <w:rPr>
          <w:rFonts w:hint="eastAsia" w:ascii="仿宋_GB2312" w:hAnsi="仿宋_GB2312" w:eastAsia="仿宋_GB2312" w:cs="仿宋_GB2312"/>
          <w:spacing w:val="-1"/>
          <w:sz w:val="32"/>
          <w:szCs w:val="32"/>
        </w:rPr>
        <w:t>的国际旅费、国外城市间交通费、住宿费、</w:t>
      </w:r>
      <w:r>
        <w:rPr>
          <w:rFonts w:hint="eastAsia" w:ascii="仿宋_GB2312" w:hAnsi="仿宋_GB2312" w:eastAsia="仿宋_GB2312" w:cs="仿宋_GB2312"/>
          <w:spacing w:val="-13"/>
          <w:sz w:val="32"/>
          <w:szCs w:val="32"/>
        </w:rPr>
        <w:t>伙食费、培训费、公杂费等支出；公务用车购置及运行费反映单位公务用车车辆购置支出（含车辆购置税）及租用费、燃料费、</w:t>
      </w:r>
      <w:r>
        <w:rPr>
          <w:rFonts w:hint="eastAsia" w:ascii="仿宋_GB2312" w:hAnsi="仿宋_GB2312" w:eastAsia="仿宋_GB2312" w:cs="仿宋_GB2312"/>
          <w:spacing w:val="-12"/>
          <w:sz w:val="32"/>
          <w:szCs w:val="32"/>
        </w:rPr>
        <w:t>维修费、过路过桥费、保险费、安全奖励费用等支出；公务接待费反映单位按规定开支的各类公务接待（含外宾接待）支出。</w:t>
      </w:r>
    </w:p>
    <w:p w14:paraId="48265AEF">
      <w:pPr>
        <w:spacing w:line="535" w:lineRule="exact"/>
        <w:ind w:left="2440"/>
        <w:rPr>
          <w:rFonts w:hint="eastAsia" w:ascii="仿宋_GB2312" w:hAnsi="仿宋_GB2312" w:eastAsia="仿宋_GB2312" w:cs="仿宋_GB2312"/>
          <w:sz w:val="32"/>
          <w:szCs w:val="32"/>
        </w:rPr>
      </w:pPr>
      <w:r>
        <w:rPr>
          <w:rFonts w:hint="eastAsia" w:ascii="仿宋_GB2312" w:hAnsi="仿宋_GB2312" w:eastAsia="仿宋_GB2312" w:cs="仿宋_GB2312"/>
          <w:b/>
          <w:sz w:val="32"/>
          <w:szCs w:val="32"/>
        </w:rPr>
        <w:t>（二十一</w:t>
      </w:r>
      <w:r>
        <w:rPr>
          <w:rFonts w:hint="eastAsia" w:ascii="仿宋_GB2312" w:hAnsi="仿宋_GB2312" w:eastAsia="仿宋_GB2312" w:cs="仿宋_GB2312"/>
          <w:b/>
          <w:spacing w:val="-51"/>
          <w:sz w:val="32"/>
          <w:szCs w:val="32"/>
        </w:rPr>
        <w:t>）</w:t>
      </w:r>
      <w:r>
        <w:rPr>
          <w:rFonts w:hint="eastAsia" w:ascii="仿宋_GB2312" w:hAnsi="仿宋_GB2312" w:eastAsia="仿宋_GB2312" w:cs="仿宋_GB2312"/>
          <w:b/>
          <w:spacing w:val="-7"/>
          <w:sz w:val="32"/>
          <w:szCs w:val="32"/>
        </w:rPr>
        <w:t>机关运行经费：</w:t>
      </w:r>
      <w:r>
        <w:rPr>
          <w:rFonts w:hint="eastAsia" w:ascii="仿宋_GB2312" w:hAnsi="仿宋_GB2312" w:eastAsia="仿宋_GB2312" w:cs="仿宋_GB2312"/>
          <w:spacing w:val="-8"/>
          <w:sz w:val="32"/>
          <w:szCs w:val="32"/>
        </w:rPr>
        <w:t>为保障行政单位</w:t>
      </w:r>
      <w:r>
        <w:rPr>
          <w:rFonts w:hint="eastAsia" w:ascii="仿宋_GB2312" w:hAnsi="仿宋_GB2312" w:eastAsia="仿宋_GB2312" w:cs="仿宋_GB2312"/>
          <w:sz w:val="32"/>
          <w:szCs w:val="32"/>
        </w:rPr>
        <w:t>（包括参照公务</w:t>
      </w:r>
    </w:p>
    <w:p w14:paraId="56D31022">
      <w:pPr>
        <w:pStyle w:val="4"/>
        <w:spacing w:before="3" w:line="232" w:lineRule="auto"/>
        <w:ind w:left="1800" w:right="1125"/>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员法管理事业单位</w:t>
      </w:r>
      <w:r>
        <w:rPr>
          <w:rFonts w:hint="eastAsia" w:ascii="仿宋_GB2312" w:hAnsi="仿宋_GB2312" w:eastAsia="仿宋_GB2312" w:cs="仿宋_GB2312"/>
          <w:spacing w:val="-70"/>
          <w:sz w:val="32"/>
          <w:szCs w:val="32"/>
        </w:rPr>
        <w:t>）</w:t>
      </w:r>
      <w:r>
        <w:rPr>
          <w:rFonts w:hint="eastAsia" w:ascii="仿宋_GB2312" w:hAnsi="仿宋_GB2312" w:eastAsia="仿宋_GB2312" w:cs="仿宋_GB2312"/>
          <w:spacing w:val="-5"/>
          <w:sz w:val="32"/>
          <w:szCs w:val="32"/>
        </w:rPr>
        <w:t>运行用于购买货物和服务的各项资金，包括</w:t>
      </w:r>
      <w:r>
        <w:rPr>
          <w:rFonts w:hint="eastAsia" w:ascii="仿宋_GB2312" w:hAnsi="仿宋_GB2312" w:eastAsia="仿宋_GB2312" w:cs="仿宋_GB2312"/>
          <w:spacing w:val="-21"/>
          <w:w w:val="95"/>
          <w:sz w:val="32"/>
          <w:szCs w:val="32"/>
        </w:rPr>
        <w:t xml:space="preserve">办公及印刷费、邮电费、差旅费、会议费、福利费、日常维修费、  </w:t>
      </w:r>
      <w:r>
        <w:rPr>
          <w:rFonts w:hint="eastAsia" w:ascii="仿宋_GB2312" w:hAnsi="仿宋_GB2312" w:eastAsia="仿宋_GB2312" w:cs="仿宋_GB2312"/>
          <w:spacing w:val="-25"/>
          <w:w w:val="95"/>
          <w:sz w:val="32"/>
          <w:szCs w:val="32"/>
        </w:rPr>
        <w:t xml:space="preserve">专用材料及一般设备购置费、办公用房水电费、办公用房取暖费、  </w:t>
      </w:r>
      <w:r>
        <w:rPr>
          <w:rFonts w:hint="eastAsia" w:ascii="仿宋_GB2312" w:hAnsi="仿宋_GB2312" w:eastAsia="仿宋_GB2312" w:cs="仿宋_GB2312"/>
          <w:spacing w:val="-25"/>
          <w:sz w:val="32"/>
          <w:szCs w:val="32"/>
        </w:rPr>
        <w:t>办公用房物业管理费、公务用车运行维护费以及其他费用。</w:t>
      </w:r>
    </w:p>
    <w:sectPr>
      <w:pgSz w:w="11910" w:h="16840"/>
      <w:pgMar w:top="1500" w:right="0" w:bottom="1160" w:left="0" w:header="0" w:footer="895" w:gutter="0"/>
      <w:cols w:space="720" w:num="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EFF" w:usb1="C000247B" w:usb2="00000009" w:usb3="00000000" w:csb0="200001FF" w:csb1="00000000"/>
  </w:font>
  <w:font w:name="Arial Unicode MS">
    <w:panose1 w:val="020B0604020202020204"/>
    <w:charset w:val="86"/>
    <w:family w:val="swiss"/>
    <w:pitch w:val="default"/>
    <w:sig w:usb0="FFFFFFFF" w:usb1="E9FFFFFF" w:usb2="0000003F" w:usb3="00000000" w:csb0="603F01FF" w:csb1="FFFF0000"/>
  </w:font>
  <w:font w:name="Microsoft JhengHei">
    <w:panose1 w:val="020B0604030504040204"/>
    <w:charset w:val="88"/>
    <w:family w:val="swiss"/>
    <w:pitch w:val="default"/>
    <w:sig w:usb0="000002A7" w:usb1="28CF4400" w:usb2="00000016" w:usb3="00000000" w:csb0="00100009" w:csb1="00000000"/>
  </w:font>
  <w:font w:name="微软雅黑">
    <w:panose1 w:val="020B0503020204020204"/>
    <w:charset w:val="86"/>
    <w:family w:val="swiss"/>
    <w:pitch w:val="default"/>
    <w:sig w:usb0="80000287" w:usb1="2ACF3C50" w:usb2="00000016" w:usb3="00000000" w:csb0="0004001F" w:csb1="00000000"/>
  </w:font>
  <w:font w:name="华文楷体">
    <w:panose1 w:val="02010600040101010101"/>
    <w:charset w:val="86"/>
    <w:family w:val="auto"/>
    <w:pitch w:val="default"/>
    <w:sig w:usb0="00000287" w:usb1="080F0000" w:usb2="00000000" w:usb3="00000000" w:csb0="0004009F" w:csb1="DFD70000"/>
  </w:font>
  <w:font w:name="仿宋_GB2312">
    <w:panose1 w:val="02010609030101010101"/>
    <w:charset w:val="86"/>
    <w:family w:val="auto"/>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47CA488">
    <w:pPr>
      <w:pStyle w:val="4"/>
      <w:spacing w:line="14" w:lineRule="auto"/>
      <w:rPr>
        <w:sz w:val="12"/>
      </w:rPr>
    </w:pPr>
    <w:r>
      <mc:AlternateContent>
        <mc:Choice Requires="wps">
          <w:drawing>
            <wp:anchor distT="0" distB="0" distL="114300" distR="114300" simplePos="0" relativeHeight="251660288" behindDoc="1" locked="0" layoutInCell="1" allowOverlap="1">
              <wp:simplePos x="0" y="0"/>
              <wp:positionH relativeFrom="page">
                <wp:posOffset>3888105</wp:posOffset>
              </wp:positionH>
              <wp:positionV relativeFrom="page">
                <wp:posOffset>9932670</wp:posOffset>
              </wp:positionV>
              <wp:extent cx="109220" cy="139700"/>
              <wp:effectExtent l="0" t="0" r="0" b="0"/>
              <wp:wrapNone/>
              <wp:docPr id="25" name="文本框 1"/>
              <wp:cNvGraphicFramePr/>
              <a:graphic xmlns:a="http://schemas.openxmlformats.org/drawingml/2006/main">
                <a:graphicData uri="http://schemas.microsoft.com/office/word/2010/wordprocessingShape">
                  <wps:wsp>
                    <wps:cNvSpPr txBox="1"/>
                    <wps:spPr>
                      <a:xfrm>
                        <a:off x="0" y="0"/>
                        <a:ext cx="109220" cy="139700"/>
                      </a:xfrm>
                      <a:prstGeom prst="rect">
                        <a:avLst/>
                      </a:prstGeom>
                      <a:noFill/>
                      <a:ln>
                        <a:noFill/>
                      </a:ln>
                    </wps:spPr>
                    <wps:txbx>
                      <w:txbxContent>
                        <w:p w14:paraId="7752C589">
                          <w:pPr>
                            <w:spacing w:line="203" w:lineRule="exact"/>
                            <w:ind w:left="40"/>
                            <w:rPr>
                              <w:rFonts w:ascii="Calibri"/>
                              <w:sz w:val="18"/>
                            </w:rPr>
                          </w:pPr>
                          <w:r>
                            <w:fldChar w:fldCharType="begin"/>
                          </w:r>
                          <w:r>
                            <w:rPr>
                              <w:rFonts w:ascii="Calibri"/>
                              <w:sz w:val="18"/>
                            </w:rPr>
                            <w:instrText xml:space="preserve"> PAGE </w:instrText>
                          </w:r>
                          <w:r>
                            <w:fldChar w:fldCharType="separate"/>
                          </w:r>
                          <w:r>
                            <w:rPr>
                              <w:rFonts w:ascii="Calibri"/>
                              <w:sz w:val="18"/>
                            </w:rPr>
                            <w:t>9</w:t>
                          </w:r>
                          <w:r>
                            <w:fldChar w:fldCharType="end"/>
                          </w:r>
                        </w:p>
                      </w:txbxContent>
                    </wps:txbx>
                    <wps:bodyPr lIns="0" tIns="0" rIns="0" bIns="0" upright="1"/>
                  </wps:wsp>
                </a:graphicData>
              </a:graphic>
            </wp:anchor>
          </w:drawing>
        </mc:Choice>
        <mc:Fallback>
          <w:pict>
            <v:shape id="文本框 1" o:spid="_x0000_s1026" o:spt="202" type="#_x0000_t202" style="position:absolute;left:0pt;margin-left:306.15pt;margin-top:782.1pt;height:11pt;width:8.6pt;mso-position-horizontal-relative:page;mso-position-vertical-relative:page;z-index:-251656192;mso-width-relative:page;mso-height-relative:page;" filled="f" stroked="f" coordsize="21600,21600" o:gfxdata="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">
              <v:fill on="f" focussize="0,0"/>
              <v:stroke on="f"/>
              <v:imagedata o:title=""/>
              <o:lock v:ext="edit" aspectratio="f"/>
              <v:textbox inset="0mm,0mm,0mm,0mm">
                <w:txbxContent>
                  <w:p w14:paraId="7752C589">
                    <w:pPr>
                      <w:spacing w:line="203" w:lineRule="exact"/>
                      <w:ind w:left="40"/>
                      <w:rPr>
                        <w:rFonts w:ascii="Calibri"/>
                        <w:sz w:val="18"/>
                      </w:rPr>
                    </w:pPr>
                    <w:r>
                      <w:fldChar w:fldCharType="begin"/>
                    </w:r>
                    <w:r>
                      <w:rPr>
                        <w:rFonts w:ascii="Calibri"/>
                        <w:sz w:val="18"/>
                      </w:rPr>
                      <w:instrText xml:space="preserve"> PAGE </w:instrText>
                    </w:r>
                    <w:r>
                      <w:fldChar w:fldCharType="separate"/>
                    </w:r>
                    <w:r>
                      <w:rPr>
                        <w:rFonts w:ascii="Calibri"/>
                        <w:sz w:val="18"/>
                      </w:rPr>
                      <w:t>9</w:t>
                    </w:r>
                    <w:r>
                      <w:fldChar w:fldCharType="end"/>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4B8F148">
    <w:pPr>
      <w:pStyle w:val="4"/>
      <w:spacing w:line="14" w:lineRule="auto"/>
      <w:rPr>
        <w:sz w:val="20"/>
      </w:rPr>
    </w:pPr>
    <w:r>
      <mc:AlternateContent>
        <mc:Choice Requires="wps">
          <w:drawing>
            <wp:anchor distT="0" distB="0" distL="114300" distR="114300" simplePos="0" relativeHeight="251661312" behindDoc="1" locked="0" layoutInCell="1" allowOverlap="1">
              <wp:simplePos x="0" y="0"/>
              <wp:positionH relativeFrom="page">
                <wp:posOffset>3860800</wp:posOffset>
              </wp:positionH>
              <wp:positionV relativeFrom="page">
                <wp:posOffset>9932670</wp:posOffset>
              </wp:positionV>
              <wp:extent cx="167005" cy="139700"/>
              <wp:effectExtent l="0" t="0" r="0" b="0"/>
              <wp:wrapNone/>
              <wp:docPr id="26" name="文本框 2"/>
              <wp:cNvGraphicFramePr/>
              <a:graphic xmlns:a="http://schemas.openxmlformats.org/drawingml/2006/main">
                <a:graphicData uri="http://schemas.microsoft.com/office/word/2010/wordprocessingShape">
                  <wps:wsp>
                    <wps:cNvSpPr txBox="1"/>
                    <wps:spPr>
                      <a:xfrm>
                        <a:off x="0" y="0"/>
                        <a:ext cx="167005" cy="139700"/>
                      </a:xfrm>
                      <a:prstGeom prst="rect">
                        <a:avLst/>
                      </a:prstGeom>
                      <a:noFill/>
                      <a:ln>
                        <a:noFill/>
                      </a:ln>
                    </wps:spPr>
                    <wps:txbx>
                      <w:txbxContent>
                        <w:p w14:paraId="0214EE24">
                          <w:pPr>
                            <w:spacing w:line="203" w:lineRule="exact"/>
                            <w:ind w:left="40"/>
                            <w:rPr>
                              <w:rFonts w:ascii="Calibri"/>
                              <w:sz w:val="18"/>
                            </w:rPr>
                          </w:pPr>
                          <w:r>
                            <w:fldChar w:fldCharType="begin"/>
                          </w:r>
                          <w:r>
                            <w:rPr>
                              <w:rFonts w:ascii="Calibri"/>
                              <w:sz w:val="18"/>
                            </w:rPr>
                            <w:instrText xml:space="preserve"> PAGE </w:instrText>
                          </w:r>
                          <w:r>
                            <w:fldChar w:fldCharType="separate"/>
                          </w:r>
                          <w:r>
                            <w:rPr>
                              <w:rFonts w:ascii="Calibri"/>
                              <w:sz w:val="18"/>
                            </w:rPr>
                            <w:t>21</w:t>
                          </w:r>
                          <w:r>
                            <w:fldChar w:fldCharType="end"/>
                          </w:r>
                        </w:p>
                      </w:txbxContent>
                    </wps:txbx>
                    <wps:bodyPr lIns="0" tIns="0" rIns="0" bIns="0" upright="1"/>
                  </wps:wsp>
                </a:graphicData>
              </a:graphic>
            </wp:anchor>
          </w:drawing>
        </mc:Choice>
        <mc:Fallback>
          <w:pict>
            <v:shape id="文本框 2" o:spid="_x0000_s1026" o:spt="202" type="#_x0000_t202" style="position:absolute;left:0pt;margin-left:304pt;margin-top:782.1pt;height:11pt;width:13.15pt;mso-position-horizontal-relative:page;mso-position-vertical-relative:page;z-index:-251655168;mso-width-relative:page;mso-height-relative:page;" filled="f" stroked="f" coordsize="21600,21600" o:gfxdata="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">
              <v:fill on="f" focussize="0,0"/>
              <v:stroke on="f"/>
              <v:imagedata o:title=""/>
              <o:lock v:ext="edit" aspectratio="f"/>
              <v:textbox inset="0mm,0mm,0mm,0mm">
                <w:txbxContent>
                  <w:p w14:paraId="0214EE24">
                    <w:pPr>
                      <w:spacing w:line="203" w:lineRule="exact"/>
                      <w:ind w:left="40"/>
                      <w:rPr>
                        <w:rFonts w:ascii="Calibri"/>
                        <w:sz w:val="18"/>
                      </w:rPr>
                    </w:pPr>
                    <w:r>
                      <w:fldChar w:fldCharType="begin"/>
                    </w:r>
                    <w:r>
                      <w:rPr>
                        <w:rFonts w:ascii="Calibri"/>
                        <w:sz w:val="18"/>
                      </w:rPr>
                      <w:instrText xml:space="preserve"> PAGE </w:instrText>
                    </w:r>
                    <w:r>
                      <w:fldChar w:fldCharType="separate"/>
                    </w:r>
                    <w:r>
                      <w:rPr>
                        <w:rFonts w:ascii="Calibri"/>
                        <w:sz w:val="18"/>
                      </w:rPr>
                      <w:t>21</w:t>
                    </w:r>
                    <w:r>
                      <w:fldChar w:fldCharType="end"/>
                    </w:r>
                  </w:p>
                </w:txbxContent>
              </v:textbox>
            </v:shape>
          </w:pict>
        </mc:Fallback>
      </mc:AlternateConten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D970249">
    <w:pPr>
      <w:pStyle w:val="4"/>
      <w:spacing w:line="14" w:lineRule="auto"/>
      <w:rPr>
        <w:sz w:val="12"/>
      </w:rPr>
    </w:pPr>
    <w:r>
      <mc:AlternateContent>
        <mc:Choice Requires="wps">
          <w:drawing>
            <wp:anchor distT="0" distB="0" distL="114300" distR="114300" simplePos="0" relativeHeight="251662336" behindDoc="1" locked="0" layoutInCell="1" allowOverlap="1">
              <wp:simplePos x="0" y="0"/>
              <wp:positionH relativeFrom="page">
                <wp:posOffset>3860800</wp:posOffset>
              </wp:positionH>
              <wp:positionV relativeFrom="page">
                <wp:posOffset>9932670</wp:posOffset>
              </wp:positionV>
              <wp:extent cx="167005" cy="139700"/>
              <wp:effectExtent l="0" t="0" r="0" b="0"/>
              <wp:wrapNone/>
              <wp:docPr id="27" name="文本框 3"/>
              <wp:cNvGraphicFramePr/>
              <a:graphic xmlns:a="http://schemas.openxmlformats.org/drawingml/2006/main">
                <a:graphicData uri="http://schemas.microsoft.com/office/word/2010/wordprocessingShape">
                  <wps:wsp>
                    <wps:cNvSpPr txBox="1"/>
                    <wps:spPr>
                      <a:xfrm>
                        <a:off x="0" y="0"/>
                        <a:ext cx="167005" cy="139700"/>
                      </a:xfrm>
                      <a:prstGeom prst="rect">
                        <a:avLst/>
                      </a:prstGeom>
                      <a:noFill/>
                      <a:ln>
                        <a:noFill/>
                      </a:ln>
                    </wps:spPr>
                    <wps:txbx>
                      <w:txbxContent>
                        <w:p w14:paraId="0F98B2E6">
                          <w:pPr>
                            <w:spacing w:line="203" w:lineRule="exact"/>
                            <w:ind w:left="40"/>
                            <w:rPr>
                              <w:rFonts w:ascii="Calibri"/>
                              <w:sz w:val="18"/>
                            </w:rPr>
                          </w:pPr>
                          <w:r>
                            <w:fldChar w:fldCharType="begin"/>
                          </w:r>
                          <w:r>
                            <w:rPr>
                              <w:rFonts w:ascii="Calibri"/>
                              <w:sz w:val="18"/>
                            </w:rPr>
                            <w:instrText xml:space="preserve"> PAGE </w:instrText>
                          </w:r>
                          <w:r>
                            <w:fldChar w:fldCharType="separate"/>
                          </w:r>
                          <w:r>
                            <w:rPr>
                              <w:rFonts w:ascii="Calibri"/>
                              <w:sz w:val="18"/>
                            </w:rPr>
                            <w:t>22</w:t>
                          </w:r>
                          <w:r>
                            <w:fldChar w:fldCharType="end"/>
                          </w:r>
                        </w:p>
                      </w:txbxContent>
                    </wps:txbx>
                    <wps:bodyPr lIns="0" tIns="0" rIns="0" bIns="0" upright="1"/>
                  </wps:wsp>
                </a:graphicData>
              </a:graphic>
            </wp:anchor>
          </w:drawing>
        </mc:Choice>
        <mc:Fallback>
          <w:pict>
            <v:shape id="文本框 3" o:spid="_x0000_s1026" o:spt="202" type="#_x0000_t202" style="position:absolute;left:0pt;margin-left:304pt;margin-top:782.1pt;height:11pt;width:13.15pt;mso-position-horizontal-relative:page;mso-position-vertical-relative:page;z-index:-251654144;mso-width-relative:page;mso-height-relative:page;" filled="f" stroked="f" coordsize="21600,21600" o:gfxdata="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">
              <v:fill on="f" focussize="0,0"/>
              <v:stroke on="f"/>
              <v:imagedata o:title=""/>
              <o:lock v:ext="edit" aspectratio="f"/>
              <v:textbox inset="0mm,0mm,0mm,0mm">
                <w:txbxContent>
                  <w:p w14:paraId="0F98B2E6">
                    <w:pPr>
                      <w:spacing w:line="203" w:lineRule="exact"/>
                      <w:ind w:left="40"/>
                      <w:rPr>
                        <w:rFonts w:ascii="Calibri"/>
                        <w:sz w:val="18"/>
                      </w:rPr>
                    </w:pPr>
                    <w:r>
                      <w:fldChar w:fldCharType="begin"/>
                    </w:r>
                    <w:r>
                      <w:rPr>
                        <w:rFonts w:ascii="Calibri"/>
                        <w:sz w:val="18"/>
                      </w:rPr>
                      <w:instrText xml:space="preserve"> PAGE </w:instrText>
                    </w:r>
                    <w:r>
                      <w:fldChar w:fldCharType="separate"/>
                    </w:r>
                    <w:r>
                      <w:rPr>
                        <w:rFonts w:ascii="Calibri"/>
                        <w:sz w:val="18"/>
                      </w:rPr>
                      <w:t>22</w:t>
                    </w:r>
                    <w:r>
                      <w:fldChar w:fldCharType="end"/>
                    </w:r>
                  </w:p>
                </w:txbxContent>
              </v:textbox>
            </v:shape>
          </w:pict>
        </mc:Fallback>
      </mc:AlternateContent>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729DC26E"/>
    <w:multiLevelType w:val="singleLevel"/>
    <w:tmpl w:val="729DC26E"/>
    <w:lvl w:ilvl="0" w:tentative="0">
      <w:start w:val="2"/>
      <w:numFmt w:val="chineseCounting"/>
      <w:suff w:val="nothing"/>
      <w:lvlText w:val="（%1）"/>
      <w:lvlJc w:val="left"/>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bordersDoNotSurroundHeader w:val="0"/>
  <w:bordersDoNotSurroundFooter w:val="0"/>
  <w:documentProtection w:enforcement="0"/>
  <w:defaultTabStop w:val="720"/>
  <w:drawingGridHorizontalSpacing w:val="110"/>
  <w:displayHorizontalDrawingGridEvery w:val="1"/>
  <w:displayVerticalDrawingGridEvery w:val="1"/>
  <w:noPunctuationKerning w:val="1"/>
  <w:characterSpacingControl w:val="doNotCompress"/>
  <w:hdrShapeDefaults>
    <o:shapelayout v:ext="edit">
      <o:idmap v:ext="edit" data="2"/>
    </o:shapelayout>
  </w:hdrShapeDefaults>
  <w:compat>
    <w:ulTrailSpace/>
    <w:doNotExpandShiftReturn/>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jJiN2VkNTA2YjEzYTU4NGIyYTg1MzY4N2JjOWFjODYifQ=="/>
  </w:docVars>
  <w:rsids>
    <w:rsidRoot w:val="00EE4FD9"/>
    <w:rsid w:val="001F419D"/>
    <w:rsid w:val="00540B5E"/>
    <w:rsid w:val="00BD4783"/>
    <w:rsid w:val="00EE4FD9"/>
    <w:rsid w:val="017B45DB"/>
    <w:rsid w:val="0C03546D"/>
    <w:rsid w:val="0D5701D4"/>
    <w:rsid w:val="15077A8C"/>
    <w:rsid w:val="17725D2B"/>
    <w:rsid w:val="17EA2B26"/>
    <w:rsid w:val="19DF3552"/>
    <w:rsid w:val="1A0A4184"/>
    <w:rsid w:val="1B2F094F"/>
    <w:rsid w:val="1BB965CB"/>
    <w:rsid w:val="1C6B037B"/>
    <w:rsid w:val="1CB9601D"/>
    <w:rsid w:val="1E7C27F0"/>
    <w:rsid w:val="20E35DDD"/>
    <w:rsid w:val="22160D89"/>
    <w:rsid w:val="28DE3C83"/>
    <w:rsid w:val="2A8D770F"/>
    <w:rsid w:val="2BF0264B"/>
    <w:rsid w:val="30644469"/>
    <w:rsid w:val="31DE0468"/>
    <w:rsid w:val="35DFCA11"/>
    <w:rsid w:val="367D5081"/>
    <w:rsid w:val="3C1E0B0E"/>
    <w:rsid w:val="3D263ADF"/>
    <w:rsid w:val="3FAF1EE3"/>
    <w:rsid w:val="3FEBF02A"/>
    <w:rsid w:val="40371A00"/>
    <w:rsid w:val="43435D3F"/>
    <w:rsid w:val="43ED0DC6"/>
    <w:rsid w:val="44564BBE"/>
    <w:rsid w:val="464B44B5"/>
    <w:rsid w:val="487D7EF8"/>
    <w:rsid w:val="48AA16D5"/>
    <w:rsid w:val="4A622219"/>
    <w:rsid w:val="4A9C63EC"/>
    <w:rsid w:val="4BB943B0"/>
    <w:rsid w:val="4EDF05AA"/>
    <w:rsid w:val="4FAB59BE"/>
    <w:rsid w:val="50575856"/>
    <w:rsid w:val="56C65EB6"/>
    <w:rsid w:val="5ADEA21D"/>
    <w:rsid w:val="5CAF4AE8"/>
    <w:rsid w:val="67BF6E9D"/>
    <w:rsid w:val="68A855AF"/>
    <w:rsid w:val="6B5B46E4"/>
    <w:rsid w:val="6C692141"/>
    <w:rsid w:val="6E74229C"/>
    <w:rsid w:val="6F395346"/>
    <w:rsid w:val="70A83CD6"/>
    <w:rsid w:val="72622634"/>
    <w:rsid w:val="744C19F6"/>
    <w:rsid w:val="75721EF5"/>
    <w:rsid w:val="77EBDB6C"/>
    <w:rsid w:val="7D5F6A9B"/>
    <w:rsid w:val="7FFCD348"/>
    <w:rsid w:val="7FFEC872"/>
    <w:rsid w:val="B2BFBC80"/>
    <w:rsid w:val="EBF7D03E"/>
    <w:rsid w:val="EF3ECE47"/>
    <w:rsid w:val="EFD34E23"/>
    <w:rsid w:val="FAEFABCC"/>
    <w:rsid w:val="FBEF34D0"/>
    <w:rsid w:val="FD9EA27B"/>
    <w:rsid w:val="FF7FE749"/>
    <w:rsid w:val="FF8D95B3"/>
    <w:rsid w:val="FFF54687"/>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1" w:semiHidden="0" w:name="Normal"/>
    <w:lsdException w:qFormat="1" w:unhideWhenUsed="0" w:uiPriority="1" w:semiHidden="0" w:name="heading 1"/>
    <w:lsdException w:qFormat="1" w:unhideWhenUsed="0" w:uiPriority="1"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1"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qFormat="1"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1"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1"/>
    <w:pPr>
      <w:widowControl w:val="0"/>
      <w:autoSpaceDE w:val="0"/>
      <w:autoSpaceDN w:val="0"/>
    </w:pPr>
    <w:rPr>
      <w:rFonts w:ascii="Arial Unicode MS" w:hAnsi="Arial Unicode MS" w:eastAsia="Arial Unicode MS" w:cs="Arial Unicode MS"/>
      <w:sz w:val="22"/>
      <w:szCs w:val="22"/>
      <w:lang w:val="zh-CN" w:eastAsia="zh-CN" w:bidi="zh-CN"/>
    </w:rPr>
  </w:style>
  <w:style w:type="paragraph" w:styleId="2">
    <w:name w:val="heading 1"/>
    <w:basedOn w:val="1"/>
    <w:next w:val="1"/>
    <w:qFormat/>
    <w:uiPriority w:val="1"/>
    <w:pPr>
      <w:spacing w:line="947" w:lineRule="exact"/>
      <w:ind w:left="34"/>
      <w:jc w:val="center"/>
      <w:outlineLvl w:val="0"/>
    </w:pPr>
    <w:rPr>
      <w:rFonts w:ascii="Microsoft JhengHei" w:hAnsi="Microsoft JhengHei" w:eastAsia="Microsoft JhengHei" w:cs="Microsoft JhengHei"/>
      <w:b/>
      <w:bCs/>
      <w:sz w:val="52"/>
      <w:szCs w:val="52"/>
    </w:rPr>
  </w:style>
  <w:style w:type="paragraph" w:styleId="3">
    <w:name w:val="heading 2"/>
    <w:basedOn w:val="1"/>
    <w:next w:val="1"/>
    <w:qFormat/>
    <w:uiPriority w:val="1"/>
    <w:pPr>
      <w:spacing w:line="510" w:lineRule="exact"/>
      <w:ind w:left="2440"/>
      <w:outlineLvl w:val="1"/>
    </w:pPr>
    <w:rPr>
      <w:rFonts w:ascii="Microsoft JhengHei" w:hAnsi="Microsoft JhengHei" w:eastAsia="Microsoft JhengHei" w:cs="Microsoft JhengHei"/>
      <w:b/>
      <w:bCs/>
      <w:sz w:val="32"/>
      <w:szCs w:val="32"/>
    </w:rPr>
  </w:style>
  <w:style w:type="character" w:default="1" w:styleId="7">
    <w:name w:val="Default Paragraph Font"/>
    <w:semiHidden/>
    <w:unhideWhenUsed/>
    <w:qFormat/>
    <w:uiPriority w:val="1"/>
  </w:style>
  <w:style w:type="table" w:default="1" w:styleId="6">
    <w:name w:val="Normal Table"/>
    <w:semiHidden/>
    <w:unhideWhenUsed/>
    <w:qFormat/>
    <w:uiPriority w:val="99"/>
    <w:tblPr>
      <w:tblCellMar>
        <w:top w:w="0" w:type="dxa"/>
        <w:left w:w="108" w:type="dxa"/>
        <w:bottom w:w="0" w:type="dxa"/>
        <w:right w:w="108" w:type="dxa"/>
      </w:tblCellMar>
    </w:tblPr>
  </w:style>
  <w:style w:type="paragraph" w:styleId="4">
    <w:name w:val="Body Text"/>
    <w:basedOn w:val="1"/>
    <w:qFormat/>
    <w:uiPriority w:val="1"/>
    <w:rPr>
      <w:sz w:val="32"/>
      <w:szCs w:val="32"/>
    </w:rPr>
  </w:style>
  <w:style w:type="paragraph" w:styleId="5">
    <w:name w:val="Balloon Text"/>
    <w:basedOn w:val="1"/>
    <w:link w:val="11"/>
    <w:qFormat/>
    <w:uiPriority w:val="0"/>
    <w:rPr>
      <w:sz w:val="18"/>
      <w:szCs w:val="18"/>
    </w:rPr>
  </w:style>
  <w:style w:type="table" w:customStyle="1" w:styleId="8">
    <w:name w:val="Table Normal"/>
    <w:semiHidden/>
    <w:unhideWhenUsed/>
    <w:qFormat/>
    <w:uiPriority w:val="2"/>
    <w:tblPr>
      <w:tblCellMar>
        <w:top w:w="0" w:type="dxa"/>
        <w:left w:w="0" w:type="dxa"/>
        <w:bottom w:w="0" w:type="dxa"/>
        <w:right w:w="0" w:type="dxa"/>
      </w:tblCellMar>
    </w:tblPr>
  </w:style>
  <w:style w:type="paragraph" w:styleId="9">
    <w:name w:val="List Paragraph"/>
    <w:basedOn w:val="1"/>
    <w:qFormat/>
    <w:uiPriority w:val="1"/>
    <w:pPr>
      <w:spacing w:line="547" w:lineRule="exact"/>
      <w:ind w:left="2680" w:hanging="241"/>
    </w:pPr>
    <w:rPr>
      <w:rFonts w:ascii="Microsoft JhengHei" w:hAnsi="Microsoft JhengHei" w:eastAsia="Microsoft JhengHei" w:cs="Microsoft JhengHei"/>
    </w:rPr>
  </w:style>
  <w:style w:type="paragraph" w:customStyle="1" w:styleId="10">
    <w:name w:val="Table Paragraph"/>
    <w:basedOn w:val="1"/>
    <w:qFormat/>
    <w:uiPriority w:val="1"/>
    <w:pPr>
      <w:spacing w:before="107"/>
      <w:ind w:left="9" w:right="1466"/>
      <w:jc w:val="center"/>
    </w:pPr>
    <w:rPr>
      <w:rFonts w:ascii="宋体" w:hAnsi="宋体" w:eastAsia="宋体" w:cs="宋体"/>
    </w:rPr>
  </w:style>
  <w:style w:type="character" w:customStyle="1" w:styleId="11">
    <w:name w:val="批注框文本 Char"/>
    <w:basedOn w:val="7"/>
    <w:link w:val="5"/>
    <w:qFormat/>
    <w:uiPriority w:val="0"/>
    <w:rPr>
      <w:rFonts w:ascii="Arial Unicode MS" w:hAnsi="Arial Unicode MS" w:eastAsia="Arial Unicode MS" w:cs="Arial Unicode MS"/>
      <w:sz w:val="18"/>
      <w:szCs w:val="18"/>
      <w:lang w:val="zh-CN" w:bidi="zh-CN"/>
    </w:rPr>
  </w:style>
</w:styles>
</file>

<file path=word/_rels/document.xml.rels><?xml version="1.0" encoding="UTF-8" standalone="yes"?>
<Relationships xmlns="http://schemas.openxmlformats.org/package/2006/relationships"><Relationship Id="rId9" Type="http://schemas.openxmlformats.org/officeDocument/2006/relationships/image" Target="media/image3.png"/><Relationship Id="rId8" Type="http://schemas.openxmlformats.org/officeDocument/2006/relationships/image" Target="media/image2.png"/><Relationship Id="rId7" Type="http://schemas.openxmlformats.org/officeDocument/2006/relationships/image" Target="media/image1.png"/><Relationship Id="rId6" Type="http://schemas.openxmlformats.org/officeDocument/2006/relationships/theme" Target="theme/theme1.xml"/><Relationship Id="rId5" Type="http://schemas.openxmlformats.org/officeDocument/2006/relationships/footer" Target="footer3.xml"/><Relationship Id="rId4" Type="http://schemas.openxmlformats.org/officeDocument/2006/relationships/footer" Target="footer2.xml"/><Relationship Id="rId3" Type="http://schemas.openxmlformats.org/officeDocument/2006/relationships/footer" Target="footer1.xml"/><Relationship Id="rId25" Type="http://schemas.openxmlformats.org/officeDocument/2006/relationships/fontTable" Target="fontTable.xml"/><Relationship Id="rId24" Type="http://schemas.openxmlformats.org/officeDocument/2006/relationships/numbering" Target="numbering.xml"/><Relationship Id="rId23" Type="http://schemas.openxmlformats.org/officeDocument/2006/relationships/customXml" Target="../customXml/item1.xml"/><Relationship Id="rId22" Type="http://schemas.openxmlformats.org/officeDocument/2006/relationships/image" Target="media/image10.png"/><Relationship Id="rId21" Type="http://schemas.openxmlformats.org/officeDocument/2006/relationships/chart" Target="charts/chart6.xml"/><Relationship Id="rId20" Type="http://schemas.openxmlformats.org/officeDocument/2006/relationships/chart" Target="charts/chart5.xml"/><Relationship Id="rId2" Type="http://schemas.openxmlformats.org/officeDocument/2006/relationships/settings" Target="settings.xml"/><Relationship Id="rId19" Type="http://schemas.openxmlformats.org/officeDocument/2006/relationships/chart" Target="charts/chart4.xml"/><Relationship Id="rId18" Type="http://schemas.openxmlformats.org/officeDocument/2006/relationships/chart" Target="charts/chart3.xml"/><Relationship Id="rId17" Type="http://schemas.openxmlformats.org/officeDocument/2006/relationships/chart" Target="charts/chart2.xml"/><Relationship Id="rId16" Type="http://schemas.openxmlformats.org/officeDocument/2006/relationships/chart" Target="charts/chart1.xml"/><Relationship Id="rId15" Type="http://schemas.openxmlformats.org/officeDocument/2006/relationships/image" Target="media/image9.png"/><Relationship Id="rId14" Type="http://schemas.openxmlformats.org/officeDocument/2006/relationships/image" Target="media/image8.png"/><Relationship Id="rId13" Type="http://schemas.openxmlformats.org/officeDocument/2006/relationships/image" Target="media/image7.png"/><Relationship Id="rId12" Type="http://schemas.openxmlformats.org/officeDocument/2006/relationships/image" Target="media/image6.png"/><Relationship Id="rId11" Type="http://schemas.openxmlformats.org/officeDocument/2006/relationships/image" Target="media/image5.png"/><Relationship Id="rId10" Type="http://schemas.openxmlformats.org/officeDocument/2006/relationships/image" Target="media/image4.png"/><Relationship Id="rId1" Type="http://schemas.openxmlformats.org/officeDocument/2006/relationships/styles" Target="styles.xml"/></Relationships>
</file>

<file path=word/charts/_rels/chart1.xml.rels><?xml version="1.0" encoding="UTF-8" standalone="yes"?>
<Relationships xmlns="http://schemas.openxmlformats.org/package/2006/relationships"><Relationship Id="rId3" Type="http://schemas.microsoft.com/office/2011/relationships/chartColorStyle" Target="colors1.xml"/><Relationship Id="rId2" Type="http://schemas.microsoft.com/office/2011/relationships/chartStyle" Target="style1.xml"/><Relationship Id="rId1" Type="http://schemas.openxmlformats.org/officeDocument/2006/relationships/oleObject" Target="file:///C:\Users\Administrator\Desktop\&#26032;&#24314;%20XLS%20&#24037;&#20316;&#34920;.xls" TargetMode="External"/></Relationships>
</file>

<file path=word/charts/_rels/chart2.xml.rels><?xml version="1.0" encoding="UTF-8" standalone="yes"?>
<Relationships xmlns="http://schemas.openxmlformats.org/package/2006/relationships"><Relationship Id="rId2" Type="http://schemas.openxmlformats.org/officeDocument/2006/relationships/themeOverride" Target="../theme/themeOverride2.xml"/><Relationship Id="rId1" Type="http://schemas.openxmlformats.org/officeDocument/2006/relationships/package" Target="../embeddings/Workbook2.xlsx"/></Relationships>
</file>

<file path=word/charts/_rels/chart3.xml.rels><?xml version="1.0" encoding="UTF-8" standalone="yes"?>
<Relationships xmlns="http://schemas.openxmlformats.org/package/2006/relationships"><Relationship Id="rId2" Type="http://schemas.openxmlformats.org/officeDocument/2006/relationships/themeOverride" Target="../theme/themeOverride3.xml"/><Relationship Id="rId1" Type="http://schemas.openxmlformats.org/officeDocument/2006/relationships/package" Target="../embeddings/Workbook3.xlsx"/></Relationships>
</file>

<file path=word/charts/_rels/chart4.xml.rels><?xml version="1.0" encoding="UTF-8" standalone="yes"?>
<Relationships xmlns="http://schemas.openxmlformats.org/package/2006/relationships"><Relationship Id="rId3" Type="http://schemas.microsoft.com/office/2011/relationships/chartColorStyle" Target="colors3.xml"/><Relationship Id="rId2" Type="http://schemas.microsoft.com/office/2011/relationships/chartStyle" Target="style3.xml"/><Relationship Id="rId1" Type="http://schemas.openxmlformats.org/officeDocument/2006/relationships/oleObject" Target="file:///C:\Users\Administrator\Desktop\&#26032;&#24314;%20XLS%20&#24037;&#20316;&#34920;.xls" TargetMode="External"/></Relationships>
</file>

<file path=word/charts/_rels/chart5.xml.rels><?xml version="1.0" encoding="UTF-8" standalone="yes"?>
<Relationships xmlns="http://schemas.openxmlformats.org/package/2006/relationships"><Relationship Id="rId3" Type="http://schemas.microsoft.com/office/2011/relationships/chartColorStyle" Target="colors2.xml"/><Relationship Id="rId2" Type="http://schemas.microsoft.com/office/2011/relationships/chartStyle" Target="style2.xml"/><Relationship Id="rId1" Type="http://schemas.openxmlformats.org/officeDocument/2006/relationships/oleObject" Target="/home/baixin/&#26700;&#38754;/WPS&#34920;&#26684;&#24037;&#20316;&#34920;%20-%20&#21103;&#26412;(1).et" TargetMode="External"/></Relationships>
</file>

<file path=word/charts/_rels/chart6.xml.rels><?xml version="1.0" encoding="UTF-8" standalone="yes"?>
<Relationships xmlns="http://schemas.openxmlformats.org/package/2006/relationships"><Relationship Id="rId2" Type="http://schemas.openxmlformats.org/officeDocument/2006/relationships/themeOverride" Target="../theme/themeOverride1.xml"/><Relationship Id="rId1" Type="http://schemas.openxmlformats.org/officeDocument/2006/relationships/package" Target="../embeddings/Workbook1.xlsx"/></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layout/>
      <c:overlay val="0"/>
      <c:spPr>
        <a:noFill/>
        <a:ln>
          <a:noFill/>
        </a:ln>
        <a:effectLst/>
      </c:spPr>
      <c:txPr>
        <a:bodyPr rot="0" spcFirstLastPara="0" vertOverflow="ellipsis" vert="horz" wrap="square" anchor="ctr" anchorCtr="1"/>
        <a:lstStyle/>
        <a:p>
          <a:pPr>
            <a:defRPr lang="zh-CN" sz="1400" b="1" i="0" u="none" strike="noStrike" kern="1200" baseline="0">
              <a:solidFill>
                <a:schemeClr val="tx1">
                  <a:lumMod val="75000"/>
                  <a:lumOff val="25000"/>
                </a:schemeClr>
              </a:solidFill>
              <a:latin typeface="+mn-lt"/>
              <a:ea typeface="+mn-ea"/>
              <a:cs typeface="+mn-cs"/>
            </a:defRPr>
          </a:pPr>
        </a:p>
      </c:txPr>
    </c:title>
    <c:autoTitleDeleted val="0"/>
    <c:plotArea>
      <c:layout/>
      <c:barChart>
        <c:barDir val="col"/>
        <c:grouping val="clustered"/>
        <c:varyColors val="0"/>
        <c:ser>
          <c:idx val="0"/>
          <c:order val="0"/>
          <c:spPr>
            <a:solidFill>
              <a:schemeClr val="accent1"/>
            </a:solidFill>
            <a:ln>
              <a:noFill/>
            </a:ln>
            <a:effectLst/>
          </c:spPr>
          <c:invertIfNegative val="0"/>
          <c:dLbls>
            <c:dLbl>
              <c:idx val="0"/>
              <c:layout>
                <c:manualLayout>
                  <c:x val="-0.00158898305084746"/>
                  <c:y val="0"/>
                </c:manualLayout>
              </c:layout>
              <c:tx>
                <c:rich>
                  <a:bodyPr rot="0" spcFirstLastPara="0" vertOverflow="ellipsis" vert="horz" wrap="square" lIns="38100" tIns="19050" rIns="38100" bIns="19050" anchor="ctr" anchorCtr="1"/>
                  <a:lstStyle/>
                  <a:p>
                    <a:pPr defTabSz="914400">
                      <a:defRPr lang="zh-CN" sz="1000" b="0" i="0" u="none" strike="noStrike" kern="1200" baseline="0">
                        <a:solidFill>
                          <a:schemeClr val="tx1">
                            <a:lumMod val="75000"/>
                            <a:lumOff val="25000"/>
                          </a:schemeClr>
                        </a:solidFill>
                        <a:latin typeface="+mn-lt"/>
                        <a:ea typeface="+mn-ea"/>
                        <a:cs typeface="+mn-cs"/>
                      </a:defRPr>
                    </a:pPr>
                    <a:r>
                      <a:rPr lang="en-US" altLang="zh-CN"/>
                      <a:t>2023</a:t>
                    </a:r>
                    <a:r>
                      <a:rPr altLang="en-US"/>
                      <a:t>年度</a:t>
                    </a:r>
                    <a:r>
                      <a:rPr lang="en-US" altLang="zh-CN"/>
                      <a:t>862.54</a:t>
                    </a:r>
                    <a:r>
                      <a:t>万元</a:t>
                    </a:r>
                  </a:p>
                </c:rich>
              </c:tx>
              <c:dLblPos val="outEnd"/>
              <c:showLegendKey val="0"/>
              <c:showVal val="1"/>
              <c:showCatName val="0"/>
              <c:showSerName val="0"/>
              <c:showPercent val="0"/>
              <c:showBubbleSize val="0"/>
              <c:extLst>
                <c:ext xmlns:c15="http://schemas.microsoft.com/office/drawing/2012/chart" uri="{CE6537A1-D6FC-4f65-9D91-7224C49458BB}">
                  <c15:layout/>
                </c:ext>
              </c:extLst>
            </c:dLbl>
            <c:dLbl>
              <c:idx val="1"/>
              <c:layout/>
              <c:tx>
                <c:rich>
                  <a:bodyPr rot="0" spcFirstLastPara="0" vertOverflow="ellipsis" vert="horz" wrap="square" lIns="38100" tIns="19050" rIns="38100" bIns="19050" anchor="ctr" anchorCtr="1"/>
                  <a:lstStyle/>
                  <a:p>
                    <a:pPr defTabSz="914400">
                      <a:defRPr lang="zh-CN" sz="1000" b="0" i="0" u="none" strike="noStrike" kern="1200" baseline="0">
                        <a:solidFill>
                          <a:schemeClr val="tx1">
                            <a:lumMod val="75000"/>
                            <a:lumOff val="25000"/>
                          </a:schemeClr>
                        </a:solidFill>
                        <a:latin typeface="+mn-lt"/>
                        <a:ea typeface="+mn-ea"/>
                        <a:cs typeface="+mn-cs"/>
                      </a:defRPr>
                    </a:pPr>
                    <a:r>
                      <a:rPr lang="en-US" altLang="zh-CN"/>
                      <a:t>2024</a:t>
                    </a:r>
                    <a:r>
                      <a:rPr altLang="en-US"/>
                      <a:t>年度</a:t>
                    </a:r>
                    <a:r>
                      <a:rPr lang="en-US" altLang="zh-CN"/>
                      <a:t>834.34</a:t>
                    </a:r>
                    <a:r>
                      <a:t>万元</a:t>
                    </a:r>
                  </a:p>
                </c:rich>
              </c:tx>
              <c:dLblPos val="outEnd"/>
              <c:showLegendKey val="0"/>
              <c:showVal val="1"/>
              <c:showCatName val="0"/>
              <c:showSerName val="0"/>
              <c:showPercent val="0"/>
              <c:showBubbleSize val="0"/>
              <c:extLst>
                <c:ext xmlns:c15="http://schemas.microsoft.com/office/drawing/2012/chart" uri="{CE6537A1-D6FC-4f65-9D91-7224C49458BB}">
                  <c15:layout>
                    <c:manualLayout>
                      <c:w val="0.145391949152542"/>
                      <c:h val="0.292950869697894"/>
                    </c:manualLayout>
                  </c15:layout>
                </c:ext>
              </c:extLst>
            </c:dLbl>
            <c:spPr>
              <a:noFill/>
              <a:ln>
                <a:noFill/>
              </a:ln>
              <a:effectLst/>
            </c:spPr>
            <c:txPr>
              <a:bodyPr rot="0" spcFirstLastPara="0" vertOverflow="ellipsis" vert="horz" wrap="square" lIns="38100" tIns="19050" rIns="38100" bIns="19050" anchor="ctr" anchorCtr="1"/>
              <a:lstStyle/>
              <a:p>
                <a:pPr>
                  <a:defRPr lang="zh-CN" sz="1000" b="0" i="0" u="none" strike="noStrike" kern="1200" baseline="0">
                    <a:solidFill>
                      <a:schemeClr val="tx1">
                        <a:lumMod val="75000"/>
                        <a:lumOff val="25000"/>
                      </a:schemeClr>
                    </a:solidFill>
                    <a:latin typeface="+mn-lt"/>
                    <a:ea typeface="+mn-ea"/>
                    <a:cs typeface="+mn-cs"/>
                  </a:defRPr>
                </a:pPr>
              </a:p>
            </c:txPr>
            <c:dLblPos val="outEnd"/>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val>
            <c:numRef>
              <c:f>'[新建 XLS 工作表.xls]Sheet1'!$F$10:$F$11</c:f>
              <c:numCache>
                <c:formatCode>General</c:formatCode>
                <c:ptCount val="2"/>
                <c:pt idx="0">
                  <c:v>1985.19</c:v>
                </c:pt>
                <c:pt idx="1">
                  <c:v>1629.66</c:v>
                </c:pt>
              </c:numCache>
            </c:numRef>
          </c:val>
        </c:ser>
        <c:dLbls>
          <c:showLegendKey val="0"/>
          <c:showVal val="1"/>
          <c:showCatName val="0"/>
          <c:showSerName val="0"/>
          <c:showPercent val="0"/>
          <c:showBubbleSize val="0"/>
        </c:dLbls>
        <c:gapWidth val="150"/>
        <c:overlap val="-25"/>
        <c:axId val="648448523"/>
        <c:axId val="978825615"/>
      </c:barChart>
      <c:catAx>
        <c:axId val="648448523"/>
        <c:scaling>
          <c:orientation val="minMax"/>
        </c:scaling>
        <c:delete val="0"/>
        <c:axPos val="b"/>
        <c:majorTickMark val="none"/>
        <c:minorTickMark val="none"/>
        <c:tickLblPos val="nextTo"/>
        <c:spPr>
          <a:noFill/>
          <a:ln w="9525" cap="flat" cmpd="sng" algn="ctr">
            <a:solidFill>
              <a:schemeClr val="tx1">
                <a:lumMod val="15000"/>
                <a:lumOff val="85000"/>
              </a:schemeClr>
            </a:solidFill>
            <a:round/>
          </a:ln>
          <a:effectLst/>
        </c:spPr>
        <c:txPr>
          <a:bodyPr rot="-6000000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crossAx val="978825615"/>
        <c:crosses val="autoZero"/>
        <c:auto val="1"/>
        <c:lblAlgn val="ctr"/>
        <c:lblOffset val="100"/>
        <c:noMultiLvlLbl val="0"/>
      </c:catAx>
      <c:valAx>
        <c:axId val="978825615"/>
        <c:scaling>
          <c:orientation val="minMax"/>
        </c:scaling>
        <c:delete val="1"/>
        <c:axPos val="l"/>
        <c:numFmt formatCode="General" sourceLinked="1"/>
        <c:majorTickMark val="none"/>
        <c:minorTickMark val="none"/>
        <c:tickLblPos val="nextTo"/>
        <c:txPr>
          <a:bodyPr rot="-6000000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crossAx val="648448523"/>
        <c:crosses val="autoZero"/>
        <c:crossBetween val="between"/>
      </c:valAx>
      <c:spPr>
        <a:noFill/>
        <a:ln>
          <a:noFill/>
        </a:ln>
        <a:effectLst/>
      </c:spPr>
    </c:plotArea>
    <c:legend>
      <c:legendPos val="t"/>
      <c:layout/>
      <c:overlay val="0"/>
      <c:spPr>
        <a:noFill/>
        <a:ln>
          <a:noFill/>
        </a:ln>
        <a:effectLst/>
      </c:spPr>
      <c:txPr>
        <a:bodyPr rot="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legend>
    <c:plotVisOnly val="1"/>
    <c:dispBlanksAs val="gap"/>
    <c:showDLblsOverMax val="0"/>
    <c:extLst>
      <c:ext uri="{0b15fc19-7d7d-44ad-8c2d-2c3a37ce22c3}">
        <chartProps xmlns="https://web.wps.cn/et/2018/main" chartId="{9d4b2d0a-2967-4330-a5ff-e2ad7b24b01f}"/>
      </c:ext>
    </c:extLst>
  </c:chart>
  <c:spPr>
    <a:solidFill>
      <a:schemeClr val="bg1"/>
    </a:solidFill>
    <a:ln w="9525" cap="flat" cmpd="sng" algn="ctr">
      <a:solidFill>
        <a:schemeClr val="tx1">
          <a:lumMod val="15000"/>
          <a:lumOff val="85000"/>
        </a:schemeClr>
      </a:solidFill>
      <a:round/>
    </a:ln>
    <a:effectLst/>
  </c:spPr>
  <c:txPr>
    <a:bodyPr/>
    <a:lstStyle/>
    <a:p>
      <a:pPr>
        <a:defRPr lang="zh-CN"/>
      </a:pPr>
    </a:p>
  </c:txPr>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view3D>
      <c:rotX val="30"/>
      <c:rotY val="0"/>
      <c:depthPercent val="100"/>
      <c:rAngAx val="0"/>
    </c:view3D>
    <c:floor>
      <c:thickness val="0"/>
    </c:floor>
    <c:sideWall>
      <c:thickness val="0"/>
    </c:sideWall>
    <c:backWall>
      <c:thickness val="0"/>
    </c:backWall>
    <c:plotArea>
      <c:layout/>
      <c:pie3DChart>
        <c:varyColors val="1"/>
        <c:ser>
          <c:idx val="0"/>
          <c:order val="0"/>
          <c:tx>
            <c:strRef>
              <c:f>Sheet1!$B$1</c:f>
              <c:strCache>
                <c:ptCount val="1"/>
                <c:pt idx="0">
                  <c:v>图2：收入决算</c:v>
                </c:pt>
              </c:strCache>
            </c:strRef>
          </c:tx>
          <c:spPr>
            <a:ln w="15875">
              <a:solidFill>
                <a:schemeClr val="bg1"/>
              </a:solidFill>
            </a:ln>
            <a:effectLst/>
            <a:scene3d>
              <a:camera prst="orthographicFront"/>
              <a:lightRig rig="threePt" dir="t"/>
            </a:scene3d>
            <a:sp3d contourW="15875"/>
          </c:spPr>
          <c:explosion val="0"/>
          <c:dPt>
            <c:idx val="0"/>
            <c:bubble3D val="0"/>
            <c:spPr>
              <a:solidFill>
                <a:schemeClr val="accent1">
                  <a:shade val="76667"/>
                </a:schemeClr>
              </a:solidFill>
              <a:ln w="15875">
                <a:solidFill>
                  <a:schemeClr val="bg1"/>
                </a:solidFill>
              </a:ln>
              <a:effectLst/>
              <a:scene3d>
                <a:camera prst="orthographicFront"/>
                <a:lightRig rig="threePt" dir="t"/>
              </a:scene3d>
              <a:sp3d contourW="15875"/>
            </c:spPr>
          </c:dPt>
          <c:dPt>
            <c:idx val="1"/>
            <c:bubble3D val="0"/>
            <c:spPr>
              <a:solidFill>
                <a:schemeClr val="accent2">
                  <a:shade val="76667"/>
                </a:schemeClr>
              </a:solidFill>
              <a:ln w="15875">
                <a:solidFill>
                  <a:schemeClr val="bg1"/>
                </a:solidFill>
              </a:ln>
              <a:effectLst/>
              <a:scene3d>
                <a:camera prst="orthographicFront"/>
                <a:lightRig rig="threePt" dir="t"/>
              </a:scene3d>
              <a:sp3d contourW="15875"/>
            </c:spPr>
          </c:dPt>
          <c:dPt>
            <c:idx val="2"/>
            <c:bubble3D val="0"/>
            <c:spPr>
              <a:solidFill>
                <a:schemeClr val="accent3">
                  <a:shade val="76667"/>
                </a:schemeClr>
              </a:solidFill>
              <a:ln w="15875">
                <a:solidFill>
                  <a:schemeClr val="bg1"/>
                </a:solidFill>
              </a:ln>
              <a:effectLst/>
              <a:scene3d>
                <a:camera prst="orthographicFront"/>
                <a:lightRig rig="threePt" dir="t"/>
              </a:scene3d>
              <a:sp3d contourW="15875"/>
            </c:spPr>
          </c:dPt>
          <c:dPt>
            <c:idx val="3"/>
            <c:bubble3D val="0"/>
            <c:spPr>
              <a:solidFill>
                <a:schemeClr val="accent4">
                  <a:shade val="76667"/>
                </a:schemeClr>
              </a:solidFill>
              <a:ln w="15875">
                <a:solidFill>
                  <a:schemeClr val="bg1"/>
                </a:solidFill>
              </a:ln>
              <a:effectLst/>
              <a:scene3d>
                <a:camera prst="orthographicFront"/>
                <a:lightRig rig="threePt" dir="t"/>
              </a:scene3d>
              <a:sp3d contourW="15875"/>
            </c:spPr>
          </c:dPt>
          <c:dLbls>
            <c:dLbl>
              <c:idx val="0"/>
              <c:layout/>
              <c:tx>
                <c:rich>
                  <a:bodyPr rot="0" spcFirstLastPara="0" vertOverflow="ellipsis" vert="horz" wrap="square" lIns="38100" tIns="19050" rIns="38100" bIns="19050" anchor="ctr" anchorCtr="1"/>
                  <a:lstStyle/>
                  <a:p>
                    <a:pPr defTabSz="914400">
                      <a:defRPr lang="zh-CN" sz="1000" b="0" i="0" u="none" strike="noStrike" kern="1200" baseline="0">
                        <a:solidFill>
                          <a:schemeClr val="tx1">
                            <a:lumMod val="75000"/>
                            <a:lumOff val="25000"/>
                          </a:schemeClr>
                        </a:solidFill>
                        <a:latin typeface="微软雅黑" panose="020B0503020204020204" pitchFamily="2" charset="-122"/>
                        <a:ea typeface="微软雅黑" panose="020B0503020204020204" pitchFamily="2" charset="-122"/>
                        <a:cs typeface="微软雅黑" panose="020B0503020204020204" pitchFamily="2" charset="-122"/>
                        <a:sym typeface="微软雅黑" panose="020B0503020204020204" pitchFamily="2" charset="-122"/>
                      </a:defRPr>
                    </a:pPr>
                    <a:r>
                      <a:t>财政拨款收入, </a:t>
                    </a:r>
                    <a:r>
                      <a:rPr lang="en-US" altLang="zh-CN"/>
                      <a:t>1.85%</a:t>
                    </a:r>
                    <a:endParaRPr lang="en-US" altLang="zh-CN"/>
                  </a:p>
                </c:rich>
              </c:tx>
              <c:dLblPos val="outEnd"/>
              <c:showLegendKey val="0"/>
              <c:showVal val="1"/>
              <c:showCatName val="1"/>
              <c:showSerName val="0"/>
              <c:showPercent val="0"/>
              <c:showBubbleSize val="0"/>
              <c:extLst>
                <c:ext xmlns:c15="http://schemas.microsoft.com/office/drawing/2012/chart" uri="{CE6537A1-D6FC-4f65-9D91-7224C49458BB}"/>
              </c:extLst>
            </c:dLbl>
            <c:dLbl>
              <c:idx val="1"/>
              <c:layout>
                <c:manualLayout>
                  <c:x val="-0.00497594957704429"/>
                  <c:y val="0"/>
                </c:manualLayout>
              </c:layout>
              <c:tx>
                <c:rich>
                  <a:bodyPr rot="0" spcFirstLastPara="0" vertOverflow="ellipsis" vert="horz" wrap="square" lIns="38100" tIns="19050" rIns="38100" bIns="19050" anchor="ctr" anchorCtr="1"/>
                  <a:lstStyle/>
                  <a:p>
                    <a:pPr defTabSz="914400">
                      <a:defRPr lang="zh-CN" sz="1000" b="0" i="0" u="none" strike="noStrike" kern="1200" baseline="0">
                        <a:solidFill>
                          <a:schemeClr val="tx1">
                            <a:lumMod val="75000"/>
                            <a:lumOff val="25000"/>
                          </a:schemeClr>
                        </a:solidFill>
                        <a:latin typeface="微软雅黑" panose="020B0503020204020204" pitchFamily="2" charset="-122"/>
                        <a:ea typeface="微软雅黑" panose="020B0503020204020204" pitchFamily="2" charset="-122"/>
                        <a:cs typeface="微软雅黑" panose="020B0503020204020204" pitchFamily="2" charset="-122"/>
                        <a:sym typeface="微软雅黑" panose="020B0503020204020204" pitchFamily="2" charset="-122"/>
                      </a:defRPr>
                    </a:pPr>
                    <a:r>
                      <a:t>其他收入, </a:t>
                    </a:r>
                    <a:r>
                      <a:rPr lang="en-US" altLang="zh-CN"/>
                      <a:t>98.15</a:t>
                    </a:r>
                    <a:r>
                      <a:t>%</a:t>
                    </a:r>
                  </a:p>
                </c:rich>
              </c:tx>
              <c:dLblPos val="bestFit"/>
              <c:showLegendKey val="0"/>
              <c:showVal val="1"/>
              <c:showCatName val="1"/>
              <c:showSerName val="0"/>
              <c:showPercent val="0"/>
              <c:showBubbleSize val="0"/>
              <c:extLst>
                <c:ext xmlns:c15="http://schemas.microsoft.com/office/drawing/2012/chart" uri="{CE6537A1-D6FC-4f65-9D91-7224C49458BB}">
                  <c15:layout/>
                </c:ext>
              </c:extLst>
            </c:dLbl>
            <c:numFmt formatCode="General" sourceLinked="1"/>
            <c:spPr>
              <a:noFill/>
              <a:ln w="6350">
                <a:noFill/>
              </a:ln>
              <a:effectLst/>
            </c:spPr>
            <c:txPr>
              <a:bodyPr rot="0" spcFirstLastPara="0" vertOverflow="ellipsis" vert="horz" wrap="square" lIns="38100" tIns="19050" rIns="38100" bIns="19050" anchor="ctr" anchorCtr="1" forceAA="0"/>
              <a:lstStyle/>
              <a:p>
                <a:pPr>
                  <a:defRPr lang="zh-CN" sz="1000" b="0" i="0" u="none" strike="noStrike" kern="1200" baseline="0">
                    <a:solidFill>
                      <a:schemeClr val="tx1">
                        <a:lumMod val="75000"/>
                        <a:lumOff val="25000"/>
                      </a:schemeClr>
                    </a:solidFill>
                    <a:latin typeface="微软雅黑" panose="020B0503020204020204" pitchFamily="2" charset="-122"/>
                    <a:ea typeface="微软雅黑" panose="020B0503020204020204" pitchFamily="2" charset="-122"/>
                    <a:cs typeface="微软雅黑" panose="020B0503020204020204" pitchFamily="2" charset="-122"/>
                    <a:sym typeface="微软雅黑" panose="020B0503020204020204" pitchFamily="2" charset="-122"/>
                  </a:defRPr>
                </a:pPr>
              </a:p>
            </c:txPr>
            <c:dLblPos val="outEnd"/>
            <c:showLegendKey val="0"/>
            <c:showVal val="1"/>
            <c:showCatName val="1"/>
            <c:showSerName val="0"/>
            <c:showPercent val="0"/>
            <c:showBubbleSize val="0"/>
            <c:showLeaderLines val="1"/>
            <c:extLst>
              <c:ext xmlns:c15="http://schemas.microsoft.com/office/drawing/2012/chart" uri="{CE6537A1-D6FC-4f65-9D91-7224C49458BB}">
                <c15:layout/>
                <c15:showLeaderLines val="1"/>
                <c15:leaderLines>
                  <c:spPr>
                    <a:ln w="9525" cap="flat" cmpd="sng" algn="ctr">
                      <a:solidFill>
                        <a:schemeClr val="tx1">
                          <a:lumMod val="35000"/>
                          <a:lumOff val="65000"/>
                        </a:schemeClr>
                      </a:solidFill>
                      <a:prstDash val="solid"/>
                      <a:round/>
                    </a:ln>
                    <a:effectLst/>
                  </c:spPr>
                </c15:leaderLines>
              </c:ext>
            </c:extLst>
          </c:dLbls>
          <c:cat>
            <c:strRef>
              <c:f>Sheet1!$A$2:$A$5</c:f>
              <c:strCache>
                <c:ptCount val="4"/>
                <c:pt idx="0">
                  <c:v>财政拨款收入</c:v>
                </c:pt>
                <c:pt idx="1">
                  <c:v>其他收入</c:v>
                </c:pt>
              </c:strCache>
            </c:strRef>
          </c:cat>
          <c:val>
            <c:numRef>
              <c:f>Sheet1!$B$2:$B$5</c:f>
              <c:numCache>
                <c:formatCode>0.00%</c:formatCode>
                <c:ptCount val="4"/>
                <c:pt idx="0">
                  <c:v>0.0051</c:v>
                </c:pt>
                <c:pt idx="1">
                  <c:v>0.9949</c:v>
                </c:pt>
              </c:numCache>
            </c:numRef>
          </c:val>
        </c:ser>
        <c:dLbls>
          <c:showLegendKey val="0"/>
          <c:showVal val="1"/>
          <c:showCatName val="0"/>
          <c:showSerName val="0"/>
          <c:showPercent val="0"/>
          <c:showBubbleSize val="0"/>
        </c:dLbls>
      </c:pie3DChart>
      <c:spPr>
        <a:noFill/>
        <a:ln>
          <a:noFill/>
        </a:ln>
        <a:effectLst/>
      </c:spPr>
    </c:plotArea>
    <c:plotVisOnly val="1"/>
    <c:dispBlanksAs val="gap"/>
    <c:showDLblsOverMax val="0"/>
    <c:extLst>
      <c:ext uri="{0b15fc19-7d7d-44ad-8c2d-2c3a37ce22c3}">
        <chartProps xmlns="https://web.wps.cn/et/2018/main" chartId="{6a534241-0ce6-4f54-8086-8571695a8e4b}"/>
      </c:ext>
    </c:extLst>
  </c:chart>
  <c:spPr>
    <a:solidFill>
      <a:schemeClr val="bg1"/>
    </a:solidFill>
    <a:ln w="6350" cap="flat" cmpd="sng" algn="ctr">
      <a:solidFill>
        <a:schemeClr val="tx1">
          <a:lumMod val="50000"/>
          <a:lumOff val="50000"/>
          <a:alpha val="25000"/>
        </a:schemeClr>
      </a:solidFill>
      <a:prstDash val="solid"/>
      <a:round/>
    </a:ln>
    <a:effectLst>
      <a:outerShdw blurRad="63500" dist="37357" dir="2700000" sx="0" sy="0" rotWithShape="0">
        <a:scrgbClr r="0" g="0" b="0"/>
      </a:outerShdw>
    </a:effectLst>
  </c:spPr>
  <c:txPr>
    <a:bodyPr/>
    <a:lstStyle/>
    <a:p>
      <a:pPr>
        <a:defRPr lang="zh-CN">
          <a:solidFill>
            <a:schemeClr val="tx1">
              <a:lumMod val="75000"/>
              <a:lumOff val="25000"/>
            </a:schemeClr>
          </a:solidFill>
          <a:latin typeface="微软雅黑" panose="020B0503020204020204" pitchFamily="2" charset="-122"/>
          <a:ea typeface="微软雅黑" panose="020B0503020204020204" pitchFamily="2" charset="-122"/>
          <a:cs typeface="微软雅黑" panose="020B0503020204020204" pitchFamily="2" charset="-122"/>
          <a:sym typeface="微软雅黑" panose="020B0503020204020204" pitchFamily="2" charset="-122"/>
        </a:defRPr>
      </a:pPr>
    </a:p>
  </c:txPr>
  <c:externalData r:id="rId1">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view3D>
      <c:rotX val="30"/>
      <c:rotY val="0"/>
      <c:depthPercent val="100"/>
      <c:rAngAx val="0"/>
    </c:view3D>
    <c:floor>
      <c:thickness val="0"/>
    </c:floor>
    <c:sideWall>
      <c:thickness val="0"/>
    </c:sideWall>
    <c:backWall>
      <c:thickness val="0"/>
    </c:backWall>
    <c:plotArea>
      <c:layout/>
      <c:pie3DChart>
        <c:varyColors val="1"/>
        <c:ser>
          <c:idx val="0"/>
          <c:order val="0"/>
          <c:tx>
            <c:strRef>
              <c:f>Sheet1!$B$1</c:f>
              <c:strCache>
                <c:ptCount val="1"/>
                <c:pt idx="0">
                  <c:v>列1</c:v>
                </c:pt>
              </c:strCache>
            </c:strRef>
          </c:tx>
          <c:spPr>
            <a:ln w="15875">
              <a:solidFill>
                <a:schemeClr val="bg1"/>
              </a:solidFill>
            </a:ln>
            <a:effectLst/>
            <a:scene3d>
              <a:camera prst="orthographicFront"/>
              <a:lightRig rig="threePt" dir="t"/>
            </a:scene3d>
            <a:sp3d contourW="15875"/>
          </c:spPr>
          <c:explosion val="0"/>
          <c:dPt>
            <c:idx val="0"/>
            <c:bubble3D val="0"/>
            <c:spPr>
              <a:solidFill>
                <a:schemeClr val="accent1">
                  <a:shade val="76667"/>
                </a:schemeClr>
              </a:solidFill>
              <a:ln w="15875">
                <a:solidFill>
                  <a:schemeClr val="bg1"/>
                </a:solidFill>
              </a:ln>
              <a:effectLst/>
              <a:scene3d>
                <a:camera prst="orthographicFront"/>
                <a:lightRig rig="threePt" dir="t"/>
              </a:scene3d>
              <a:sp3d contourW="15875"/>
            </c:spPr>
          </c:dPt>
          <c:dPt>
            <c:idx val="1"/>
            <c:bubble3D val="0"/>
            <c:spPr>
              <a:solidFill>
                <a:schemeClr val="accent2">
                  <a:shade val="76667"/>
                </a:schemeClr>
              </a:solidFill>
              <a:ln w="15875">
                <a:solidFill>
                  <a:schemeClr val="bg1"/>
                </a:solidFill>
              </a:ln>
              <a:effectLst/>
              <a:scene3d>
                <a:camera prst="orthographicFront"/>
                <a:lightRig rig="threePt" dir="t"/>
              </a:scene3d>
              <a:sp3d contourW="15875"/>
            </c:spPr>
          </c:dPt>
          <c:dPt>
            <c:idx val="2"/>
            <c:bubble3D val="0"/>
            <c:spPr>
              <a:solidFill>
                <a:schemeClr val="accent3">
                  <a:shade val="76667"/>
                </a:schemeClr>
              </a:solidFill>
              <a:ln w="15875">
                <a:solidFill>
                  <a:schemeClr val="bg1"/>
                </a:solidFill>
              </a:ln>
              <a:effectLst/>
              <a:scene3d>
                <a:camera prst="orthographicFront"/>
                <a:lightRig rig="threePt" dir="t"/>
              </a:scene3d>
              <a:sp3d contourW="15875"/>
            </c:spPr>
          </c:dPt>
          <c:dPt>
            <c:idx val="3"/>
            <c:bubble3D val="0"/>
            <c:spPr>
              <a:solidFill>
                <a:schemeClr val="accent4">
                  <a:shade val="76667"/>
                </a:schemeClr>
              </a:solidFill>
              <a:ln w="15875">
                <a:solidFill>
                  <a:schemeClr val="bg1"/>
                </a:solidFill>
              </a:ln>
              <a:effectLst/>
              <a:scene3d>
                <a:camera prst="orthographicFront"/>
                <a:lightRig rig="threePt" dir="t"/>
              </a:scene3d>
              <a:sp3d contourW="15875"/>
            </c:spPr>
          </c:dPt>
          <c:dLbls>
            <c:dLbl>
              <c:idx val="0"/>
              <c:layout/>
              <c:tx>
                <c:rich>
                  <a:bodyPr rot="0" spcFirstLastPara="0" vertOverflow="ellipsis" vert="horz" wrap="square" lIns="38100" tIns="19050" rIns="38100" bIns="19050" anchor="ctr" anchorCtr="1"/>
                  <a:lstStyle/>
                  <a:p>
                    <a:pPr defTabSz="914400">
                      <a:defRPr lang="zh-CN" sz="1000" b="0" i="0" u="none" strike="noStrike" kern="1200" baseline="0">
                        <a:solidFill>
                          <a:schemeClr val="tx1">
                            <a:lumMod val="75000"/>
                            <a:lumOff val="25000"/>
                          </a:schemeClr>
                        </a:solidFill>
                        <a:latin typeface="微软雅黑" panose="020B0503020204020204" pitchFamily="2" charset="-122"/>
                        <a:ea typeface="微软雅黑" panose="020B0503020204020204" pitchFamily="2" charset="-122"/>
                        <a:cs typeface="微软雅黑" panose="020B0503020204020204" pitchFamily="2" charset="-122"/>
                        <a:sym typeface="微软雅黑" panose="020B0503020204020204" pitchFamily="2" charset="-122"/>
                      </a:defRPr>
                    </a:pPr>
                    <a:r>
                      <a:t>基本支出, </a:t>
                    </a:r>
                    <a:r>
                      <a:rPr lang="en-US" altLang="zh-CN"/>
                      <a:t>0.6</a:t>
                    </a:r>
                    <a:r>
                      <a:t>%</a:t>
                    </a:r>
                  </a:p>
                </c:rich>
              </c:tx>
              <c:dLblPos val="outEnd"/>
              <c:showLegendKey val="0"/>
              <c:showVal val="1"/>
              <c:showCatName val="1"/>
              <c:showSerName val="0"/>
              <c:showPercent val="0"/>
              <c:showBubbleSize val="0"/>
              <c:extLst>
                <c:ext xmlns:c15="http://schemas.microsoft.com/office/drawing/2012/chart" uri="{CE6537A1-D6FC-4f65-9D91-7224C49458BB}"/>
              </c:extLst>
            </c:dLbl>
            <c:dLbl>
              <c:idx val="1"/>
              <c:layout/>
              <c:tx>
                <c:rich>
                  <a:bodyPr rot="0" spcFirstLastPara="0" vertOverflow="ellipsis" vert="horz" wrap="square" lIns="38100" tIns="19050" rIns="38100" bIns="19050" anchor="ctr" anchorCtr="1"/>
                  <a:lstStyle/>
                  <a:p>
                    <a:pPr defTabSz="914400">
                      <a:defRPr lang="zh-CN" sz="1000" b="0" i="0" u="none" strike="noStrike" kern="1200" baseline="0">
                        <a:solidFill>
                          <a:schemeClr val="tx1">
                            <a:lumMod val="75000"/>
                            <a:lumOff val="25000"/>
                          </a:schemeClr>
                        </a:solidFill>
                        <a:latin typeface="微软雅黑" panose="020B0503020204020204" pitchFamily="2" charset="-122"/>
                        <a:ea typeface="微软雅黑" panose="020B0503020204020204" pitchFamily="2" charset="-122"/>
                        <a:cs typeface="微软雅黑" panose="020B0503020204020204" pitchFamily="2" charset="-122"/>
                        <a:sym typeface="微软雅黑" panose="020B0503020204020204" pitchFamily="2" charset="-122"/>
                      </a:defRPr>
                    </a:pPr>
                    <a:r>
                      <a:t>项目支出, </a:t>
                    </a:r>
                    <a:r>
                      <a:rPr lang="en-US" altLang="zh-CN"/>
                      <a:t>99</a:t>
                    </a:r>
                    <a:r>
                      <a:t>.</a:t>
                    </a:r>
                    <a:r>
                      <a:rPr lang="en-US" altLang="zh-CN"/>
                      <a:t>4</a:t>
                    </a:r>
                    <a:r>
                      <a:t>%</a:t>
                    </a:r>
                  </a:p>
                </c:rich>
              </c:tx>
              <c:dLblPos val="outEnd"/>
              <c:showLegendKey val="0"/>
              <c:showVal val="1"/>
              <c:showCatName val="1"/>
              <c:showSerName val="0"/>
              <c:showPercent val="0"/>
              <c:showBubbleSize val="0"/>
              <c:extLst>
                <c:ext xmlns:c15="http://schemas.microsoft.com/office/drawing/2012/chart" uri="{CE6537A1-D6FC-4f65-9D91-7224C49458BB}"/>
              </c:extLst>
            </c:dLbl>
            <c:numFmt formatCode="General" sourceLinked="1"/>
            <c:spPr>
              <a:noFill/>
              <a:ln w="6350">
                <a:noFill/>
              </a:ln>
              <a:effectLst/>
            </c:spPr>
            <c:txPr>
              <a:bodyPr rot="0" spcFirstLastPara="0" vertOverflow="ellipsis" vert="horz" wrap="square" lIns="38100" tIns="19050" rIns="38100" bIns="19050" anchor="ctr" anchorCtr="1" forceAA="0"/>
              <a:lstStyle/>
              <a:p>
                <a:pPr>
                  <a:defRPr lang="zh-CN" sz="1000" b="0" i="0" u="none" strike="noStrike" kern="1200" baseline="0">
                    <a:solidFill>
                      <a:schemeClr val="tx1">
                        <a:lumMod val="75000"/>
                        <a:lumOff val="25000"/>
                      </a:schemeClr>
                    </a:solidFill>
                    <a:latin typeface="微软雅黑" panose="020B0503020204020204" pitchFamily="2" charset="-122"/>
                    <a:ea typeface="微软雅黑" panose="020B0503020204020204" pitchFamily="2" charset="-122"/>
                    <a:cs typeface="微软雅黑" panose="020B0503020204020204" pitchFamily="2" charset="-122"/>
                    <a:sym typeface="微软雅黑" panose="020B0503020204020204" pitchFamily="2" charset="-122"/>
                  </a:defRPr>
                </a:pPr>
              </a:p>
            </c:txPr>
            <c:dLblPos val="outEnd"/>
            <c:showLegendKey val="0"/>
            <c:showVal val="1"/>
            <c:showCatName val="1"/>
            <c:showSerName val="0"/>
            <c:showPercent val="0"/>
            <c:showBubbleSize val="0"/>
            <c:showLeaderLines val="1"/>
            <c:extLst>
              <c:ext xmlns:c15="http://schemas.microsoft.com/office/drawing/2012/chart" uri="{CE6537A1-D6FC-4f65-9D91-7224C49458BB}">
                <c15:layout/>
                <c15:showLeaderLines val="1"/>
                <c15:leaderLines>
                  <c:spPr>
                    <a:ln w="9525" cap="flat" cmpd="sng" algn="ctr">
                      <a:solidFill>
                        <a:schemeClr val="tx1">
                          <a:lumMod val="35000"/>
                          <a:lumOff val="65000"/>
                        </a:schemeClr>
                      </a:solidFill>
                      <a:prstDash val="solid"/>
                      <a:round/>
                    </a:ln>
                    <a:effectLst/>
                  </c:spPr>
                </c15:leaderLines>
              </c:ext>
            </c:extLst>
          </c:dLbls>
          <c:cat>
            <c:strRef>
              <c:f>Sheet1!$A$2:$A$5</c:f>
              <c:strCache>
                <c:ptCount val="4"/>
                <c:pt idx="0">
                  <c:v>基本支出</c:v>
                </c:pt>
                <c:pt idx="1">
                  <c:v>项目支出</c:v>
                </c:pt>
              </c:strCache>
            </c:strRef>
          </c:cat>
          <c:val>
            <c:numRef>
              <c:f>Sheet1!$B$2:$B$5</c:f>
              <c:numCache>
                <c:formatCode>0.00%</c:formatCode>
                <c:ptCount val="4"/>
                <c:pt idx="0">
                  <c:v>0.0023</c:v>
                </c:pt>
                <c:pt idx="1">
                  <c:v>0.9977</c:v>
                </c:pt>
              </c:numCache>
            </c:numRef>
          </c:val>
        </c:ser>
        <c:dLbls>
          <c:showLegendKey val="0"/>
          <c:showVal val="1"/>
          <c:showCatName val="0"/>
          <c:showSerName val="0"/>
          <c:showPercent val="0"/>
          <c:showBubbleSize val="0"/>
        </c:dLbls>
      </c:pie3DChart>
      <c:spPr>
        <a:noFill/>
        <a:ln>
          <a:noFill/>
        </a:ln>
        <a:effectLst/>
      </c:spPr>
    </c:plotArea>
    <c:plotVisOnly val="1"/>
    <c:dispBlanksAs val="gap"/>
    <c:showDLblsOverMax val="0"/>
    <c:extLst>
      <c:ext uri="{0b15fc19-7d7d-44ad-8c2d-2c3a37ce22c3}">
        <chartProps xmlns="https://web.wps.cn/et/2018/main" chartId="{dbb9573d-26f5-48a3-bb0b-7e6f01b422b2}"/>
      </c:ext>
    </c:extLst>
  </c:chart>
  <c:spPr>
    <a:solidFill>
      <a:schemeClr val="bg1"/>
    </a:solidFill>
    <a:ln w="6350" cap="flat" cmpd="sng" algn="ctr">
      <a:solidFill>
        <a:schemeClr val="tx1">
          <a:lumMod val="50000"/>
          <a:lumOff val="50000"/>
          <a:alpha val="25000"/>
        </a:schemeClr>
      </a:solidFill>
      <a:prstDash val="solid"/>
      <a:round/>
    </a:ln>
    <a:effectLst>
      <a:outerShdw blurRad="63500" dist="37357" dir="2700000" sx="0" sy="0" rotWithShape="0">
        <a:scrgbClr r="0" g="0" b="0"/>
      </a:outerShdw>
    </a:effectLst>
  </c:spPr>
  <c:txPr>
    <a:bodyPr/>
    <a:lstStyle/>
    <a:p>
      <a:pPr>
        <a:defRPr lang="zh-CN">
          <a:solidFill>
            <a:schemeClr val="tx1">
              <a:lumMod val="75000"/>
              <a:lumOff val="25000"/>
            </a:schemeClr>
          </a:solidFill>
          <a:latin typeface="微软雅黑" panose="020B0503020204020204" pitchFamily="2" charset="-122"/>
          <a:ea typeface="微软雅黑" panose="020B0503020204020204" pitchFamily="2" charset="-122"/>
          <a:cs typeface="微软雅黑" panose="020B0503020204020204" pitchFamily="2" charset="-122"/>
          <a:sym typeface="微软雅黑" panose="020B0503020204020204" pitchFamily="2" charset="-122"/>
        </a:defRPr>
      </a:pPr>
    </a:p>
  </c:txPr>
  <c:externalData r:id="rId1">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layout/>
      <c:overlay val="0"/>
      <c:spPr>
        <a:noFill/>
        <a:ln>
          <a:noFill/>
        </a:ln>
        <a:effectLst/>
      </c:spPr>
      <c:txPr>
        <a:bodyPr rot="0" spcFirstLastPara="0" vertOverflow="ellipsis" vert="horz" wrap="square" anchor="ctr" anchorCtr="1"/>
        <a:lstStyle/>
        <a:p>
          <a:pPr>
            <a:defRPr lang="zh-CN" sz="1400" b="1" i="0" u="none" strike="noStrike" kern="1200" baseline="0">
              <a:solidFill>
                <a:schemeClr val="tx1">
                  <a:lumMod val="75000"/>
                  <a:lumOff val="25000"/>
                </a:schemeClr>
              </a:solidFill>
              <a:latin typeface="+mn-lt"/>
              <a:ea typeface="+mn-ea"/>
              <a:cs typeface="+mn-cs"/>
            </a:defRPr>
          </a:pPr>
        </a:p>
      </c:txPr>
    </c:title>
    <c:autoTitleDeleted val="0"/>
    <c:plotArea>
      <c:layout>
        <c:manualLayout>
          <c:layoutTarget val="inner"/>
          <c:xMode val="edge"/>
          <c:yMode val="edge"/>
          <c:x val="0.0251588983050847"/>
          <c:y val="0.428745804089106"/>
          <c:w val="0.941737288135593"/>
          <c:h val="0.482270369240159"/>
        </c:manualLayout>
      </c:layout>
      <c:barChart>
        <c:barDir val="col"/>
        <c:grouping val="clustered"/>
        <c:varyColors val="0"/>
        <c:ser>
          <c:idx val="0"/>
          <c:order val="0"/>
          <c:spPr>
            <a:solidFill>
              <a:schemeClr val="accent1"/>
            </a:solidFill>
            <a:ln>
              <a:noFill/>
            </a:ln>
            <a:effectLst/>
          </c:spPr>
          <c:invertIfNegative val="0"/>
          <c:dLbls>
            <c:dLbl>
              <c:idx val="0"/>
              <c:layout/>
              <c:tx>
                <c:rich>
                  <a:bodyPr rot="0" spcFirstLastPara="0" vertOverflow="ellipsis" vert="horz" wrap="square" lIns="38100" tIns="19050" rIns="38100" bIns="19050" anchor="ctr" anchorCtr="1"/>
                  <a:lstStyle/>
                  <a:p>
                    <a:pPr defTabSz="914400">
                      <a:defRPr lang="zh-CN" sz="1000" b="0" i="0" u="none" strike="noStrike" kern="1200" baseline="0">
                        <a:solidFill>
                          <a:schemeClr val="tx1">
                            <a:lumMod val="75000"/>
                            <a:lumOff val="25000"/>
                          </a:schemeClr>
                        </a:solidFill>
                        <a:latin typeface="+mn-lt"/>
                        <a:ea typeface="+mn-ea"/>
                        <a:cs typeface="+mn-cs"/>
                      </a:defRPr>
                    </a:pPr>
                    <a:r>
                      <a:rPr lang="en-US" altLang="zh-CN"/>
                      <a:t>2024</a:t>
                    </a:r>
                    <a:r>
                      <a:rPr altLang="en-US"/>
                      <a:t>年度</a:t>
                    </a:r>
                    <a:r>
                      <a:rPr lang="en-US" altLang="zh-CN"/>
                      <a:t>15.45</a:t>
                    </a:r>
                    <a:r>
                      <a:t>万元</a:t>
                    </a:r>
                  </a:p>
                </c:rich>
              </c:tx>
              <c:dLblPos val="outEnd"/>
              <c:showLegendKey val="0"/>
              <c:showVal val="1"/>
              <c:showCatName val="0"/>
              <c:showSerName val="0"/>
              <c:showPercent val="0"/>
              <c:showBubbleSize val="0"/>
              <c:extLst>
                <c:ext xmlns:c15="http://schemas.microsoft.com/office/drawing/2012/chart" uri="{CE6537A1-D6FC-4f65-9D91-7224C49458BB}"/>
              </c:extLst>
            </c:dLbl>
            <c:dLbl>
              <c:idx val="1"/>
              <c:layout/>
              <c:tx>
                <c:rich>
                  <a:bodyPr rot="0" spcFirstLastPara="0" vertOverflow="ellipsis" vert="horz" wrap="square" lIns="38100" tIns="19050" rIns="38100" bIns="19050" anchor="ctr" anchorCtr="1"/>
                  <a:lstStyle/>
                  <a:p>
                    <a:pPr defTabSz="914400">
                      <a:defRPr lang="zh-CN" sz="1000" b="0" i="0" u="none" strike="noStrike" kern="1200" baseline="0">
                        <a:solidFill>
                          <a:schemeClr val="tx1">
                            <a:lumMod val="75000"/>
                            <a:lumOff val="25000"/>
                          </a:schemeClr>
                        </a:solidFill>
                        <a:latin typeface="+mn-lt"/>
                        <a:ea typeface="+mn-ea"/>
                        <a:cs typeface="+mn-cs"/>
                      </a:defRPr>
                    </a:pPr>
                    <a:r>
                      <a:rPr lang="en-US" altLang="zh-CN"/>
                      <a:t>2023</a:t>
                    </a:r>
                    <a:r>
                      <a:rPr altLang="en-US"/>
                      <a:t>年度</a:t>
                    </a:r>
                    <a:r>
                      <a:rPr lang="en-US" altLang="zh-CN"/>
                      <a:t>18.09</a:t>
                    </a:r>
                    <a:r>
                      <a:t>万元</a:t>
                    </a:r>
                  </a:p>
                </c:rich>
              </c:tx>
              <c:dLblPos val="outEnd"/>
              <c:showLegendKey val="0"/>
              <c:showVal val="1"/>
              <c:showCatName val="0"/>
              <c:showSerName val="0"/>
              <c:showPercent val="0"/>
              <c:showBubbleSize val="0"/>
              <c:extLst>
                <c:ext xmlns:c15="http://schemas.microsoft.com/office/drawing/2012/chart" uri="{CE6537A1-D6FC-4f65-9D91-7224C49458BB}">
                  <c15:layout>
                    <c:manualLayout>
                      <c:w val="0.145391949152542"/>
                      <c:h val="0.292950869697894"/>
                    </c:manualLayout>
                  </c15:layout>
                </c:ext>
              </c:extLst>
            </c:dLbl>
            <c:spPr>
              <a:noFill/>
              <a:ln>
                <a:noFill/>
              </a:ln>
              <a:effectLst/>
            </c:spPr>
            <c:txPr>
              <a:bodyPr rot="0" spcFirstLastPara="0" vertOverflow="ellipsis" vert="horz" wrap="square" lIns="38100" tIns="19050" rIns="38100" bIns="19050" anchor="ctr" anchorCtr="1"/>
              <a:lstStyle/>
              <a:p>
                <a:pPr>
                  <a:defRPr lang="zh-CN" sz="1000" b="0" i="0" u="none" strike="noStrike" kern="1200" baseline="0">
                    <a:solidFill>
                      <a:schemeClr val="tx1">
                        <a:lumMod val="75000"/>
                        <a:lumOff val="25000"/>
                      </a:schemeClr>
                    </a:solidFill>
                    <a:latin typeface="+mn-lt"/>
                    <a:ea typeface="+mn-ea"/>
                    <a:cs typeface="+mn-cs"/>
                  </a:defRPr>
                </a:pPr>
              </a:p>
            </c:txPr>
            <c:dLblPos val="outEnd"/>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val>
            <c:numRef>
              <c:f>'[新建 XLS 工作表.xls]Sheet1'!$F$10:$F$11</c:f>
              <c:numCache>
                <c:formatCode>General</c:formatCode>
                <c:ptCount val="2"/>
                <c:pt idx="0">
                  <c:v>1985.19</c:v>
                </c:pt>
                <c:pt idx="1">
                  <c:v>1629.66</c:v>
                </c:pt>
              </c:numCache>
            </c:numRef>
          </c:val>
        </c:ser>
        <c:dLbls>
          <c:showLegendKey val="0"/>
          <c:showVal val="1"/>
          <c:showCatName val="0"/>
          <c:showSerName val="0"/>
          <c:showPercent val="0"/>
          <c:showBubbleSize val="0"/>
        </c:dLbls>
        <c:gapWidth val="150"/>
        <c:overlap val="-25"/>
        <c:axId val="648448523"/>
        <c:axId val="978825615"/>
      </c:barChart>
      <c:catAx>
        <c:axId val="648448523"/>
        <c:scaling>
          <c:orientation val="minMax"/>
        </c:scaling>
        <c:delete val="0"/>
        <c:axPos val="b"/>
        <c:majorTickMark val="none"/>
        <c:minorTickMark val="none"/>
        <c:tickLblPos val="nextTo"/>
        <c:spPr>
          <a:noFill/>
          <a:ln w="9525" cap="flat" cmpd="sng" algn="ctr">
            <a:solidFill>
              <a:schemeClr val="tx1">
                <a:lumMod val="15000"/>
                <a:lumOff val="85000"/>
              </a:schemeClr>
            </a:solidFill>
            <a:round/>
          </a:ln>
          <a:effectLst/>
        </c:spPr>
        <c:txPr>
          <a:bodyPr rot="-6000000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crossAx val="978825615"/>
        <c:crosses val="autoZero"/>
        <c:auto val="1"/>
        <c:lblAlgn val="ctr"/>
        <c:lblOffset val="100"/>
        <c:noMultiLvlLbl val="0"/>
      </c:catAx>
      <c:valAx>
        <c:axId val="978825615"/>
        <c:scaling>
          <c:orientation val="minMax"/>
        </c:scaling>
        <c:delete val="1"/>
        <c:axPos val="l"/>
        <c:numFmt formatCode="General" sourceLinked="1"/>
        <c:majorTickMark val="none"/>
        <c:minorTickMark val="none"/>
        <c:tickLblPos val="nextTo"/>
        <c:txPr>
          <a:bodyPr rot="-6000000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crossAx val="648448523"/>
        <c:crosses val="autoZero"/>
        <c:crossBetween val="between"/>
      </c:valAx>
      <c:spPr>
        <a:noFill/>
        <a:ln>
          <a:noFill/>
        </a:ln>
        <a:effectLst/>
      </c:spPr>
    </c:plotArea>
    <c:legend>
      <c:legendPos val="t"/>
      <c:layout/>
      <c:overlay val="0"/>
      <c:spPr>
        <a:noFill/>
        <a:ln>
          <a:noFill/>
        </a:ln>
        <a:effectLst/>
      </c:spPr>
      <c:txPr>
        <a:bodyPr rot="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legend>
    <c:plotVisOnly val="1"/>
    <c:dispBlanksAs val="gap"/>
    <c:showDLblsOverMax val="0"/>
    <c:extLst>
      <c:ext uri="{0b15fc19-7d7d-44ad-8c2d-2c3a37ce22c3}">
        <chartProps xmlns="https://web.wps.cn/et/2018/main" chartId="{7ffcb971-e459-434f-8c47-da86875a7616}"/>
      </c:ext>
    </c:extLst>
  </c:chart>
  <c:spPr>
    <a:solidFill>
      <a:schemeClr val="bg1"/>
    </a:solidFill>
    <a:ln w="9525" cap="flat" cmpd="sng" algn="ctr">
      <a:solidFill>
        <a:schemeClr val="tx1">
          <a:lumMod val="15000"/>
          <a:lumOff val="85000"/>
        </a:schemeClr>
      </a:solidFill>
      <a:round/>
    </a:ln>
    <a:effectLst/>
  </c:spPr>
  <c:txPr>
    <a:bodyPr/>
    <a:lstStyle/>
    <a:p>
      <a:pPr>
        <a:defRPr lang="zh-CN"/>
      </a:pPr>
    </a:p>
  </c:txPr>
  <c:externalData r:id="rId1">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0" vertOverflow="ellipsis" vert="horz" wrap="square" anchor="ctr" anchorCtr="1"/>
          <a:lstStyle/>
          <a:p>
            <a:pPr defTabSz="914400">
              <a:defRPr lang="zh-CN" sz="1400" b="0" i="0" u="none" strike="noStrike" kern="1200" spc="0" baseline="0">
                <a:solidFill>
                  <a:schemeClr val="tx1">
                    <a:lumMod val="65000"/>
                    <a:lumOff val="35000"/>
                  </a:schemeClr>
                </a:solidFill>
                <a:latin typeface="+mn-lt"/>
                <a:ea typeface="+mn-ea"/>
                <a:cs typeface="+mn-cs"/>
              </a:defRPr>
            </a:pPr>
            <a:r>
              <a:rPr lang="en-US" altLang="zh-CN"/>
              <a:t>2023</a:t>
            </a:r>
            <a:r>
              <a:rPr altLang="en-US"/>
              <a:t>年</a:t>
            </a:r>
            <a:endParaRPr altLang="en-US"/>
          </a:p>
          <a:p>
            <a:pPr defTabSz="914400">
              <a:defRPr lang="zh-CN" sz="1400" b="0" i="0" u="none" strike="noStrike" kern="1200" spc="0" baseline="0">
                <a:solidFill>
                  <a:schemeClr val="tx1">
                    <a:lumMod val="65000"/>
                    <a:lumOff val="35000"/>
                  </a:schemeClr>
                </a:solidFill>
                <a:latin typeface="+mn-lt"/>
                <a:ea typeface="+mn-ea"/>
                <a:cs typeface="+mn-cs"/>
              </a:defRPr>
            </a:pPr>
            <a:r>
              <a:rPr altLang="en-US"/>
              <a:t>度</a:t>
            </a:r>
            <a:r>
              <a:rPr lang="en-US" altLang="zh-CN"/>
              <a:t>18.09</a:t>
            </a:r>
            <a:r>
              <a:t>万元</a:t>
            </a:r>
            <a:endParaRPr lang="en-US" altLang="zh-CN"/>
          </a:p>
        </c:rich>
      </c:tx>
      <c:layout>
        <c:manualLayout>
          <c:xMode val="edge"/>
          <c:yMode val="edge"/>
          <c:x val="0.242847222222223"/>
          <c:y val="0.347222222222222"/>
        </c:manualLayout>
      </c:layout>
      <c:overlay val="0"/>
      <c:spPr>
        <a:noFill/>
        <a:ln>
          <a:noFill/>
        </a:ln>
        <a:effectLst/>
      </c:spPr>
    </c:title>
    <c:autoTitleDeleted val="0"/>
    <c:plotArea>
      <c:layout>
        <c:manualLayout>
          <c:layoutTarget val="inner"/>
          <c:xMode val="edge"/>
          <c:yMode val="edge"/>
          <c:x val="0.108694444444444"/>
          <c:y val="0.261111111111111"/>
          <c:w val="0.86075"/>
          <c:h val="0.634351851851852"/>
        </c:manualLayout>
      </c:layout>
      <c:barChart>
        <c:barDir val="col"/>
        <c:grouping val="clustered"/>
        <c:varyColors val="0"/>
        <c:ser>
          <c:idx val="0"/>
          <c:order val="0"/>
          <c:tx>
            <c:strRef>
              <c:f>"16.56"</c:f>
              <c:strCache>
                <c:ptCount val="1"/>
                <c:pt idx="0">
                  <c:v>16.56</c:v>
                </c:pt>
              </c:strCache>
            </c:strRef>
          </c:tx>
          <c:spPr>
            <a:solidFill>
              <a:schemeClr val="accent1"/>
            </a:solidFill>
            <a:ln>
              <a:noFill/>
            </a:ln>
            <a:effectLst/>
          </c:spPr>
          <c:invertIfNegative val="0"/>
          <c:dLbls>
            <c:dLbl>
              <c:idx val="0"/>
              <c:delete val="1"/>
            </c:dLbl>
            <c:dLbl>
              <c:idx val="1"/>
              <c:layout>
                <c:manualLayout>
                  <c:x val="0"/>
                  <c:y val="0.135416666666667"/>
                </c:manualLayout>
              </c:layout>
              <c:tx>
                <c:rich>
                  <a:bodyPr rot="0" spcFirstLastPara="0" vertOverflow="ellipsis" vert="horz" wrap="square" lIns="38100" tIns="19050" rIns="38100" bIns="19050" anchor="ctr" anchorCtr="1"/>
                  <a:lstStyle/>
                  <a:p>
                    <a:pPr defTabSz="914400">
                      <a:defRPr lang="zh-CN" sz="900" b="0" i="0" u="none" strike="noStrike" kern="1200" baseline="0">
                        <a:solidFill>
                          <a:schemeClr val="tx1">
                            <a:lumMod val="75000"/>
                            <a:lumOff val="25000"/>
                          </a:schemeClr>
                        </a:solidFill>
                        <a:latin typeface="+mn-lt"/>
                        <a:ea typeface="+mn-ea"/>
                        <a:cs typeface="+mn-cs"/>
                      </a:defRPr>
                    </a:pPr>
                    <a:r>
                      <a:rPr lang="en-US" altLang="zh-CN"/>
                      <a:t>2024</a:t>
                    </a:r>
                    <a:r>
                      <a:rPr altLang="en-US"/>
                      <a:t>年度</a:t>
                    </a:r>
                    <a:r>
                      <a:rPr lang="en-US" altLang="zh-CN"/>
                      <a:t>7.48</a:t>
                    </a:r>
                    <a:r>
                      <a:t>万元</a:t>
                    </a:r>
                  </a:p>
                </c:rich>
              </c:tx>
              <c:dLblPos val="outEnd"/>
              <c:showLegendKey val="0"/>
              <c:showVal val="1"/>
              <c:showCatName val="0"/>
              <c:showSerName val="0"/>
              <c:showPercent val="0"/>
              <c:showBubbleSize val="0"/>
              <c:extLst>
                <c:ext xmlns:c15="http://schemas.microsoft.com/office/drawing/2012/chart" uri="{CE6537A1-D6FC-4f65-9D91-7224C49458BB}">
                  <c15:layout/>
                </c:ext>
              </c:extLst>
            </c:dLbl>
            <c:spPr>
              <a:noFill/>
              <a:ln>
                <a:noFill/>
              </a:ln>
              <a:effectLst/>
            </c:spPr>
            <c:txPr>
              <a:bodyPr rot="0" spcFirstLastPara="0" vertOverflow="ellipsis" vert="horz" wrap="square" lIns="38100" tIns="19050" rIns="38100" bIns="19050" anchor="ctr" anchorCtr="1"/>
              <a:lstStyle/>
              <a:p>
                <a:pPr>
                  <a:defRPr lang="zh-CN" sz="900" b="0" i="0" u="none" strike="noStrike" kern="1200" baseline="0">
                    <a:solidFill>
                      <a:schemeClr val="tx1">
                        <a:lumMod val="75000"/>
                        <a:lumOff val="25000"/>
                      </a:schemeClr>
                    </a:solidFill>
                    <a:latin typeface="+mn-lt"/>
                    <a:ea typeface="+mn-ea"/>
                    <a:cs typeface="+mn-cs"/>
                  </a:defRPr>
                </a:pPr>
              </a:p>
            </c:txPr>
            <c:dLblPos val="outEnd"/>
            <c:showLegendKey val="0"/>
            <c:showVal val="0"/>
            <c:showCatName val="0"/>
            <c:showSerName val="0"/>
            <c:showPercent val="0"/>
            <c:showBubbleSize val="0"/>
            <c:showLeaderLines val="0"/>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val>
            <c:numRef>
              <c:f>'[WPS表格工作表 - 副本(1).et]Sheet1'!$F$11:$F$12</c:f>
              <c:numCache>
                <c:formatCode>General</c:formatCode>
                <c:ptCount val="2"/>
                <c:pt idx="0">
                  <c:v>16.56</c:v>
                </c:pt>
                <c:pt idx="1">
                  <c:v>16.39</c:v>
                </c:pt>
              </c:numCache>
            </c:numRef>
          </c:val>
        </c:ser>
        <c:dLbls>
          <c:showLegendKey val="0"/>
          <c:showVal val="0"/>
          <c:showCatName val="0"/>
          <c:showSerName val="0"/>
          <c:showPercent val="0"/>
          <c:showBubbleSize val="0"/>
        </c:dLbls>
        <c:gapWidth val="219"/>
        <c:overlap val="-27"/>
        <c:axId val="999088219"/>
        <c:axId val="252983966"/>
      </c:barChart>
      <c:catAx>
        <c:axId val="999088219"/>
        <c:scaling>
          <c:orientation val="minMax"/>
        </c:scaling>
        <c:delete val="0"/>
        <c:axPos val="b"/>
        <c:majorTickMark val="none"/>
        <c:minorTickMark val="none"/>
        <c:tickLblPos val="nextTo"/>
        <c:spPr>
          <a:noFill/>
          <a:ln w="9525" cap="flat" cmpd="sng" algn="ctr">
            <a:solidFill>
              <a:schemeClr val="tx1">
                <a:lumMod val="15000"/>
                <a:lumOff val="85000"/>
              </a:schemeClr>
            </a:solidFill>
            <a:round/>
          </a:ln>
          <a:effectLst/>
        </c:spPr>
        <c:txPr>
          <a:bodyPr rot="-6000000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crossAx val="252983966"/>
        <c:crosses val="autoZero"/>
        <c:auto val="1"/>
        <c:lblAlgn val="ctr"/>
        <c:lblOffset val="100"/>
        <c:noMultiLvlLbl val="0"/>
      </c:catAx>
      <c:valAx>
        <c:axId val="252983966"/>
        <c:scaling>
          <c:orientation val="minMax"/>
        </c:scaling>
        <c:delete val="1"/>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txPr>
          <a:bodyPr rot="-6000000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crossAx val="999088219"/>
        <c:crosses val="autoZero"/>
        <c:crossBetween val="between"/>
      </c:valAx>
      <c:spPr>
        <a:noFill/>
        <a:ln>
          <a:noFill/>
        </a:ln>
        <a:effectLst/>
      </c:spPr>
    </c:plotArea>
    <c:plotVisOnly val="1"/>
    <c:dispBlanksAs val="gap"/>
    <c:showDLblsOverMax val="0"/>
    <c:extLst>
      <c:ext uri="{0b15fc19-7d7d-44ad-8c2d-2c3a37ce22c3}">
        <chartProps xmlns="https://web.wps.cn/et/2018/main" chartId="{589e2d93-32b3-46bf-9d46-50920455d74c}"/>
      </c:ext>
    </c:extLst>
  </c:chart>
  <c:spPr>
    <a:solidFill>
      <a:schemeClr val="bg1"/>
    </a:solidFill>
    <a:ln w="9525" cap="flat" cmpd="sng" algn="ctr">
      <a:solidFill>
        <a:schemeClr val="tx1">
          <a:lumMod val="15000"/>
          <a:lumOff val="85000"/>
        </a:schemeClr>
      </a:solidFill>
      <a:round/>
    </a:ln>
    <a:effectLst/>
  </c:spPr>
  <c:txPr>
    <a:bodyPr/>
    <a:lstStyle/>
    <a:p>
      <a:pPr>
        <a:defRPr lang="zh-CN"/>
      </a:pPr>
    </a:p>
  </c:txPr>
  <c:externalData r:id="rId1">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view3D>
      <c:rotX val="30"/>
      <c:rotY val="0"/>
      <c:depthPercent val="100"/>
      <c:rAngAx val="0"/>
    </c:view3D>
    <c:floor>
      <c:thickness val="0"/>
    </c:floor>
    <c:sideWall>
      <c:thickness val="0"/>
    </c:sideWall>
    <c:backWall>
      <c:thickness val="0"/>
    </c:backWall>
    <c:plotArea>
      <c:layout>
        <c:manualLayout>
          <c:layoutTarget val="inner"/>
          <c:xMode val="edge"/>
          <c:yMode val="edge"/>
          <c:x val="0.0852480417754569"/>
          <c:y val="0.0118247159749594"/>
          <c:w val="0.829503916449086"/>
          <c:h val="0.883375840482263"/>
        </c:manualLayout>
      </c:layout>
      <c:pie3DChart>
        <c:varyColors val="1"/>
        <c:ser>
          <c:idx val="0"/>
          <c:order val="0"/>
          <c:tx>
            <c:strRef>
              <c:f>Sheet1!$B$1</c:f>
              <c:strCache>
                <c:ptCount val="1"/>
                <c:pt idx="0">
                  <c:v>列1</c:v>
                </c:pt>
              </c:strCache>
            </c:strRef>
          </c:tx>
          <c:spPr>
            <a:ln w="15875">
              <a:solidFill>
                <a:schemeClr val="bg1"/>
              </a:solidFill>
            </a:ln>
            <a:effectLst/>
            <a:scene3d>
              <a:camera prst="orthographicFront"/>
              <a:lightRig rig="threePt" dir="t"/>
            </a:scene3d>
            <a:sp3d contourW="15875"/>
          </c:spPr>
          <c:explosion val="0"/>
          <c:dPt>
            <c:idx val="0"/>
            <c:bubble3D val="0"/>
            <c:spPr>
              <a:solidFill>
                <a:schemeClr val="accent1">
                  <a:shade val="76667"/>
                </a:schemeClr>
              </a:solidFill>
              <a:ln w="15875">
                <a:solidFill>
                  <a:schemeClr val="bg1"/>
                </a:solidFill>
              </a:ln>
              <a:effectLst/>
              <a:scene3d>
                <a:camera prst="orthographicFront"/>
                <a:lightRig rig="threePt" dir="t"/>
              </a:scene3d>
              <a:sp3d contourW="15875"/>
            </c:spPr>
          </c:dPt>
          <c:dPt>
            <c:idx val="1"/>
            <c:bubble3D val="0"/>
            <c:spPr>
              <a:solidFill>
                <a:schemeClr val="accent2">
                  <a:shade val="76667"/>
                </a:schemeClr>
              </a:solidFill>
              <a:ln w="15875">
                <a:solidFill>
                  <a:schemeClr val="bg1"/>
                </a:solidFill>
              </a:ln>
              <a:effectLst/>
              <a:scene3d>
                <a:camera prst="orthographicFront"/>
                <a:lightRig rig="threePt" dir="t"/>
              </a:scene3d>
              <a:sp3d contourW="15875"/>
            </c:spPr>
          </c:dPt>
          <c:dPt>
            <c:idx val="2"/>
            <c:bubble3D val="0"/>
            <c:spPr>
              <a:solidFill>
                <a:schemeClr val="accent3">
                  <a:shade val="76667"/>
                </a:schemeClr>
              </a:solidFill>
              <a:ln w="15875">
                <a:solidFill>
                  <a:schemeClr val="bg1"/>
                </a:solidFill>
              </a:ln>
              <a:effectLst/>
              <a:scene3d>
                <a:camera prst="orthographicFront"/>
                <a:lightRig rig="threePt" dir="t"/>
              </a:scene3d>
              <a:sp3d contourW="15875"/>
            </c:spPr>
          </c:dPt>
          <c:dPt>
            <c:idx val="3"/>
            <c:bubble3D val="0"/>
            <c:spPr>
              <a:solidFill>
                <a:schemeClr val="accent4">
                  <a:shade val="76667"/>
                </a:schemeClr>
              </a:solidFill>
              <a:ln w="15875">
                <a:solidFill>
                  <a:schemeClr val="bg1"/>
                </a:solidFill>
              </a:ln>
              <a:effectLst/>
              <a:scene3d>
                <a:camera prst="orthographicFront"/>
                <a:lightRig rig="threePt" dir="t"/>
              </a:scene3d>
              <a:sp3d contourW="15875"/>
            </c:spPr>
          </c:dPt>
          <c:dLbls>
            <c:dLbl>
              <c:idx val="1"/>
              <c:layout>
                <c:manualLayout>
                  <c:x val="0.0172323759791123"/>
                  <c:y val="-0.721771388824484"/>
                </c:manualLayout>
              </c:layout>
              <c:dLblPos val="bestFit"/>
              <c:showLegendKey val="0"/>
              <c:showVal val="1"/>
              <c:showCatName val="1"/>
              <c:showSerName val="0"/>
              <c:showPercent val="0"/>
              <c:showBubbleSize val="0"/>
              <c:extLst>
                <c:ext xmlns:c15="http://schemas.microsoft.com/office/drawing/2012/chart" uri="{CE6537A1-D6FC-4f65-9D91-7224C49458BB}">
                  <c15:layout/>
                </c:ext>
              </c:extLst>
            </c:dLbl>
            <c:numFmt formatCode="General" sourceLinked="1"/>
            <c:spPr>
              <a:noFill/>
              <a:ln w="6350">
                <a:noFill/>
              </a:ln>
              <a:effectLst/>
            </c:spPr>
            <c:txPr>
              <a:bodyPr rot="0" spcFirstLastPara="0" vertOverflow="ellipsis" vert="horz" wrap="square" lIns="38100" tIns="19050" rIns="38100" bIns="19050" anchor="ctr" anchorCtr="1" forceAA="0"/>
              <a:lstStyle/>
              <a:p>
                <a:pPr>
                  <a:defRPr lang="zh-CN" sz="1000" b="0" i="0" u="none" strike="noStrike" kern="1200" baseline="0">
                    <a:solidFill>
                      <a:schemeClr val="tx1">
                        <a:lumMod val="75000"/>
                        <a:lumOff val="25000"/>
                      </a:schemeClr>
                    </a:solidFill>
                    <a:latin typeface="微软雅黑" panose="020B0503020204020204" pitchFamily="2" charset="-122"/>
                    <a:ea typeface="微软雅黑" panose="020B0503020204020204" pitchFamily="2" charset="-122"/>
                    <a:cs typeface="微软雅黑" panose="020B0503020204020204" pitchFamily="2" charset="-122"/>
                    <a:sym typeface="微软雅黑" panose="020B0503020204020204" pitchFamily="2" charset="-122"/>
                  </a:defRPr>
                </a:pPr>
              </a:p>
            </c:txPr>
            <c:dLblPos val="outEnd"/>
            <c:showLegendKey val="0"/>
            <c:showVal val="1"/>
            <c:showCatName val="1"/>
            <c:showSerName val="0"/>
            <c:showPercent val="0"/>
            <c:showBubbleSize val="0"/>
            <c:showLeaderLines val="1"/>
            <c:extLst>
              <c:ext xmlns:c15="http://schemas.microsoft.com/office/drawing/2012/chart" uri="{CE6537A1-D6FC-4f65-9D91-7224C49458BB}">
                <c15:layout/>
                <c15:showLeaderLines val="1"/>
                <c15:leaderLines>
                  <c:spPr>
                    <a:ln w="9525" cap="flat" cmpd="sng" algn="ctr">
                      <a:solidFill>
                        <a:schemeClr val="tx1">
                          <a:lumMod val="35000"/>
                          <a:lumOff val="65000"/>
                        </a:schemeClr>
                      </a:solidFill>
                      <a:prstDash val="solid"/>
                      <a:round/>
                    </a:ln>
                    <a:effectLst/>
                  </c:spPr>
                </c15:leaderLines>
              </c:ext>
            </c:extLst>
          </c:dLbls>
          <c:cat>
            <c:strRef>
              <c:f>Sheet1!$A$2:$A$5</c:f>
              <c:strCache>
                <c:ptCount val="4"/>
                <c:pt idx="1">
                  <c:v>灾害防治及应急管理（类）</c:v>
                </c:pt>
              </c:strCache>
            </c:strRef>
          </c:cat>
          <c:val>
            <c:numRef>
              <c:f>Sheet1!$B$2:$B$5</c:f>
              <c:numCache>
                <c:formatCode>General</c:formatCode>
                <c:ptCount val="4"/>
                <c:pt idx="1" c:formatCode="0.00%">
                  <c:v>1</c:v>
                </c:pt>
              </c:numCache>
            </c:numRef>
          </c:val>
        </c:ser>
        <c:dLbls>
          <c:showLegendKey val="0"/>
          <c:showVal val="1"/>
          <c:showCatName val="0"/>
          <c:showSerName val="0"/>
          <c:showPercent val="0"/>
          <c:showBubbleSize val="0"/>
        </c:dLbls>
      </c:pie3DChart>
      <c:spPr>
        <a:noFill/>
        <a:ln>
          <a:noFill/>
        </a:ln>
        <a:effectLst/>
      </c:spPr>
    </c:plotArea>
    <c:plotVisOnly val="1"/>
    <c:dispBlanksAs val="gap"/>
    <c:showDLblsOverMax val="0"/>
    <c:extLst>
      <c:ext uri="{0b15fc19-7d7d-44ad-8c2d-2c3a37ce22c3}">
        <chartProps xmlns="https://web.wps.cn/et/2018/main" chartId="{43002d65-8de2-4867-8f20-a42e8d713ac3}"/>
      </c:ext>
    </c:extLst>
  </c:chart>
  <c:spPr>
    <a:solidFill>
      <a:schemeClr val="bg1"/>
    </a:solidFill>
    <a:ln w="6350" cap="flat" cmpd="sng" algn="ctr">
      <a:solidFill>
        <a:schemeClr val="tx1">
          <a:lumMod val="50000"/>
          <a:lumOff val="50000"/>
          <a:alpha val="25000"/>
        </a:schemeClr>
      </a:solidFill>
      <a:prstDash val="solid"/>
      <a:round/>
    </a:ln>
    <a:effectLst>
      <a:outerShdw blurRad="63500" dist="37357" dir="2700000" sx="0" sy="0" rotWithShape="0">
        <a:scrgbClr r="0" g="0" b="0"/>
      </a:outerShdw>
    </a:effectLst>
  </c:spPr>
  <c:txPr>
    <a:bodyPr/>
    <a:lstStyle/>
    <a:p>
      <a:pPr>
        <a:defRPr lang="zh-CN">
          <a:solidFill>
            <a:schemeClr val="tx1">
              <a:lumMod val="75000"/>
              <a:lumOff val="25000"/>
            </a:schemeClr>
          </a:solidFill>
          <a:latin typeface="微软雅黑" panose="020B0503020204020204" pitchFamily="2" charset="-122"/>
          <a:ea typeface="微软雅黑" panose="020B0503020204020204" pitchFamily="2" charset="-122"/>
          <a:cs typeface="微软雅黑" panose="020B0503020204020204" pitchFamily="2" charset="-122"/>
          <a:sym typeface="微软雅黑" panose="020B0503020204020204" pitchFamily="2" charset="-122"/>
        </a:defRPr>
      </a:pPr>
    </a:p>
  </c:txPr>
  <c:externalData r:id="rId1">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100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10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1000" kern="1200"/>
    <cs:bodyPr rot="0" spcFirstLastPara="1" vertOverflow="clip" horzOverflow="clip" vert="horz" wrap="square" lIns="36576" tIns="18288" rIns="36576" bIns="18288" anchor="ctr" anchorCtr="1">
      <a:spAutoFit/>
    </cs:bodyPr>
  </cs:dataLabelCallout>
  <cs:dataPoint>
    <cs:lnRef idx="0">
      <cs:styleClr val="auto"/>
    </cs:lnRef>
    <cs:fillRef idx="1">
      <cs:styleClr val="auto"/>
    </cs:fillRef>
    <cs:effectRef idx="0"/>
    <cs:fontRef idx="minor">
      <a:schemeClr val="dk1"/>
    </cs:fontRef>
    <cs:spPr>
      <a:ln>
        <a:noFill/>
      </a:ln>
      <a:effectLst/>
    </cs:spPr>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lt1">
            <a:lumMod val="902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75000"/>
        <a:lumOff val="25000"/>
      </a:schemeClr>
    </cs:fontRef>
    <cs:defRPr sz="1400" b="1" kern="120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xml><?xml version="1.0" encoding="utf-8"?>
<cs:chartStyle xmlns:cs="http://schemas.microsoft.com/office/drawing/2012/chartStyle" xmlns:a="http://schemas.openxmlformats.org/drawingml/2006/main" id="100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10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1000" kern="1200"/>
    <cs:bodyPr rot="0" spcFirstLastPara="1" vertOverflow="clip" horzOverflow="clip" vert="horz" wrap="square" lIns="36576" tIns="18288" rIns="36576" bIns="18288" anchor="ctr" anchorCtr="1">
      <a:spAutoFit/>
    </cs:bodyPr>
  </cs:dataLabelCallout>
  <cs:dataPoint>
    <cs:lnRef idx="0">
      <cs:styleClr val="auto"/>
    </cs:lnRef>
    <cs:fillRef idx="1">
      <cs:styleClr val="auto"/>
    </cs:fillRef>
    <cs:effectRef idx="0"/>
    <cs:fontRef idx="minor">
      <a:schemeClr val="dk1"/>
    </cs:fontRef>
    <cs:spPr>
      <a:ln>
        <a:noFill/>
      </a:ln>
      <a:effectLst/>
    </cs:spPr>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lt1">
            <a:lumMod val="902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75000"/>
        <a:lumOff val="25000"/>
      </a:schemeClr>
    </cs:fontRef>
    <cs:defRPr sz="1400" b="1" kern="120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word/theme/themeOverride1.xml><?xml version="1.0" encoding="utf-8"?>
<a:themeOverride xmlns:a="http://schemas.openxmlformats.org/drawingml/2006/main">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2.xml><?xml version="1.0" encoding="utf-8"?>
<a:themeOverride xmlns:a="http://schemas.openxmlformats.org/drawingml/2006/main">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3.xml><?xml version="1.0" encoding="utf-8"?>
<a:themeOverride xmlns:a="http://schemas.openxmlformats.org/drawingml/2006/main">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ops>
  <customShpExts>
    <customShpInfo spid="_x0000_s1026"/>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China</Company>
  <Pages>27</Pages>
  <Words>3695</Words>
  <Characters>3893</Characters>
  <Lines>36</Lines>
  <Paragraphs>10</Paragraphs>
  <TotalTime>9</TotalTime>
  <ScaleCrop>false</ScaleCrop>
  <LinksUpToDate>false</LinksUpToDate>
  <CharactersWithSpaces>4064</CharactersWithSpaces>
  <Application>WPS Office_12.1.0.22529_F1E327BC-269C-435d-A152-05C5408002CA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2023-08-30T11:33:00Z</dcterms:created>
  <dc:creator>Administrator</dc:creator>
  <cp:lastModifiedBy>胖胖胖的胖子℡</cp:lastModifiedBy>
  <dcterms:modified xsi:type="dcterms:W3CDTF">2025-09-02T01:57:01Z</dcterms:modified>
  <cp:revision>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2023-08-24T00:00:00Z</vt:filetime>
  </property>
  <property fmtid="{D5CDD505-2E9C-101B-9397-08002B2CF9AE}" pid="3" name="Creator">
    <vt:lpwstr>WPS 文字</vt:lpwstr>
  </property>
  <property fmtid="{D5CDD505-2E9C-101B-9397-08002B2CF9AE}" pid="4" name="LastSaved">
    <vt:filetime>2023-08-29T00:00:00Z</vt:filetime>
  </property>
  <property fmtid="{D5CDD505-2E9C-101B-9397-08002B2CF9AE}" pid="5" name="KSOProductBuildVer">
    <vt:lpwstr>2052-12.1.0.22529</vt:lpwstr>
  </property>
  <property fmtid="{D5CDD505-2E9C-101B-9397-08002B2CF9AE}" pid="6" name="ICV">
    <vt:lpwstr>488F5F0538604184AEC24E86E01FBE00_13</vt:lpwstr>
  </property>
  <property fmtid="{D5CDD505-2E9C-101B-9397-08002B2CF9AE}" pid="7" name="KSOTemplateDocerSaveRecord">
    <vt:lpwstr>eyJoZGlkIjoiYzAyNmE5MDg5YTQ1MDFkNTI1OTI4NmVjOTYxY2M0NTMiLCJ1c2VySWQiOiIxMDI2NDAyOTk3In0=</vt:lpwstr>
  </property>
</Properties>
</file>