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jc w:val="both"/>
        <w:rPr>
          <w:rFonts w:hint="eastAsia" w:ascii="楷体_GB2312" w:hAnsi="楷体_GB2312" w:eastAsia="楷体_GB2312" w:cs="楷体_GB2312"/>
          <w:color w:val="000000"/>
          <w:sz w:val="40"/>
          <w:szCs w:val="40"/>
        </w:rPr>
      </w:pPr>
      <w:r>
        <w:drawing>
          <wp:anchor distT="0" distB="0" distL="114300" distR="114300" simplePos="0" relativeHeight="251659264" behindDoc="1" locked="0" layoutInCell="1" allowOverlap="1">
            <wp:simplePos x="0" y="0"/>
            <wp:positionH relativeFrom="column">
              <wp:posOffset>-1692910</wp:posOffset>
            </wp:positionH>
            <wp:positionV relativeFrom="paragraph">
              <wp:posOffset>-1319530</wp:posOffset>
            </wp:positionV>
            <wp:extent cx="8646795" cy="11107420"/>
            <wp:effectExtent l="0" t="0" r="1905" b="5080"/>
            <wp:wrapNone/>
            <wp:docPr id="15" name="图片 15" descr="7b0a202020202266696c746572223a202230220a7d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7b0a202020202266696c746572223a202230220a7d0a"/>
                    <pic:cNvPicPr>
                      <a:picLocks noChangeAspect="1"/>
                    </pic:cNvPicPr>
                  </pic:nvPicPr>
                  <pic:blipFill>
                    <a:blip r:embed="rId10">
                      <a:lum bright="6000"/>
                    </a:blip>
                    <a:srcRect t="559" b="3637"/>
                    <a:stretch>
                      <a:fillRect/>
                    </a:stretch>
                  </pic:blipFill>
                  <pic:spPr>
                    <a:xfrm>
                      <a:off x="0" y="0"/>
                      <a:ext cx="8646795" cy="11107420"/>
                    </a:xfrm>
                    <a:prstGeom prst="rect">
                      <a:avLst/>
                    </a:prstGeom>
                  </pic:spPr>
                </pic:pic>
              </a:graphicData>
            </a:graphic>
          </wp:anchor>
        </w:drawing>
      </w:r>
      <w:r>
        <mc:AlternateContent>
          <mc:Choice Requires="wps">
            <w:drawing>
              <wp:anchor distT="0" distB="0" distL="114300" distR="114300" simplePos="0" relativeHeight="251660288" behindDoc="0" locked="0" layoutInCell="1" allowOverlap="1">
                <wp:simplePos x="0" y="0"/>
                <wp:positionH relativeFrom="column">
                  <wp:posOffset>-546735</wp:posOffset>
                </wp:positionH>
                <wp:positionV relativeFrom="paragraph">
                  <wp:posOffset>253365</wp:posOffset>
                </wp:positionV>
                <wp:extent cx="6431280" cy="2862580"/>
                <wp:effectExtent l="0" t="0" r="0" b="0"/>
                <wp:wrapNone/>
                <wp:docPr id="1" name="文本框 1" descr="7b0a2020202022776f7264617274223a20227b5c2269645c223a32353030323136362c5c227469645c223a5c225c227d220a7d0a"/>
                <wp:cNvGraphicFramePr/>
                <a:graphic xmlns:a="http://schemas.openxmlformats.org/drawingml/2006/main">
                  <a:graphicData uri="http://schemas.microsoft.com/office/word/2010/wordprocessingShape">
                    <wps:wsp>
                      <wps:cNvSpPr txBox="1"/>
                      <wps:spPr>
                        <a:xfrm>
                          <a:off x="0" y="0"/>
                          <a:ext cx="6431280" cy="2862580"/>
                        </a:xfrm>
                        <a:prstGeom prst="rect">
                          <a:avLst/>
                        </a:prstGeom>
                        <a:noFill/>
                        <a:ln>
                          <a:noFill/>
                        </a:ln>
                        <a:effectLst/>
                      </wps:spPr>
                      <wps:txbx>
                        <w:txbxContent>
                          <w:p>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2024年度</w:t>
                            </w:r>
                          </w:p>
                          <w:p>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部门决算公开文本</w:t>
                            </w:r>
                          </w:p>
                        </w:txbxContent>
                      </wps:txbx>
                      <wps:bodyPr upright="1"/>
                    </wps:wsp>
                  </a:graphicData>
                </a:graphic>
              </wp:anchor>
            </w:drawing>
          </mc:Choice>
          <mc:Fallback>
            <w:pict>
              <v:shape id="_x0000_s1026" o:spid="_x0000_s1026" o:spt="202" alt="7b0a2020202022776f7264617274223a20227b5c2269645c223a32353030323136362c5c227469645c223a5c225c227d220a7d0a" type="#_x0000_t202" style="position:absolute;left:0pt;margin-left:-43.05pt;margin-top:19.95pt;height:225.4pt;width:506.4pt;z-index:251660288;mso-width-relative:page;mso-height-relative:page;" filled="f" stroked="f" coordsize="21600,21600" o:gfxdata="UEsDBAoAAAAAAIdO4kAAAAAAAAAAAAAAAAAEAAAAZHJzL1BLAwQUAAAACACHTuJAXbLP3tgAAAAK&#10;AQAADwAAAGRycy9kb3ducmV2LnhtbE2Py07DMBBF90j8gzVI7Fo7paR1yKQLEFsQ5SGxc+NpEhGP&#10;o9htwt9jVrAc3aN7z5S72fXiTGPoPCNkSwWCuPa24wbh7fVxsQURomFres+E8E0BdtXlRWkK6yd+&#10;ofM+NiKVcCgMQhvjUEgZ6pacCUs/EKfs6EdnYjrHRtrRTKnc9XKlVC6d6TgttGag+5bqr/3JIbw/&#10;HT8/1uq5eXC3w+RnJdlpiXh9lak7EJHm+AfDr35Shyo5HfyJbRA9wmKbZwlFuNEaRAL0Kt+AOCCs&#10;tdqArEr5/4XqB1BLAwQUAAAACACHTuJAIFbv09oBAACAAwAADgAAAGRycy9lMm9Eb2MueG1srVPN&#10;jtMwEL4j8Q6W7zSJ0zolaroSWi0XBEi7PIBjO02k+Ee2t0lfAN6AExfuPFefg7EbugvcELLkeL4Z&#10;j79vZrK7mdWIjtL5wegGF6scI6m5EYM+NPjTw92rLUY+MC3YaLRs8El6fLN/+WI32VoS05tRSIcg&#10;ifb1ZBvch2DrLPO8l4r5lbFSg7MzTrEApjtkwrEJsqsxI3lOs8k4YZ3h0ntAby9OvE/5u07y8KHr&#10;vAxobDBwC2l3aW/jnu13rD44ZvuBLzTYP7BQbNDw6DXVLQsMPbrhr1Rq4M5404UVNyozXTdwmTSA&#10;miL/Q819z6xMWqA43l7L5P9fWv7++NGhQUDvMNJMQYvOX7+cv/04f/+MABLScyhX1eaM5MsiVUW7&#10;itA1LSpSrQkpo49U7YYTQl/TdfyWrCTlpsxhkbIoaUkJj3i1foqIdsIEITmrRM5iPybra6B1b4FY&#10;mN+YOXJbcA9gLPPcORW/UEAEfujs6dpNOQfEAaTrsiBbcHHwkS0lGzAgT/Z03Tof3kqjUDw02MG4&#10;pC6y4zsfLqG/QuJr2twN4wg4q0f9GwA5L4hMM7fcjkoujOMpzO28yGiNOIG6R+uGQw8PJ31ZDII2&#10;J4bLSMY5em7D+fmPs/8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XbLP3tgAAAAKAQAADwAAAAAA&#10;AAABACAAAAAiAAAAZHJzL2Rvd25yZXYueG1sUEsBAhQAFAAAAAgAh07iQCBW79PaAQAAgAMAAA4A&#10;AAAAAAAAAQAgAAAAJwEAAGRycy9lMm9Eb2MueG1sUEsFBgAAAAAGAAYAWQEAAHMFAAAAAA==&#10;">
                <v:fill on="f" focussize="0,0"/>
                <v:stroke on="f"/>
                <v:imagedata o:title=""/>
                <o:lock v:ext="edit" aspectratio="f"/>
                <v:textbox>
                  <w:txbxContent>
                    <w:p>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2024年度</w:t>
                      </w:r>
                    </w:p>
                    <w:p>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部门决算公开文本</w:t>
                      </w:r>
                    </w:p>
                  </w:txbxContent>
                </v:textbox>
              </v:shape>
            </w:pict>
          </mc:Fallback>
        </mc:AlternateContent>
      </w: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left"/>
        <w:rPr>
          <w:rFonts w:hint="eastAsia" w:ascii="楷体_GB2312" w:hAnsi="楷体_GB2312" w:eastAsia="楷体_GB2312" w:cs="楷体_GB2312"/>
          <w:color w:val="000000"/>
          <w:sz w:val="40"/>
          <w:szCs w:val="40"/>
          <w:lang w:val="en-US" w:eastAsia="zh-CN"/>
        </w:rPr>
      </w:pPr>
      <w:r>
        <w:rPr>
          <w:rFonts w:hint="eastAsia" w:ascii="黑体" w:hAnsi="黑体" w:eastAsia="黑体" w:cs="黑体"/>
          <w:color w:val="000000"/>
          <w:sz w:val="40"/>
          <w:szCs w:val="40"/>
        </w:rPr>
        <w:t>预算代码</w:t>
      </w:r>
      <w:r>
        <w:rPr>
          <w:rFonts w:hint="eastAsia" w:ascii="楷体_GB2312" w:hAnsi="楷体_GB2312" w:eastAsia="楷体_GB2312" w:cs="楷体_GB2312"/>
          <w:color w:val="000000"/>
          <w:sz w:val="40"/>
          <w:szCs w:val="40"/>
        </w:rPr>
        <w:t>：</w:t>
      </w:r>
      <w:r>
        <w:rPr>
          <w:rFonts w:hint="eastAsia" w:ascii="楷体_GB2312" w:hAnsi="楷体_GB2312" w:eastAsia="楷体_GB2312" w:cs="楷体_GB2312"/>
          <w:color w:val="000000"/>
          <w:sz w:val="40"/>
          <w:szCs w:val="40"/>
          <w:lang w:val="en-US" w:eastAsia="zh-CN"/>
        </w:rPr>
        <w:t>222</w:t>
      </w:r>
    </w:p>
    <w:p>
      <w:pPr>
        <w:spacing w:line="600" w:lineRule="auto"/>
        <w:jc w:val="left"/>
        <w:rPr>
          <w:rFonts w:hint="eastAsia" w:ascii="楷体_GB2312" w:hAnsi="楷体_GB2312" w:eastAsia="楷体_GB2312" w:cs="楷体_GB2312"/>
          <w:color w:val="000000"/>
          <w:sz w:val="40"/>
          <w:szCs w:val="40"/>
        </w:rPr>
      </w:pPr>
      <w:r>
        <w:rPr>
          <w:rFonts w:hint="eastAsia" w:ascii="黑体" w:hAnsi="黑体" w:eastAsia="黑体" w:cs="黑体"/>
          <w:color w:val="000000"/>
          <w:sz w:val="40"/>
          <w:szCs w:val="40"/>
        </w:rPr>
        <w:t>单位名称</w:t>
      </w:r>
      <w:r>
        <w:rPr>
          <w:rFonts w:hint="eastAsia" w:ascii="楷体_GB2312" w:hAnsi="楷体_GB2312" w:eastAsia="楷体_GB2312" w:cs="楷体_GB2312"/>
          <w:color w:val="000000"/>
          <w:sz w:val="40"/>
          <w:szCs w:val="40"/>
        </w:rPr>
        <w:t>：中国共产党滦州市纪律检查委员会</w:t>
      </w:r>
    </w:p>
    <w:p>
      <w:pPr>
        <w:spacing w:line="600" w:lineRule="auto"/>
        <w:jc w:val="both"/>
        <w:rPr>
          <w:rFonts w:hint="eastAsia" w:ascii="楷体_GB2312" w:hAnsi="楷体_GB2312" w:eastAsia="楷体_GB2312" w:cs="楷体_GB2312"/>
          <w:color w:val="000000"/>
          <w:sz w:val="40"/>
          <w:szCs w:val="40"/>
        </w:rPr>
        <w:sectPr>
          <w:footerReference r:id="rId3" w:type="default"/>
          <w:pgSz w:w="11906" w:h="16838"/>
          <w:pgMar w:top="2098" w:right="1417" w:bottom="1871" w:left="1417" w:header="851" w:footer="992" w:gutter="0"/>
          <w:pgBorders>
            <w:top w:val="none" w:sz="0" w:space="0"/>
            <w:left w:val="none" w:sz="0" w:space="0"/>
            <w:bottom w:val="none" w:sz="0" w:space="0"/>
            <w:right w:val="none" w:sz="0" w:space="0"/>
          </w:pgBorders>
          <w:cols w:space="720" w:num="1"/>
          <w:docGrid w:type="lines" w:linePitch="312" w:charSpace="0"/>
        </w:sectPr>
      </w:pPr>
    </w:p>
    <w:p>
      <w:pPr>
        <w:spacing w:line="600" w:lineRule="auto"/>
        <w:jc w:val="center"/>
        <w:rPr>
          <w:rFonts w:hint="eastAsia" w:ascii="楷体_GB2312" w:hAnsi="楷体_GB2312" w:eastAsia="楷体_GB2312" w:cs="楷体_GB2312"/>
          <w:color w:val="000000"/>
          <w:sz w:val="40"/>
          <w:szCs w:val="40"/>
        </w:rPr>
      </w:pPr>
    </w:p>
    <w:p>
      <w:pPr>
        <w:rPr>
          <w:rFonts w:hint="eastAsia" w:ascii="黑体" w:hAnsi="黑体" w:eastAsia="黑体" w:cs="黑体"/>
          <w:b/>
          <w:bCs/>
          <w:sz w:val="32"/>
          <w:szCs w:val="36"/>
          <w:highlight w:val="yellow"/>
        </w:rPr>
      </w:pPr>
    </w:p>
    <w:p>
      <w:pPr>
        <w:widowControl/>
        <w:spacing w:before="0" w:beforeLines="0" w:beforeAutospacing="0" w:after="0" w:afterLines="0" w:afterAutospacing="0" w:line="360" w:lineRule="auto"/>
        <w:jc w:val="center"/>
        <w:rPr>
          <w:rFonts w:ascii="Times New Roman" w:eastAsia="方正小标宋_GBK"/>
          <w:sz w:val="72"/>
          <w:szCs w:val="72"/>
        </w:rPr>
      </w:pPr>
      <w:r>
        <w:rPr>
          <w:rFonts w:ascii="Times New Roman" w:eastAsia="方正小标宋_GBK"/>
          <w:b w:val="0"/>
          <w:sz w:val="72"/>
          <w:szCs w:val="72"/>
        </w:rPr>
        <w:t>中国共产党滦州市纪律检查委员会</w:t>
      </w:r>
    </w:p>
    <w:p>
      <w:pPr>
        <w:widowControl/>
        <w:spacing w:before="0" w:beforeLines="0" w:beforeAutospacing="0" w:after="0" w:afterLines="0" w:afterAutospacing="0" w:line="360" w:lineRule="auto"/>
        <w:jc w:val="center"/>
        <w:rPr>
          <w:rFonts w:ascii="Times New Roman" w:eastAsia="方正小标宋_GBK"/>
          <w:sz w:val="72"/>
          <w:szCs w:val="72"/>
        </w:rPr>
      </w:pPr>
      <w:r>
        <w:rPr>
          <w:rFonts w:ascii="Times New Roman" w:eastAsia="仿宋_GB2312"/>
          <w:b w:val="0"/>
          <w:sz w:val="72"/>
          <w:szCs w:val="72"/>
        </w:rPr>
        <w:t>2024</w:t>
      </w:r>
      <w:r>
        <w:rPr>
          <w:rFonts w:ascii="Times New Roman" w:eastAsia="方正小标宋_GBK"/>
          <w:b w:val="0"/>
          <w:sz w:val="72"/>
          <w:szCs w:val="72"/>
        </w:rPr>
        <w:t>年度部门决算公开文本</w:t>
      </w:r>
    </w:p>
    <w:p>
      <w:pPr>
        <w:spacing w:line="360" w:lineRule="auto"/>
        <w:jc w:val="center"/>
        <w:rPr>
          <w:rFonts w:ascii="黑体" w:hAnsi="黑体" w:eastAsia="黑体" w:cs="黑体"/>
          <w:sz w:val="56"/>
          <w:szCs w:val="72"/>
        </w:rPr>
      </w:pPr>
    </w:p>
    <w:p>
      <w:pPr>
        <w:spacing w:line="600" w:lineRule="auto"/>
        <w:jc w:val="center"/>
        <w:rPr>
          <w:rFonts w:ascii="黑体" w:hAnsi="黑体" w:eastAsia="黑体" w:cs="黑体"/>
          <w:sz w:val="56"/>
          <w:szCs w:val="72"/>
        </w:rPr>
      </w:pPr>
    </w:p>
    <w:p>
      <w:pPr>
        <w:spacing w:line="600" w:lineRule="auto"/>
        <w:jc w:val="center"/>
        <w:rPr>
          <w:rFonts w:ascii="黑体" w:hAnsi="黑体" w:eastAsia="黑体" w:cs="黑体"/>
          <w:sz w:val="56"/>
          <w:szCs w:val="72"/>
        </w:rPr>
      </w:pPr>
    </w:p>
    <w:p>
      <w:pPr>
        <w:spacing w:line="480" w:lineRule="auto"/>
        <w:jc w:val="both"/>
        <w:rPr>
          <w:rFonts w:ascii="黑体" w:hAnsi="黑体" w:eastAsia="黑体" w:cs="黑体"/>
          <w:sz w:val="56"/>
          <w:szCs w:val="72"/>
        </w:rPr>
      </w:pPr>
    </w:p>
    <w:p>
      <w:pPr>
        <w:widowControl/>
        <w:spacing w:before="0" w:beforeLines="0" w:beforeAutospacing="0" w:after="0" w:afterLines="0" w:afterAutospacing="0" w:line="360" w:lineRule="auto"/>
        <w:jc w:val="center"/>
        <w:rPr>
          <w:rFonts w:ascii="Times New Roman" w:eastAsia="楷体_GB2312"/>
          <w:sz w:val="44"/>
          <w:szCs w:val="44"/>
        </w:rPr>
      </w:pPr>
    </w:p>
    <w:p>
      <w:pPr>
        <w:widowControl/>
        <w:spacing w:before="0" w:beforeLines="0" w:beforeAutospacing="0" w:after="0" w:afterLines="0" w:afterAutospacing="0" w:line="360" w:lineRule="auto"/>
        <w:jc w:val="center"/>
        <w:rPr>
          <w:rFonts w:ascii="Times New Roman" w:eastAsia="楷体_GB2312"/>
          <w:sz w:val="44"/>
          <w:szCs w:val="44"/>
        </w:rPr>
      </w:pPr>
      <w:r>
        <w:rPr>
          <w:rFonts w:ascii="Times New Roman" w:eastAsia="楷体_GB2312"/>
          <w:b w:val="0"/>
          <w:sz w:val="44"/>
          <w:szCs w:val="44"/>
        </w:rPr>
        <w:t>二〇二五年八月</w:t>
      </w:r>
    </w:p>
    <w:p>
      <w:pPr>
        <w:snapToGrid w:val="0"/>
        <w:jc w:val="left"/>
        <w:rPr>
          <w:rFonts w:hint="eastAsia" w:ascii="楷体_GB2312" w:hAnsi="楷体_GB2312" w:eastAsia="楷体_GB2312" w:cs="楷体_GB2312"/>
          <w:color w:val="000000" w:themeColor="text1"/>
          <w:kern w:val="0"/>
          <w:sz w:val="44"/>
          <w:szCs w:val="44"/>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p>
    <w:p>
      <w:pPr>
        <w:snapToGrid w:val="0"/>
        <w:jc w:val="left"/>
        <w:rPr>
          <w:rFonts w:hint="default" w:ascii="楷体_GB2312" w:hAnsi="楷体_GB2312" w:eastAsia="楷体_GB2312" w:cs="楷体_GB2312"/>
          <w:color w:val="000000" w:themeColor="text1"/>
          <w:kern w:val="0"/>
          <w:sz w:val="44"/>
          <w:szCs w:val="44"/>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sectPr>
          <w:pgSz w:w="11906" w:h="16838"/>
          <w:pgMar w:top="1531" w:right="1984" w:bottom="1531" w:left="2098" w:header="851" w:footer="992" w:gutter="0"/>
          <w:pgBorders>
            <w:top w:val="none" w:sz="0" w:space="0"/>
            <w:left w:val="none" w:sz="0" w:space="0"/>
            <w:bottom w:val="none" w:sz="0" w:space="0"/>
            <w:right w:val="none" w:sz="0" w:space="0"/>
          </w:pgBorders>
          <w:cols w:space="720" w:num="1"/>
          <w:docGrid w:type="lines" w:linePitch="312" w:charSpace="0"/>
        </w:sectPr>
      </w:pPr>
    </w:p>
    <w:p>
      <w:pPr>
        <w:widowControl/>
        <w:spacing w:line="600" w:lineRule="exact"/>
        <w:jc w:val="left"/>
        <w:rPr>
          <w:rFonts w:ascii="黑体" w:hAnsi="黑体" w:eastAsia="黑体" w:cs="黑体"/>
          <w:bCs/>
          <w:sz w:val="32"/>
          <w:szCs w:val="32"/>
        </w:rPr>
      </w:pPr>
    </w:p>
    <w:p>
      <w:pPr>
        <w:tabs>
          <w:tab w:val="left" w:pos="2728"/>
        </w:tabs>
        <w:jc w:val="center"/>
        <w:rPr>
          <w:rFonts w:ascii="黑体" w:hAnsi="Times New Roman" w:eastAsia="黑体" w:cs="Times New Roman"/>
          <w:sz w:val="48"/>
          <w:szCs w:val="48"/>
        </w:rPr>
      </w:pPr>
    </w:p>
    <w:p>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目录</w:t>
      </w:r>
    </w:p>
    <w:p>
      <w:pPr>
        <w:widowControl/>
        <w:spacing w:after="160" w:line="580" w:lineRule="exact"/>
        <w:ind w:firstLine="640" w:firstLineChars="200"/>
        <w:rPr>
          <w:rFonts w:ascii="Times New Roman" w:hAnsi="Times New Roman" w:eastAsia="黑体" w:cs="Times New Roman"/>
          <w:sz w:val="32"/>
          <w:szCs w:val="32"/>
        </w:rPr>
      </w:pPr>
    </w:p>
    <w:p>
      <w:pPr>
        <w:widowControl/>
        <w:spacing w:before="0" w:beforeLines="0" w:beforeAutospacing="0" w:after="0" w:afterLines="0" w:afterAutospacing="0" w:line="360" w:lineRule="auto"/>
        <w:jc w:val="left"/>
        <w:rPr>
          <w:rFonts w:ascii="Times New Roman" w:eastAsia="黑体"/>
          <w:sz w:val="32"/>
          <w:szCs w:val="32"/>
        </w:rPr>
      </w:pPr>
      <w:r>
        <w:rPr>
          <w:rFonts w:ascii="Times New Roman" w:eastAsia="黑体"/>
          <w:b w:val="0"/>
          <w:sz w:val="32"/>
          <w:szCs w:val="32"/>
        </w:rPr>
        <w:t>第一部分部门概况</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一、部门职责</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二、机构设置</w:t>
      </w:r>
    </w:p>
    <w:p>
      <w:pPr>
        <w:widowControl/>
        <w:spacing w:before="0" w:beforeLines="0" w:beforeAutospacing="0" w:after="0" w:afterLines="0" w:afterAutospacing="0" w:line="360" w:lineRule="auto"/>
        <w:jc w:val="left"/>
        <w:outlineLvl w:val="0"/>
        <w:rPr>
          <w:rFonts w:ascii="Times New Roman" w:eastAsia="黑体"/>
          <w:sz w:val="32"/>
          <w:szCs w:val="32"/>
        </w:rPr>
      </w:pPr>
      <w:r>
        <w:rPr>
          <w:rFonts w:ascii="Times New Roman" w:eastAsia="黑体"/>
          <w:b w:val="0"/>
          <w:sz w:val="32"/>
          <w:szCs w:val="32"/>
        </w:rPr>
        <w:t>第二部分2024年度部门决算报表</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一、收入支出决算总表</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二、收入决算表</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三、支出决算表</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四、财政拨款收入支出决算总表</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五、一般公共预算财政拨款支出决算表</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六、一般公共预算财政拨款基本支出决算明细表</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七、政府性基金预算财政拨款收入支出决算表</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八、国有资本经营预算财政拨款支出决算表</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九、财政拨款“三公”经费支出决算表</w:t>
      </w:r>
    </w:p>
    <w:p>
      <w:pPr>
        <w:widowControl/>
        <w:spacing w:before="0" w:beforeLines="0" w:beforeAutospacing="0" w:after="0" w:afterLines="0" w:afterAutospacing="0" w:line="360" w:lineRule="auto"/>
        <w:jc w:val="left"/>
        <w:rPr>
          <w:rFonts w:ascii="Times New Roman" w:eastAsia="黑体"/>
          <w:sz w:val="32"/>
          <w:szCs w:val="32"/>
        </w:rPr>
      </w:pPr>
      <w:r>
        <w:rPr>
          <w:rFonts w:ascii="Times New Roman" w:eastAsia="黑体"/>
          <w:b w:val="0"/>
          <w:sz w:val="32"/>
          <w:szCs w:val="32"/>
        </w:rPr>
        <w:t>第三部分2024年度部门决算情况说明</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一、收入支出决算总体情况说明</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二、收入决算情况说明</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三、支出决算情况说明</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四、财政拨款收入支出决算总体情况说明</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五、财政拨款“三公”经费支出决算情况说明</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六、机关运行经费支出说明</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七、政府采购支出说明</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八、国有资产占用情况说明</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九、关于2024年度绩效评价情况的说明</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十、其他需要说明的情况</w:t>
      </w:r>
    </w:p>
    <w:p>
      <w:pPr>
        <w:widowControl/>
        <w:spacing w:before="0" w:beforeLines="0" w:beforeAutospacing="0" w:after="0" w:afterLines="0" w:afterAutospacing="0" w:line="360" w:lineRule="auto"/>
        <w:jc w:val="left"/>
        <w:rPr>
          <w:rFonts w:ascii="Times New Roman" w:eastAsia="黑体"/>
          <w:sz w:val="32"/>
          <w:szCs w:val="32"/>
        </w:rPr>
      </w:pPr>
      <w:r>
        <w:rPr>
          <w:rFonts w:ascii="Times New Roman" w:eastAsia="黑体"/>
          <w:b w:val="0"/>
          <w:sz w:val="32"/>
          <w:szCs w:val="32"/>
        </w:rPr>
        <w:t>第四部分名词解释</w:t>
      </w:r>
    </w:p>
    <w:p>
      <w:pPr>
        <w:widowControl/>
        <w:spacing w:after="160" w:line="580" w:lineRule="exact"/>
        <w:rPr>
          <w:rFonts w:hint="eastAsia" w:ascii="Times New Roman" w:hAnsi="Times New Roman" w:eastAsia="黑体" w:cs="Times New Roman"/>
          <w:sz w:val="32"/>
          <w:szCs w:val="32"/>
          <w:lang w:val="en-US" w:eastAsia="zh-CN"/>
        </w:rPr>
        <w:sectPr>
          <w:headerReference r:id="rId5" w:type="first"/>
          <w:footerReference r:id="rId7" w:type="first"/>
          <w:headerReference r:id="rId4" w:type="default"/>
          <w:footerReference r:id="rId6" w:type="default"/>
          <w:pgSz w:w="11906" w:h="16838"/>
          <w:pgMar w:top="1474" w:right="1531" w:bottom="1474" w:left="1531" w:header="851" w:footer="992" w:gutter="0"/>
          <w:pgBorders>
            <w:top w:val="none" w:sz="0" w:space="0"/>
            <w:left w:val="none" w:sz="0" w:space="0"/>
            <w:bottom w:val="none" w:sz="0" w:space="0"/>
            <w:right w:val="none" w:sz="0" w:space="0"/>
          </w:pgBorders>
          <w:cols w:space="0" w:num="1"/>
          <w:titlePg/>
          <w:docGrid w:type="lines" w:linePitch="312" w:charSpace="0"/>
        </w:sectPr>
      </w:pPr>
    </w:p>
    <w:p>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第一部分部门概况</w:t>
      </w:r>
    </w:p>
    <w:p>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一、部门职责</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0" w:firstLineChars="200"/>
        <w:jc w:val="left"/>
        <w:textAlignment w:val="auto"/>
        <w:rPr>
          <w:rFonts w:hint="eastAsia" w:ascii="Times New Roman" w:eastAsia="仿宋_GB2312"/>
          <w:sz w:val="32"/>
          <w:szCs w:val="32"/>
        </w:rPr>
      </w:pPr>
      <w:r>
        <w:rPr>
          <w:rFonts w:hint="eastAsia" w:ascii="Times New Roman" w:eastAsia="仿宋_GB2312"/>
          <w:sz w:val="32"/>
          <w:szCs w:val="32"/>
        </w:rPr>
        <w:t>根据部门“三定”方案，我部门的职责主要有以下几方面：</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0" w:firstLineChars="200"/>
        <w:jc w:val="left"/>
        <w:textAlignment w:val="auto"/>
        <w:rPr>
          <w:rFonts w:hint="eastAsia" w:ascii="Times New Roman" w:eastAsia="仿宋_GB2312"/>
          <w:sz w:val="32"/>
          <w:szCs w:val="32"/>
        </w:rPr>
      </w:pPr>
      <w:r>
        <w:rPr>
          <w:rFonts w:hint="eastAsia" w:ascii="Times New Roman" w:eastAsia="仿宋_GB2312"/>
          <w:sz w:val="32"/>
          <w:szCs w:val="32"/>
        </w:rPr>
        <w:t>一是贯彻执行《中国共产党党内监督条例（试行）》，维护党的章程和其他党内法规，监督检查党的路线、方针、政策和决议的执行情况。</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0" w:firstLineChars="200"/>
        <w:jc w:val="left"/>
        <w:textAlignment w:val="auto"/>
        <w:rPr>
          <w:rFonts w:hint="eastAsia" w:ascii="Times New Roman" w:eastAsia="仿宋_GB2312"/>
          <w:sz w:val="32"/>
          <w:szCs w:val="32"/>
        </w:rPr>
      </w:pPr>
      <w:r>
        <w:rPr>
          <w:rFonts w:hint="eastAsia" w:ascii="Times New Roman" w:eastAsia="仿宋_GB2312"/>
          <w:sz w:val="32"/>
          <w:szCs w:val="32"/>
        </w:rPr>
        <w:t>二是贯彻落实中央和省、市各级关于加强党风廉政建设的决定，协助党委加强党风廉政建设和组织协调反腐败工作。</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0" w:firstLineChars="200"/>
        <w:jc w:val="left"/>
        <w:textAlignment w:val="auto"/>
        <w:rPr>
          <w:rFonts w:hint="eastAsia" w:ascii="Times New Roman" w:eastAsia="仿宋_GB2312"/>
          <w:sz w:val="32"/>
          <w:szCs w:val="32"/>
        </w:rPr>
      </w:pPr>
      <w:r>
        <w:rPr>
          <w:rFonts w:hint="eastAsia" w:ascii="Times New Roman" w:eastAsia="仿宋_GB2312"/>
          <w:sz w:val="32"/>
          <w:szCs w:val="32"/>
        </w:rPr>
        <w:t>三是负责对各级各单位党风廉政建设责任制执行情况和党员领导干部行使权力进行监督检查。</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0" w:firstLineChars="200"/>
        <w:jc w:val="left"/>
        <w:textAlignment w:val="auto"/>
        <w:rPr>
          <w:rFonts w:hint="eastAsia" w:ascii="Times New Roman" w:eastAsia="仿宋_GB2312"/>
          <w:sz w:val="32"/>
          <w:szCs w:val="32"/>
        </w:rPr>
      </w:pPr>
      <w:r>
        <w:rPr>
          <w:rFonts w:hint="eastAsia" w:ascii="Times New Roman" w:eastAsia="仿宋_GB2312"/>
          <w:sz w:val="32"/>
          <w:szCs w:val="32"/>
        </w:rPr>
        <w:t>四是负责检查和处理党的组织和党员违反党的章程和其他党内法规的比较重要的案件，决定或取消案件中党员的处分。</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0" w:firstLineChars="200"/>
        <w:jc w:val="left"/>
        <w:textAlignment w:val="auto"/>
        <w:rPr>
          <w:rFonts w:hint="eastAsia" w:ascii="Times New Roman" w:eastAsia="仿宋_GB2312"/>
          <w:sz w:val="32"/>
          <w:szCs w:val="32"/>
        </w:rPr>
      </w:pPr>
      <w:r>
        <w:rPr>
          <w:rFonts w:hint="eastAsia" w:ascii="Times New Roman" w:eastAsia="仿宋_GB2312"/>
          <w:sz w:val="32"/>
          <w:szCs w:val="32"/>
        </w:rPr>
        <w:t>五是负责受理纪检监察来访、来信及举报案件，及时反馈调查处理结果。</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0" w:firstLineChars="200"/>
        <w:jc w:val="left"/>
        <w:textAlignment w:val="auto"/>
        <w:rPr>
          <w:rFonts w:hint="eastAsia" w:ascii="Times New Roman" w:eastAsia="仿宋_GB2312"/>
          <w:sz w:val="32"/>
          <w:szCs w:val="32"/>
        </w:rPr>
      </w:pPr>
      <w:r>
        <w:rPr>
          <w:rFonts w:hint="eastAsia" w:ascii="Times New Roman" w:eastAsia="仿宋_GB2312"/>
          <w:sz w:val="32"/>
          <w:szCs w:val="32"/>
        </w:rPr>
        <w:t>六是负责组织对工作中带苗头问题进行调查研究。</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0" w:firstLineChars="200"/>
        <w:jc w:val="left"/>
        <w:textAlignment w:val="auto"/>
        <w:rPr>
          <w:rFonts w:hint="eastAsia" w:ascii="Times New Roman" w:eastAsia="仿宋_GB2312"/>
          <w:sz w:val="32"/>
          <w:szCs w:val="32"/>
        </w:rPr>
      </w:pPr>
      <w:r>
        <w:rPr>
          <w:rFonts w:hint="eastAsia" w:ascii="Times New Roman" w:eastAsia="仿宋_GB2312"/>
          <w:sz w:val="32"/>
          <w:szCs w:val="32"/>
        </w:rPr>
        <w:t>七是负责做好党的纪律检查和法律、法规的宣传工作；协助党委加强党风建设，抓好党员干部遵纪守法、廉洁从政教育。</w:t>
      </w:r>
    </w:p>
    <w:p>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0" w:firstLineChars="200"/>
        <w:jc w:val="left"/>
        <w:textAlignment w:val="auto"/>
        <w:rPr>
          <w:rFonts w:ascii="Times New Roman" w:eastAsia="仿宋_GB2312"/>
          <w:sz w:val="32"/>
          <w:szCs w:val="32"/>
        </w:rPr>
      </w:pPr>
      <w:r>
        <w:rPr>
          <w:rFonts w:hint="eastAsia" w:ascii="Times New Roman" w:eastAsia="仿宋_GB2312"/>
          <w:sz w:val="32"/>
          <w:szCs w:val="32"/>
        </w:rPr>
        <w:t>八是完成党委和政府交办的其他工作。</w:t>
      </w:r>
    </w:p>
    <w:p>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二、机构设置</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从决算编报单位构成看，纳入2024年度本部门决算汇编范围的独立核算单位（以下简称“单位”）共</w:t>
      </w:r>
      <w:r>
        <w:rPr>
          <w:rFonts w:hint="eastAsia" w:ascii="Times New Roman" w:eastAsia="仿宋_GB2312"/>
          <w:b w:val="0"/>
          <w:sz w:val="32"/>
          <w:szCs w:val="32"/>
          <w:lang w:val="en-US" w:eastAsia="zh-CN"/>
        </w:rPr>
        <w:t>1</w:t>
      </w:r>
      <w:r>
        <w:rPr>
          <w:rFonts w:ascii="Times New Roman" w:eastAsia="仿宋_GB2312"/>
          <w:b w:val="0"/>
          <w:sz w:val="32"/>
          <w:szCs w:val="32"/>
        </w:rPr>
        <w:t>个，具体情况如下：</w:t>
      </w:r>
    </w:p>
    <w:tbl>
      <w:tblPr>
        <w:tblStyle w:val="13"/>
        <w:tblpPr w:leftFromText="180" w:rightFromText="180" w:vertAnchor="text" w:horzAnchor="page" w:tblpX="1561" w:tblpY="518"/>
        <w:tblOverlap w:val="never"/>
        <w:tblW w:w="95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3485"/>
        <w:gridCol w:w="2445"/>
        <w:gridCol w:w="2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1" w:hRule="atLeast"/>
          <w:jc w:val="center"/>
        </w:trPr>
        <w:tc>
          <w:tcPr>
            <w:tcW w:w="985"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序号</w:t>
            </w:r>
          </w:p>
        </w:tc>
        <w:tc>
          <w:tcPr>
            <w:tcW w:w="3485"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单位名称</w:t>
            </w:r>
          </w:p>
        </w:tc>
        <w:tc>
          <w:tcPr>
            <w:tcW w:w="2445"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单位基本性质</w:t>
            </w:r>
          </w:p>
        </w:tc>
        <w:tc>
          <w:tcPr>
            <w:tcW w:w="2665"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经费形式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lang w:val="en-US" w:eastAsia="zh-CN"/>
              </w:rPr>
              <w:t>1</w:t>
            </w:r>
          </w:p>
        </w:tc>
        <w:tc>
          <w:tcPr>
            <w:tcW w:w="3485" w:type="dxa"/>
          </w:tcPr>
          <w:p>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lang w:val="en-US" w:eastAsia="zh-CN"/>
              </w:rPr>
              <w:t>中国共产党滦州市纪律检查委员会(本级)</w:t>
            </w:r>
          </w:p>
        </w:tc>
        <w:tc>
          <w:tcPr>
            <w:tcW w:w="2445" w:type="dxa"/>
          </w:tcPr>
          <w:p>
            <w:pPr>
              <w:spacing w:line="560" w:lineRule="exact"/>
              <w:jc w:val="center"/>
              <w:rPr>
                <w:rFonts w:hint="eastAsia" w:ascii="仿宋_GB2312" w:hAnsi="Calibri" w:eastAsia="仿宋_GB2312" w:cs="ArialUnicodeMS"/>
                <w:kern w:val="0"/>
                <w:sz w:val="28"/>
                <w:szCs w:val="28"/>
                <w:lang w:val="en-US" w:eastAsia="zh-CN"/>
              </w:rPr>
            </w:pPr>
            <w:r>
              <w:rPr>
                <w:rFonts w:hint="eastAsia" w:ascii="仿宋_GB2312" w:hAnsi="Calibri" w:eastAsia="仿宋_GB2312" w:cs="ArialUnicodeMS"/>
                <w:kern w:val="0"/>
                <w:sz w:val="28"/>
                <w:szCs w:val="28"/>
                <w:lang w:val="en-US" w:eastAsia="zh-CN"/>
              </w:rPr>
              <w:t>行政单位</w:t>
            </w:r>
          </w:p>
        </w:tc>
        <w:tc>
          <w:tcPr>
            <w:tcW w:w="2665" w:type="dxa"/>
          </w:tcPr>
          <w:p>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lang w:val="en-US" w:eastAsia="zh-CN"/>
              </w:rPr>
              <w:t>全额</w:t>
            </w:r>
          </w:p>
        </w:tc>
      </w:tr>
    </w:tbl>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Times New Roman" w:eastAsia="仿宋_GB2312"/>
          <w:b w:val="0"/>
          <w:sz w:val="32"/>
          <w:szCs w:val="32"/>
        </w:rPr>
      </w:pPr>
      <w:r>
        <w:rPr>
          <w:rFonts w:hint="eastAsia" w:ascii="Times New Roman" w:eastAsia="仿宋_GB2312"/>
          <w:b w:val="0"/>
          <w:sz w:val="32"/>
          <w:szCs w:val="32"/>
          <w:lang w:eastAsia="zh-CN"/>
        </w:rPr>
        <w:t>我</w:t>
      </w:r>
      <w:r>
        <w:rPr>
          <w:rFonts w:hint="eastAsia" w:ascii="Times New Roman" w:eastAsia="仿宋_GB2312"/>
          <w:b w:val="0"/>
          <w:sz w:val="32"/>
          <w:szCs w:val="32"/>
        </w:rPr>
        <w:t>部门无二级预算单位，因此，中国共产党滦州市纪律检查委员会202</w:t>
      </w:r>
      <w:r>
        <w:rPr>
          <w:rFonts w:hint="eastAsia" w:ascii="Times New Roman" w:eastAsia="仿宋_GB2312"/>
          <w:b w:val="0"/>
          <w:sz w:val="32"/>
          <w:szCs w:val="32"/>
          <w:lang w:val="en-US" w:eastAsia="zh-CN"/>
        </w:rPr>
        <w:t>4</w:t>
      </w:r>
      <w:r>
        <w:rPr>
          <w:rFonts w:hint="eastAsia" w:ascii="Times New Roman" w:eastAsia="仿宋_GB2312"/>
          <w:b w:val="0"/>
          <w:sz w:val="32"/>
          <w:szCs w:val="32"/>
        </w:rPr>
        <w:t>年度部门决算即中国共产党滦州市纪律检查委员会（本级）202</w:t>
      </w:r>
      <w:r>
        <w:rPr>
          <w:rFonts w:hint="eastAsia" w:ascii="Times New Roman" w:eastAsia="仿宋_GB2312"/>
          <w:b w:val="0"/>
          <w:sz w:val="32"/>
          <w:szCs w:val="32"/>
          <w:lang w:val="en-US" w:eastAsia="zh-CN"/>
        </w:rPr>
        <w:t>4</w:t>
      </w:r>
      <w:r>
        <w:rPr>
          <w:rFonts w:hint="eastAsia" w:ascii="Times New Roman" w:eastAsia="仿宋_GB2312"/>
          <w:b w:val="0"/>
          <w:sz w:val="32"/>
          <w:szCs w:val="32"/>
        </w:rPr>
        <w:t>年度决算。</w:t>
      </w:r>
    </w:p>
    <w:p>
      <w:pPr>
        <w:widowControl/>
        <w:spacing w:before="0" w:beforeLines="0" w:beforeAutospacing="0" w:after="0" w:afterLines="0" w:afterAutospacing="0" w:line="360" w:lineRule="auto"/>
        <w:jc w:val="center"/>
        <w:outlineLvl w:val="0"/>
        <w:rPr>
          <w:rFonts w:ascii="Times New Roman" w:eastAsia="黑体"/>
          <w:b w:val="0"/>
          <w:sz w:val="44"/>
          <w:szCs w:val="44"/>
        </w:rPr>
      </w:pPr>
    </w:p>
    <w:p>
      <w:pPr>
        <w:widowControl/>
        <w:spacing w:before="0" w:beforeLines="0" w:beforeAutospacing="0" w:after="0" w:afterLines="0" w:afterAutospacing="0" w:line="360" w:lineRule="auto"/>
        <w:jc w:val="center"/>
        <w:outlineLvl w:val="0"/>
        <w:rPr>
          <w:rFonts w:ascii="Times New Roman" w:eastAsia="黑体"/>
          <w:b w:val="0"/>
          <w:sz w:val="44"/>
          <w:szCs w:val="44"/>
        </w:rPr>
      </w:pPr>
    </w:p>
    <w:p>
      <w:pPr>
        <w:widowControl/>
        <w:spacing w:before="0" w:beforeLines="0" w:beforeAutospacing="0" w:after="0" w:afterLines="0" w:afterAutospacing="0" w:line="360" w:lineRule="auto"/>
        <w:jc w:val="center"/>
        <w:outlineLvl w:val="0"/>
        <w:rPr>
          <w:rFonts w:ascii="Times New Roman" w:eastAsia="黑体"/>
          <w:b w:val="0"/>
          <w:sz w:val="44"/>
          <w:szCs w:val="44"/>
        </w:rPr>
      </w:pPr>
    </w:p>
    <w:p>
      <w:pPr>
        <w:widowControl/>
        <w:spacing w:before="0" w:beforeLines="0" w:beforeAutospacing="0" w:after="0" w:afterLines="0" w:afterAutospacing="0" w:line="360" w:lineRule="auto"/>
        <w:jc w:val="center"/>
        <w:outlineLvl w:val="0"/>
        <w:rPr>
          <w:rFonts w:ascii="Times New Roman" w:eastAsia="黑体"/>
          <w:b w:val="0"/>
          <w:sz w:val="44"/>
          <w:szCs w:val="44"/>
        </w:rPr>
      </w:pPr>
    </w:p>
    <w:p>
      <w:pPr>
        <w:widowControl/>
        <w:spacing w:before="0" w:beforeLines="0" w:beforeAutospacing="0" w:after="0" w:afterLines="0" w:afterAutospacing="0" w:line="360" w:lineRule="auto"/>
        <w:jc w:val="center"/>
        <w:outlineLvl w:val="0"/>
        <w:rPr>
          <w:rFonts w:ascii="Times New Roman" w:eastAsia="黑体"/>
          <w:b w:val="0"/>
          <w:sz w:val="44"/>
          <w:szCs w:val="44"/>
        </w:rPr>
      </w:pPr>
    </w:p>
    <w:p>
      <w:pPr>
        <w:widowControl/>
        <w:spacing w:before="0" w:beforeLines="0" w:beforeAutospacing="0" w:after="0" w:afterLines="0" w:afterAutospacing="0" w:line="360" w:lineRule="auto"/>
        <w:jc w:val="center"/>
        <w:outlineLvl w:val="0"/>
        <w:rPr>
          <w:rFonts w:ascii="Times New Roman" w:eastAsia="黑体"/>
          <w:b w:val="0"/>
          <w:sz w:val="44"/>
          <w:szCs w:val="44"/>
        </w:rPr>
      </w:pPr>
    </w:p>
    <w:p>
      <w:pPr>
        <w:widowControl/>
        <w:spacing w:before="0" w:beforeLines="0" w:beforeAutospacing="0" w:after="0" w:afterLines="0" w:afterAutospacing="0" w:line="360" w:lineRule="auto"/>
        <w:jc w:val="center"/>
        <w:outlineLvl w:val="0"/>
        <w:rPr>
          <w:rFonts w:ascii="Times New Roman" w:eastAsia="黑体"/>
          <w:b w:val="0"/>
          <w:sz w:val="44"/>
          <w:szCs w:val="44"/>
        </w:rPr>
      </w:pPr>
    </w:p>
    <w:p>
      <w:pPr>
        <w:widowControl/>
        <w:spacing w:before="0" w:beforeLines="0" w:beforeAutospacing="0" w:after="0" w:afterLines="0" w:afterAutospacing="0" w:line="360" w:lineRule="auto"/>
        <w:jc w:val="center"/>
        <w:outlineLvl w:val="0"/>
        <w:rPr>
          <w:rFonts w:ascii="Times New Roman" w:eastAsia="黑体"/>
          <w:b w:val="0"/>
          <w:sz w:val="44"/>
          <w:szCs w:val="44"/>
        </w:rPr>
      </w:pPr>
    </w:p>
    <w:p>
      <w:pPr>
        <w:widowControl/>
        <w:spacing w:before="0" w:beforeLines="0" w:beforeAutospacing="0" w:after="0" w:afterLines="0" w:afterAutospacing="0" w:line="360" w:lineRule="auto"/>
        <w:jc w:val="center"/>
        <w:outlineLvl w:val="0"/>
        <w:rPr>
          <w:rFonts w:ascii="Times New Roman" w:eastAsia="黑体"/>
          <w:b w:val="0"/>
          <w:sz w:val="44"/>
          <w:szCs w:val="44"/>
        </w:rPr>
      </w:pPr>
    </w:p>
    <w:p>
      <w:pPr>
        <w:widowControl/>
        <w:spacing w:before="0" w:beforeLines="0" w:beforeAutospacing="0" w:after="0" w:afterLines="0" w:afterAutospacing="0" w:line="360" w:lineRule="auto"/>
        <w:jc w:val="center"/>
        <w:outlineLvl w:val="0"/>
        <w:rPr>
          <w:rFonts w:ascii="Times New Roman" w:eastAsia="黑体"/>
          <w:b w:val="0"/>
          <w:sz w:val="44"/>
          <w:szCs w:val="44"/>
        </w:rPr>
      </w:pPr>
    </w:p>
    <w:p>
      <w:pPr>
        <w:widowControl/>
        <w:spacing w:before="0" w:beforeLines="0" w:beforeAutospacing="0" w:after="0" w:afterLines="0" w:afterAutospacing="0" w:line="360" w:lineRule="auto"/>
        <w:jc w:val="both"/>
        <w:outlineLvl w:val="0"/>
        <w:rPr>
          <w:rFonts w:ascii="Times New Roman" w:eastAsia="黑体"/>
          <w:b w:val="0"/>
          <w:sz w:val="44"/>
          <w:szCs w:val="44"/>
        </w:rPr>
      </w:pPr>
    </w:p>
    <w:p>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第二部分</w:t>
      </w:r>
      <w:r>
        <w:rPr>
          <w:rFonts w:ascii="Times New Roman" w:eastAsia="仿宋_GB2312"/>
          <w:b w:val="0"/>
          <w:sz w:val="44"/>
          <w:szCs w:val="44"/>
        </w:rPr>
        <w:t>2024</w:t>
      </w:r>
      <w:r>
        <w:rPr>
          <w:rFonts w:ascii="Times New Roman" w:eastAsia="黑体"/>
          <w:b w:val="0"/>
          <w:sz w:val="44"/>
          <w:szCs w:val="44"/>
        </w:rPr>
        <w:t>年度部门决算表</w:t>
      </w:r>
    </w:p>
    <w:tbl>
      <w:tblPr>
        <w:tblStyle w:val="13"/>
        <w:tblW w:w="11659" w:type="dxa"/>
        <w:tblInd w:w="-18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46"/>
        <w:gridCol w:w="624"/>
        <w:gridCol w:w="611"/>
        <w:gridCol w:w="1317"/>
        <w:gridCol w:w="1628"/>
        <w:gridCol w:w="1547"/>
        <w:gridCol w:w="624"/>
        <w:gridCol w:w="1928"/>
        <w:gridCol w:w="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361" w:hRule="atLeast"/>
        </w:trPr>
        <w:tc>
          <w:tcPr>
            <w:tcW w:w="11625" w:type="dxa"/>
            <w:gridSpan w:val="8"/>
            <w:tcBorders>
              <w:top w:val="nil"/>
              <w:left w:val="nil"/>
              <w:bottom w:val="nil"/>
              <w:right w:val="nil"/>
            </w:tcBorders>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357" w:hRule="atLeast"/>
        </w:trPr>
        <w:tc>
          <w:tcPr>
            <w:tcW w:w="11625" w:type="dxa"/>
            <w:gridSpan w:val="8"/>
            <w:tcBorders>
              <w:top w:val="nil"/>
              <w:left w:val="nil"/>
              <w:bottom w:val="nil"/>
              <w:right w:val="nil"/>
            </w:tcBorders>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 公开</w:t>
            </w:r>
            <w:r>
              <w:rPr>
                <w:rFonts w:hint="eastAsia" w:ascii="Times New Roman" w:hAnsi="Times New Roman" w:eastAsia="宋体" w:cs="Times New Roman"/>
                <w:i w:val="0"/>
                <w:iCs w:val="0"/>
                <w:color w:val="000000"/>
                <w:sz w:val="20"/>
                <w:szCs w:val="20"/>
                <w:highlight w:val="none"/>
                <w:u w:val="none"/>
                <w:lang w:val="en-US" w:eastAsia="zh-CN"/>
              </w:rPr>
              <w:t>01</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351" w:hRule="atLeast"/>
        </w:trPr>
        <w:tc>
          <w:tcPr>
            <w:tcW w:w="4581" w:type="dxa"/>
            <w:gridSpan w:val="3"/>
            <w:tcBorders>
              <w:top w:val="nil"/>
              <w:left w:val="nil"/>
              <w:bottom w:val="single" w:color="auto" w:sz="4" w:space="0"/>
              <w:right w:val="nil"/>
            </w:tcBorders>
            <w:noWrap/>
            <w:vAlign w:val="bottom"/>
          </w:tcPr>
          <w:p>
            <w:pPr>
              <w:jc w:val="both"/>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部门（单位）：中国共产党滦州市纪律检查委员会</w:t>
            </w:r>
          </w:p>
        </w:tc>
        <w:tc>
          <w:tcPr>
            <w:tcW w:w="2945" w:type="dxa"/>
            <w:gridSpan w:val="2"/>
            <w:tcBorders>
              <w:top w:val="nil"/>
              <w:left w:val="nil"/>
              <w:bottom w:val="single" w:color="auto" w:sz="4" w:space="0"/>
              <w:right w:val="nil"/>
            </w:tcBorders>
            <w:noWrap/>
            <w:vAlign w:val="bottom"/>
          </w:tcPr>
          <w:p>
            <w:pPr>
              <w:jc w:val="center"/>
              <w:rPr>
                <w:rFonts w:hint="default" w:ascii="宋体" w:hAnsi="宋体" w:eastAsia="宋体" w:cs="宋体"/>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sz w:val="20"/>
                <w:szCs w:val="20"/>
                <w:highlight w:val="none"/>
                <w:u w:val="none"/>
                <w:lang w:val="en-US" w:eastAsia="zh-CN"/>
              </w:rPr>
              <w:t>2024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4099" w:type="dxa"/>
            <w:gridSpan w:val="3"/>
            <w:tcBorders>
              <w:top w:val="nil"/>
              <w:left w:val="nil"/>
              <w:bottom w:val="single" w:color="auto" w:sz="4" w:space="0"/>
              <w:right w:val="nil"/>
            </w:tcBorders>
            <w:noWrap/>
            <w:vAlign w:val="bottom"/>
          </w:tcPr>
          <w:p>
            <w:pPr>
              <w:jc w:val="right"/>
              <w:rPr>
                <w:rFonts w:hint="default" w:ascii="宋体" w:hAnsi="宋体" w:eastAsia="宋体" w:cs="宋体"/>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544" w:hRule="atLeast"/>
        </w:trPr>
        <w:tc>
          <w:tcPr>
            <w:tcW w:w="5898" w:type="dxa"/>
            <w:gridSpan w:val="4"/>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收入</w:t>
            </w:r>
          </w:p>
        </w:tc>
        <w:tc>
          <w:tcPr>
            <w:tcW w:w="5727" w:type="dxa"/>
            <w:gridSpan w:val="4"/>
            <w:tcBorders>
              <w:top w:val="single" w:color="auto" w:sz="4" w:space="0"/>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308" w:hRule="atLeast"/>
        </w:trPr>
        <w:tc>
          <w:tcPr>
            <w:tcW w:w="3346"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行次</w:t>
            </w:r>
          </w:p>
        </w:tc>
        <w:tc>
          <w:tcPr>
            <w:tcW w:w="1928"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决算数</w:t>
            </w: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行次</w:t>
            </w:r>
          </w:p>
        </w:tc>
        <w:tc>
          <w:tcPr>
            <w:tcW w:w="1928"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624" w:type="dxa"/>
            <w:tcBorders>
              <w:top w:val="nil"/>
              <w:left w:val="nil"/>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c>
          <w:tcPr>
            <w:tcW w:w="1928"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Times New Roman" w:hAnsi="Times New Roman" w:eastAsia="宋体" w:cs="Times New Roman"/>
                <w:i w:val="0"/>
                <w:iCs w:val="0"/>
                <w:color w:val="000000"/>
                <w:sz w:val="20"/>
                <w:szCs w:val="20"/>
                <w:highlight w:val="none"/>
                <w:u w:val="none"/>
                <w:lang w:val="en-US" w:eastAsia="zh-CN"/>
              </w:rPr>
              <w:t>1</w:t>
            </w: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624" w:type="dxa"/>
            <w:tcBorders>
              <w:top w:val="nil"/>
              <w:left w:val="nil"/>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c>
          <w:tcPr>
            <w:tcW w:w="1928"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Times New Roman" w:hAnsi="Times New Roman" w:eastAsia="宋体" w:cs="Times New Roman"/>
                <w:i w:val="0"/>
                <w:iCs w:val="0"/>
                <w:color w:val="000000"/>
                <w:sz w:val="20"/>
                <w:szCs w:val="20"/>
                <w:highlight w:val="none"/>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一、一般公共预算财政拨款收入</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宋体" w:hAnsi="宋体" w:eastAsia="宋体" w:cs="宋体"/>
                <w:i w:val="0"/>
                <w:iCs w:val="0"/>
                <w:color w:val="000000"/>
                <w:sz w:val="20"/>
                <w:szCs w:val="20"/>
                <w:highlight w:val="none"/>
                <w:u w:val="none"/>
                <w:lang w:val="en-US" w:eastAsia="zh-CN"/>
              </w:rPr>
              <w:t>1</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2,286.21</w:t>
            </w: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一、一般公共服务支出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32</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1,932.87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二、政府性基金预算财政拨款收入</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二、外交支出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33</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三、国有资本经营预算财政拨款收入</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三、国防支出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34</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四、上级补助收入</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四、公共安全支出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35</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五、事业收入</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五、教育支出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36</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六、经营收入</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六、科学技术支出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37</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七、附属单位上缴收入</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7</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七、文化旅游体育与传媒支出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38</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八、其他收入</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8</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八、社会保障和就业支出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39</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122.55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9</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九、卫生健康支出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eastAsia="zh-CN"/>
              </w:rPr>
            </w:pPr>
            <w:r>
              <w:rPr>
                <w:rFonts w:hint="default" w:ascii="Times New Roman" w:hAnsi="Times New Roman" w:eastAsia="宋体" w:cs="Times New Roman"/>
                <w:i w:val="0"/>
                <w:iCs w:val="0"/>
                <w:color w:val="000000"/>
                <w:sz w:val="20"/>
                <w:szCs w:val="20"/>
                <w:highlight w:val="none"/>
                <w:u w:val="none"/>
                <w:lang w:val="en-US" w:eastAsia="zh-CN"/>
              </w:rPr>
              <w:t>40</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135.75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10</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十、节能环保支出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41</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11</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十一、城乡社区支出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42</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12</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十二、农林水支出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43</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13</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十三、交通运输支出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44</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auto"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auto"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14</w:t>
            </w:r>
          </w:p>
        </w:tc>
        <w:tc>
          <w:tcPr>
            <w:tcW w:w="1928" w:type="dxa"/>
            <w:gridSpan w:val="2"/>
            <w:tcBorders>
              <w:top w:val="nil"/>
              <w:left w:val="nil"/>
              <w:bottom w:val="single" w:color="auto"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auto"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十四、资源勘探工业信息等支出</w:t>
            </w:r>
          </w:p>
        </w:tc>
        <w:tc>
          <w:tcPr>
            <w:tcW w:w="624" w:type="dxa"/>
            <w:tcBorders>
              <w:top w:val="nil"/>
              <w:left w:val="nil"/>
              <w:bottom w:val="single" w:color="auto"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45</w:t>
            </w:r>
          </w:p>
        </w:tc>
        <w:tc>
          <w:tcPr>
            <w:tcW w:w="1928" w:type="dxa"/>
            <w:tcBorders>
              <w:top w:val="nil"/>
              <w:left w:val="nil"/>
              <w:bottom w:val="single" w:color="auto"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15</w:t>
            </w:r>
          </w:p>
        </w:tc>
        <w:tc>
          <w:tcPr>
            <w:tcW w:w="1928"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十五、商业服务业等支出</w:t>
            </w: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46</w:t>
            </w:r>
          </w:p>
        </w:tc>
        <w:tc>
          <w:tcPr>
            <w:tcW w:w="1928"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16</w:t>
            </w:r>
          </w:p>
        </w:tc>
        <w:tc>
          <w:tcPr>
            <w:tcW w:w="1928"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十六、金融支出</w:t>
            </w: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47</w:t>
            </w:r>
          </w:p>
        </w:tc>
        <w:tc>
          <w:tcPr>
            <w:tcW w:w="1928"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17</w:t>
            </w:r>
          </w:p>
        </w:tc>
        <w:tc>
          <w:tcPr>
            <w:tcW w:w="1928"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十七、援助其他地区支出</w:t>
            </w: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48</w:t>
            </w:r>
          </w:p>
        </w:tc>
        <w:tc>
          <w:tcPr>
            <w:tcW w:w="1928"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18</w:t>
            </w:r>
          </w:p>
        </w:tc>
        <w:tc>
          <w:tcPr>
            <w:tcW w:w="1928"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十八、自然资源海洋气象等支出</w:t>
            </w: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49</w:t>
            </w:r>
          </w:p>
        </w:tc>
        <w:tc>
          <w:tcPr>
            <w:tcW w:w="1928"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19</w:t>
            </w:r>
          </w:p>
        </w:tc>
        <w:tc>
          <w:tcPr>
            <w:tcW w:w="1928"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十九、住房保障支出</w:t>
            </w: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eastAsia="zh-CN"/>
              </w:rPr>
            </w:pPr>
            <w:r>
              <w:rPr>
                <w:rFonts w:hint="default" w:ascii="Times New Roman" w:hAnsi="Times New Roman" w:eastAsia="宋体" w:cs="Times New Roman"/>
                <w:i w:val="0"/>
                <w:iCs w:val="0"/>
                <w:color w:val="000000"/>
                <w:sz w:val="20"/>
                <w:szCs w:val="20"/>
                <w:highlight w:val="none"/>
                <w:u w:val="none"/>
                <w:lang w:val="en-US" w:eastAsia="zh-CN"/>
              </w:rPr>
              <w:t>50</w:t>
            </w:r>
          </w:p>
        </w:tc>
        <w:tc>
          <w:tcPr>
            <w:tcW w:w="1928"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95.04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20</w:t>
            </w:r>
          </w:p>
        </w:tc>
        <w:tc>
          <w:tcPr>
            <w:tcW w:w="1928"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二十、粮油物资储备支出</w:t>
            </w: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51</w:t>
            </w:r>
          </w:p>
        </w:tc>
        <w:tc>
          <w:tcPr>
            <w:tcW w:w="1928"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single" w:color="auto"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21</w:t>
            </w:r>
          </w:p>
        </w:tc>
        <w:tc>
          <w:tcPr>
            <w:tcW w:w="1928" w:type="dxa"/>
            <w:gridSpan w:val="2"/>
            <w:tcBorders>
              <w:top w:val="single" w:color="auto" w:sz="4" w:space="0"/>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single" w:color="auto" w:sz="4" w:space="0"/>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二十一、国有资本经营预算支出</w:t>
            </w:r>
          </w:p>
        </w:tc>
        <w:tc>
          <w:tcPr>
            <w:tcW w:w="624" w:type="dxa"/>
            <w:tcBorders>
              <w:top w:val="single" w:color="auto" w:sz="4" w:space="0"/>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52</w:t>
            </w:r>
          </w:p>
        </w:tc>
        <w:tc>
          <w:tcPr>
            <w:tcW w:w="1928" w:type="dxa"/>
            <w:tcBorders>
              <w:top w:val="single" w:color="auto" w:sz="4" w:space="0"/>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22</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二十二、灾害防治及应急管理支出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53</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23</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二十三、其他支出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54</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24</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二十四、债务还本支出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55</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25</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二十五、债务付息支出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56</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26</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二十六、抗疫特别国债安排的支出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57</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本年收入合计</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27</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2,286.21</w:t>
            </w: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本年支出合计</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58</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2,286.21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使用非财政拨款结余（含专用结余）</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28</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结余分配</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59</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年初结转和结余</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29</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年末结转和结余</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eastAsia="zh-CN"/>
              </w:rPr>
            </w:pPr>
            <w:r>
              <w:rPr>
                <w:rFonts w:hint="default" w:ascii="Times New Roman" w:hAnsi="Times New Roman" w:eastAsia="宋体" w:cs="Times New Roman"/>
                <w:i w:val="0"/>
                <w:iCs w:val="0"/>
                <w:color w:val="000000"/>
                <w:sz w:val="20"/>
                <w:szCs w:val="20"/>
                <w:highlight w:val="none"/>
                <w:u w:val="none"/>
                <w:lang w:val="en-US" w:eastAsia="zh-CN"/>
              </w:rPr>
              <w:t>60</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30</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61</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308" w:hRule="atLeast"/>
        </w:trPr>
        <w:tc>
          <w:tcPr>
            <w:tcW w:w="3346"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总计</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31</w:t>
            </w:r>
          </w:p>
        </w:tc>
        <w:tc>
          <w:tcPr>
            <w:tcW w:w="1928"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2,286.21</w:t>
            </w:r>
          </w:p>
        </w:tc>
        <w:tc>
          <w:tcPr>
            <w:tcW w:w="317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总计</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62</w:t>
            </w:r>
          </w:p>
        </w:tc>
        <w:tc>
          <w:tcPr>
            <w:tcW w:w="19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2,286.21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1659" w:type="dxa"/>
            <w:gridSpan w:val="9"/>
            <w:tcBorders>
              <w:top w:val="nil"/>
              <w:left w:val="nil"/>
              <w:bottom w:val="nil"/>
              <w:right w:val="nil"/>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注：1.本表反映部门本年度的总收支和年末结转结余情况。</w:t>
            </w:r>
          </w:p>
          <w:p>
            <w:pPr>
              <w:keepNext w:val="0"/>
              <w:keepLines w:val="0"/>
              <w:widowControl/>
              <w:suppressLineNumbers w:val="0"/>
              <w:ind w:firstLine="400" w:firstLineChars="20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2.本套报表金额转换时可能存在尾数误差。</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3"/>
        <w:tblW w:w="923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40"/>
        <w:gridCol w:w="1160"/>
        <w:gridCol w:w="1037"/>
        <w:gridCol w:w="1037"/>
        <w:gridCol w:w="1037"/>
        <w:gridCol w:w="964"/>
        <w:gridCol w:w="367"/>
        <w:gridCol w:w="597"/>
        <w:gridCol w:w="1027"/>
        <w:gridCol w:w="9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jc w:val="center"/>
        </w:trPr>
        <w:tc>
          <w:tcPr>
            <w:tcW w:w="9230" w:type="dxa"/>
            <w:gridSpan w:val="10"/>
            <w:tcBorders>
              <w:top w:val="nil"/>
              <w:left w:val="nil"/>
              <w:bottom w:val="nil"/>
              <w:right w:val="nil"/>
            </w:tcBorders>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收入决算表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jc w:val="center"/>
        </w:trPr>
        <w:tc>
          <w:tcPr>
            <w:tcW w:w="9230" w:type="dxa"/>
            <w:gridSpan w:val="10"/>
            <w:tcBorders>
              <w:top w:val="nil"/>
              <w:left w:val="nil"/>
              <w:bottom w:val="nil"/>
              <w:right w:val="nil"/>
            </w:tcBorders>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eastAsia" w:ascii="Times New Roman" w:hAnsi="Times New Roman" w:eastAsia="宋体" w:cs="Times New Roman"/>
                <w:i w:val="0"/>
                <w:iCs w:val="0"/>
                <w:color w:val="000000"/>
                <w:sz w:val="20"/>
                <w:szCs w:val="20"/>
                <w:highlight w:val="none"/>
                <w:u w:val="none"/>
                <w:lang w:val="en-US" w:eastAsia="zh-CN"/>
              </w:rPr>
              <w:t>02</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jc w:val="center"/>
        </w:trPr>
        <w:tc>
          <w:tcPr>
            <w:tcW w:w="3237" w:type="dxa"/>
            <w:gridSpan w:val="3"/>
            <w:tcBorders>
              <w:top w:val="nil"/>
              <w:left w:val="nil"/>
              <w:bottom w:val="single" w:color="auto" w:sz="4" w:space="0"/>
              <w:right w:val="nil"/>
            </w:tcBorders>
            <w:noWrap/>
            <w:vAlign w:val="bottom"/>
          </w:tcPr>
          <w:p>
            <w:pP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部门（单位）：中国共产党滦州市纪律检查委员会                                                                                                         </w:t>
            </w:r>
          </w:p>
        </w:tc>
        <w:tc>
          <w:tcPr>
            <w:tcW w:w="3405" w:type="dxa"/>
            <w:gridSpan w:val="4"/>
            <w:tcBorders>
              <w:top w:val="nil"/>
              <w:left w:val="nil"/>
              <w:bottom w:val="single" w:color="auto" w:sz="4" w:space="0"/>
              <w:right w:val="nil"/>
            </w:tcBorders>
            <w:noWrap/>
            <w:vAlign w:val="bottom"/>
          </w:tcPr>
          <w:p>
            <w:pPr>
              <w:jc w:val="cente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default" w:ascii="Times New Roman" w:hAnsi="Times New Roman" w:eastAsia="方正仿宋_GB2312" w:cs="Times New Roman"/>
                <w:i w:val="0"/>
                <w:iCs w:val="0"/>
                <w:color w:val="000000"/>
                <w:sz w:val="20"/>
                <w:szCs w:val="20"/>
                <w:highlight w:val="none"/>
                <w:u w:val="none"/>
                <w:lang w:val="en-US" w:eastAsia="zh-CN"/>
              </w:rPr>
              <w:t>202</w:t>
            </w:r>
            <w:r>
              <w:rPr>
                <w:rFonts w:hint="eastAsia" w:ascii="Times New Roman" w:hAnsi="Times New Roman" w:eastAsia="方正仿宋_GB2312" w:cs="Times New Roman"/>
                <w:i w:val="0"/>
                <w:iCs w:val="0"/>
                <w:color w:val="000000"/>
                <w:sz w:val="20"/>
                <w:szCs w:val="20"/>
                <w:highlight w:val="none"/>
                <w:u w:val="none"/>
                <w:lang w:val="en-US" w:eastAsia="zh-CN"/>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2588" w:type="dxa"/>
            <w:gridSpan w:val="3"/>
            <w:tcBorders>
              <w:top w:val="nil"/>
              <w:left w:val="nil"/>
              <w:bottom w:val="single" w:color="auto" w:sz="4" w:space="0"/>
              <w:right w:val="nil"/>
            </w:tcBorders>
            <w:noWrap/>
            <w:vAlign w:val="bottom"/>
          </w:tcPr>
          <w:p>
            <w:pPr>
              <w:jc w:val="right"/>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2200" w:type="dxa"/>
            <w:gridSpan w:val="2"/>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1037" w:type="dxa"/>
            <w:vMerge w:val="restart"/>
            <w:tcBorders>
              <w:top w:val="single" w:color="auto"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本年收入合计</w:t>
            </w:r>
          </w:p>
        </w:tc>
        <w:tc>
          <w:tcPr>
            <w:tcW w:w="1037" w:type="dxa"/>
            <w:vMerge w:val="restart"/>
            <w:tcBorders>
              <w:top w:val="single" w:color="auto"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财政拨款收入</w:t>
            </w:r>
          </w:p>
        </w:tc>
        <w:tc>
          <w:tcPr>
            <w:tcW w:w="1037" w:type="dxa"/>
            <w:vMerge w:val="restart"/>
            <w:tcBorders>
              <w:top w:val="single" w:color="auto"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上级补助收入</w:t>
            </w:r>
          </w:p>
        </w:tc>
        <w:tc>
          <w:tcPr>
            <w:tcW w:w="964" w:type="dxa"/>
            <w:vMerge w:val="restart"/>
            <w:tcBorders>
              <w:top w:val="single" w:color="auto" w:sz="4" w:space="0"/>
              <w:left w:val="nil"/>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事业收入</w:t>
            </w:r>
          </w:p>
        </w:tc>
        <w:tc>
          <w:tcPr>
            <w:tcW w:w="964" w:type="dxa"/>
            <w:gridSpan w:val="2"/>
            <w:vMerge w:val="restart"/>
            <w:tcBorders>
              <w:top w:val="single" w:color="auto"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经营收入</w:t>
            </w:r>
          </w:p>
        </w:tc>
        <w:tc>
          <w:tcPr>
            <w:tcW w:w="1027" w:type="dxa"/>
            <w:vMerge w:val="restart"/>
            <w:tcBorders>
              <w:top w:val="single" w:color="auto"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附属单位上缴收入</w:t>
            </w:r>
          </w:p>
        </w:tc>
        <w:tc>
          <w:tcPr>
            <w:tcW w:w="964" w:type="dxa"/>
            <w:vMerge w:val="restart"/>
            <w:tcBorders>
              <w:top w:val="single" w:color="auto"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jc w:val="center"/>
        </w:trPr>
        <w:tc>
          <w:tcPr>
            <w:tcW w:w="1040" w:type="dxa"/>
            <w:vMerge w:val="restart"/>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科目代码</w:t>
            </w:r>
          </w:p>
        </w:tc>
        <w:tc>
          <w:tcPr>
            <w:tcW w:w="1160" w:type="dxa"/>
            <w:vMerge w:val="restar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科目名称</w:t>
            </w:r>
          </w:p>
        </w:tc>
        <w:tc>
          <w:tcPr>
            <w:tcW w:w="1037"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964" w:type="dxa"/>
            <w:vMerge w:val="continue"/>
            <w:tcBorders>
              <w:left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964" w:type="dxa"/>
            <w:gridSpan w:val="2"/>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027"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964"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jc w:val="center"/>
        </w:trPr>
        <w:tc>
          <w:tcPr>
            <w:tcW w:w="1040" w:type="dxa"/>
            <w:vMerge w:val="continue"/>
            <w:tcBorders>
              <w:top w:val="nil"/>
              <w:left w:val="single" w:color="000000" w:sz="4" w:space="0"/>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60" w:type="dxa"/>
            <w:vMerge w:val="continue"/>
            <w:tcBorders>
              <w:top w:val="nil"/>
              <w:left w:val="nil"/>
              <w:bottom w:val="single" w:color="000000" w:sz="4" w:space="0"/>
              <w:right w:val="single" w:color="000000" w:sz="4" w:space="0"/>
            </w:tcBorders>
            <w:noWrap/>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964" w:type="dxa"/>
            <w:vMerge w:val="continue"/>
            <w:tcBorders>
              <w:left w:val="nil"/>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964" w:type="dxa"/>
            <w:gridSpan w:val="2"/>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027"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964"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jc w:val="center"/>
        </w:trPr>
        <w:tc>
          <w:tcPr>
            <w:tcW w:w="1040" w:type="dxa"/>
            <w:vMerge w:val="continue"/>
            <w:tcBorders>
              <w:top w:val="nil"/>
              <w:left w:val="single" w:color="000000" w:sz="4" w:space="0"/>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60" w:type="dxa"/>
            <w:vMerge w:val="continue"/>
            <w:tcBorders>
              <w:top w:val="nil"/>
              <w:left w:val="nil"/>
              <w:bottom w:val="single" w:color="000000" w:sz="4" w:space="0"/>
              <w:right w:val="single" w:color="000000" w:sz="4" w:space="0"/>
            </w:tcBorders>
            <w:noWrap/>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964" w:type="dxa"/>
            <w:vMerge w:val="continue"/>
            <w:tcBorders>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964" w:type="dxa"/>
            <w:gridSpan w:val="2"/>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027"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964"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220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1037" w:type="dxa"/>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1037" w:type="dxa"/>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037" w:type="dxa"/>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964" w:type="dxa"/>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4</w:t>
            </w:r>
          </w:p>
        </w:tc>
        <w:tc>
          <w:tcPr>
            <w:tcW w:w="964" w:type="dxa"/>
            <w:gridSpan w:val="2"/>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1027" w:type="dxa"/>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964" w:type="dxa"/>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220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rPr>
              <w:t>2,286.21</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rPr>
              <w:t>2,286.21</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64"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w:t>
            </w:r>
          </w:p>
        </w:tc>
        <w:tc>
          <w:tcPr>
            <w:tcW w:w="1160"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一般公共服务支出</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1,932.87</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1,932.87</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20111</w:t>
            </w:r>
          </w:p>
        </w:tc>
        <w:tc>
          <w:tcPr>
            <w:tcW w:w="1160"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纪检监察事务</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1,932.87</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1,932.87</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2011101</w:t>
            </w:r>
          </w:p>
        </w:tc>
        <w:tc>
          <w:tcPr>
            <w:tcW w:w="1160"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行政运行</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1,932.33</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1,932.33</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2011199</w:t>
            </w:r>
          </w:p>
        </w:tc>
        <w:tc>
          <w:tcPr>
            <w:tcW w:w="1160"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其他纪检监察事务支出</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0.54</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0.54</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208</w:t>
            </w:r>
          </w:p>
        </w:tc>
        <w:tc>
          <w:tcPr>
            <w:tcW w:w="1160"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社会保障和就业支出</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122.55</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122.55</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20805</w:t>
            </w:r>
          </w:p>
        </w:tc>
        <w:tc>
          <w:tcPr>
            <w:tcW w:w="1160"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行政事业单位养老支出</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122.55</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122.55</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2080505</w:t>
            </w:r>
          </w:p>
        </w:tc>
        <w:tc>
          <w:tcPr>
            <w:tcW w:w="1160"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机关事业单位基本养老保险缴费支出</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122.55</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122.55</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210</w:t>
            </w:r>
          </w:p>
        </w:tc>
        <w:tc>
          <w:tcPr>
            <w:tcW w:w="1160"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卫生健康支出</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135.75</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135.75</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21011</w:t>
            </w:r>
          </w:p>
        </w:tc>
        <w:tc>
          <w:tcPr>
            <w:tcW w:w="1160"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行政事业单位医疗</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135.75</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135.75</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2101101</w:t>
            </w:r>
          </w:p>
        </w:tc>
        <w:tc>
          <w:tcPr>
            <w:tcW w:w="1160"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行政单位医疗</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135.75</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135.75</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221</w:t>
            </w:r>
          </w:p>
        </w:tc>
        <w:tc>
          <w:tcPr>
            <w:tcW w:w="1160"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住房保障支出</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95.04</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95.04</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22102</w:t>
            </w:r>
          </w:p>
        </w:tc>
        <w:tc>
          <w:tcPr>
            <w:tcW w:w="1160"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住房改革支出</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95.04</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95.04</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2210201</w:t>
            </w:r>
          </w:p>
        </w:tc>
        <w:tc>
          <w:tcPr>
            <w:tcW w:w="1160"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住房公积金</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95.04</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95.04</w:t>
            </w:r>
          </w:p>
        </w:tc>
        <w:tc>
          <w:tcPr>
            <w:tcW w:w="103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9230" w:type="dxa"/>
            <w:gridSpan w:val="10"/>
            <w:tcBorders>
              <w:top w:val="nil"/>
              <w:left w:val="nil"/>
              <w:bottom w:val="nil"/>
              <w:right w:val="nil"/>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注：本表反映部门本年度取得的各项收入情况。</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黑体" w:hAnsi="黑体" w:eastAsia="黑体" w:cs="宋体"/>
          <w:bCs/>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3"/>
        <w:tblW w:w="934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40"/>
        <w:gridCol w:w="1187"/>
        <w:gridCol w:w="1128"/>
        <w:gridCol w:w="126"/>
        <w:gridCol w:w="1000"/>
        <w:gridCol w:w="1126"/>
        <w:gridCol w:w="497"/>
        <w:gridCol w:w="629"/>
        <w:gridCol w:w="1126"/>
        <w:gridCol w:w="14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jc w:val="center"/>
        </w:trPr>
        <w:tc>
          <w:tcPr>
            <w:tcW w:w="9346" w:type="dxa"/>
            <w:gridSpan w:val="10"/>
            <w:tcBorders>
              <w:top w:val="nil"/>
              <w:left w:val="nil"/>
              <w:bottom w:val="nil"/>
              <w:right w:val="nil"/>
            </w:tcBorders>
            <w:noWrap/>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1"/>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br w:type="page"/>
            </w:r>
            <w:r>
              <w:rPr>
                <w:rFonts w:hint="eastAsia" w:ascii="方正仿宋_GB2312" w:hAnsi="方正仿宋_GB2312" w:eastAsia="方正仿宋_GB2312" w:cs="方正仿宋_GB2312"/>
                <w:b w:val="0"/>
                <w:bCs/>
                <w:color w:val="auto"/>
                <w:kern w:val="0"/>
                <w:sz w:val="32"/>
                <w:szCs w:val="32"/>
                <w:highlight w:val="none"/>
                <w:lang w:val="en-US" w:eastAsia="zh-CN"/>
              </w:rPr>
              <w:t>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jc w:val="center"/>
        </w:trPr>
        <w:tc>
          <w:tcPr>
            <w:tcW w:w="9346" w:type="dxa"/>
            <w:gridSpan w:val="10"/>
            <w:tcBorders>
              <w:top w:val="nil"/>
              <w:left w:val="nil"/>
              <w:bottom w:val="nil"/>
              <w:right w:val="nil"/>
            </w:tcBorders>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default" w:ascii="Times New Roman" w:hAnsi="Times New Roman" w:eastAsia="宋体" w:cs="Times New Roman"/>
                <w:i w:val="0"/>
                <w:iCs w:val="0"/>
                <w:color w:val="000000"/>
                <w:kern w:val="0"/>
                <w:sz w:val="20"/>
                <w:szCs w:val="20"/>
                <w:highlight w:val="none"/>
                <w:u w:val="none"/>
                <w:lang w:val="en-US" w:eastAsia="zh-CN" w:bidi="ar"/>
              </w:rPr>
              <w:t>03</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jc w:val="center"/>
        </w:trPr>
        <w:tc>
          <w:tcPr>
            <w:tcW w:w="3481" w:type="dxa"/>
            <w:gridSpan w:val="4"/>
            <w:tcBorders>
              <w:top w:val="nil"/>
              <w:left w:val="nil"/>
              <w:bottom w:val="single" w:color="auto" w:sz="4" w:space="0"/>
              <w:right w:val="nil"/>
            </w:tcBorders>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部门（单位）：中国共产党滦州市纪律检查委员会 </w:t>
            </w: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 xml:space="preserve">                                                                                                         </w:t>
            </w:r>
          </w:p>
        </w:tc>
        <w:tc>
          <w:tcPr>
            <w:tcW w:w="2623" w:type="dxa"/>
            <w:gridSpan w:val="3"/>
            <w:tcBorders>
              <w:top w:val="nil"/>
              <w:left w:val="nil"/>
              <w:bottom w:val="single" w:color="auto" w:sz="4" w:space="0"/>
              <w:right w:val="nil"/>
            </w:tcBorders>
            <w:noWrap/>
            <w:vAlign w:val="bottom"/>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highlight w:val="none"/>
                <w:u w:val="none"/>
                <w:lang w:val="en-US" w:eastAsia="zh-CN" w:bidi="ar"/>
              </w:rPr>
            </w:pPr>
            <w:r>
              <w:rPr>
                <w:rFonts w:hint="default" w:ascii="Times New Roman" w:hAnsi="Times New Roman" w:cs="Times New Roman" w:eastAsiaTheme="minorEastAsia"/>
                <w:i w:val="0"/>
                <w:iCs w:val="0"/>
                <w:color w:val="000000"/>
                <w:kern w:val="0"/>
                <w:sz w:val="20"/>
                <w:szCs w:val="20"/>
                <w:highlight w:val="none"/>
                <w:u w:val="none"/>
                <w:lang w:val="en-US" w:eastAsia="zh-CN" w:bidi="ar"/>
              </w:rPr>
              <w:t>202</w:t>
            </w:r>
            <w:r>
              <w:rPr>
                <w:rFonts w:hint="eastAsia" w:ascii="Times New Roman" w:hAnsi="Times New Roman"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3242" w:type="dxa"/>
            <w:gridSpan w:val="3"/>
            <w:tcBorders>
              <w:top w:val="nil"/>
              <w:left w:val="nil"/>
              <w:bottom w:val="single" w:color="auto" w:sz="4" w:space="0"/>
              <w:right w:val="nil"/>
            </w:tcBorders>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 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2227" w:type="dxa"/>
            <w:gridSpan w:val="2"/>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1128" w:type="dxa"/>
            <w:vMerge w:val="restart"/>
            <w:tcBorders>
              <w:top w:val="single" w:color="auto"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本年支出合计</w:t>
            </w:r>
          </w:p>
        </w:tc>
        <w:tc>
          <w:tcPr>
            <w:tcW w:w="1126" w:type="dxa"/>
            <w:gridSpan w:val="2"/>
            <w:vMerge w:val="restart"/>
            <w:tcBorders>
              <w:top w:val="single" w:color="auto"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基本支出</w:t>
            </w:r>
          </w:p>
        </w:tc>
        <w:tc>
          <w:tcPr>
            <w:tcW w:w="1126" w:type="dxa"/>
            <w:vMerge w:val="restart"/>
            <w:tcBorders>
              <w:top w:val="single" w:color="auto"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项目支出</w:t>
            </w:r>
          </w:p>
        </w:tc>
        <w:tc>
          <w:tcPr>
            <w:tcW w:w="1126" w:type="dxa"/>
            <w:gridSpan w:val="2"/>
            <w:vMerge w:val="restart"/>
            <w:tcBorders>
              <w:top w:val="single" w:color="auto"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上缴上级支出</w:t>
            </w:r>
          </w:p>
        </w:tc>
        <w:tc>
          <w:tcPr>
            <w:tcW w:w="1126" w:type="dxa"/>
            <w:vMerge w:val="restart"/>
            <w:tcBorders>
              <w:top w:val="single" w:color="auto"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经营支出</w:t>
            </w:r>
          </w:p>
        </w:tc>
        <w:tc>
          <w:tcPr>
            <w:tcW w:w="1487" w:type="dxa"/>
            <w:vMerge w:val="restart"/>
            <w:tcBorders>
              <w:top w:val="single" w:color="auto"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vMerge w:val="restart"/>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科目代码</w:t>
            </w:r>
          </w:p>
        </w:tc>
        <w:tc>
          <w:tcPr>
            <w:tcW w:w="1187" w:type="dxa"/>
            <w:vMerge w:val="restar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科目名称</w:t>
            </w:r>
          </w:p>
        </w:tc>
        <w:tc>
          <w:tcPr>
            <w:tcW w:w="1128"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126" w:type="dxa"/>
            <w:gridSpan w:val="2"/>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126"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126" w:type="dxa"/>
            <w:gridSpan w:val="2"/>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126"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487"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vMerge w:val="continue"/>
            <w:tcBorders>
              <w:top w:val="nil"/>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187" w:type="dxa"/>
            <w:vMerge w:val="continue"/>
            <w:tcBorders>
              <w:top w:val="nil"/>
              <w:left w:val="nil"/>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c>
          <w:tcPr>
            <w:tcW w:w="1128"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126" w:type="dxa"/>
            <w:gridSpan w:val="2"/>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126"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126" w:type="dxa"/>
            <w:gridSpan w:val="2"/>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126"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487"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vMerge w:val="continue"/>
            <w:tcBorders>
              <w:top w:val="nil"/>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187" w:type="dxa"/>
            <w:vMerge w:val="continue"/>
            <w:tcBorders>
              <w:top w:val="nil"/>
              <w:left w:val="nil"/>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c>
          <w:tcPr>
            <w:tcW w:w="1128"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126" w:type="dxa"/>
            <w:gridSpan w:val="2"/>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126"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126" w:type="dxa"/>
            <w:gridSpan w:val="2"/>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126"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487"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2227"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1128" w:type="dxa"/>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1126" w:type="dxa"/>
            <w:gridSpan w:val="2"/>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w:t>
            </w:r>
          </w:p>
        </w:tc>
        <w:tc>
          <w:tcPr>
            <w:tcW w:w="1126" w:type="dxa"/>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w:t>
            </w:r>
          </w:p>
        </w:tc>
        <w:tc>
          <w:tcPr>
            <w:tcW w:w="1126" w:type="dxa"/>
            <w:gridSpan w:val="2"/>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w:t>
            </w:r>
          </w:p>
        </w:tc>
        <w:tc>
          <w:tcPr>
            <w:tcW w:w="1126" w:type="dxa"/>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w:t>
            </w:r>
          </w:p>
        </w:tc>
        <w:tc>
          <w:tcPr>
            <w:tcW w:w="1487" w:type="dxa"/>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2227"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tc>
        <w:tc>
          <w:tcPr>
            <w:tcW w:w="11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2,286.21</w:t>
            </w: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1,411.08</w:t>
            </w: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875.13</w:t>
            </w: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w:t>
            </w:r>
          </w:p>
        </w:tc>
        <w:tc>
          <w:tcPr>
            <w:tcW w:w="1187"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一般公共服务支出</w:t>
            </w:r>
          </w:p>
        </w:tc>
        <w:tc>
          <w:tcPr>
            <w:tcW w:w="11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1,932.87</w:t>
            </w: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1,057.74</w:t>
            </w: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875.13</w:t>
            </w: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20111</w:t>
            </w:r>
          </w:p>
        </w:tc>
        <w:tc>
          <w:tcPr>
            <w:tcW w:w="1187"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纪检监察事务</w:t>
            </w:r>
          </w:p>
        </w:tc>
        <w:tc>
          <w:tcPr>
            <w:tcW w:w="11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1,932.87</w:t>
            </w: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1,057.74</w:t>
            </w: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875.13</w:t>
            </w: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2011101</w:t>
            </w:r>
          </w:p>
        </w:tc>
        <w:tc>
          <w:tcPr>
            <w:tcW w:w="1187"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行政运行</w:t>
            </w:r>
          </w:p>
        </w:tc>
        <w:tc>
          <w:tcPr>
            <w:tcW w:w="11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1,932.33</w:t>
            </w: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1,057.74</w:t>
            </w: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874.59</w:t>
            </w: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2011199</w:t>
            </w:r>
          </w:p>
        </w:tc>
        <w:tc>
          <w:tcPr>
            <w:tcW w:w="1187"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其他纪检监察事务支出</w:t>
            </w:r>
          </w:p>
        </w:tc>
        <w:tc>
          <w:tcPr>
            <w:tcW w:w="11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0.54</w:t>
            </w: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0.54</w:t>
            </w: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w:t>
            </w:r>
          </w:p>
        </w:tc>
        <w:tc>
          <w:tcPr>
            <w:tcW w:w="1187"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社会保障和就业支出</w:t>
            </w:r>
          </w:p>
        </w:tc>
        <w:tc>
          <w:tcPr>
            <w:tcW w:w="11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122.55</w:t>
            </w: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122.55</w:t>
            </w: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20805</w:t>
            </w:r>
          </w:p>
        </w:tc>
        <w:tc>
          <w:tcPr>
            <w:tcW w:w="1187"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行政事业单位养老支出</w:t>
            </w:r>
          </w:p>
        </w:tc>
        <w:tc>
          <w:tcPr>
            <w:tcW w:w="11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122.55</w:t>
            </w: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122.55</w:t>
            </w: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2080505</w:t>
            </w:r>
          </w:p>
        </w:tc>
        <w:tc>
          <w:tcPr>
            <w:tcW w:w="1187"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机关事业单位基本养老保险缴费支出</w:t>
            </w:r>
          </w:p>
        </w:tc>
        <w:tc>
          <w:tcPr>
            <w:tcW w:w="11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122.55</w:t>
            </w: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122.55</w:t>
            </w: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w:t>
            </w:r>
          </w:p>
        </w:tc>
        <w:tc>
          <w:tcPr>
            <w:tcW w:w="1187"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卫生健康支出</w:t>
            </w:r>
          </w:p>
        </w:tc>
        <w:tc>
          <w:tcPr>
            <w:tcW w:w="11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135.75</w:t>
            </w: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135.75</w:t>
            </w: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w:t>
            </w:r>
          </w:p>
        </w:tc>
        <w:tc>
          <w:tcPr>
            <w:tcW w:w="1187"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行政事业单位医疗</w:t>
            </w:r>
          </w:p>
        </w:tc>
        <w:tc>
          <w:tcPr>
            <w:tcW w:w="11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135.75</w:t>
            </w: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135.75</w:t>
            </w: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2101101</w:t>
            </w:r>
          </w:p>
        </w:tc>
        <w:tc>
          <w:tcPr>
            <w:tcW w:w="1187"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行政单位医疗</w:t>
            </w:r>
          </w:p>
        </w:tc>
        <w:tc>
          <w:tcPr>
            <w:tcW w:w="11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135.75</w:t>
            </w: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135.75</w:t>
            </w: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w:t>
            </w:r>
          </w:p>
        </w:tc>
        <w:tc>
          <w:tcPr>
            <w:tcW w:w="1187"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住房保障支出</w:t>
            </w:r>
          </w:p>
        </w:tc>
        <w:tc>
          <w:tcPr>
            <w:tcW w:w="11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95.04</w:t>
            </w: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95.04</w:t>
            </w: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22102</w:t>
            </w:r>
          </w:p>
        </w:tc>
        <w:tc>
          <w:tcPr>
            <w:tcW w:w="1187"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住房改革支出</w:t>
            </w:r>
          </w:p>
        </w:tc>
        <w:tc>
          <w:tcPr>
            <w:tcW w:w="11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95.04</w:t>
            </w: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95.04</w:t>
            </w: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2210201</w:t>
            </w:r>
          </w:p>
        </w:tc>
        <w:tc>
          <w:tcPr>
            <w:tcW w:w="1187" w:type="dxa"/>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住房公积金</w:t>
            </w:r>
          </w:p>
        </w:tc>
        <w:tc>
          <w:tcPr>
            <w:tcW w:w="1128"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95.04</w:t>
            </w: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95.04</w:t>
            </w: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9346" w:type="dxa"/>
            <w:gridSpan w:val="10"/>
            <w:tcBorders>
              <w:top w:val="nil"/>
              <w:left w:val="nil"/>
              <w:bottom w:val="nil"/>
              <w:right w:val="nil"/>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注：本表反映部门本年度各项支出情况。</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3"/>
        <w:tblW w:w="11709" w:type="dxa"/>
        <w:tblInd w:w="-18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84"/>
        <w:gridCol w:w="624"/>
        <w:gridCol w:w="1427"/>
        <w:gridCol w:w="1659"/>
        <w:gridCol w:w="439"/>
        <w:gridCol w:w="624"/>
        <w:gridCol w:w="458"/>
        <w:gridCol w:w="837"/>
        <w:gridCol w:w="1219"/>
        <w:gridCol w:w="1219"/>
        <w:gridCol w:w="12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trPr>
        <w:tc>
          <w:tcPr>
            <w:tcW w:w="11709" w:type="dxa"/>
            <w:gridSpan w:val="11"/>
            <w:tcBorders>
              <w:top w:val="nil"/>
              <w:left w:val="nil"/>
              <w:bottom w:val="nil"/>
              <w:right w:val="nil"/>
            </w:tcBorders>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财政拨款收入支出决算总表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11709" w:type="dxa"/>
            <w:gridSpan w:val="11"/>
            <w:tcBorders>
              <w:top w:val="nil"/>
              <w:left w:val="nil"/>
              <w:bottom w:val="nil"/>
              <w:right w:val="nil"/>
            </w:tcBorders>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公开04表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5694" w:type="dxa"/>
            <w:gridSpan w:val="4"/>
            <w:tcBorders>
              <w:top w:val="nil"/>
              <w:left w:val="nil"/>
              <w:bottom w:val="single" w:color="auto" w:sz="4" w:space="0"/>
              <w:right w:val="nil"/>
            </w:tcBorders>
            <w:noWrap/>
            <w:vAlign w:val="bottom"/>
          </w:tcPr>
          <w:p>
            <w:pPr>
              <w:rPr>
                <w:rFonts w:hint="eastAsia" w:ascii="仿宋" w:hAnsi="仿宋" w:eastAsia="仿宋" w:cs="仿宋"/>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部门（单位）：中国共产党滦州市纪律检查委员会 </w:t>
            </w: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 xml:space="preserve">                                                                                                   </w:t>
            </w:r>
          </w:p>
        </w:tc>
        <w:tc>
          <w:tcPr>
            <w:tcW w:w="1521" w:type="dxa"/>
            <w:gridSpan w:val="3"/>
            <w:tcBorders>
              <w:top w:val="nil"/>
              <w:left w:val="nil"/>
              <w:bottom w:val="single" w:color="auto" w:sz="4" w:space="0"/>
              <w:right w:val="nil"/>
            </w:tcBorders>
            <w:noWrap/>
            <w:vAlign w:val="bottom"/>
          </w:tcPr>
          <w:p>
            <w:pPr>
              <w:jc w:val="center"/>
              <w:rPr>
                <w:rFonts w:hint="default" w:asciiTheme="minorEastAsia" w:hAnsiTheme="minorEastAsia" w:eastAsiaTheme="minorEastAsia" w:cstheme="minorEastAsia"/>
                <w:i w:val="0"/>
                <w:iCs w:val="0"/>
                <w:color w:val="000000"/>
                <w:kern w:val="0"/>
                <w:sz w:val="20"/>
                <w:szCs w:val="20"/>
                <w:highlight w:val="none"/>
                <w:u w:val="none"/>
                <w:lang w:val="en-US" w:eastAsia="zh-CN" w:bidi="ar"/>
              </w:rPr>
            </w:pPr>
            <w:r>
              <w:rPr>
                <w:rFonts w:hint="default" w:ascii="Times New Roman" w:hAnsi="Times New Roman" w:cs="Times New Roman"/>
                <w:i w:val="0"/>
                <w:iCs w:val="0"/>
                <w:color w:val="000000"/>
                <w:kern w:val="0"/>
                <w:sz w:val="20"/>
                <w:szCs w:val="20"/>
                <w:highlight w:val="none"/>
                <w:u w:val="none"/>
                <w:lang w:val="en-US" w:eastAsia="zh-CN" w:bidi="ar"/>
              </w:rPr>
              <w:t>202</w:t>
            </w:r>
            <w:r>
              <w:rPr>
                <w:rFonts w:hint="eastAsia" w:ascii="Times New Roman" w:hAnsi="Times New Roman"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4494" w:type="dxa"/>
            <w:gridSpan w:val="4"/>
            <w:tcBorders>
              <w:top w:val="nil"/>
              <w:left w:val="nil"/>
              <w:bottom w:val="single" w:color="auto" w:sz="4" w:space="0"/>
              <w:right w:val="nil"/>
            </w:tcBorders>
            <w:noWrap/>
            <w:vAlign w:val="bottom"/>
          </w:tcPr>
          <w:p>
            <w:pPr>
              <w:jc w:val="right"/>
              <w:rPr>
                <w:rFonts w:hint="default" w:asciiTheme="minorEastAsia" w:hAnsiTheme="minorEastAsia" w:eastAsiaTheme="minorEastAsia" w:cstheme="minorEastAsia"/>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4035" w:type="dxa"/>
            <w:gridSpan w:val="3"/>
            <w:tcBorders>
              <w:top w:val="single" w:color="auto" w:sz="4" w:space="0"/>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收入</w:t>
            </w:r>
          </w:p>
        </w:tc>
        <w:tc>
          <w:tcPr>
            <w:tcW w:w="7674" w:type="dxa"/>
            <w:gridSpan w:val="8"/>
            <w:tcBorders>
              <w:top w:val="single" w:color="auto" w:sz="4" w:space="0"/>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1984" w:type="dxa"/>
            <w:vMerge w:val="restart"/>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    目</w:t>
            </w:r>
          </w:p>
        </w:tc>
        <w:tc>
          <w:tcPr>
            <w:tcW w:w="624" w:type="dxa"/>
            <w:vMerge w:val="restart"/>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行次</w:t>
            </w:r>
          </w:p>
        </w:tc>
        <w:tc>
          <w:tcPr>
            <w:tcW w:w="1427" w:type="dxa"/>
            <w:vMerge w:val="restart"/>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金额</w:t>
            </w:r>
          </w:p>
        </w:tc>
        <w:tc>
          <w:tcPr>
            <w:tcW w:w="2098" w:type="dxa"/>
            <w:gridSpan w:val="2"/>
            <w:vMerge w:val="restart"/>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624" w:type="dxa"/>
            <w:vMerge w:val="restart"/>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行次</w:t>
            </w:r>
          </w:p>
        </w:tc>
        <w:tc>
          <w:tcPr>
            <w:tcW w:w="1295" w:type="dxa"/>
            <w:gridSpan w:val="2"/>
            <w:vMerge w:val="restart"/>
            <w:tcBorders>
              <w:top w:val="nil"/>
              <w:left w:val="nil"/>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rPr>
              <w:t>合计</w:t>
            </w:r>
          </w:p>
        </w:tc>
        <w:tc>
          <w:tcPr>
            <w:tcW w:w="1219" w:type="dxa"/>
            <w:vMerge w:val="restart"/>
            <w:tcBorders>
              <w:top w:val="nil"/>
              <w:left w:val="nil"/>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rPr>
              <w:t>一般公共预算财政拨款</w:t>
            </w:r>
          </w:p>
        </w:tc>
        <w:tc>
          <w:tcPr>
            <w:tcW w:w="1219" w:type="dxa"/>
            <w:vMerge w:val="restart"/>
            <w:tcBorders>
              <w:top w:val="nil"/>
              <w:left w:val="nil"/>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rPr>
              <w:t>政府性基金预算财政拨款</w:t>
            </w:r>
          </w:p>
        </w:tc>
        <w:tc>
          <w:tcPr>
            <w:tcW w:w="1219" w:type="dxa"/>
            <w:vMerge w:val="restart"/>
            <w:tcBorders>
              <w:top w:val="nil"/>
              <w:left w:val="nil"/>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rPr>
              <w:t>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1984" w:type="dxa"/>
            <w:vMerge w:val="continue"/>
            <w:tcBorders>
              <w:top w:val="nil"/>
              <w:left w:val="single" w:color="000000" w:sz="4" w:space="0"/>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624" w:type="dxa"/>
            <w:vMerge w:val="continue"/>
            <w:tcBorders>
              <w:top w:val="nil"/>
              <w:left w:val="nil"/>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427" w:type="dxa"/>
            <w:vMerge w:val="continue"/>
            <w:tcBorders>
              <w:top w:val="nil"/>
              <w:left w:val="nil"/>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2098" w:type="dxa"/>
            <w:gridSpan w:val="2"/>
            <w:vMerge w:val="continue"/>
            <w:tcBorders>
              <w:top w:val="nil"/>
              <w:left w:val="nil"/>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624" w:type="dxa"/>
            <w:vMerge w:val="continue"/>
            <w:tcBorders>
              <w:top w:val="nil"/>
              <w:left w:val="nil"/>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295" w:type="dxa"/>
            <w:gridSpan w:val="2"/>
            <w:vMerge w:val="continue"/>
            <w:tcBorders>
              <w:left w:val="nil"/>
              <w:bottom w:val="single" w:color="000000" w:sz="4" w:space="0"/>
              <w:right w:val="single" w:color="000000" w:sz="8"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c>
          <w:tcPr>
            <w:tcW w:w="1219" w:type="dxa"/>
            <w:vMerge w:val="continue"/>
            <w:tcBorders>
              <w:left w:val="nil"/>
              <w:bottom w:val="single" w:color="000000" w:sz="4" w:space="0"/>
              <w:right w:val="single" w:color="000000" w:sz="8"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c>
          <w:tcPr>
            <w:tcW w:w="1219" w:type="dxa"/>
            <w:vMerge w:val="continue"/>
            <w:tcBorders>
              <w:left w:val="nil"/>
              <w:bottom w:val="single" w:color="000000" w:sz="4" w:space="0"/>
              <w:right w:val="single" w:color="000000" w:sz="8"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c>
          <w:tcPr>
            <w:tcW w:w="1219" w:type="dxa"/>
            <w:vMerge w:val="continue"/>
            <w:tcBorders>
              <w:left w:val="nil"/>
              <w:bottom w:val="single" w:color="000000" w:sz="4" w:space="0"/>
              <w:right w:val="single" w:color="000000" w:sz="8"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    次</w:t>
            </w:r>
          </w:p>
        </w:tc>
        <w:tc>
          <w:tcPr>
            <w:tcW w:w="624" w:type="dxa"/>
            <w:tcBorders>
              <w:top w:val="nil"/>
              <w:left w:val="nil"/>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c>
          <w:tcPr>
            <w:tcW w:w="1427"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2098"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    次</w:t>
            </w:r>
          </w:p>
        </w:tc>
        <w:tc>
          <w:tcPr>
            <w:tcW w:w="624" w:type="dxa"/>
            <w:tcBorders>
              <w:top w:val="nil"/>
              <w:left w:val="nil"/>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c>
          <w:tcPr>
            <w:tcW w:w="1295"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219"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1219"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1219" w:type="dxa"/>
            <w:tcBorders>
              <w:top w:val="nil"/>
              <w:left w:val="nil"/>
              <w:bottom w:val="single" w:color="000000" w:sz="4" w:space="0"/>
              <w:right w:val="single" w:color="000000" w:sz="8"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一、一般公共预算财政拨款</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14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2,286.21</w:t>
            </w:r>
          </w:p>
        </w:tc>
        <w:tc>
          <w:tcPr>
            <w:tcW w:w="2098"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一、一般公共服务支出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33</w:t>
            </w:r>
          </w:p>
        </w:tc>
        <w:tc>
          <w:tcPr>
            <w:tcW w:w="1295"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1,932.87</w:t>
            </w: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1,932.87</w:t>
            </w: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8"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二、政府性基金预算财政拨款</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w:t>
            </w:r>
          </w:p>
        </w:tc>
        <w:tc>
          <w:tcPr>
            <w:tcW w:w="14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二、外交支出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34</w:t>
            </w:r>
          </w:p>
        </w:tc>
        <w:tc>
          <w:tcPr>
            <w:tcW w:w="1295"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8"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三、国有资本经营预算财政拨款</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w:t>
            </w:r>
          </w:p>
        </w:tc>
        <w:tc>
          <w:tcPr>
            <w:tcW w:w="14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三、国防支出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35</w:t>
            </w:r>
          </w:p>
        </w:tc>
        <w:tc>
          <w:tcPr>
            <w:tcW w:w="1295"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8"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w:t>
            </w:r>
          </w:p>
        </w:tc>
        <w:tc>
          <w:tcPr>
            <w:tcW w:w="14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四、公共安全支出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36</w:t>
            </w:r>
          </w:p>
        </w:tc>
        <w:tc>
          <w:tcPr>
            <w:tcW w:w="1295"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8"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w:t>
            </w:r>
          </w:p>
        </w:tc>
        <w:tc>
          <w:tcPr>
            <w:tcW w:w="14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五、教育支出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37</w:t>
            </w:r>
          </w:p>
        </w:tc>
        <w:tc>
          <w:tcPr>
            <w:tcW w:w="1295"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8"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w:t>
            </w:r>
          </w:p>
        </w:tc>
        <w:tc>
          <w:tcPr>
            <w:tcW w:w="14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六、科学技术支出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38</w:t>
            </w:r>
          </w:p>
        </w:tc>
        <w:tc>
          <w:tcPr>
            <w:tcW w:w="1295"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8"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7</w:t>
            </w:r>
          </w:p>
        </w:tc>
        <w:tc>
          <w:tcPr>
            <w:tcW w:w="14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七、文化旅游体育与传媒支出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39</w:t>
            </w:r>
          </w:p>
        </w:tc>
        <w:tc>
          <w:tcPr>
            <w:tcW w:w="1295"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8"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8</w:t>
            </w:r>
          </w:p>
        </w:tc>
        <w:tc>
          <w:tcPr>
            <w:tcW w:w="14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八、社会保障和就业支出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40</w:t>
            </w:r>
          </w:p>
        </w:tc>
        <w:tc>
          <w:tcPr>
            <w:tcW w:w="1295"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122.55</w:t>
            </w: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122.55</w:t>
            </w: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8"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9</w:t>
            </w:r>
          </w:p>
        </w:tc>
        <w:tc>
          <w:tcPr>
            <w:tcW w:w="14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九、卫生健康支出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41</w:t>
            </w:r>
          </w:p>
        </w:tc>
        <w:tc>
          <w:tcPr>
            <w:tcW w:w="1295"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135.75</w:t>
            </w: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135.75</w:t>
            </w: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8"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10</w:t>
            </w:r>
          </w:p>
        </w:tc>
        <w:tc>
          <w:tcPr>
            <w:tcW w:w="14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十、节能环保支出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42</w:t>
            </w:r>
          </w:p>
        </w:tc>
        <w:tc>
          <w:tcPr>
            <w:tcW w:w="1295"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8"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11</w:t>
            </w:r>
          </w:p>
        </w:tc>
        <w:tc>
          <w:tcPr>
            <w:tcW w:w="14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十一、城乡社区支出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43</w:t>
            </w:r>
          </w:p>
        </w:tc>
        <w:tc>
          <w:tcPr>
            <w:tcW w:w="1295"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8"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auto"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auto"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12</w:t>
            </w:r>
          </w:p>
        </w:tc>
        <w:tc>
          <w:tcPr>
            <w:tcW w:w="1427" w:type="dxa"/>
            <w:tcBorders>
              <w:top w:val="nil"/>
              <w:left w:val="nil"/>
              <w:bottom w:val="single" w:color="auto"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auto"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十二、农林水支出</w:t>
            </w:r>
          </w:p>
        </w:tc>
        <w:tc>
          <w:tcPr>
            <w:tcW w:w="624" w:type="dxa"/>
            <w:tcBorders>
              <w:top w:val="nil"/>
              <w:left w:val="nil"/>
              <w:bottom w:val="single" w:color="auto"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44</w:t>
            </w:r>
          </w:p>
        </w:tc>
        <w:tc>
          <w:tcPr>
            <w:tcW w:w="1295" w:type="dxa"/>
            <w:gridSpan w:val="2"/>
            <w:tcBorders>
              <w:top w:val="nil"/>
              <w:left w:val="nil"/>
              <w:bottom w:val="single" w:color="auto"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auto"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auto"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auto" w:sz="4" w:space="0"/>
              <w:right w:val="single" w:color="000000" w:sz="8"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13</w:t>
            </w:r>
          </w:p>
        </w:tc>
        <w:tc>
          <w:tcPr>
            <w:tcW w:w="1427"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十三、交通运输支出</w:t>
            </w: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45</w:t>
            </w:r>
          </w:p>
        </w:tc>
        <w:tc>
          <w:tcPr>
            <w:tcW w:w="1295"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14</w:t>
            </w:r>
          </w:p>
        </w:tc>
        <w:tc>
          <w:tcPr>
            <w:tcW w:w="1427"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十四、资源勘探工业信息等支出</w:t>
            </w: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46</w:t>
            </w:r>
          </w:p>
        </w:tc>
        <w:tc>
          <w:tcPr>
            <w:tcW w:w="1295"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15</w:t>
            </w:r>
          </w:p>
        </w:tc>
        <w:tc>
          <w:tcPr>
            <w:tcW w:w="1427"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十五、商业服务业等支出</w:t>
            </w: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47</w:t>
            </w:r>
          </w:p>
        </w:tc>
        <w:tc>
          <w:tcPr>
            <w:tcW w:w="1295"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16</w:t>
            </w:r>
          </w:p>
        </w:tc>
        <w:tc>
          <w:tcPr>
            <w:tcW w:w="1427"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十六、金融支出</w:t>
            </w: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48</w:t>
            </w:r>
          </w:p>
        </w:tc>
        <w:tc>
          <w:tcPr>
            <w:tcW w:w="1295"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17</w:t>
            </w:r>
          </w:p>
        </w:tc>
        <w:tc>
          <w:tcPr>
            <w:tcW w:w="1427"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十七、援助其他地区支出</w:t>
            </w: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49</w:t>
            </w:r>
          </w:p>
        </w:tc>
        <w:tc>
          <w:tcPr>
            <w:tcW w:w="1295"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18</w:t>
            </w:r>
          </w:p>
        </w:tc>
        <w:tc>
          <w:tcPr>
            <w:tcW w:w="1427"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十八、自然资源海洋气象等支出</w:t>
            </w: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50</w:t>
            </w:r>
          </w:p>
        </w:tc>
        <w:tc>
          <w:tcPr>
            <w:tcW w:w="1295"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19</w:t>
            </w:r>
          </w:p>
        </w:tc>
        <w:tc>
          <w:tcPr>
            <w:tcW w:w="1427"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十九、住房保障支出</w:t>
            </w: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51</w:t>
            </w:r>
          </w:p>
        </w:tc>
        <w:tc>
          <w:tcPr>
            <w:tcW w:w="1295"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95.04</w:t>
            </w: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95.04</w:t>
            </w: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20</w:t>
            </w:r>
          </w:p>
        </w:tc>
        <w:tc>
          <w:tcPr>
            <w:tcW w:w="1427"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二十、粮油物资储备支出</w:t>
            </w: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52</w:t>
            </w:r>
          </w:p>
        </w:tc>
        <w:tc>
          <w:tcPr>
            <w:tcW w:w="1295"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21</w:t>
            </w:r>
          </w:p>
        </w:tc>
        <w:tc>
          <w:tcPr>
            <w:tcW w:w="1427"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二十一、国有资本经营预算支出</w:t>
            </w: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53</w:t>
            </w:r>
          </w:p>
        </w:tc>
        <w:tc>
          <w:tcPr>
            <w:tcW w:w="1295"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22</w:t>
            </w:r>
          </w:p>
        </w:tc>
        <w:tc>
          <w:tcPr>
            <w:tcW w:w="1427"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二十二、灾害防治及应急管理支出</w:t>
            </w: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54</w:t>
            </w:r>
          </w:p>
        </w:tc>
        <w:tc>
          <w:tcPr>
            <w:tcW w:w="1295"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23</w:t>
            </w:r>
          </w:p>
        </w:tc>
        <w:tc>
          <w:tcPr>
            <w:tcW w:w="1427"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二十三、其他支出</w:t>
            </w:r>
          </w:p>
        </w:tc>
        <w:tc>
          <w:tcPr>
            <w:tcW w:w="62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55</w:t>
            </w:r>
          </w:p>
        </w:tc>
        <w:tc>
          <w:tcPr>
            <w:tcW w:w="1295"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24</w:t>
            </w:r>
          </w:p>
        </w:tc>
        <w:tc>
          <w:tcPr>
            <w:tcW w:w="1427" w:type="dxa"/>
            <w:tcBorders>
              <w:top w:val="single" w:color="auto" w:sz="4" w:space="0"/>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二十四、债务还本支出</w:t>
            </w:r>
          </w:p>
        </w:tc>
        <w:tc>
          <w:tcPr>
            <w:tcW w:w="624" w:type="dxa"/>
            <w:tcBorders>
              <w:top w:val="single" w:color="auto" w:sz="4" w:space="0"/>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56</w:t>
            </w:r>
          </w:p>
        </w:tc>
        <w:tc>
          <w:tcPr>
            <w:tcW w:w="1295" w:type="dxa"/>
            <w:gridSpan w:val="2"/>
            <w:tcBorders>
              <w:top w:val="single" w:color="auto" w:sz="4" w:space="0"/>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nil"/>
              <w:bottom w:val="single" w:color="000000" w:sz="4" w:space="0"/>
              <w:right w:val="single" w:color="000000" w:sz="8"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bCs/>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25</w:t>
            </w:r>
          </w:p>
        </w:tc>
        <w:tc>
          <w:tcPr>
            <w:tcW w:w="14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二十五、债务付息支出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57</w:t>
            </w:r>
          </w:p>
        </w:tc>
        <w:tc>
          <w:tcPr>
            <w:tcW w:w="1295"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8"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26</w:t>
            </w:r>
          </w:p>
        </w:tc>
        <w:tc>
          <w:tcPr>
            <w:tcW w:w="14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二十六、抗疫特别国债安排的支出</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58</w:t>
            </w:r>
          </w:p>
        </w:tc>
        <w:tc>
          <w:tcPr>
            <w:tcW w:w="1295"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8"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本年收入合计</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27</w:t>
            </w:r>
          </w:p>
        </w:tc>
        <w:tc>
          <w:tcPr>
            <w:tcW w:w="14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2,286.21</w:t>
            </w:r>
          </w:p>
        </w:tc>
        <w:tc>
          <w:tcPr>
            <w:tcW w:w="2098"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本年支出合计</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59</w:t>
            </w:r>
          </w:p>
        </w:tc>
        <w:tc>
          <w:tcPr>
            <w:tcW w:w="1295"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2,286.21</w:t>
            </w: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2,286.21</w:t>
            </w: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8"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年初财政拨款结转和结余</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28</w:t>
            </w:r>
          </w:p>
        </w:tc>
        <w:tc>
          <w:tcPr>
            <w:tcW w:w="14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年末财政拨款结转和结余</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60</w:t>
            </w:r>
          </w:p>
        </w:tc>
        <w:tc>
          <w:tcPr>
            <w:tcW w:w="1295"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both"/>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8" w:space="0"/>
            </w:tcBorders>
            <w:noWrap/>
            <w:vAlign w:val="center"/>
          </w:tcPr>
          <w:p>
            <w:pPr>
              <w:jc w:val="both"/>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一、一般公共预算财政拨款</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29</w:t>
            </w:r>
          </w:p>
        </w:tc>
        <w:tc>
          <w:tcPr>
            <w:tcW w:w="14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61</w:t>
            </w:r>
          </w:p>
        </w:tc>
        <w:tc>
          <w:tcPr>
            <w:tcW w:w="1295"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8" w:space="0"/>
            </w:tcBorders>
            <w:noWrap/>
            <w:vAlign w:val="center"/>
          </w:tcPr>
          <w:p>
            <w:pPr>
              <w:jc w:val="lef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二、政府性基金预算财政拨款</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30</w:t>
            </w:r>
          </w:p>
        </w:tc>
        <w:tc>
          <w:tcPr>
            <w:tcW w:w="14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62</w:t>
            </w:r>
          </w:p>
        </w:tc>
        <w:tc>
          <w:tcPr>
            <w:tcW w:w="1295"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8" w:space="0"/>
            </w:tcBorders>
            <w:noWrap/>
            <w:vAlign w:val="center"/>
          </w:tcPr>
          <w:p>
            <w:pPr>
              <w:jc w:val="lef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三、国有资本经营预算财政拨款</w:t>
            </w: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31</w:t>
            </w:r>
          </w:p>
        </w:tc>
        <w:tc>
          <w:tcPr>
            <w:tcW w:w="14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63</w:t>
            </w:r>
          </w:p>
        </w:tc>
        <w:tc>
          <w:tcPr>
            <w:tcW w:w="1295"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8" w:space="0"/>
            </w:tcBorders>
            <w:noWrap/>
            <w:vAlign w:val="center"/>
          </w:tcPr>
          <w:p>
            <w:pPr>
              <w:jc w:val="lef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8"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总计</w:t>
            </w:r>
          </w:p>
        </w:tc>
        <w:tc>
          <w:tcPr>
            <w:tcW w:w="624" w:type="dxa"/>
            <w:tcBorders>
              <w:top w:val="nil"/>
              <w:left w:val="nil"/>
              <w:bottom w:val="single" w:color="000000" w:sz="8"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32</w:t>
            </w:r>
          </w:p>
        </w:tc>
        <w:tc>
          <w:tcPr>
            <w:tcW w:w="1427" w:type="dxa"/>
            <w:tcBorders>
              <w:top w:val="nil"/>
              <w:left w:val="nil"/>
              <w:bottom w:val="single" w:color="000000" w:sz="8"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2,286.21</w:t>
            </w:r>
          </w:p>
        </w:tc>
        <w:tc>
          <w:tcPr>
            <w:tcW w:w="2098" w:type="dxa"/>
            <w:gridSpan w:val="2"/>
            <w:tcBorders>
              <w:top w:val="nil"/>
              <w:left w:val="nil"/>
              <w:bottom w:val="single" w:color="000000" w:sz="8"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总计</w:t>
            </w:r>
          </w:p>
        </w:tc>
        <w:tc>
          <w:tcPr>
            <w:tcW w:w="624" w:type="dxa"/>
            <w:tcBorders>
              <w:top w:val="nil"/>
              <w:left w:val="nil"/>
              <w:bottom w:val="single" w:color="000000" w:sz="8"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64</w:t>
            </w:r>
          </w:p>
        </w:tc>
        <w:tc>
          <w:tcPr>
            <w:tcW w:w="1295" w:type="dxa"/>
            <w:gridSpan w:val="2"/>
            <w:tcBorders>
              <w:top w:val="nil"/>
              <w:left w:val="nil"/>
              <w:bottom w:val="single" w:color="000000" w:sz="8"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2,286.21</w:t>
            </w:r>
          </w:p>
        </w:tc>
        <w:tc>
          <w:tcPr>
            <w:tcW w:w="1219" w:type="dxa"/>
            <w:tcBorders>
              <w:top w:val="nil"/>
              <w:left w:val="nil"/>
              <w:bottom w:val="single" w:color="000000" w:sz="8" w:space="0"/>
              <w:right w:val="single" w:color="000000" w:sz="4" w:space="0"/>
            </w:tcBorders>
            <w:noWrap/>
            <w:vAlign w:val="center"/>
          </w:tcPr>
          <w:p>
            <w:pPr>
              <w:jc w:val="right"/>
              <w:rPr>
                <w:rFonts w:hint="default" w:ascii="Times New Roman" w:hAnsi="Times New Roman" w:cs="Times New Roman"/>
                <w:sz w:val="20"/>
                <w:szCs w:val="20"/>
                <w:highlight w:val="none"/>
              </w:rPr>
            </w:pPr>
          </w:p>
          <w:p>
            <w:pPr>
              <w:jc w:val="right"/>
              <w:rPr>
                <w:rFonts w:hint="default" w:ascii="Times New Roman" w:hAnsi="Times New Roman" w:cs="Times New Roman"/>
                <w:sz w:val="20"/>
                <w:szCs w:val="20"/>
                <w:highlight w:val="none"/>
              </w:rPr>
            </w:pPr>
            <w:r>
              <w:rPr>
                <w:rFonts w:hint="default" w:ascii="Times New Roman" w:hAnsi="Times New Roman" w:cs="Times New Roman"/>
                <w:sz w:val="20"/>
                <w:szCs w:val="20"/>
                <w:highlight w:val="none"/>
              </w:rPr>
              <w:t>2,286.21</w:t>
            </w:r>
          </w:p>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8"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8" w:space="0"/>
              <w:right w:val="single" w:color="000000" w:sz="8"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1709" w:type="dxa"/>
            <w:gridSpan w:val="11"/>
            <w:tcBorders>
              <w:top w:val="nil"/>
              <w:left w:val="nil"/>
              <w:bottom w:val="nil"/>
              <w:right w:val="nil"/>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注：本表反映部门本年度一般公共预算财政拨款、政府性基金预算财政拨款和国有资本经营预算财政拨款的总收支和年末结转结余情况。</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3"/>
        <w:tblW w:w="8697" w:type="dxa"/>
        <w:tblInd w:w="-6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39"/>
        <w:gridCol w:w="1329"/>
        <w:gridCol w:w="705"/>
        <w:gridCol w:w="1305"/>
        <w:gridCol w:w="1366"/>
        <w:gridCol w:w="645"/>
        <w:gridCol w:w="21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57" w:hRule="atLeast"/>
        </w:trPr>
        <w:tc>
          <w:tcPr>
            <w:tcW w:w="8697" w:type="dxa"/>
            <w:gridSpan w:val="7"/>
            <w:tcBorders>
              <w:top w:val="nil"/>
              <w:left w:val="nil"/>
              <w:bottom w:val="nil"/>
              <w:right w:val="nil"/>
            </w:tcBorders>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一般公共预算财政拨款支出决算表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8697" w:type="dxa"/>
            <w:gridSpan w:val="7"/>
            <w:tcBorders>
              <w:top w:val="nil"/>
              <w:left w:val="nil"/>
              <w:bottom w:val="nil"/>
              <w:right w:val="nil"/>
            </w:tcBorders>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default" w:ascii="Times New Roman" w:hAnsi="Times New Roman" w:eastAsia="方正仿宋_GB2312" w:cs="Times New Roman"/>
                <w:i w:val="0"/>
                <w:iCs w:val="0"/>
                <w:color w:val="000000"/>
                <w:kern w:val="0"/>
                <w:sz w:val="20"/>
                <w:szCs w:val="20"/>
                <w:highlight w:val="none"/>
                <w:u w:val="none"/>
                <w:lang w:val="en-US" w:eastAsia="zh-CN" w:bidi="ar"/>
              </w:rPr>
              <w:t>05</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3273" w:type="dxa"/>
            <w:gridSpan w:val="3"/>
            <w:tcBorders>
              <w:top w:val="nil"/>
              <w:left w:val="nil"/>
              <w:bottom w:val="single" w:color="auto" w:sz="4" w:space="0"/>
              <w:right w:val="nil"/>
            </w:tcBorders>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编制部门（单位）：中国共产党滦州市纪律检查委员会</w:t>
            </w:r>
          </w:p>
        </w:tc>
        <w:tc>
          <w:tcPr>
            <w:tcW w:w="2671" w:type="dxa"/>
            <w:gridSpan w:val="2"/>
            <w:tcBorders>
              <w:top w:val="nil"/>
              <w:left w:val="nil"/>
              <w:bottom w:val="single" w:color="auto" w:sz="4" w:space="0"/>
              <w:right w:val="nil"/>
            </w:tcBorders>
            <w:noWrap/>
            <w:vAlign w:val="bottom"/>
          </w:tcPr>
          <w:p>
            <w:pPr>
              <w:keepNext w:val="0"/>
              <w:keepLines w:val="0"/>
              <w:widowControl/>
              <w:suppressLineNumbers w:val="0"/>
              <w:jc w:val="center"/>
              <w:textAlignment w:val="bottom"/>
              <w:rPr>
                <w:rFonts w:hint="default" w:asciiTheme="minorEastAsia" w:hAnsiTheme="minorEastAsia" w:eastAsiaTheme="minorEastAsia" w:cstheme="minorEastAsia"/>
                <w:i w:val="0"/>
                <w:iCs w:val="0"/>
                <w:color w:val="000000"/>
                <w:kern w:val="0"/>
                <w:sz w:val="20"/>
                <w:szCs w:val="20"/>
                <w:highlight w:val="none"/>
                <w:u w:val="none"/>
                <w:lang w:val="en-US" w:eastAsia="zh-CN" w:bidi="ar"/>
              </w:rPr>
            </w:pPr>
            <w:r>
              <w:rPr>
                <w:rFonts w:hint="default" w:ascii="Times New Roman" w:hAnsi="Times New Roman" w:cs="Times New Roman"/>
                <w:i w:val="0"/>
                <w:iCs w:val="0"/>
                <w:color w:val="000000"/>
                <w:kern w:val="0"/>
                <w:sz w:val="20"/>
                <w:szCs w:val="20"/>
                <w:highlight w:val="none"/>
                <w:u w:val="none"/>
                <w:lang w:val="en-US" w:eastAsia="zh-CN" w:bidi="ar"/>
              </w:rPr>
              <w:t>202</w:t>
            </w:r>
            <w:r>
              <w:rPr>
                <w:rFonts w:hint="eastAsia" w:ascii="Times New Roman" w:hAnsi="Times New Roman"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2753" w:type="dxa"/>
            <w:gridSpan w:val="2"/>
            <w:tcBorders>
              <w:top w:val="nil"/>
              <w:left w:val="nil"/>
              <w:bottom w:val="single" w:color="auto" w:sz="4" w:space="0"/>
              <w:right w:val="nil"/>
            </w:tcBorders>
            <w:noWrap/>
            <w:vAlign w:val="bottom"/>
          </w:tcPr>
          <w:p>
            <w:pPr>
              <w:keepNext w:val="0"/>
              <w:keepLines w:val="0"/>
              <w:widowControl/>
              <w:suppressLineNumbers w:val="0"/>
              <w:jc w:val="right"/>
              <w:textAlignment w:val="bottom"/>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25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6129"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9" w:hRule="atLeast"/>
        </w:trPr>
        <w:tc>
          <w:tcPr>
            <w:tcW w:w="123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科目代码</w:t>
            </w:r>
          </w:p>
        </w:tc>
        <w:tc>
          <w:tcPr>
            <w:tcW w:w="132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科目名称</w:t>
            </w:r>
          </w:p>
        </w:tc>
        <w:tc>
          <w:tcPr>
            <w:tcW w:w="2010"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小计</w:t>
            </w:r>
          </w:p>
        </w:tc>
        <w:tc>
          <w:tcPr>
            <w:tcW w:w="2011"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基本支出</w:t>
            </w:r>
          </w:p>
        </w:tc>
        <w:tc>
          <w:tcPr>
            <w:tcW w:w="21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6" w:hRule="atLeast"/>
        </w:trPr>
        <w:tc>
          <w:tcPr>
            <w:tcW w:w="1239"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329"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201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2011"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210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9" w:hRule="atLeast"/>
        </w:trPr>
        <w:tc>
          <w:tcPr>
            <w:tcW w:w="1239"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1329"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201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2011"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iCs w:val="0"/>
                <w:color w:val="000000"/>
                <w:sz w:val="20"/>
                <w:szCs w:val="20"/>
                <w:highlight w:val="none"/>
                <w:u w:val="none"/>
              </w:rPr>
            </w:pPr>
          </w:p>
        </w:tc>
        <w:tc>
          <w:tcPr>
            <w:tcW w:w="210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9" w:hRule="atLeast"/>
        </w:trPr>
        <w:tc>
          <w:tcPr>
            <w:tcW w:w="25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2010"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1</w:t>
            </w:r>
          </w:p>
        </w:tc>
        <w:tc>
          <w:tcPr>
            <w:tcW w:w="2011"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2</w:t>
            </w:r>
          </w:p>
        </w:tc>
        <w:tc>
          <w:tcPr>
            <w:tcW w:w="2108"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9" w:hRule="atLeast"/>
        </w:trPr>
        <w:tc>
          <w:tcPr>
            <w:tcW w:w="25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tc>
        <w:tc>
          <w:tcPr>
            <w:tcW w:w="2010"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2,286.21</w:t>
            </w:r>
          </w:p>
        </w:tc>
        <w:tc>
          <w:tcPr>
            <w:tcW w:w="2011"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1,411.08</w:t>
            </w:r>
          </w:p>
        </w:tc>
        <w:tc>
          <w:tcPr>
            <w:tcW w:w="2108"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875.13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w:t>
            </w:r>
          </w:p>
        </w:tc>
        <w:tc>
          <w:tcPr>
            <w:tcW w:w="132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一般公共服务支出</w:t>
            </w:r>
          </w:p>
        </w:tc>
        <w:tc>
          <w:tcPr>
            <w:tcW w:w="2010"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1,932.87</w:t>
            </w:r>
          </w:p>
        </w:tc>
        <w:tc>
          <w:tcPr>
            <w:tcW w:w="2011"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1,057.74</w:t>
            </w:r>
          </w:p>
        </w:tc>
        <w:tc>
          <w:tcPr>
            <w:tcW w:w="2108"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875.13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20111</w:t>
            </w:r>
          </w:p>
        </w:tc>
        <w:tc>
          <w:tcPr>
            <w:tcW w:w="132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纪检监察事务</w:t>
            </w:r>
          </w:p>
        </w:tc>
        <w:tc>
          <w:tcPr>
            <w:tcW w:w="2010"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1,932.87</w:t>
            </w:r>
          </w:p>
        </w:tc>
        <w:tc>
          <w:tcPr>
            <w:tcW w:w="2011"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1,057.74</w:t>
            </w:r>
          </w:p>
        </w:tc>
        <w:tc>
          <w:tcPr>
            <w:tcW w:w="2108"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875.13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2011101</w:t>
            </w:r>
          </w:p>
        </w:tc>
        <w:tc>
          <w:tcPr>
            <w:tcW w:w="132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行政运行</w:t>
            </w:r>
          </w:p>
        </w:tc>
        <w:tc>
          <w:tcPr>
            <w:tcW w:w="2010"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1,932.33</w:t>
            </w:r>
          </w:p>
        </w:tc>
        <w:tc>
          <w:tcPr>
            <w:tcW w:w="2011"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1,057.74</w:t>
            </w:r>
          </w:p>
        </w:tc>
        <w:tc>
          <w:tcPr>
            <w:tcW w:w="2108"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874.59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2011199</w:t>
            </w:r>
          </w:p>
        </w:tc>
        <w:tc>
          <w:tcPr>
            <w:tcW w:w="132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其他纪检监察事务支出</w:t>
            </w:r>
          </w:p>
        </w:tc>
        <w:tc>
          <w:tcPr>
            <w:tcW w:w="2010"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0.54</w:t>
            </w:r>
          </w:p>
        </w:tc>
        <w:tc>
          <w:tcPr>
            <w:tcW w:w="2011"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108"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0.54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w:t>
            </w:r>
          </w:p>
        </w:tc>
        <w:tc>
          <w:tcPr>
            <w:tcW w:w="132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社会保障和就业支出</w:t>
            </w:r>
          </w:p>
        </w:tc>
        <w:tc>
          <w:tcPr>
            <w:tcW w:w="2010"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122.55</w:t>
            </w:r>
          </w:p>
        </w:tc>
        <w:tc>
          <w:tcPr>
            <w:tcW w:w="2011"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122.55</w:t>
            </w:r>
          </w:p>
        </w:tc>
        <w:tc>
          <w:tcPr>
            <w:tcW w:w="2108"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20805</w:t>
            </w:r>
          </w:p>
        </w:tc>
        <w:tc>
          <w:tcPr>
            <w:tcW w:w="132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行政事业单位养老支出</w:t>
            </w:r>
          </w:p>
        </w:tc>
        <w:tc>
          <w:tcPr>
            <w:tcW w:w="2010"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122.55</w:t>
            </w:r>
          </w:p>
        </w:tc>
        <w:tc>
          <w:tcPr>
            <w:tcW w:w="2011"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122.55</w:t>
            </w:r>
          </w:p>
        </w:tc>
        <w:tc>
          <w:tcPr>
            <w:tcW w:w="2108"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2080505</w:t>
            </w:r>
          </w:p>
        </w:tc>
        <w:tc>
          <w:tcPr>
            <w:tcW w:w="132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机关事业单位基本养老保险缴费支出</w:t>
            </w:r>
          </w:p>
        </w:tc>
        <w:tc>
          <w:tcPr>
            <w:tcW w:w="2010"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122.55</w:t>
            </w:r>
          </w:p>
        </w:tc>
        <w:tc>
          <w:tcPr>
            <w:tcW w:w="2011"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122.55</w:t>
            </w:r>
          </w:p>
        </w:tc>
        <w:tc>
          <w:tcPr>
            <w:tcW w:w="2108"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w:t>
            </w:r>
          </w:p>
        </w:tc>
        <w:tc>
          <w:tcPr>
            <w:tcW w:w="132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卫生健康支出</w:t>
            </w:r>
          </w:p>
        </w:tc>
        <w:tc>
          <w:tcPr>
            <w:tcW w:w="2010"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135.75</w:t>
            </w:r>
          </w:p>
        </w:tc>
        <w:tc>
          <w:tcPr>
            <w:tcW w:w="2011"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135.75</w:t>
            </w:r>
          </w:p>
        </w:tc>
        <w:tc>
          <w:tcPr>
            <w:tcW w:w="2108"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w:t>
            </w:r>
          </w:p>
        </w:tc>
        <w:tc>
          <w:tcPr>
            <w:tcW w:w="132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行政事业单位医疗</w:t>
            </w:r>
          </w:p>
        </w:tc>
        <w:tc>
          <w:tcPr>
            <w:tcW w:w="2010"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135.75</w:t>
            </w:r>
          </w:p>
        </w:tc>
        <w:tc>
          <w:tcPr>
            <w:tcW w:w="2011"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135.75</w:t>
            </w:r>
          </w:p>
        </w:tc>
        <w:tc>
          <w:tcPr>
            <w:tcW w:w="2108"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2101101</w:t>
            </w:r>
          </w:p>
        </w:tc>
        <w:tc>
          <w:tcPr>
            <w:tcW w:w="132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行政单位医疗</w:t>
            </w:r>
          </w:p>
        </w:tc>
        <w:tc>
          <w:tcPr>
            <w:tcW w:w="2010"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135.75</w:t>
            </w:r>
          </w:p>
        </w:tc>
        <w:tc>
          <w:tcPr>
            <w:tcW w:w="2011"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135.75</w:t>
            </w:r>
          </w:p>
        </w:tc>
        <w:tc>
          <w:tcPr>
            <w:tcW w:w="2108"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w:t>
            </w:r>
          </w:p>
        </w:tc>
        <w:tc>
          <w:tcPr>
            <w:tcW w:w="132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住房保障支出</w:t>
            </w:r>
          </w:p>
        </w:tc>
        <w:tc>
          <w:tcPr>
            <w:tcW w:w="2010"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95.04</w:t>
            </w:r>
          </w:p>
        </w:tc>
        <w:tc>
          <w:tcPr>
            <w:tcW w:w="2011"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95.04</w:t>
            </w:r>
          </w:p>
        </w:tc>
        <w:tc>
          <w:tcPr>
            <w:tcW w:w="2108"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22102</w:t>
            </w:r>
          </w:p>
        </w:tc>
        <w:tc>
          <w:tcPr>
            <w:tcW w:w="132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住房改革支出</w:t>
            </w:r>
          </w:p>
        </w:tc>
        <w:tc>
          <w:tcPr>
            <w:tcW w:w="2010"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95.04</w:t>
            </w:r>
          </w:p>
        </w:tc>
        <w:tc>
          <w:tcPr>
            <w:tcW w:w="2011"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95.04</w:t>
            </w:r>
          </w:p>
        </w:tc>
        <w:tc>
          <w:tcPr>
            <w:tcW w:w="2108"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2210201</w:t>
            </w:r>
          </w:p>
        </w:tc>
        <w:tc>
          <w:tcPr>
            <w:tcW w:w="1329"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住房公积金</w:t>
            </w:r>
          </w:p>
        </w:tc>
        <w:tc>
          <w:tcPr>
            <w:tcW w:w="2010"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95.04</w:t>
            </w:r>
          </w:p>
        </w:tc>
        <w:tc>
          <w:tcPr>
            <w:tcW w:w="2011"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95.04</w:t>
            </w:r>
          </w:p>
        </w:tc>
        <w:tc>
          <w:tcPr>
            <w:tcW w:w="2108"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8697" w:type="dxa"/>
            <w:gridSpan w:val="7"/>
            <w:tcBorders>
              <w:top w:val="single" w:color="auto" w:sz="4" w:space="0"/>
              <w:left w:val="nil"/>
              <w:bottom w:val="nil"/>
              <w:right w:val="nil"/>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注：本表反映部门本年度一般公共预算财政拨款支出情况。</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3"/>
        <w:tblW w:w="11338" w:type="dxa"/>
        <w:tblInd w:w="-16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4"/>
        <w:gridCol w:w="1814"/>
        <w:gridCol w:w="1020"/>
        <w:gridCol w:w="964"/>
        <w:gridCol w:w="438"/>
        <w:gridCol w:w="1376"/>
        <w:gridCol w:w="587"/>
        <w:gridCol w:w="377"/>
        <w:gridCol w:w="964"/>
        <w:gridCol w:w="1814"/>
        <w:gridCol w:w="1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4" w:hRule="atLeast"/>
        </w:trPr>
        <w:tc>
          <w:tcPr>
            <w:tcW w:w="11338" w:type="dxa"/>
            <w:gridSpan w:val="11"/>
            <w:tcBorders>
              <w:top w:val="nil"/>
              <w:left w:val="nil"/>
              <w:bottom w:val="nil"/>
              <w:right w:val="nil"/>
            </w:tcBorders>
            <w:noWrap/>
            <w:vAlign w:val="bottom"/>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一般公共预算财政拨款基本支出决算明细表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11338" w:type="dxa"/>
            <w:gridSpan w:val="11"/>
            <w:tcBorders>
              <w:top w:val="nil"/>
              <w:left w:val="nil"/>
              <w:bottom w:val="nil"/>
              <w:right w:val="nil"/>
            </w:tcBorders>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公开</w:t>
            </w:r>
            <w:r>
              <w:rPr>
                <w:rFonts w:hint="default" w:ascii="Times New Roman" w:hAnsi="Times New Roman" w:eastAsia="方正仿宋_GB2312" w:cs="Times New Roman"/>
                <w:i w:val="0"/>
                <w:iCs w:val="0"/>
                <w:color w:val="000000"/>
                <w:kern w:val="0"/>
                <w:sz w:val="18"/>
                <w:szCs w:val="18"/>
                <w:highlight w:val="none"/>
                <w:u w:val="none"/>
                <w:lang w:val="en-US" w:eastAsia="zh-CN" w:bidi="ar"/>
              </w:rPr>
              <w:t>06</w:t>
            </w: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5200" w:type="dxa"/>
            <w:gridSpan w:val="5"/>
            <w:tcBorders>
              <w:top w:val="nil"/>
              <w:left w:val="nil"/>
              <w:bottom w:val="single" w:color="auto" w:sz="4" w:space="0"/>
              <w:right w:val="nil"/>
            </w:tcBorders>
            <w:noWrap/>
            <w:vAlign w:val="bottom"/>
          </w:tcPr>
          <w:p>
            <w:pPr>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部门（单位）：中国共产党滦州市纪律检查委员会 </w:t>
            </w:r>
            <w:r>
              <w:rPr>
                <w:rFonts w:hint="eastAsia" w:asciiTheme="minorEastAsia" w:hAnsiTheme="minorEastAsia" w:cstheme="minorEastAsia"/>
                <w:i w:val="0"/>
                <w:iCs w:val="0"/>
                <w:color w:val="000000"/>
                <w:kern w:val="0"/>
                <w:sz w:val="18"/>
                <w:szCs w:val="18"/>
                <w:highlight w:val="none"/>
                <w:u w:val="none"/>
                <w:lang w:val="en-US" w:eastAsia="zh-CN" w:bidi="ar"/>
              </w:rPr>
              <w:t xml:space="preserve">                                                                   </w:t>
            </w:r>
          </w:p>
        </w:tc>
        <w:tc>
          <w:tcPr>
            <w:tcW w:w="1963" w:type="dxa"/>
            <w:gridSpan w:val="2"/>
            <w:tcBorders>
              <w:top w:val="nil"/>
              <w:left w:val="nil"/>
              <w:bottom w:val="single" w:color="auto" w:sz="4" w:space="0"/>
              <w:right w:val="nil"/>
            </w:tcBorders>
            <w:noWrap/>
            <w:vAlign w:val="bottom"/>
          </w:tcPr>
          <w:p>
            <w:pPr>
              <w:jc w:val="center"/>
              <w:rPr>
                <w:rFonts w:hint="default" w:asciiTheme="minorEastAsia" w:hAnsiTheme="minorEastAsia" w:eastAsiaTheme="minorEastAsia" w:cstheme="minorEastAsia"/>
                <w:i w:val="0"/>
                <w:iCs w:val="0"/>
                <w:color w:val="000000"/>
                <w:kern w:val="0"/>
                <w:sz w:val="18"/>
                <w:szCs w:val="18"/>
                <w:highlight w:val="none"/>
                <w:u w:val="none"/>
                <w:lang w:val="en-US" w:eastAsia="zh-CN" w:bidi="ar"/>
              </w:rPr>
            </w:pPr>
            <w:r>
              <w:rPr>
                <w:rFonts w:hint="eastAsia" w:asciiTheme="minorEastAsia" w:hAnsiTheme="minorEastAsia" w:cstheme="minorEastAsia"/>
                <w:i w:val="0"/>
                <w:iCs w:val="0"/>
                <w:color w:val="000000"/>
                <w:kern w:val="0"/>
                <w:sz w:val="18"/>
                <w:szCs w:val="18"/>
                <w:highlight w:val="none"/>
                <w:u w:val="none"/>
                <w:lang w:val="en-US" w:eastAsia="zh-CN" w:bidi="ar"/>
              </w:rPr>
              <w:t>2024</w:t>
            </w: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年度</w:t>
            </w:r>
          </w:p>
        </w:tc>
        <w:tc>
          <w:tcPr>
            <w:tcW w:w="4175" w:type="dxa"/>
            <w:gridSpan w:val="4"/>
            <w:tcBorders>
              <w:top w:val="nil"/>
              <w:left w:val="nil"/>
              <w:bottom w:val="single" w:color="auto" w:sz="4" w:space="0"/>
              <w:right w:val="nil"/>
            </w:tcBorders>
            <w:noWrap/>
            <w:vAlign w:val="bottom"/>
          </w:tcPr>
          <w:p>
            <w:pPr>
              <w:jc w:val="right"/>
              <w:rPr>
                <w:rFonts w:hint="default" w:asciiTheme="minorEastAsia" w:hAnsiTheme="minorEastAsia" w:eastAsiaTheme="minorEastAsia" w:cstheme="minorEastAsia"/>
                <w:i w:val="0"/>
                <w:iCs w:val="0"/>
                <w:color w:val="000000"/>
                <w:kern w:val="0"/>
                <w:sz w:val="18"/>
                <w:szCs w:val="18"/>
                <w:highlight w:val="none"/>
                <w:u w:val="none"/>
                <w:lang w:val="en-US" w:eastAsia="zh-CN" w:bidi="ar"/>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3798" w:type="dxa"/>
            <w:gridSpan w:val="3"/>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人员经费</w:t>
            </w:r>
          </w:p>
        </w:tc>
        <w:tc>
          <w:tcPr>
            <w:tcW w:w="7540"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lang w:val="en-US"/>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科目代码</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科目名称</w:t>
            </w:r>
          </w:p>
        </w:tc>
        <w:tc>
          <w:tcPr>
            <w:tcW w:w="102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w:t>
            </w:r>
          </w:p>
        </w:tc>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lang w:val="en-US" w:eastAsia="zh-CN"/>
              </w:rPr>
            </w:pPr>
            <w:r>
              <w:rPr>
                <w:rFonts w:hint="eastAsia" w:ascii="方正仿宋_GB2312" w:hAnsi="方正仿宋_GB2312" w:eastAsia="方正仿宋_GB2312" w:cs="方正仿宋_GB2312"/>
                <w:i w:val="0"/>
                <w:iCs w:val="0"/>
                <w:color w:val="000000"/>
                <w:sz w:val="18"/>
                <w:szCs w:val="18"/>
                <w:highlight w:val="none"/>
                <w:u w:val="none"/>
                <w:lang w:val="en-US" w:eastAsia="zh-CN"/>
              </w:rPr>
              <w:t>科目代码</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科目名称</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w:t>
            </w:r>
          </w:p>
        </w:tc>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lang w:val="en-US" w:eastAsia="zh-CN"/>
              </w:rPr>
            </w:pPr>
            <w:r>
              <w:rPr>
                <w:rFonts w:hint="eastAsia" w:ascii="方正仿宋_GB2312" w:hAnsi="方正仿宋_GB2312" w:eastAsia="方正仿宋_GB2312" w:cs="方正仿宋_GB2312"/>
                <w:i w:val="0"/>
                <w:iCs w:val="0"/>
                <w:color w:val="000000"/>
                <w:sz w:val="18"/>
                <w:szCs w:val="18"/>
                <w:highlight w:val="none"/>
                <w:u w:val="none"/>
                <w:lang w:val="en-US" w:eastAsia="zh-CN"/>
              </w:rPr>
              <w:t>科目代码</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科目名称</w:t>
            </w:r>
          </w:p>
        </w:tc>
        <w:tc>
          <w:tcPr>
            <w:tcW w:w="102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工资福利支出</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1,222.53</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商品和服务支出</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159.80</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307</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债务利息及费用支出</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Times New Roman" w:hAnsi="Times New Roman" w:cs="Times New Roman"/>
                <w:sz w:val="18"/>
                <w:szCs w:val="18"/>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30101</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基本工资</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388.16</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30201</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办公费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eastAsia" w:ascii="Times New Roman" w:hAnsi="Times New Roman" w:cs="Times New Roman"/>
                <w:sz w:val="18"/>
                <w:szCs w:val="18"/>
                <w:highlight w:val="none"/>
                <w:lang w:eastAsia="zh-CN"/>
              </w:rPr>
            </w:pPr>
            <w:r>
              <w:rPr>
                <w:rFonts w:hint="eastAsia" w:ascii="Times New Roman" w:hAnsi="Times New Roman" w:cs="Times New Roman"/>
                <w:sz w:val="18"/>
                <w:szCs w:val="18"/>
                <w:highlight w:val="none"/>
                <w:lang w:eastAsia="zh-CN"/>
              </w:rPr>
              <w:t>2.00</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30701</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国内债务付息</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Times New Roman" w:hAnsi="Times New Roman" w:cs="Times New Roman"/>
                <w:sz w:val="18"/>
                <w:szCs w:val="18"/>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30102</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津贴补贴</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371.27</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30202</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印刷费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eastAsia" w:ascii="Times New Roman" w:hAnsi="Times New Roman" w:cs="Times New Roman"/>
                <w:sz w:val="18"/>
                <w:szCs w:val="18"/>
                <w:highlight w:val="none"/>
                <w:lang w:eastAsia="zh-CN"/>
              </w:rPr>
            </w:pPr>
            <w:r>
              <w:rPr>
                <w:rFonts w:hint="eastAsia" w:ascii="Times New Roman" w:hAnsi="Times New Roman" w:cs="Times New Roman"/>
                <w:sz w:val="18"/>
                <w:szCs w:val="18"/>
                <w:highlight w:val="none"/>
                <w:lang w:eastAsia="zh-CN"/>
              </w:rPr>
              <w:t>0.99</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30702</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国外债务付息</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Times New Roman" w:hAnsi="Times New Roman" w:cs="Times New Roman"/>
                <w:sz w:val="18"/>
                <w:szCs w:val="18"/>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30103</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奖金</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103.23</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30203</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咨询费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eastAsia" w:ascii="Times New Roman" w:hAnsi="Times New Roman" w:cs="Times New Roman"/>
                <w:sz w:val="18"/>
                <w:szCs w:val="18"/>
                <w:highlight w:val="none"/>
                <w:lang w:eastAsia="zh-CN"/>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资本性支出</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Times New Roman" w:hAnsi="Times New Roman" w:cs="Times New Roman"/>
                <w:sz w:val="18"/>
                <w:szCs w:val="18"/>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30106</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伙食补助费</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30204</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手续费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eastAsia" w:ascii="Times New Roman" w:hAnsi="Times New Roman" w:cs="Times New Roman"/>
                <w:sz w:val="18"/>
                <w:szCs w:val="18"/>
                <w:highlight w:val="none"/>
                <w:lang w:eastAsia="zh-CN"/>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31001</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房屋建筑物购建</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Times New Roman" w:hAnsi="Times New Roman" w:cs="Times New Roman"/>
                <w:sz w:val="18"/>
                <w:szCs w:val="18"/>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30107</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绩效工资</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6.53</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30205</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水费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eastAsia" w:ascii="Times New Roman" w:hAnsi="Times New Roman" w:cs="Times New Roman"/>
                <w:sz w:val="18"/>
                <w:szCs w:val="18"/>
                <w:highlight w:val="none"/>
                <w:lang w:eastAsia="zh-CN"/>
              </w:rPr>
            </w:pPr>
            <w:r>
              <w:rPr>
                <w:rFonts w:hint="eastAsia" w:ascii="Times New Roman" w:hAnsi="Times New Roman" w:cs="Times New Roman"/>
                <w:sz w:val="18"/>
                <w:szCs w:val="18"/>
                <w:highlight w:val="none"/>
                <w:lang w:eastAsia="zh-CN"/>
              </w:rPr>
              <w:t>1.50</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31002</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办公设备购置</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Times New Roman" w:hAnsi="Times New Roman" w:cs="Times New Roman"/>
                <w:sz w:val="18"/>
                <w:szCs w:val="18"/>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30108</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机关事业单位基本养老保险缴费</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Times New Roman" w:hAnsi="Times New Roman" w:cs="Times New Roman"/>
                <w:sz w:val="18"/>
                <w:szCs w:val="18"/>
                <w:highlight w:val="none"/>
                <w:lang w:eastAsia="zh-CN"/>
              </w:rPr>
            </w:pPr>
            <w:r>
              <w:rPr>
                <w:rFonts w:hint="eastAsia" w:ascii="Times New Roman" w:hAnsi="Times New Roman" w:cs="Times New Roman"/>
                <w:sz w:val="18"/>
                <w:szCs w:val="18"/>
                <w:highlight w:val="none"/>
                <w:lang w:eastAsia="zh-CN"/>
              </w:rPr>
              <w:t>122.55</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30206</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电费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eastAsia" w:ascii="Times New Roman" w:hAnsi="Times New Roman" w:cs="Times New Roman"/>
                <w:sz w:val="18"/>
                <w:szCs w:val="18"/>
                <w:highlight w:val="none"/>
                <w:lang w:eastAsia="zh-CN"/>
              </w:rPr>
            </w:pPr>
            <w:r>
              <w:rPr>
                <w:rFonts w:hint="eastAsia" w:ascii="Times New Roman" w:hAnsi="Times New Roman" w:cs="Times New Roman"/>
                <w:sz w:val="18"/>
                <w:szCs w:val="18"/>
                <w:highlight w:val="none"/>
                <w:lang w:eastAsia="zh-CN"/>
              </w:rPr>
              <w:t>3.00</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31003</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专用设备购置</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30109</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职业年金缴费</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Times New Roman" w:hAnsi="Times New Roman" w:cs="Times New Roman"/>
                <w:sz w:val="18"/>
                <w:szCs w:val="18"/>
                <w:highlight w:val="none"/>
                <w:lang w:eastAsia="zh-CN"/>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30207</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邮电费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eastAsia" w:ascii="Times New Roman" w:hAnsi="Times New Roman" w:cs="Times New Roman"/>
                <w:sz w:val="18"/>
                <w:szCs w:val="18"/>
                <w:highlight w:val="none"/>
                <w:lang w:eastAsia="zh-CN"/>
              </w:rPr>
            </w:pPr>
            <w:r>
              <w:rPr>
                <w:rFonts w:hint="eastAsia" w:ascii="Times New Roman" w:hAnsi="Times New Roman" w:cs="Times New Roman"/>
                <w:sz w:val="18"/>
                <w:szCs w:val="18"/>
                <w:highlight w:val="none"/>
                <w:lang w:eastAsia="zh-CN"/>
              </w:rPr>
              <w:t>43.37</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31005</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基础设施建设</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30110</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职工基本医疗保险缴费</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135.75</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30208</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取暖费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31006</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大型修缮</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30111</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公务员医疗补助缴费</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30209</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物业管理费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31007</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信息网络及软件购置更新</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30112</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其他社会保障缴费</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30211</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差旅费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1.00</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31008</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物资储备</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30113</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住房公积金</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95.04</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30212</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因公出国（境）费用</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31009</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土地补偿</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30114</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医疗费</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30213</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维修（护）费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0.80</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31010</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安置补助</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30199</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其他工资福利支出</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30214</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租赁费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31011</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地上附着物和青苗补偿</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对个人和家庭的补助</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28.75</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30215</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会议费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2.00</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31012</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拆迁补偿</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30301</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离休费</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30216</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培训费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0.99</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31013</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30302</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退休费</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21.96</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30217</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公务接待费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1.90</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31019</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其他交通工具购置</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30303</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退职（役）费</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30218</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专用材料费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31021</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文物和陈列品购置</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30304</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抚恤金</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30224</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被装购置费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31022</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无形资产购置</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30305</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生活补助</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6.78</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30225</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专用燃料费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31099</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其他资本性支出</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30306</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救济费</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30226</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劳务费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5.00</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对企业补助</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30307</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医疗费补助</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30227</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委托业务费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31201</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资本金注入</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30308</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助学金</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30228</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工会经费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8.00</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31203</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政府投资基金股权投资</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30309</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奖励金</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30229</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福利费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31204</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费用补贴</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30310</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个人农业生产补贴</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30231</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公务用车运行维护费</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32.50</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31205</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利息补贴</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30311</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代缴社会保险费</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30239</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其他交通费用</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56.76</w:t>
            </w: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31299</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其他对企业补助</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30399</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其他对个人和家庭的补助</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30240</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税金及附加费用</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其他支出</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Theme="minorEastAsia" w:hAnsiTheme="minorEastAsia" w:eastAsiaTheme="minorEastAsia" w:cstheme="minorEastAsia"/>
                <w:i w:val="0"/>
                <w:iCs w:val="0"/>
                <w:color w:val="000000"/>
                <w:sz w:val="18"/>
                <w:szCs w:val="18"/>
                <w:highlight w:val="none"/>
                <w:u w:val="none"/>
              </w:rPr>
            </w:pPr>
          </w:p>
        </w:tc>
        <w:tc>
          <w:tcPr>
            <w:tcW w:w="1814"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020" w:type="dxa"/>
            <w:tcBorders>
              <w:top w:val="single" w:color="auto" w:sz="4" w:space="0"/>
              <w:left w:val="single" w:color="auto" w:sz="4" w:space="0"/>
              <w:bottom w:val="single" w:color="auto" w:sz="4" w:space="0"/>
              <w:right w:val="single" w:color="auto" w:sz="4" w:space="0"/>
            </w:tcBorders>
            <w:noWrap/>
            <w:vAlign w:val="center"/>
          </w:tcPr>
          <w:p>
            <w:pPr>
              <w:jc w:val="lef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30299</w:t>
            </w: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其他商品和服务支出</w:t>
            </w: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39907</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国家赔偿费用支出</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Theme="minorEastAsia" w:hAnsiTheme="minorEastAsia" w:eastAsiaTheme="minorEastAsia" w:cstheme="minorEastAsia"/>
                <w:i w:val="0"/>
                <w:iCs w:val="0"/>
                <w:color w:val="000000"/>
                <w:sz w:val="18"/>
                <w:szCs w:val="18"/>
                <w:highlight w:val="none"/>
                <w:u w:val="none"/>
              </w:rPr>
            </w:pPr>
          </w:p>
        </w:tc>
        <w:tc>
          <w:tcPr>
            <w:tcW w:w="1814"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020"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lef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39908</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对民间非营利组织和群众性自治组织补贴</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Theme="minorEastAsia" w:hAnsiTheme="minorEastAsia" w:eastAsiaTheme="minorEastAsia" w:cstheme="minorEastAsia"/>
                <w:i w:val="0"/>
                <w:iCs w:val="0"/>
                <w:color w:val="000000"/>
                <w:sz w:val="18"/>
                <w:szCs w:val="18"/>
                <w:highlight w:val="none"/>
                <w:u w:val="none"/>
              </w:rPr>
            </w:pPr>
          </w:p>
        </w:tc>
        <w:tc>
          <w:tcPr>
            <w:tcW w:w="1814"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020"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lef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39909</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经常性赠与</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Theme="minorEastAsia" w:hAnsiTheme="minorEastAsia" w:eastAsiaTheme="minorEastAsia" w:cstheme="minorEastAsia"/>
                <w:i w:val="0"/>
                <w:iCs w:val="0"/>
                <w:color w:val="000000"/>
                <w:sz w:val="18"/>
                <w:szCs w:val="18"/>
                <w:highlight w:val="none"/>
                <w:u w:val="none"/>
              </w:rPr>
            </w:pPr>
          </w:p>
        </w:tc>
        <w:tc>
          <w:tcPr>
            <w:tcW w:w="1814"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020"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lef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39910</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资本性赠与</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Theme="minorEastAsia" w:hAnsiTheme="minorEastAsia" w:eastAsiaTheme="minorEastAsia" w:cstheme="minorEastAsia"/>
                <w:i w:val="0"/>
                <w:iCs w:val="0"/>
                <w:color w:val="000000"/>
                <w:sz w:val="18"/>
                <w:szCs w:val="18"/>
                <w:highlight w:val="none"/>
                <w:u w:val="none"/>
              </w:rPr>
            </w:pPr>
          </w:p>
        </w:tc>
        <w:tc>
          <w:tcPr>
            <w:tcW w:w="1814"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020"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814" w:type="dxa"/>
            <w:gridSpan w:val="2"/>
            <w:tcBorders>
              <w:top w:val="single" w:color="auto" w:sz="4" w:space="0"/>
              <w:left w:val="single" w:color="auto" w:sz="4" w:space="0"/>
              <w:bottom w:val="single" w:color="auto" w:sz="4" w:space="0"/>
              <w:right w:val="single" w:color="auto" w:sz="4" w:space="0"/>
            </w:tcBorders>
            <w:noWrap/>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gridSpan w:val="2"/>
            <w:tcBorders>
              <w:top w:val="single" w:color="auto" w:sz="4" w:space="0"/>
              <w:left w:val="single" w:color="auto" w:sz="4" w:space="0"/>
              <w:bottom w:val="single" w:color="auto" w:sz="4" w:space="0"/>
              <w:right w:val="single" w:color="auto" w:sz="4" w:space="0"/>
            </w:tcBorders>
            <w:noWrap/>
            <w:vAlign w:val="center"/>
          </w:tcPr>
          <w:p>
            <w:pPr>
              <w:jc w:val="lef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39999</w:t>
            </w:r>
          </w:p>
        </w:tc>
        <w:tc>
          <w:tcPr>
            <w:tcW w:w="181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其他支出</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2778"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eastAsiaTheme="minorEastAsia"/>
                <w:sz w:val="18"/>
                <w:szCs w:val="18"/>
                <w:highlight w:val="none"/>
                <w:lang w:val="en-US" w:eastAsia="zh-CN"/>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人员经费合计</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default" w:ascii="Times New Roman" w:hAnsi="Times New Roman" w:cs="Times New Roman" w:eastAsiaTheme="minorEastAsia"/>
                <w:sz w:val="18"/>
                <w:szCs w:val="18"/>
                <w:highlight w:val="none"/>
              </w:rPr>
            </w:pPr>
            <w:r>
              <w:rPr>
                <w:rFonts w:hint="default" w:ascii="Times New Roman" w:hAnsi="Times New Roman" w:cs="Times New Roman" w:eastAsiaTheme="minorEastAsia"/>
                <w:sz w:val="18"/>
                <w:szCs w:val="18"/>
                <w:highlight w:val="none"/>
              </w:rPr>
              <w:t>1,251.28</w:t>
            </w:r>
          </w:p>
        </w:tc>
        <w:tc>
          <w:tcPr>
            <w:tcW w:w="6520" w:type="dxa"/>
            <w:gridSpan w:val="7"/>
            <w:tcBorders>
              <w:top w:val="single" w:color="auto" w:sz="4" w:space="0"/>
              <w:left w:val="single" w:color="auto" w:sz="4" w:space="0"/>
              <w:bottom w:val="single" w:color="auto" w:sz="4" w:space="0"/>
              <w:right w:val="single" w:color="auto" w:sz="4" w:space="0"/>
            </w:tcBorders>
            <w:noWrap/>
            <w:vAlign w:val="center"/>
          </w:tcPr>
          <w:p>
            <w:pPr>
              <w:jc w:val="center"/>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公用经费合计</w:t>
            </w:r>
          </w:p>
        </w:tc>
        <w:tc>
          <w:tcPr>
            <w:tcW w:w="1020"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159.80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11338" w:type="dxa"/>
            <w:gridSpan w:val="11"/>
            <w:tcBorders>
              <w:top w:val="single" w:color="auto" w:sz="4" w:space="0"/>
              <w:left w:val="nil"/>
              <w:bottom w:val="nil"/>
              <w:right w:val="nil"/>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注：本表反映部门本年度一般公共预算财政拨款基本支出明细情况。</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3"/>
        <w:tblW w:w="10480" w:type="dxa"/>
        <w:tblInd w:w="-140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60"/>
        <w:gridCol w:w="1474"/>
        <w:gridCol w:w="1306"/>
        <w:gridCol w:w="1027"/>
        <w:gridCol w:w="1107"/>
        <w:gridCol w:w="418"/>
        <w:gridCol w:w="702"/>
        <w:gridCol w:w="1146"/>
        <w:gridCol w:w="20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trPr>
        <w:tc>
          <w:tcPr>
            <w:tcW w:w="10480" w:type="dxa"/>
            <w:gridSpan w:val="9"/>
            <w:tcBorders>
              <w:top w:val="nil"/>
              <w:left w:val="nil"/>
              <w:bottom w:val="nil"/>
              <w:right w:val="nil"/>
            </w:tcBorders>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10480" w:type="dxa"/>
            <w:gridSpan w:val="9"/>
            <w:tcBorders>
              <w:top w:val="nil"/>
              <w:left w:val="nil"/>
              <w:bottom w:val="nil"/>
              <w:right w:val="nil"/>
            </w:tcBorders>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default" w:ascii="Times New Roman" w:hAnsi="Times New Roman" w:eastAsia="宋体" w:cs="Times New Roman"/>
                <w:i w:val="0"/>
                <w:iCs w:val="0"/>
                <w:color w:val="000000"/>
                <w:kern w:val="0"/>
                <w:sz w:val="20"/>
                <w:szCs w:val="20"/>
                <w:highlight w:val="none"/>
                <w:u w:val="none"/>
                <w:lang w:val="en-US" w:eastAsia="zh-CN" w:bidi="ar"/>
              </w:rPr>
              <w:t>07</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4040" w:type="dxa"/>
            <w:gridSpan w:val="3"/>
            <w:tcBorders>
              <w:top w:val="nil"/>
              <w:left w:val="nil"/>
              <w:bottom w:val="single" w:color="auto" w:sz="4" w:space="0"/>
              <w:right w:val="nil"/>
            </w:tcBorders>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部门（单位）：中国共产党滦州市纪律检查委员会 </w:t>
            </w: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2552" w:type="dxa"/>
            <w:gridSpan w:val="3"/>
            <w:tcBorders>
              <w:top w:val="nil"/>
              <w:left w:val="nil"/>
              <w:bottom w:val="single" w:color="auto" w:sz="4" w:space="0"/>
              <w:right w:val="nil"/>
            </w:tcBorders>
            <w:noWrap/>
            <w:vAlign w:val="bottom"/>
          </w:tcPr>
          <w:p>
            <w:pPr>
              <w:keepNext w:val="0"/>
              <w:keepLines w:val="0"/>
              <w:widowControl/>
              <w:suppressLineNumbers w:val="0"/>
              <w:jc w:val="center"/>
              <w:textAlignment w:val="bottom"/>
              <w:rPr>
                <w:rFonts w:hint="default" w:ascii="宋体" w:hAnsi="宋体" w:eastAsia="宋体" w:cs="宋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202</w:t>
            </w:r>
            <w:r>
              <w:rPr>
                <w:rFonts w:hint="eastAsia" w:ascii="Times New Roman" w:hAnsi="Times New Roman" w:eastAsia="宋体"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3888" w:type="dxa"/>
            <w:gridSpan w:val="3"/>
            <w:tcBorders>
              <w:top w:val="nil"/>
              <w:left w:val="nil"/>
              <w:bottom w:val="single" w:color="auto" w:sz="4" w:space="0"/>
              <w:right w:val="nil"/>
            </w:tcBorders>
            <w:noWrap/>
            <w:vAlign w:val="bottom"/>
          </w:tcPr>
          <w:p>
            <w:pPr>
              <w:keepNext w:val="0"/>
              <w:keepLines w:val="0"/>
              <w:widowControl/>
              <w:suppressLineNumbers w:val="0"/>
              <w:jc w:val="right"/>
              <w:textAlignment w:val="bottom"/>
              <w:rPr>
                <w:rFonts w:hint="default" w:ascii="宋体" w:hAnsi="宋体" w:eastAsia="宋体" w:cs="宋体"/>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2734"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1306" w:type="dxa"/>
            <w:vMerge w:val="restart"/>
            <w:tcBorders>
              <w:top w:val="single" w:color="auto"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年初结转和结余</w:t>
            </w:r>
          </w:p>
        </w:tc>
        <w:tc>
          <w:tcPr>
            <w:tcW w:w="1027" w:type="dxa"/>
            <w:vMerge w:val="restart"/>
            <w:tcBorders>
              <w:top w:val="single" w:color="auto"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本年收入</w:t>
            </w:r>
          </w:p>
        </w:tc>
        <w:tc>
          <w:tcPr>
            <w:tcW w:w="3373" w:type="dxa"/>
            <w:gridSpan w:val="4"/>
            <w:tcBorders>
              <w:top w:val="single" w:color="auto"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本年支出</w:t>
            </w:r>
          </w:p>
        </w:tc>
        <w:tc>
          <w:tcPr>
            <w:tcW w:w="2040" w:type="dxa"/>
            <w:vMerge w:val="restart"/>
            <w:tcBorders>
              <w:top w:val="single" w:color="auto" w:sz="4" w:space="0"/>
              <w:left w:val="nil"/>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1260" w:type="dxa"/>
            <w:vMerge w:val="restart"/>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科目代码</w:t>
            </w:r>
          </w:p>
        </w:tc>
        <w:tc>
          <w:tcPr>
            <w:tcW w:w="1474" w:type="dxa"/>
            <w:vMerge w:val="restart"/>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科目名称</w:t>
            </w:r>
          </w:p>
        </w:tc>
        <w:tc>
          <w:tcPr>
            <w:tcW w:w="1306"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027"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07" w:type="dxa"/>
            <w:vMerge w:val="restart"/>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小计</w:t>
            </w:r>
          </w:p>
        </w:tc>
        <w:tc>
          <w:tcPr>
            <w:tcW w:w="1120" w:type="dxa"/>
            <w:gridSpan w:val="2"/>
            <w:vMerge w:val="restart"/>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基本支出</w:t>
            </w:r>
          </w:p>
        </w:tc>
        <w:tc>
          <w:tcPr>
            <w:tcW w:w="1146" w:type="dxa"/>
            <w:vMerge w:val="restart"/>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项目支出</w:t>
            </w:r>
          </w:p>
        </w:tc>
        <w:tc>
          <w:tcPr>
            <w:tcW w:w="2040" w:type="dxa"/>
            <w:vMerge w:val="continue"/>
            <w:tcBorders>
              <w:left w:val="nil"/>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结转</w:t>
            </w:r>
          </w:p>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1260" w:type="dxa"/>
            <w:vMerge w:val="continue"/>
            <w:tcBorders>
              <w:top w:val="nil"/>
              <w:left w:val="single" w:color="000000" w:sz="4" w:space="0"/>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474" w:type="dxa"/>
            <w:vMerge w:val="continue"/>
            <w:tcBorders>
              <w:top w:val="nil"/>
              <w:left w:val="nil"/>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306"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027"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07" w:type="dxa"/>
            <w:vMerge w:val="continue"/>
            <w:tcBorders>
              <w:top w:val="nil"/>
              <w:left w:val="nil"/>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20" w:type="dxa"/>
            <w:gridSpan w:val="2"/>
            <w:vMerge w:val="continue"/>
            <w:tcBorders>
              <w:top w:val="nil"/>
              <w:left w:val="nil"/>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46" w:type="dxa"/>
            <w:vMerge w:val="continue"/>
            <w:tcBorders>
              <w:top w:val="nil"/>
              <w:left w:val="nil"/>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2040" w:type="dxa"/>
            <w:vMerge w:val="continue"/>
            <w:tcBorders>
              <w:left w:val="nil"/>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1260" w:type="dxa"/>
            <w:vMerge w:val="continue"/>
            <w:tcBorders>
              <w:top w:val="nil"/>
              <w:left w:val="single" w:color="000000" w:sz="4" w:space="0"/>
              <w:bottom w:val="single" w:color="auto"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474" w:type="dxa"/>
            <w:vMerge w:val="continue"/>
            <w:tcBorders>
              <w:top w:val="nil"/>
              <w:left w:val="nil"/>
              <w:bottom w:val="single" w:color="auto"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306"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027"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07" w:type="dxa"/>
            <w:vMerge w:val="continue"/>
            <w:tcBorders>
              <w:top w:val="nil"/>
              <w:left w:val="nil"/>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20" w:type="dxa"/>
            <w:gridSpan w:val="2"/>
            <w:vMerge w:val="continue"/>
            <w:tcBorders>
              <w:top w:val="nil"/>
              <w:left w:val="nil"/>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46" w:type="dxa"/>
            <w:vMerge w:val="continue"/>
            <w:tcBorders>
              <w:top w:val="nil"/>
              <w:left w:val="nil"/>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2040" w:type="dxa"/>
            <w:vMerge w:val="continue"/>
            <w:tcBorders>
              <w:left w:val="nil"/>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27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1306" w:type="dxa"/>
            <w:tcBorders>
              <w:top w:val="nil"/>
              <w:left w:val="single" w:color="auto"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1</w:t>
            </w:r>
          </w:p>
        </w:tc>
        <w:tc>
          <w:tcPr>
            <w:tcW w:w="1027"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2</w:t>
            </w:r>
          </w:p>
        </w:tc>
        <w:tc>
          <w:tcPr>
            <w:tcW w:w="1107"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3</w:t>
            </w:r>
          </w:p>
        </w:tc>
        <w:tc>
          <w:tcPr>
            <w:tcW w:w="1120"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4</w:t>
            </w:r>
          </w:p>
        </w:tc>
        <w:tc>
          <w:tcPr>
            <w:tcW w:w="1146"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5</w:t>
            </w:r>
          </w:p>
        </w:tc>
        <w:tc>
          <w:tcPr>
            <w:tcW w:w="2040"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lang w:val="en-US" w:eastAsia="zh-CN"/>
              </w:rPr>
            </w:pPr>
            <w:r>
              <w:rPr>
                <w:rFonts w:hint="default" w:ascii="Times New Roman" w:hAnsi="Times New Roman" w:eastAsia="方正仿宋_GB2312" w:cs="Times New Roman"/>
                <w:i w:val="0"/>
                <w:iCs w:val="0"/>
                <w:color w:val="000000"/>
                <w:sz w:val="20"/>
                <w:szCs w:val="20"/>
                <w:highlight w:val="none"/>
                <w:u w:val="none"/>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9" w:hRule="atLeast"/>
        </w:trPr>
        <w:tc>
          <w:tcPr>
            <w:tcW w:w="27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tc>
        <w:tc>
          <w:tcPr>
            <w:tcW w:w="1306" w:type="dxa"/>
            <w:tcBorders>
              <w:top w:val="nil"/>
              <w:left w:val="single" w:color="auto" w:sz="4" w:space="0"/>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0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0"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4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40"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0480" w:type="dxa"/>
            <w:gridSpan w:val="9"/>
            <w:tcBorders>
              <w:top w:val="nil"/>
              <w:left w:val="nil"/>
              <w:bottom w:val="nil"/>
              <w:right w:val="nil"/>
            </w:tcBorders>
            <w:noWrap/>
            <w:vAlign w:val="center"/>
          </w:tcPr>
          <w:p>
            <w:pP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注：本表反映部门本年度政府性基金预算财政拨款收入、支出及结转和结余情况。（</w:t>
            </w:r>
            <w:r>
              <w:rPr>
                <w:rFonts w:hint="eastAsia" w:ascii="方正仿宋_GB2312" w:hAnsi="方正仿宋_GB2312" w:eastAsia="方正仿宋_GB2312" w:cs="方正仿宋_GB2312"/>
                <w:i w:val="0"/>
                <w:iCs w:val="0"/>
                <w:color w:val="FF0000"/>
                <w:kern w:val="0"/>
                <w:sz w:val="20"/>
                <w:szCs w:val="20"/>
                <w:highlight w:val="none"/>
                <w:u w:val="none"/>
                <w:lang w:val="en-US" w:eastAsia="zh-CN" w:bidi="ar"/>
              </w:rPr>
              <w:t>（2024年本部门无相关数据收支情况，以空表列示）</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br w:type="page"/>
            </w:r>
          </w:p>
        </w:tc>
      </w:tr>
    </w:tbl>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tbl>
      <w:tblPr>
        <w:tblStyle w:val="13"/>
        <w:tblW w:w="9428" w:type="dxa"/>
        <w:tblInd w:w="-9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93"/>
        <w:gridCol w:w="731"/>
        <w:gridCol w:w="1296"/>
        <w:gridCol w:w="1332"/>
        <w:gridCol w:w="5"/>
        <w:gridCol w:w="47"/>
        <w:gridCol w:w="1281"/>
        <w:gridCol w:w="10"/>
        <w:gridCol w:w="17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trPr>
        <w:tc>
          <w:tcPr>
            <w:tcW w:w="9428" w:type="dxa"/>
            <w:gridSpan w:val="9"/>
            <w:tcBorders>
              <w:top w:val="nil"/>
              <w:left w:val="nil"/>
              <w:bottom w:val="nil"/>
              <w:right w:val="nil"/>
            </w:tcBorders>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9428" w:type="dxa"/>
            <w:gridSpan w:val="9"/>
            <w:tcBorders>
              <w:top w:val="nil"/>
              <w:left w:val="nil"/>
              <w:bottom w:val="nil"/>
              <w:right w:val="nil"/>
            </w:tcBorders>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default" w:ascii="Times New Roman" w:hAnsi="Times New Roman" w:eastAsia="方正仿宋_GB2312" w:cs="Times New Roman"/>
                <w:i w:val="0"/>
                <w:iCs w:val="0"/>
                <w:color w:val="000000"/>
                <w:kern w:val="0"/>
                <w:sz w:val="20"/>
                <w:szCs w:val="20"/>
                <w:highlight w:val="none"/>
                <w:u w:val="none"/>
                <w:lang w:val="en-US" w:eastAsia="zh-CN" w:bidi="ar"/>
              </w:rPr>
              <w:t>08</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3724" w:type="dxa"/>
            <w:gridSpan w:val="2"/>
            <w:tcBorders>
              <w:top w:val="nil"/>
              <w:left w:val="nil"/>
              <w:bottom w:val="single" w:color="auto" w:sz="4" w:space="0"/>
              <w:right w:val="nil"/>
            </w:tcBorders>
            <w:noWrap/>
            <w:vAlign w:val="bottom"/>
          </w:tcPr>
          <w:p>
            <w:pPr>
              <w:keepNext w:val="0"/>
              <w:keepLines w:val="0"/>
              <w:widowControl/>
              <w:suppressLineNumbers w:val="0"/>
              <w:jc w:val="both"/>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部门（单位）：中国共产党滦州市纪律检查委员会</w:t>
            </w:r>
          </w:p>
        </w:tc>
        <w:tc>
          <w:tcPr>
            <w:tcW w:w="2680" w:type="dxa"/>
            <w:gridSpan w:val="4"/>
            <w:tcBorders>
              <w:top w:val="nil"/>
              <w:left w:val="nil"/>
              <w:bottom w:val="single" w:color="auto" w:sz="4" w:space="0"/>
              <w:right w:val="nil"/>
            </w:tcBorders>
            <w:noWrap/>
            <w:vAlign w:val="bottom"/>
          </w:tcPr>
          <w:p>
            <w:pPr>
              <w:keepNext w:val="0"/>
              <w:keepLines w:val="0"/>
              <w:widowControl/>
              <w:suppressLineNumbers w:val="0"/>
              <w:jc w:val="center"/>
              <w:textAlignment w:val="bottom"/>
              <w:rPr>
                <w:rFonts w:hint="default" w:ascii="宋体" w:hAnsi="宋体" w:eastAsia="宋体" w:cs="宋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202</w:t>
            </w:r>
            <w:r>
              <w:rPr>
                <w:rFonts w:hint="eastAsia" w:ascii="Times New Roman" w:hAnsi="Times New Roman" w:eastAsia="宋体"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3024" w:type="dxa"/>
            <w:gridSpan w:val="3"/>
            <w:tcBorders>
              <w:top w:val="nil"/>
              <w:left w:val="nil"/>
              <w:bottom w:val="single" w:color="auto" w:sz="4" w:space="0"/>
              <w:right w:val="nil"/>
            </w:tcBorders>
            <w:noWrap/>
            <w:vAlign w:val="bottom"/>
          </w:tcPr>
          <w:p>
            <w:pPr>
              <w:keepNext w:val="0"/>
              <w:keepLines w:val="0"/>
              <w:widowControl/>
              <w:suppressLineNumbers w:val="0"/>
              <w:jc w:val="right"/>
              <w:textAlignment w:val="bottom"/>
              <w:rPr>
                <w:rFonts w:hint="default" w:ascii="宋体" w:hAnsi="宋体" w:eastAsia="宋体" w:cs="宋体"/>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5020"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 项目</w:t>
            </w:r>
          </w:p>
        </w:tc>
        <w:tc>
          <w:tcPr>
            <w:tcW w:w="4408" w:type="dxa"/>
            <w:gridSpan w:val="6"/>
            <w:vMerge w:val="restart"/>
            <w:tcBorders>
              <w:top w:val="single" w:color="auto" w:sz="4" w:space="0"/>
              <w:left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5020"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c>
          <w:tcPr>
            <w:tcW w:w="4408" w:type="dxa"/>
            <w:gridSpan w:val="6"/>
            <w:vMerge w:val="continue"/>
            <w:tcBorders>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2993"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科目代码</w:t>
            </w:r>
          </w:p>
        </w:tc>
        <w:tc>
          <w:tcPr>
            <w:tcW w:w="2027"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科目名称</w:t>
            </w:r>
          </w:p>
        </w:tc>
        <w:tc>
          <w:tcPr>
            <w:tcW w:w="1337" w:type="dxa"/>
            <w:gridSpan w:val="2"/>
            <w:vMerge w:val="restart"/>
            <w:tcBorders>
              <w:top w:val="nil"/>
              <w:left w:val="single" w:color="auto"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合计</w:t>
            </w:r>
          </w:p>
        </w:tc>
        <w:tc>
          <w:tcPr>
            <w:tcW w:w="1338" w:type="dxa"/>
            <w:gridSpan w:val="3"/>
            <w:vMerge w:val="restart"/>
            <w:tcBorders>
              <w:top w:val="nil"/>
              <w:left w:val="nil"/>
              <w:right w:val="single" w:color="000000" w:sz="4" w:space="0"/>
            </w:tcBorders>
            <w:noWrap w:val="0"/>
            <w:vAlign w:val="center"/>
          </w:tcPr>
          <w:p>
            <w:pPr>
              <w:jc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基本支出</w:t>
            </w:r>
          </w:p>
        </w:tc>
        <w:tc>
          <w:tcPr>
            <w:tcW w:w="1733" w:type="dxa"/>
            <w:vMerge w:val="restart"/>
            <w:tcBorders>
              <w:top w:val="nil"/>
              <w:left w:val="nil"/>
              <w:right w:val="single" w:color="000000" w:sz="4" w:space="0"/>
            </w:tcBorders>
            <w:noWrap w:val="0"/>
            <w:vAlign w:val="center"/>
          </w:tcPr>
          <w:p>
            <w:pPr>
              <w:jc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2993" w:type="dxa"/>
            <w:vMerge w:val="continue"/>
            <w:tcBorders>
              <w:top w:val="single" w:color="auto" w:sz="4" w:space="0"/>
              <w:left w:val="single" w:color="auto" w:sz="4" w:space="0"/>
              <w:bottom w:val="single" w:color="auto"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2027" w:type="dxa"/>
            <w:gridSpan w:val="2"/>
            <w:vMerge w:val="continue"/>
            <w:tcBorders>
              <w:top w:val="single" w:color="auto" w:sz="4" w:space="0"/>
              <w:left w:val="nil"/>
              <w:bottom w:val="single" w:color="auto" w:sz="4" w:space="0"/>
              <w:right w:val="single" w:color="auto"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337" w:type="dxa"/>
            <w:gridSpan w:val="2"/>
            <w:vMerge w:val="continue"/>
            <w:tcBorders>
              <w:left w:val="single" w:color="auto" w:sz="4" w:space="0"/>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338" w:type="dxa"/>
            <w:gridSpan w:val="3"/>
            <w:vMerge w:val="continue"/>
            <w:tcBorders>
              <w:left w:val="nil"/>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733" w:type="dxa"/>
            <w:vMerge w:val="continue"/>
            <w:tcBorders>
              <w:left w:val="nil"/>
              <w:bottom w:val="single" w:color="000000" w:sz="4" w:space="0"/>
              <w:right w:val="single" w:color="000000" w:sz="4" w:space="0"/>
            </w:tcBorders>
            <w:noWrap w:val="0"/>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5020" w:type="dxa"/>
            <w:gridSpan w:val="3"/>
            <w:tcBorders>
              <w:top w:val="single" w:color="auto" w:sz="4" w:space="0"/>
              <w:left w:val="single" w:color="auto" w:sz="4" w:space="0"/>
              <w:bottom w:val="single" w:color="000000" w:sz="4" w:space="0"/>
              <w:right w:val="single" w:color="auto" w:sz="4" w:space="0"/>
            </w:tcBorders>
            <w:noWrap/>
            <w:vAlign w:val="center"/>
          </w:tcPr>
          <w:p>
            <w:pPr>
              <w:keepNext w:val="0"/>
              <w:keepLines w:val="0"/>
              <w:widowControl/>
              <w:suppressLineNumbers w:val="0"/>
              <w:jc w:val="center"/>
              <w:textAlignment w:val="center"/>
              <w:rPr>
                <w:rFonts w:hint="eastAsia" w:ascii="Times New Roman" w:hAnsi="Times New Roman" w:eastAsia="方正仿宋_GB2312"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栏次</w:t>
            </w:r>
          </w:p>
        </w:tc>
        <w:tc>
          <w:tcPr>
            <w:tcW w:w="1332" w:type="dxa"/>
            <w:tcBorders>
              <w:top w:val="nil"/>
              <w:left w:val="single" w:color="auto"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2312"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1</w:t>
            </w:r>
          </w:p>
        </w:tc>
        <w:tc>
          <w:tcPr>
            <w:tcW w:w="1333" w:type="dxa"/>
            <w:gridSpan w:val="3"/>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2312"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2</w:t>
            </w:r>
          </w:p>
        </w:tc>
        <w:tc>
          <w:tcPr>
            <w:tcW w:w="1743"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_GB2312"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5020"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宋体"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合计</w:t>
            </w:r>
          </w:p>
        </w:tc>
        <w:tc>
          <w:tcPr>
            <w:tcW w:w="1332" w:type="dxa"/>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333" w:type="dxa"/>
            <w:gridSpan w:val="3"/>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743"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9428" w:type="dxa"/>
            <w:gridSpan w:val="9"/>
            <w:tcBorders>
              <w:top w:val="nil"/>
              <w:left w:val="nil"/>
              <w:bottom w:val="nil"/>
              <w:right w:val="nil"/>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注：本表反映部门本年度国有资本经营预算财政拨款支出情况。（</w:t>
            </w:r>
            <w:r>
              <w:rPr>
                <w:rFonts w:hint="eastAsia" w:ascii="方正仿宋_GB2312" w:hAnsi="方正仿宋_GB2312" w:eastAsia="方正仿宋_GB2312" w:cs="方正仿宋_GB2312"/>
                <w:i w:val="0"/>
                <w:iCs w:val="0"/>
                <w:color w:val="FF0000"/>
                <w:kern w:val="0"/>
                <w:sz w:val="20"/>
                <w:szCs w:val="20"/>
                <w:highlight w:val="none"/>
                <w:u w:val="none"/>
                <w:lang w:val="en-US" w:eastAsia="zh-CN" w:bidi="ar"/>
              </w:rPr>
              <w:t>（2024年本部门无相关数据收支情况，以空表列示）</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p>
      <w:pPr>
        <w:rPr>
          <w:rFonts w:hint="eastAsia" w:ascii="Times New Roman" w:eastAsia="仿宋_GB2312"/>
          <w:b w:val="0"/>
          <w:color w:val="auto"/>
          <w:sz w:val="32"/>
          <w:szCs w:val="32"/>
          <w:lang w:val="en-US" w:eastAsia="zh-CN"/>
        </w:rPr>
      </w:pPr>
    </w:p>
    <w:tbl>
      <w:tblPr>
        <w:tblStyle w:val="13"/>
        <w:tblpPr w:leftFromText="180" w:rightFromText="180" w:vertAnchor="text" w:horzAnchor="page" w:tblpX="282" w:tblpY="39"/>
        <w:tblOverlap w:val="never"/>
        <w:tblW w:w="115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87"/>
        <w:gridCol w:w="1226"/>
        <w:gridCol w:w="814"/>
        <w:gridCol w:w="946"/>
        <w:gridCol w:w="519"/>
        <w:gridCol w:w="544"/>
        <w:gridCol w:w="777"/>
        <w:gridCol w:w="845"/>
        <w:gridCol w:w="5"/>
        <w:gridCol w:w="1133"/>
        <w:gridCol w:w="640"/>
        <w:gridCol w:w="1027"/>
        <w:gridCol w:w="946"/>
        <w:gridCol w:w="11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trPr>
        <w:tc>
          <w:tcPr>
            <w:tcW w:w="11596" w:type="dxa"/>
            <w:gridSpan w:val="14"/>
            <w:tcBorders>
              <w:top w:val="nil"/>
              <w:left w:val="nil"/>
              <w:bottom w:val="nil"/>
              <w:right w:val="nil"/>
            </w:tcBorders>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60" w:hRule="atLeast"/>
        </w:trPr>
        <w:tc>
          <w:tcPr>
            <w:tcW w:w="11596" w:type="dxa"/>
            <w:gridSpan w:val="14"/>
            <w:tcBorders>
              <w:top w:val="nil"/>
              <w:left w:val="nil"/>
              <w:bottom w:val="nil"/>
              <w:right w:val="nil"/>
            </w:tcBorders>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公开</w:t>
            </w:r>
            <w:r>
              <w:rPr>
                <w:rFonts w:hint="default" w:ascii="Times New Roman" w:hAnsi="Times New Roman" w:eastAsia="方正仿宋_GB2312" w:cs="Times New Roman"/>
                <w:i w:val="0"/>
                <w:iCs w:val="0"/>
                <w:color w:val="000000"/>
                <w:kern w:val="0"/>
                <w:sz w:val="18"/>
                <w:szCs w:val="18"/>
                <w:highlight w:val="none"/>
                <w:u w:val="none"/>
                <w:lang w:val="en-US" w:eastAsia="zh-CN" w:bidi="ar"/>
              </w:rPr>
              <w:t>09</w:t>
            </w: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60" w:hRule="atLeast"/>
        </w:trPr>
        <w:tc>
          <w:tcPr>
            <w:tcW w:w="4492" w:type="dxa"/>
            <w:gridSpan w:val="5"/>
            <w:tcBorders>
              <w:top w:val="nil"/>
              <w:left w:val="nil"/>
              <w:bottom w:val="single" w:color="auto" w:sz="4" w:space="0"/>
              <w:right w:val="nil"/>
            </w:tcBorders>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部门（单位）：中国共产党滦州市纪律检查委员会</w:t>
            </w:r>
          </w:p>
        </w:tc>
        <w:tc>
          <w:tcPr>
            <w:tcW w:w="2166" w:type="dxa"/>
            <w:gridSpan w:val="3"/>
            <w:tcBorders>
              <w:top w:val="nil"/>
              <w:left w:val="nil"/>
              <w:bottom w:val="single" w:color="auto" w:sz="4" w:space="0"/>
              <w:right w:val="nil"/>
            </w:tcBorders>
            <w:noWrap/>
            <w:vAlign w:val="bottom"/>
          </w:tcPr>
          <w:p>
            <w:pPr>
              <w:keepNext w:val="0"/>
              <w:keepLines w:val="0"/>
              <w:widowControl/>
              <w:suppressLineNumbers w:val="0"/>
              <w:jc w:val="center"/>
              <w:textAlignment w:val="bottom"/>
              <w:rPr>
                <w:rFonts w:hint="default" w:ascii="宋体" w:hAnsi="宋体" w:eastAsia="宋体" w:cs="宋体"/>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202</w:t>
            </w:r>
            <w:r>
              <w:rPr>
                <w:rFonts w:hint="eastAsia" w:ascii="Times New Roman" w:hAnsi="Times New Roman" w:eastAsia="宋体" w:cs="Times New Roman"/>
                <w:i w:val="0"/>
                <w:iCs w:val="0"/>
                <w:color w:val="000000"/>
                <w:kern w:val="0"/>
                <w:sz w:val="18"/>
                <w:szCs w:val="18"/>
                <w:highlight w:val="none"/>
                <w:u w:val="none"/>
                <w:lang w:val="en-US" w:eastAsia="zh-CN" w:bidi="ar"/>
              </w:rPr>
              <w:t>4</w:t>
            </w: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年度</w:t>
            </w:r>
          </w:p>
        </w:tc>
        <w:tc>
          <w:tcPr>
            <w:tcW w:w="4938" w:type="dxa"/>
            <w:gridSpan w:val="6"/>
            <w:tcBorders>
              <w:top w:val="nil"/>
              <w:left w:val="nil"/>
              <w:bottom w:val="single" w:color="auto" w:sz="4" w:space="0"/>
              <w:right w:val="nil"/>
            </w:tcBorders>
            <w:noWrap/>
            <w:vAlign w:val="bottom"/>
          </w:tcPr>
          <w:p>
            <w:pPr>
              <w:keepNext w:val="0"/>
              <w:keepLines w:val="0"/>
              <w:widowControl/>
              <w:suppressLineNumbers w:val="0"/>
              <w:jc w:val="right"/>
              <w:textAlignment w:val="bottom"/>
              <w:rPr>
                <w:rFonts w:hint="default" w:ascii="宋体" w:hAnsi="宋体" w:eastAsia="宋体" w:cs="宋体"/>
                <w:i w:val="0"/>
                <w:iCs w:val="0"/>
                <w:color w:val="000000"/>
                <w:kern w:val="0"/>
                <w:sz w:val="18"/>
                <w:szCs w:val="18"/>
                <w:highlight w:val="none"/>
                <w:u w:val="none"/>
                <w:lang w:val="en-US" w:eastAsia="zh-CN" w:bidi="ar"/>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1" w:hRule="atLeast"/>
        </w:trPr>
        <w:tc>
          <w:tcPr>
            <w:tcW w:w="5813" w:type="dxa"/>
            <w:gridSpan w:val="7"/>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预算数</w:t>
            </w:r>
          </w:p>
        </w:tc>
        <w:tc>
          <w:tcPr>
            <w:tcW w:w="5783" w:type="dxa"/>
            <w:gridSpan w:val="7"/>
            <w:tcBorders>
              <w:top w:val="single" w:color="auto" w:sz="4" w:space="0"/>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1" w:hRule="atLeast"/>
        </w:trPr>
        <w:tc>
          <w:tcPr>
            <w:tcW w:w="987" w:type="dxa"/>
            <w:vMerge w:val="restart"/>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合计</w:t>
            </w:r>
          </w:p>
        </w:tc>
        <w:tc>
          <w:tcPr>
            <w:tcW w:w="1226" w:type="dxa"/>
            <w:vMerge w:val="restar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因公出国（境）费</w:t>
            </w:r>
          </w:p>
        </w:tc>
        <w:tc>
          <w:tcPr>
            <w:tcW w:w="2823" w:type="dxa"/>
            <w:gridSpan w:val="4"/>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公务用车购置及运行维护费</w:t>
            </w:r>
          </w:p>
        </w:tc>
        <w:tc>
          <w:tcPr>
            <w:tcW w:w="777" w:type="dxa"/>
            <w:vMerge w:val="restar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公务接待费</w:t>
            </w:r>
          </w:p>
        </w:tc>
        <w:tc>
          <w:tcPr>
            <w:tcW w:w="850" w:type="dxa"/>
            <w:gridSpan w:val="2"/>
            <w:vMerge w:val="restar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合计</w:t>
            </w:r>
          </w:p>
        </w:tc>
        <w:tc>
          <w:tcPr>
            <w:tcW w:w="1133" w:type="dxa"/>
            <w:vMerge w:val="restar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因公出国（境）费</w:t>
            </w:r>
          </w:p>
        </w:tc>
        <w:tc>
          <w:tcPr>
            <w:tcW w:w="2613" w:type="dxa"/>
            <w:gridSpan w:val="3"/>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公务用车购置及运行维护费</w:t>
            </w:r>
          </w:p>
        </w:tc>
        <w:tc>
          <w:tcPr>
            <w:tcW w:w="1187" w:type="dxa"/>
            <w:vMerge w:val="restar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1" w:hRule="atLeast"/>
        </w:trPr>
        <w:tc>
          <w:tcPr>
            <w:tcW w:w="987" w:type="dxa"/>
            <w:vMerge w:val="continue"/>
            <w:tcBorders>
              <w:top w:val="nil"/>
              <w:left w:val="single" w:color="000000" w:sz="4" w:space="0"/>
              <w:bottom w:val="single" w:color="000000" w:sz="4" w:space="0"/>
              <w:right w:val="single" w:color="000000" w:sz="4" w:space="0"/>
            </w:tcBorders>
            <w:noWrap/>
            <w:vAlign w:val="center"/>
          </w:tcPr>
          <w:p>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1226" w:type="dxa"/>
            <w:vMerge w:val="continue"/>
            <w:tcBorders>
              <w:top w:val="nil"/>
              <w:left w:val="nil"/>
              <w:bottom w:val="single" w:color="000000" w:sz="4" w:space="0"/>
              <w:right w:val="single" w:color="000000" w:sz="4" w:space="0"/>
            </w:tcBorders>
            <w:noWrap/>
            <w:vAlign w:val="center"/>
          </w:tcPr>
          <w:p>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81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小计</w:t>
            </w:r>
          </w:p>
        </w:tc>
        <w:tc>
          <w:tcPr>
            <w:tcW w:w="946"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公务用车购置费</w:t>
            </w:r>
          </w:p>
        </w:tc>
        <w:tc>
          <w:tcPr>
            <w:tcW w:w="1063"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公务用车运行维护费</w:t>
            </w:r>
          </w:p>
        </w:tc>
        <w:tc>
          <w:tcPr>
            <w:tcW w:w="777" w:type="dxa"/>
            <w:vMerge w:val="continue"/>
            <w:tcBorders>
              <w:top w:val="nil"/>
              <w:left w:val="nil"/>
              <w:bottom w:val="single" w:color="000000" w:sz="4" w:space="0"/>
              <w:right w:val="single" w:color="000000" w:sz="4" w:space="0"/>
            </w:tcBorders>
            <w:noWrap/>
            <w:vAlign w:val="center"/>
          </w:tcPr>
          <w:p>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850" w:type="dxa"/>
            <w:gridSpan w:val="2"/>
            <w:vMerge w:val="continue"/>
            <w:tcBorders>
              <w:top w:val="nil"/>
              <w:left w:val="nil"/>
              <w:bottom w:val="single" w:color="000000" w:sz="4" w:space="0"/>
              <w:right w:val="single" w:color="000000" w:sz="4" w:space="0"/>
            </w:tcBorders>
            <w:noWrap/>
            <w:vAlign w:val="center"/>
          </w:tcPr>
          <w:p>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1133" w:type="dxa"/>
            <w:vMerge w:val="continue"/>
            <w:tcBorders>
              <w:top w:val="nil"/>
              <w:left w:val="nil"/>
              <w:bottom w:val="single" w:color="000000" w:sz="4" w:space="0"/>
              <w:right w:val="single" w:color="000000" w:sz="4" w:space="0"/>
            </w:tcBorders>
            <w:noWrap/>
            <w:vAlign w:val="center"/>
          </w:tcPr>
          <w:p>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640"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小计</w:t>
            </w:r>
          </w:p>
        </w:tc>
        <w:tc>
          <w:tcPr>
            <w:tcW w:w="1027"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公务用车购置费</w:t>
            </w:r>
          </w:p>
        </w:tc>
        <w:tc>
          <w:tcPr>
            <w:tcW w:w="946"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公务用车运行维护费</w:t>
            </w:r>
          </w:p>
        </w:tc>
        <w:tc>
          <w:tcPr>
            <w:tcW w:w="1187" w:type="dxa"/>
            <w:vMerge w:val="continue"/>
            <w:tcBorders>
              <w:top w:val="nil"/>
              <w:left w:val="nil"/>
              <w:bottom w:val="single" w:color="000000" w:sz="4" w:space="0"/>
              <w:right w:val="single" w:color="000000" w:sz="4" w:space="0"/>
            </w:tcBorders>
            <w:noWrap/>
            <w:vAlign w:val="center"/>
          </w:tcPr>
          <w:p>
            <w:pPr>
              <w:jc w:val="center"/>
              <w:rPr>
                <w:rFonts w:hint="eastAsia" w:ascii="方正仿宋_GB2312" w:hAnsi="方正仿宋_GB2312" w:eastAsia="方正仿宋_GB2312" w:cs="方正仿宋_GB2312"/>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1" w:hRule="atLeast"/>
        </w:trPr>
        <w:tc>
          <w:tcPr>
            <w:tcW w:w="987"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1</w:t>
            </w:r>
          </w:p>
        </w:tc>
        <w:tc>
          <w:tcPr>
            <w:tcW w:w="1226"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2</w:t>
            </w:r>
          </w:p>
        </w:tc>
        <w:tc>
          <w:tcPr>
            <w:tcW w:w="814"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3</w:t>
            </w:r>
          </w:p>
        </w:tc>
        <w:tc>
          <w:tcPr>
            <w:tcW w:w="946"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4</w:t>
            </w:r>
          </w:p>
        </w:tc>
        <w:tc>
          <w:tcPr>
            <w:tcW w:w="1063"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5</w:t>
            </w:r>
          </w:p>
        </w:tc>
        <w:tc>
          <w:tcPr>
            <w:tcW w:w="777"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6</w:t>
            </w:r>
          </w:p>
        </w:tc>
        <w:tc>
          <w:tcPr>
            <w:tcW w:w="850" w:type="dxa"/>
            <w:gridSpan w:val="2"/>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7</w:t>
            </w:r>
          </w:p>
        </w:tc>
        <w:tc>
          <w:tcPr>
            <w:tcW w:w="1133"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8</w:t>
            </w:r>
          </w:p>
        </w:tc>
        <w:tc>
          <w:tcPr>
            <w:tcW w:w="640"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9</w:t>
            </w:r>
          </w:p>
        </w:tc>
        <w:tc>
          <w:tcPr>
            <w:tcW w:w="1027"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10</w:t>
            </w:r>
          </w:p>
        </w:tc>
        <w:tc>
          <w:tcPr>
            <w:tcW w:w="946"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11</w:t>
            </w:r>
          </w:p>
        </w:tc>
        <w:tc>
          <w:tcPr>
            <w:tcW w:w="1187" w:type="dxa"/>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1" w:hRule="atLeast"/>
        </w:trPr>
        <w:tc>
          <w:tcPr>
            <w:tcW w:w="987" w:type="dxa"/>
            <w:tcBorders>
              <w:top w:val="nil"/>
              <w:left w:val="single" w:color="000000" w:sz="4" w:space="0"/>
              <w:bottom w:val="single" w:color="000000" w:sz="4" w:space="0"/>
              <w:right w:val="single" w:color="000000" w:sz="4" w:space="0"/>
            </w:tcBorders>
            <w:noWrap/>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34.40</w:t>
            </w:r>
          </w:p>
        </w:tc>
        <w:tc>
          <w:tcPr>
            <w:tcW w:w="122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方正仿宋_GB2312" w:cs="Times New Roman"/>
                <w:i w:val="0"/>
                <w:iCs w:val="0"/>
                <w:color w:val="000000"/>
                <w:sz w:val="18"/>
                <w:szCs w:val="18"/>
                <w:highlight w:val="none"/>
                <w:u w:val="none"/>
              </w:rPr>
            </w:pPr>
          </w:p>
        </w:tc>
        <w:tc>
          <w:tcPr>
            <w:tcW w:w="814"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32.50</w:t>
            </w:r>
          </w:p>
        </w:tc>
        <w:tc>
          <w:tcPr>
            <w:tcW w:w="94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方正仿宋_GB2312" w:cs="Times New Roman"/>
                <w:i w:val="0"/>
                <w:iCs w:val="0"/>
                <w:color w:val="000000"/>
                <w:sz w:val="18"/>
                <w:szCs w:val="18"/>
                <w:highlight w:val="none"/>
                <w:u w:val="none"/>
              </w:rPr>
            </w:pPr>
          </w:p>
        </w:tc>
        <w:tc>
          <w:tcPr>
            <w:tcW w:w="1063"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32.50</w:t>
            </w:r>
          </w:p>
        </w:tc>
        <w:tc>
          <w:tcPr>
            <w:tcW w:w="77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1.90</w:t>
            </w:r>
          </w:p>
        </w:tc>
        <w:tc>
          <w:tcPr>
            <w:tcW w:w="850" w:type="dxa"/>
            <w:gridSpan w:val="2"/>
            <w:tcBorders>
              <w:top w:val="nil"/>
              <w:left w:val="nil"/>
              <w:bottom w:val="single" w:color="000000" w:sz="4" w:space="0"/>
              <w:right w:val="single" w:color="000000" w:sz="4" w:space="0"/>
            </w:tcBorders>
            <w:noWrap/>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34.40</w:t>
            </w:r>
          </w:p>
        </w:tc>
        <w:tc>
          <w:tcPr>
            <w:tcW w:w="1133"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方正仿宋_GB2312" w:cs="Times New Roman"/>
                <w:i w:val="0"/>
                <w:iCs w:val="0"/>
                <w:color w:val="000000"/>
                <w:sz w:val="18"/>
                <w:szCs w:val="18"/>
                <w:highlight w:val="none"/>
                <w:u w:val="none"/>
              </w:rPr>
            </w:pPr>
          </w:p>
        </w:tc>
        <w:tc>
          <w:tcPr>
            <w:tcW w:w="640"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32.50</w:t>
            </w:r>
          </w:p>
        </w:tc>
        <w:tc>
          <w:tcPr>
            <w:tcW w:w="102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方正仿宋_GB2312" w:cs="Times New Roman"/>
                <w:i w:val="0"/>
                <w:iCs w:val="0"/>
                <w:color w:val="000000"/>
                <w:sz w:val="18"/>
                <w:szCs w:val="18"/>
                <w:highlight w:val="none"/>
                <w:u w:val="none"/>
              </w:rPr>
            </w:pPr>
          </w:p>
        </w:tc>
        <w:tc>
          <w:tcPr>
            <w:tcW w:w="946"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32.50</w:t>
            </w:r>
          </w:p>
        </w:tc>
        <w:tc>
          <w:tcPr>
            <w:tcW w:w="1187" w:type="dxa"/>
            <w:tcBorders>
              <w:top w:val="nil"/>
              <w:left w:val="nil"/>
              <w:bottom w:val="single" w:color="000000" w:sz="4" w:space="0"/>
              <w:right w:val="single" w:color="000000" w:sz="4" w:space="0"/>
            </w:tcBorders>
            <w:noWrap/>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1" w:hRule="atLeast"/>
        </w:trPr>
        <w:tc>
          <w:tcPr>
            <w:tcW w:w="11596" w:type="dxa"/>
            <w:gridSpan w:val="14"/>
            <w:tcBorders>
              <w:top w:val="nil"/>
              <w:left w:val="nil"/>
              <w:bottom w:val="nil"/>
              <w:right w:val="nil"/>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仿宋_GB2312" w:hAnsi="宋体" w:eastAsia="仿宋_GB2312"/>
          <w:b/>
          <w:color w:val="auto"/>
          <w:kern w:val="0"/>
          <w:sz w:val="32"/>
          <w:szCs w:val="32"/>
          <w:highlight w:val="none"/>
        </w:rPr>
        <w:sectPr>
          <w:headerReference r:id="rId8" w:type="default"/>
          <w:pgSz w:w="11906" w:h="16838"/>
          <w:pgMar w:top="1531" w:right="1984" w:bottom="1531" w:left="2098" w:header="851" w:footer="992" w:gutter="0"/>
          <w:pgBorders>
            <w:top w:val="none" w:sz="0" w:space="0"/>
            <w:left w:val="none" w:sz="0" w:space="0"/>
            <w:bottom w:val="none" w:sz="0" w:space="0"/>
            <w:right w:val="none" w:sz="0" w:space="0"/>
          </w:pgBorders>
          <w:cols w:space="720" w:num="1"/>
          <w:docGrid w:type="lines" w:linePitch="312" w:charSpace="0"/>
        </w:sectPr>
      </w:pPr>
    </w:p>
    <w:p>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第三部分</w:t>
      </w:r>
      <w:r>
        <w:rPr>
          <w:rFonts w:ascii="Times New Roman" w:eastAsia="仿宋_GB2312"/>
          <w:b w:val="0"/>
          <w:sz w:val="44"/>
          <w:szCs w:val="44"/>
        </w:rPr>
        <w:t>2024</w:t>
      </w:r>
      <w:r>
        <w:rPr>
          <w:rFonts w:ascii="Times New Roman" w:eastAsia="黑体"/>
          <w:b w:val="0"/>
          <w:sz w:val="44"/>
          <w:szCs w:val="44"/>
        </w:rPr>
        <w:t>年度部门决算情况说明</w:t>
      </w:r>
    </w:p>
    <w:p>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一、收入支出决算总体情况说明</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本部门2024年度收、支总计（含结转和结余）均为2,286.21万元。与2023年度决算相比，收支各增加291.79万元，增长14.6%，主要原因是</w:t>
      </w:r>
      <w:r>
        <w:rPr>
          <w:rFonts w:hint="eastAsia" w:ascii="Times New Roman" w:eastAsia="仿宋_GB2312"/>
          <w:b w:val="0"/>
          <w:sz w:val="32"/>
          <w:szCs w:val="32"/>
          <w:lang w:eastAsia="zh-CN"/>
        </w:rPr>
        <w:t>留置专项经费及办案业务经费较去年有所增加</w:t>
      </w:r>
      <w:r>
        <w:rPr>
          <w:rFonts w:ascii="Times New Roman" w:eastAsia="仿宋_GB2312"/>
          <w:b w:val="0"/>
          <w:sz w:val="32"/>
          <w:szCs w:val="32"/>
        </w:rPr>
        <w:t>。</w:t>
      </w:r>
    </w:p>
    <w:p>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eastAsia="Arial" w:cs="Times New Roman"/>
          <w:highlight w:val="none"/>
        </w:rPr>
      </w:pPr>
      <w:r>
        <w:rPr>
          <w:rFonts w:hint="eastAsia" w:ascii="Times New Roman" w:hAnsi="Times New Roman" w:eastAsia="宋体"/>
        </w:rPr>
        <w:drawing>
          <wp:inline distT="0" distB="0" distL="114300" distR="114300">
            <wp:extent cx="5256530" cy="2988310"/>
            <wp:effectExtent l="5080" t="4445" r="8890" b="1714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rFonts w:hint="default" w:ascii="Times New Roman" w:hAnsi="Times New Roman" w:eastAsia="Arial" w:cs="Times New Roman"/>
          <w:i w:val="0"/>
          <w:iCs w:val="0"/>
          <w:caps w:val="0"/>
          <w:color w:val="000000"/>
          <w:spacing w:val="0"/>
          <w:sz w:val="18"/>
          <w:szCs w:val="18"/>
          <w:highlight w:val="none"/>
          <w:shd w:val="clear" w:fill="FFFFFF"/>
        </w:rPr>
        <w:t> </w:t>
      </w:r>
    </w:p>
    <w:p>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二、收入决算情况说明</w:t>
      </w:r>
    </w:p>
    <w:p>
      <w:pPr>
        <w:widowControl/>
        <w:spacing w:before="0" w:beforeLines="0" w:beforeAutospacing="0" w:after="0" w:afterLines="0" w:afterAutospacing="0" w:line="360" w:lineRule="auto"/>
        <w:ind w:firstLine="640" w:firstLineChars="200"/>
        <w:jc w:val="left"/>
        <w:rPr>
          <w:rFonts w:hint="default" w:ascii="Times New Roman" w:hAnsi="Times New Roman" w:eastAsia="仿宋_GB2312" w:cs="Times New Roman"/>
          <w:kern w:val="2"/>
          <w:sz w:val="32"/>
          <w:szCs w:val="32"/>
          <w:highlight w:val="yellow"/>
          <w:lang w:val="zh-CN"/>
        </w:rPr>
      </w:pPr>
      <w:r>
        <w:rPr>
          <w:rFonts w:ascii="Times New Roman" w:eastAsia="仿宋_GB2312"/>
          <w:b w:val="0"/>
          <w:sz w:val="32"/>
          <w:szCs w:val="32"/>
        </w:rPr>
        <w:t>本部门2024年度本年收入合计2,286.21万元，其中：财政拨款收入2,286.21万元，占100.0%；上级补助收入0.00万元，占0.0%；事业收入0.00万元，占0.0%；经营收入0.00万元，占0.0%；附属单位上缴收入0.00万元，占0.0%；其他收入0.00万元，占0.0%。</w:t>
      </w:r>
    </w:p>
    <w:p>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三、支出决算情况说明</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本部门2024年度本年支出合计2,286.21万元，其中：基本支出1,411.08万元，占61.7%；项目支出875.13万元，占38.3%；上缴上级支出0.00万元，占0.0%；经营支出0.00万元，占0.0%；对附属单位补助支出0.00万元，占0.0%。</w:t>
      </w:r>
    </w:p>
    <w:p>
      <w:pPr>
        <w:autoSpaceDE w:val="0"/>
        <w:autoSpaceDN w:val="0"/>
        <w:adjustRightInd w:val="0"/>
        <w:jc w:val="center"/>
        <w:rPr>
          <w:rFonts w:hint="default" w:ascii="Times New Roman" w:hAnsi="Times New Roman" w:eastAsia="仿宋_GB2312" w:cs="Times New Roman"/>
          <w:color w:val="auto"/>
          <w:kern w:val="0"/>
          <w:sz w:val="32"/>
          <w:szCs w:val="32"/>
          <w:highlight w:val="none"/>
          <w:lang w:val="en-US" w:eastAsia="zh-CN" w:bidi="ar-SA"/>
        </w:rPr>
      </w:pPr>
      <w:r>
        <w:rPr>
          <w:rFonts w:ascii="Times New Roman" w:hAnsi="Times New Roman" w:eastAsia="仿宋_GB2312" w:cs="Times New Roman"/>
          <w:sz w:val="32"/>
          <w:szCs w:val="32"/>
          <w:highlight w:val="none"/>
        </w:rPr>
        <w:drawing>
          <wp:inline distT="0" distB="0" distL="114300" distR="114300">
            <wp:extent cx="5256530" cy="2988310"/>
            <wp:effectExtent l="5080" t="4445" r="11430" b="952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widowControl/>
        <w:spacing w:before="0" w:beforeLines="0" w:beforeAutospacing="0" w:after="0" w:afterLines="0" w:afterAutospacing="0" w:line="360" w:lineRule="auto"/>
        <w:ind w:firstLine="640" w:firstLineChars="200"/>
        <w:jc w:val="left"/>
        <w:outlineLvl w:val="1"/>
        <w:rPr>
          <w:rFonts w:ascii="Times New Roman" w:eastAsia="黑体"/>
          <w:sz w:val="32"/>
          <w:szCs w:val="32"/>
        </w:rPr>
      </w:pPr>
      <w:r>
        <w:rPr>
          <w:rFonts w:ascii="Times New Roman" w:eastAsia="黑体"/>
          <w:b w:val="0"/>
          <w:sz w:val="32"/>
          <w:szCs w:val="32"/>
        </w:rPr>
        <w:t>四、财政拨款收入支出决算总体情况说明</w:t>
      </w:r>
    </w:p>
    <w:p>
      <w:pPr>
        <w:widowControl/>
        <w:spacing w:before="0" w:beforeLines="0" w:beforeAutospacing="0" w:after="0" w:afterLines="0" w:afterAutospacing="0" w:line="360" w:lineRule="auto"/>
        <w:ind w:firstLine="643" w:firstLineChars="200"/>
        <w:jc w:val="left"/>
        <w:rPr>
          <w:rFonts w:ascii="Times New Roman" w:eastAsia="楷体_GB2312"/>
          <w:sz w:val="32"/>
          <w:szCs w:val="32"/>
        </w:rPr>
      </w:pPr>
      <w:r>
        <w:rPr>
          <w:rFonts w:ascii="Times New Roman" w:eastAsia="楷体_GB2312"/>
          <w:b/>
          <w:sz w:val="32"/>
          <w:szCs w:val="32"/>
        </w:rPr>
        <w:t>（一）财政拨款收支与</w:t>
      </w:r>
      <w:r>
        <w:rPr>
          <w:rFonts w:ascii="Times New Roman" w:eastAsia="仿宋_GB2312"/>
          <w:b/>
          <w:sz w:val="32"/>
          <w:szCs w:val="32"/>
        </w:rPr>
        <w:t>2023</w:t>
      </w:r>
      <w:r>
        <w:rPr>
          <w:rFonts w:ascii="Times New Roman" w:eastAsia="楷体_GB2312"/>
          <w:b/>
          <w:sz w:val="32"/>
          <w:szCs w:val="32"/>
        </w:rPr>
        <w:t>年度决算对比情况</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本部门2024年度财政拨款收、支总计（含结转和结余）均为2,286.21万元。与2023年度相比，财政拨款收支各增加291.79万元，增长14.6%，主要原因是</w:t>
      </w:r>
      <w:r>
        <w:rPr>
          <w:rFonts w:hint="eastAsia" w:ascii="Times New Roman" w:eastAsia="仿宋_GB2312"/>
          <w:b w:val="0"/>
          <w:sz w:val="32"/>
          <w:szCs w:val="32"/>
          <w:lang w:eastAsia="zh-CN"/>
        </w:rPr>
        <w:t>留置专项经费及办案业务经费较去年有所增加</w:t>
      </w:r>
      <w:r>
        <w:rPr>
          <w:rFonts w:ascii="Times New Roman" w:eastAsia="仿宋_GB2312"/>
          <w:b w:val="0"/>
          <w:sz w:val="32"/>
          <w:szCs w:val="32"/>
        </w:rPr>
        <w:t>。</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本部门2024年度财政拨款本年收入2,286.21万元,比上年增加291.79万元，增长14.6%，主要原因是</w:t>
      </w:r>
      <w:r>
        <w:rPr>
          <w:rFonts w:hint="eastAsia" w:ascii="Times New Roman" w:eastAsia="仿宋_GB2312"/>
          <w:b w:val="0"/>
          <w:sz w:val="32"/>
          <w:szCs w:val="32"/>
          <w:lang w:eastAsia="zh-CN"/>
        </w:rPr>
        <w:t>留置专项经费及办案业务经费较去年有所增加</w:t>
      </w:r>
      <w:r>
        <w:rPr>
          <w:rFonts w:ascii="Times New Roman" w:eastAsia="仿宋_GB2312"/>
          <w:b w:val="0"/>
          <w:sz w:val="32"/>
          <w:szCs w:val="32"/>
        </w:rPr>
        <w:t>；本年支出2,286.21万元，比上年增加291.79万元，增长14.6%，主要原因是</w:t>
      </w:r>
      <w:r>
        <w:rPr>
          <w:rFonts w:hint="eastAsia" w:ascii="Times New Roman" w:eastAsia="仿宋_GB2312"/>
          <w:b w:val="0"/>
          <w:sz w:val="32"/>
          <w:szCs w:val="32"/>
          <w:lang w:eastAsia="zh-CN"/>
        </w:rPr>
        <w:t>留置专项经费及办案业务经费较去年有所增加</w:t>
      </w:r>
      <w:r>
        <w:rPr>
          <w:rFonts w:ascii="Times New Roman" w:eastAsia="仿宋_GB2312"/>
          <w:b w:val="0"/>
          <w:sz w:val="32"/>
          <w:szCs w:val="32"/>
        </w:rPr>
        <w:t>。具体情况如下：</w:t>
      </w:r>
    </w:p>
    <w:p>
      <w:pPr>
        <w:widowControl/>
        <w:spacing w:before="0" w:beforeLines="0" w:beforeAutospacing="0" w:after="0" w:afterLines="0" w:afterAutospacing="0" w:line="360" w:lineRule="auto"/>
        <w:ind w:firstLine="640" w:firstLineChars="200"/>
        <w:jc w:val="left"/>
        <w:outlineLvl w:val="1"/>
        <w:rPr>
          <w:rFonts w:ascii="Times New Roman" w:eastAsia="仿宋_GB2312"/>
          <w:sz w:val="32"/>
          <w:szCs w:val="32"/>
        </w:rPr>
      </w:pPr>
      <w:r>
        <w:rPr>
          <w:rFonts w:ascii="Times New Roman" w:eastAsia="仿宋_GB2312"/>
          <w:b w:val="0"/>
          <w:sz w:val="32"/>
          <w:szCs w:val="32"/>
        </w:rPr>
        <w:t>1.一般公共预算财政拨款本年收入2,286.21万元,比上年增加291.79万元，增长14.6%，主要原因是</w:t>
      </w:r>
      <w:r>
        <w:rPr>
          <w:rFonts w:hint="eastAsia" w:ascii="Times New Roman" w:eastAsia="仿宋_GB2312"/>
          <w:b w:val="0"/>
          <w:sz w:val="32"/>
          <w:szCs w:val="32"/>
          <w:lang w:eastAsia="zh-CN"/>
        </w:rPr>
        <w:t>留置专项经费及办案业务经费较去年有所增加</w:t>
      </w:r>
      <w:r>
        <w:rPr>
          <w:rFonts w:ascii="Times New Roman" w:eastAsia="仿宋_GB2312"/>
          <w:b w:val="0"/>
          <w:sz w:val="32"/>
          <w:szCs w:val="32"/>
        </w:rPr>
        <w:t>；本年支出2,286.21万元，比上年增加291.79万元，增长14.6%，主要原因是</w:t>
      </w:r>
      <w:r>
        <w:rPr>
          <w:rFonts w:hint="eastAsia" w:ascii="Times New Roman" w:eastAsia="仿宋_GB2312"/>
          <w:b w:val="0"/>
          <w:sz w:val="32"/>
          <w:szCs w:val="32"/>
          <w:lang w:eastAsia="zh-CN"/>
        </w:rPr>
        <w:t>留置专项经费及办案业务经费较去年有所增加</w:t>
      </w:r>
      <w:r>
        <w:rPr>
          <w:rFonts w:ascii="Times New Roman" w:eastAsia="仿宋_GB2312"/>
          <w:b w:val="0"/>
          <w:sz w:val="32"/>
          <w:szCs w:val="32"/>
        </w:rPr>
        <w:t>。</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2.政府性基金预算财政拨款本年收入0.00万元，比上年增加0.00万元，增长0.00%，主要原因是；本年支出0.00万元，比上年增加0.00万元，增长0.00%，主要原因是</w:t>
      </w:r>
      <w:r>
        <w:rPr>
          <w:rFonts w:hint="eastAsia" w:ascii="Times New Roman" w:eastAsia="仿宋_GB2312"/>
          <w:b w:val="0"/>
          <w:sz w:val="32"/>
          <w:szCs w:val="32"/>
        </w:rPr>
        <w:t>本年及上年均无相关项目支出</w:t>
      </w:r>
      <w:r>
        <w:rPr>
          <w:rFonts w:ascii="Times New Roman" w:eastAsia="仿宋_GB2312"/>
          <w:b w:val="0"/>
          <w:sz w:val="32"/>
          <w:szCs w:val="32"/>
        </w:rPr>
        <w:t>。</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3.国有资本经营预算财政拨款本年收入0.00万元，比上年增加0.00万元，增长0.00%，主要原因是；本年支出0.00万元，比上年增加0.00万元，增长0.00%，主要原因是</w:t>
      </w:r>
      <w:r>
        <w:rPr>
          <w:rFonts w:hint="eastAsia" w:ascii="Times New Roman" w:eastAsia="仿宋_GB2312"/>
          <w:b w:val="0"/>
          <w:sz w:val="32"/>
          <w:szCs w:val="32"/>
        </w:rPr>
        <w:t>本年及上年均无相关项目支出</w:t>
      </w:r>
      <w:r>
        <w:rPr>
          <w:rFonts w:ascii="Times New Roman" w:eastAsia="仿宋_GB2312"/>
          <w:b w:val="0"/>
          <w:sz w:val="32"/>
          <w:szCs w:val="32"/>
        </w:rPr>
        <w:t>。</w:t>
      </w:r>
    </w:p>
    <w:p>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eastAsia="仿宋_GB2312" w:cs="Times New Roman"/>
          <w:sz w:val="32"/>
          <w:szCs w:val="32"/>
          <w:highlight w:val="none"/>
          <w:lang w:val="en-US" w:eastAsia="zh-CN"/>
        </w:rPr>
      </w:pPr>
      <w:r>
        <w:rPr>
          <w:rFonts w:ascii="Times New Roman" w:hAnsi="Times New Roman" w:eastAsia="仿宋_GB2312"/>
          <w:sz w:val="32"/>
          <w:szCs w:val="32"/>
        </w:rPr>
        <w:drawing>
          <wp:inline distT="0" distB="0" distL="114300" distR="114300">
            <wp:extent cx="5256530" cy="2988310"/>
            <wp:effectExtent l="5080" t="4445" r="8890" b="1714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widowControl/>
        <w:spacing w:before="0" w:beforeLines="0" w:beforeAutospacing="0" w:after="0" w:afterLines="0" w:afterAutospacing="0" w:line="360" w:lineRule="auto"/>
        <w:ind w:firstLine="643" w:firstLineChars="200"/>
        <w:jc w:val="left"/>
        <w:rPr>
          <w:rFonts w:ascii="Times New Roman" w:eastAsia="楷体_GB2312"/>
          <w:sz w:val="32"/>
          <w:szCs w:val="32"/>
        </w:rPr>
      </w:pPr>
      <w:r>
        <w:rPr>
          <w:rFonts w:ascii="Times New Roman" w:eastAsia="楷体_GB2312"/>
          <w:b/>
          <w:sz w:val="32"/>
          <w:szCs w:val="32"/>
        </w:rPr>
        <w:t>（二）财政拨款收支与年初预算数对比情况</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本部门2024年度财政拨款本年收入2,286.21万元，完成年初预算的152.7%，比年初预算增加788.67万元，决算数大于预算数主要原因是</w:t>
      </w:r>
      <w:r>
        <w:rPr>
          <w:rFonts w:hint="eastAsia" w:ascii="Times New Roman" w:eastAsia="仿宋_GB2312"/>
          <w:b w:val="0"/>
          <w:sz w:val="32"/>
          <w:szCs w:val="32"/>
          <w:lang w:eastAsia="zh-CN"/>
        </w:rPr>
        <w:t>本年度留置专项经费及提级巡察经费超出年初预算金额</w:t>
      </w:r>
      <w:r>
        <w:rPr>
          <w:rFonts w:ascii="Times New Roman" w:eastAsia="仿宋_GB2312"/>
          <w:b w:val="0"/>
          <w:sz w:val="32"/>
          <w:szCs w:val="32"/>
        </w:rPr>
        <w:t>；本年支出2,286.21万元，完成年初预算的152.7%，比年初预算增加788.67万元，决算数大于预算数主要原因是</w:t>
      </w:r>
      <w:r>
        <w:rPr>
          <w:rFonts w:hint="eastAsia" w:ascii="Times New Roman" w:eastAsia="仿宋_GB2312"/>
          <w:b w:val="0"/>
          <w:sz w:val="32"/>
          <w:szCs w:val="32"/>
          <w:lang w:eastAsia="zh-CN"/>
        </w:rPr>
        <w:t>本年度留置专项经费及提级巡察经费超出年初预算金额</w:t>
      </w:r>
      <w:r>
        <w:rPr>
          <w:rFonts w:ascii="Times New Roman" w:eastAsia="仿宋_GB2312"/>
          <w:b w:val="0"/>
          <w:sz w:val="32"/>
          <w:szCs w:val="32"/>
        </w:rPr>
        <w:t>。具体情况如下：</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1.一般公共预算财政拨款本年收入完成年初预算的152.7%，比年初预算增加788.67万元，主要原因是</w:t>
      </w:r>
      <w:r>
        <w:rPr>
          <w:rFonts w:hint="eastAsia" w:ascii="Times New Roman" w:eastAsia="仿宋_GB2312"/>
          <w:b w:val="0"/>
          <w:sz w:val="32"/>
          <w:szCs w:val="32"/>
          <w:lang w:eastAsia="zh-CN"/>
        </w:rPr>
        <w:t>本年度留置专项经费及提级巡察经费超出年初预算金额</w:t>
      </w:r>
      <w:r>
        <w:rPr>
          <w:rFonts w:ascii="Times New Roman" w:eastAsia="仿宋_GB2312"/>
          <w:b w:val="0"/>
          <w:sz w:val="32"/>
          <w:szCs w:val="32"/>
        </w:rPr>
        <w:t>；支出完成年初预算的152.7%，比年初预算增加788.67万元，主要原因是</w:t>
      </w:r>
      <w:r>
        <w:rPr>
          <w:rFonts w:hint="eastAsia" w:ascii="Times New Roman" w:eastAsia="仿宋_GB2312"/>
          <w:b w:val="0"/>
          <w:sz w:val="32"/>
          <w:szCs w:val="32"/>
          <w:lang w:eastAsia="zh-CN"/>
        </w:rPr>
        <w:t>本年度留置专项经费及提级巡察经费超出年初预算金额</w:t>
      </w:r>
      <w:r>
        <w:rPr>
          <w:rFonts w:ascii="Times New Roman" w:eastAsia="仿宋_GB2312"/>
          <w:b w:val="0"/>
          <w:sz w:val="32"/>
          <w:szCs w:val="32"/>
        </w:rPr>
        <w:t>。</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2.政府性基金预算财政拨款本年收入完成年初预算的0.0%，比年初预算增加0.00万元，主要原因是</w:t>
      </w:r>
      <w:r>
        <w:rPr>
          <w:rFonts w:hint="eastAsia" w:ascii="Times New Roman" w:eastAsia="仿宋_GB2312"/>
          <w:b w:val="0"/>
          <w:sz w:val="32"/>
          <w:szCs w:val="32"/>
        </w:rPr>
        <w:t>本年及上年均无相关项目支出</w:t>
      </w:r>
      <w:r>
        <w:rPr>
          <w:rFonts w:ascii="Times New Roman" w:eastAsia="仿宋_GB2312"/>
          <w:b w:val="0"/>
          <w:sz w:val="32"/>
          <w:szCs w:val="32"/>
        </w:rPr>
        <w:t>；支出完成年初预算的0.0%，比年初预算增加0.00万元，主要原因是</w:t>
      </w:r>
      <w:r>
        <w:rPr>
          <w:rFonts w:hint="eastAsia" w:ascii="Times New Roman" w:eastAsia="仿宋_GB2312"/>
          <w:b w:val="0"/>
          <w:sz w:val="32"/>
          <w:szCs w:val="32"/>
        </w:rPr>
        <w:t>本年及上年均无相关项目支出</w:t>
      </w:r>
      <w:r>
        <w:rPr>
          <w:rFonts w:ascii="Times New Roman" w:eastAsia="仿宋_GB2312"/>
          <w:b w:val="0"/>
          <w:sz w:val="32"/>
          <w:szCs w:val="32"/>
        </w:rPr>
        <w:t>。</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3.国有资本经营预算财政拨款本年收入完成年初预算的0.0%，比年初预算增加0.00万元，主要原因是；支出完成年初预算的0.0%，比年初预算增加0.00万元，主要原因是</w:t>
      </w:r>
      <w:r>
        <w:rPr>
          <w:rFonts w:hint="eastAsia" w:ascii="仿宋_GB2312" w:hAnsi="仿宋_GB2312" w:eastAsia="仿宋_GB2312"/>
          <w:color w:val="000000"/>
          <w:sz w:val="32"/>
          <w:szCs w:val="24"/>
        </w:rPr>
        <w:t>本年无相关项目的预算及支出</w:t>
      </w:r>
      <w:r>
        <w:rPr>
          <w:rFonts w:ascii="Times New Roman" w:eastAsia="仿宋_GB2312"/>
          <w:b w:val="0"/>
          <w:sz w:val="32"/>
          <w:szCs w:val="32"/>
        </w:rPr>
        <w:t>。</w:t>
      </w:r>
    </w:p>
    <w:p>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Times New Roman" w:hAnsi="Times New Roman" w:eastAsia="Arial" w:cs="Times New Roman"/>
          <w:highlight w:val="none"/>
        </w:rPr>
      </w:pPr>
    </w:p>
    <w:p>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eastAsia="仿宋_GB2312" w:cs="Times New Roman"/>
          <w:color w:val="auto"/>
          <w:kern w:val="0"/>
          <w:sz w:val="32"/>
          <w:szCs w:val="32"/>
          <w:highlight w:val="none"/>
          <w:lang w:val="en-US" w:eastAsia="zh-CN" w:bidi="ar-SA"/>
        </w:rPr>
      </w:pPr>
      <w:r>
        <w:rPr>
          <w:rFonts w:ascii="Times New Roman" w:hAnsi="Times New Roman" w:eastAsia="仿宋_GB2312"/>
          <w:sz w:val="32"/>
          <w:szCs w:val="32"/>
          <w:highlight w:val="none"/>
        </w:rPr>
        <w:drawing>
          <wp:inline distT="0" distB="0" distL="114300" distR="114300">
            <wp:extent cx="5256530" cy="2988310"/>
            <wp:effectExtent l="5080" t="4445" r="8890" b="17145"/>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widowControl/>
        <w:spacing w:before="0" w:beforeLines="0" w:beforeAutospacing="0" w:after="0" w:afterLines="0" w:afterAutospacing="0" w:line="360" w:lineRule="auto"/>
        <w:ind w:firstLine="643" w:firstLineChars="200"/>
        <w:jc w:val="left"/>
        <w:rPr>
          <w:rFonts w:ascii="Times New Roman" w:eastAsia="楷体_GB2312"/>
          <w:sz w:val="32"/>
          <w:szCs w:val="32"/>
        </w:rPr>
      </w:pPr>
      <w:r>
        <w:rPr>
          <w:rFonts w:ascii="Times New Roman" w:eastAsia="楷体_GB2312"/>
          <w:b/>
          <w:sz w:val="32"/>
          <w:szCs w:val="32"/>
        </w:rPr>
        <w:t>（三）财政拨款支出决算结构情况</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2024年度财政拨款支出2,286.21万元，主要用于以下方面：</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一般公共预算财政拨款支出：</w:t>
      </w:r>
    </w:p>
    <w:p>
      <w:pPr>
        <w:widowControl/>
        <w:spacing w:before="0" w:beforeLines="0" w:beforeAutospacing="0" w:after="0" w:afterLines="0" w:afterAutospacing="0" w:line="360" w:lineRule="auto"/>
        <w:ind w:firstLine="640" w:firstLineChars="200"/>
        <w:jc w:val="left"/>
        <w:rPr>
          <w:rFonts w:hint="eastAsia" w:ascii="Times New Roman" w:eastAsia="仿宋_GB2312"/>
          <w:sz w:val="32"/>
          <w:szCs w:val="32"/>
          <w:lang w:eastAsia="zh-CN"/>
        </w:rPr>
      </w:pPr>
      <w:r>
        <w:rPr>
          <w:rFonts w:ascii="Times New Roman" w:eastAsia="仿宋_GB2312"/>
          <w:b w:val="0"/>
          <w:sz w:val="32"/>
          <w:szCs w:val="32"/>
        </w:rPr>
        <w:t>一般公共服务（类）支出1,932.87万元，占84.5%，主要用于</w:t>
      </w:r>
      <w:r>
        <w:rPr>
          <w:rFonts w:hint="eastAsia" w:ascii="仿宋_GB2312" w:hAnsi="仿宋_GB2312" w:eastAsia="仿宋_GB2312"/>
          <w:color w:val="000000"/>
          <w:sz w:val="32"/>
          <w:szCs w:val="24"/>
          <w:lang w:eastAsia="zh-CN"/>
        </w:rPr>
        <w:t>支付在职人员工资及日常公用经费，</w:t>
      </w:r>
      <w:r>
        <w:rPr>
          <w:rFonts w:ascii="Times New Roman" w:eastAsia="仿宋_GB2312"/>
          <w:b w:val="0"/>
          <w:sz w:val="32"/>
          <w:szCs w:val="32"/>
        </w:rPr>
        <w:t>社会保障和就业（类）支出122.55万元，占5.4%，</w:t>
      </w:r>
      <w:r>
        <w:rPr>
          <w:rFonts w:hint="eastAsia" w:ascii="仿宋_GB2312" w:hAnsi="仿宋_GB2312" w:eastAsia="仿宋_GB2312"/>
          <w:color w:val="000000"/>
          <w:sz w:val="32"/>
          <w:szCs w:val="24"/>
        </w:rPr>
        <w:t>主要用于</w:t>
      </w:r>
      <w:r>
        <w:rPr>
          <w:rFonts w:hint="eastAsia" w:ascii="仿宋_GB2312" w:hAnsi="仿宋_GB2312" w:eastAsia="仿宋_GB2312"/>
          <w:color w:val="000000"/>
          <w:sz w:val="32"/>
          <w:szCs w:val="24"/>
          <w:lang w:eastAsia="zh-CN"/>
        </w:rPr>
        <w:t>支付在职人员养老保险</w:t>
      </w:r>
      <w:r>
        <w:rPr>
          <w:rFonts w:hint="eastAsia" w:ascii="仿宋_GB2312" w:hAnsi="仿宋_GB2312" w:eastAsia="仿宋_GB2312"/>
          <w:color w:val="000000"/>
          <w:sz w:val="32"/>
          <w:szCs w:val="24"/>
        </w:rPr>
        <w:t>；</w:t>
      </w:r>
      <w:r>
        <w:rPr>
          <w:rFonts w:ascii="Times New Roman" w:eastAsia="仿宋_GB2312"/>
          <w:b w:val="0"/>
          <w:sz w:val="32"/>
          <w:szCs w:val="32"/>
        </w:rPr>
        <w:t>卫生健康（类）支出135.75万元，占5.9%，</w:t>
      </w:r>
      <w:r>
        <w:rPr>
          <w:rFonts w:hint="eastAsia" w:ascii="仿宋_GB2312" w:hAnsi="仿宋_GB2312" w:eastAsia="仿宋_GB2312"/>
          <w:color w:val="000000"/>
          <w:sz w:val="32"/>
          <w:szCs w:val="24"/>
        </w:rPr>
        <w:t>主要用于</w:t>
      </w:r>
      <w:r>
        <w:rPr>
          <w:rFonts w:hint="eastAsia" w:ascii="仿宋_GB2312" w:hAnsi="仿宋_GB2312" w:eastAsia="仿宋_GB2312"/>
          <w:color w:val="000000"/>
          <w:sz w:val="32"/>
          <w:szCs w:val="24"/>
          <w:lang w:eastAsia="zh-CN"/>
        </w:rPr>
        <w:t>支付在职人员医疗保险</w:t>
      </w:r>
      <w:r>
        <w:rPr>
          <w:rFonts w:hint="eastAsia" w:ascii="仿宋_GB2312" w:hAnsi="仿宋_GB2312" w:eastAsia="仿宋_GB2312"/>
          <w:color w:val="000000"/>
          <w:sz w:val="32"/>
          <w:szCs w:val="24"/>
        </w:rPr>
        <w:t>；</w:t>
      </w:r>
      <w:r>
        <w:rPr>
          <w:rFonts w:ascii="Times New Roman" w:eastAsia="仿宋_GB2312"/>
          <w:b w:val="0"/>
          <w:sz w:val="32"/>
          <w:szCs w:val="32"/>
        </w:rPr>
        <w:t>住房保障（类）支出95.04万元，占4.2%</w:t>
      </w:r>
      <w:r>
        <w:rPr>
          <w:rFonts w:hint="eastAsia" w:ascii="Times New Roman" w:eastAsia="仿宋_GB2312"/>
          <w:b w:val="0"/>
          <w:sz w:val="32"/>
          <w:szCs w:val="32"/>
          <w:lang w:eastAsia="zh-CN"/>
        </w:rPr>
        <w:t>，主要用于支付在职人员住房公积金。</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政府性基金预算财政拨款支出：</w:t>
      </w:r>
    </w:p>
    <w:p>
      <w:pPr>
        <w:widowControl/>
        <w:spacing w:before="0" w:beforeLines="0" w:beforeAutospacing="0" w:after="0" w:afterLines="0" w:afterAutospacing="0" w:line="360" w:lineRule="auto"/>
        <w:ind w:firstLine="640" w:firstLineChars="200"/>
        <w:jc w:val="left"/>
        <w:rPr>
          <w:rFonts w:hint="eastAsia" w:ascii="Times New Roman" w:eastAsia="仿宋_GB2312"/>
          <w:b w:val="0"/>
          <w:sz w:val="32"/>
          <w:szCs w:val="32"/>
        </w:rPr>
      </w:pPr>
      <w:r>
        <w:rPr>
          <w:rFonts w:hint="eastAsia" w:ascii="Times New Roman" w:eastAsia="仿宋_GB2312"/>
          <w:b w:val="0"/>
          <w:sz w:val="32"/>
          <w:szCs w:val="32"/>
        </w:rPr>
        <w:t>2024年我部门（单位）无政府性基金预算财政拨款支出。</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国有资本经营预算财政拨款支出：</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ind w:left="0" w:right="0" w:firstLine="640" w:firstLineChars="200"/>
        <w:jc w:val="left"/>
        <w:textAlignment w:val="auto"/>
        <w:rPr>
          <w:rFonts w:hint="default" w:ascii="Times New Roman" w:hAnsi="Times New Roman" w:eastAsia="仿宋_GB2312" w:cs="Times New Roman"/>
          <w:color w:val="auto"/>
          <w:kern w:val="2"/>
          <w:sz w:val="32"/>
          <w:szCs w:val="32"/>
          <w:lang w:val="zh-CN" w:eastAsia="zh-CN" w:bidi="ar-SA"/>
        </w:rPr>
      </w:pPr>
      <w:r>
        <w:rPr>
          <w:rFonts w:hint="eastAsia" w:ascii="Times New Roman" w:eastAsia="仿宋_GB2312"/>
          <w:b w:val="0"/>
          <w:sz w:val="32"/>
          <w:szCs w:val="32"/>
        </w:rPr>
        <w:t>2024年我部门（单位）无国有资本经营预算财政拨款支出。</w:t>
      </w:r>
    </w:p>
    <w:p>
      <w:pPr>
        <w:widowControl/>
        <w:spacing w:before="0" w:beforeLines="0" w:beforeAutospacing="0" w:after="0" w:afterLines="0" w:afterAutospacing="0" w:line="360" w:lineRule="auto"/>
        <w:ind w:firstLine="643" w:firstLineChars="200"/>
        <w:jc w:val="left"/>
        <w:rPr>
          <w:rFonts w:ascii="Times New Roman" w:eastAsia="楷体_GB2312"/>
          <w:sz w:val="32"/>
          <w:szCs w:val="32"/>
        </w:rPr>
      </w:pPr>
      <w:r>
        <w:rPr>
          <w:rFonts w:ascii="Times New Roman" w:eastAsia="楷体_GB2312"/>
          <w:b/>
          <w:sz w:val="32"/>
          <w:szCs w:val="32"/>
        </w:rPr>
        <w:t>（四）一般公共预算基本支出决算情况说明</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2024年度财政拨款基本支出1,411.08万元，其中：</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人员经费1,251.28万元，主要包括基本工资、津贴补贴、奖金、绩效工资、机关事业部门基本养老保险缴费、职工基本医疗保险缴费、公务员医疗补助缴费、住房公积金、医疗费、退休费、生活补助。</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公用经费159.80万元，主要包括办公费、印刷费、水费、电费、邮电费、取暖费、物业管理费、差旅费、维修（护）费、租赁费、会议费、培训费、公务接待费、劳务费、公务用车运行维护费、其他交通费用。</w:t>
      </w:r>
    </w:p>
    <w:p>
      <w:pPr>
        <w:widowControl/>
        <w:spacing w:before="0" w:beforeLines="0" w:beforeAutospacing="0" w:after="0" w:afterLines="0" w:afterAutospacing="0" w:line="360" w:lineRule="auto"/>
        <w:ind w:firstLine="640" w:firstLineChars="200"/>
        <w:jc w:val="left"/>
        <w:outlineLvl w:val="1"/>
        <w:rPr>
          <w:rFonts w:ascii="Times New Roman" w:eastAsia="黑体"/>
          <w:sz w:val="32"/>
          <w:szCs w:val="32"/>
        </w:rPr>
      </w:pPr>
      <w:r>
        <w:rPr>
          <w:rFonts w:ascii="Times New Roman" w:eastAsia="黑体"/>
          <w:b w:val="0"/>
          <w:sz w:val="32"/>
          <w:szCs w:val="32"/>
        </w:rPr>
        <w:t>五、财政拨款“三公”经费支出决算情况说明</w:t>
      </w:r>
    </w:p>
    <w:p>
      <w:pPr>
        <w:widowControl/>
        <w:spacing w:before="0" w:beforeLines="0" w:beforeAutospacing="0" w:after="0" w:afterLines="0" w:afterAutospacing="0" w:line="360" w:lineRule="auto"/>
        <w:ind w:firstLine="643" w:firstLineChars="200"/>
        <w:jc w:val="left"/>
        <w:rPr>
          <w:rFonts w:ascii="Times New Roman" w:eastAsia="楷体_GB2312"/>
          <w:sz w:val="32"/>
          <w:szCs w:val="32"/>
        </w:rPr>
      </w:pPr>
      <w:r>
        <w:rPr>
          <w:rFonts w:ascii="Times New Roman" w:eastAsia="楷体_GB2312"/>
          <w:b/>
          <w:sz w:val="32"/>
          <w:szCs w:val="32"/>
        </w:rPr>
        <w:t>（一）“三公”经费财政拨款支出决算总体情况说明</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本部门2024年度“三公”经费财政拨款支出预算为34.40万元，支出决算为34.40万元，完成预算的100.0%，较预算增加0.00万元，增长0.0%，主要原因是</w:t>
      </w:r>
      <w:r>
        <w:rPr>
          <w:rFonts w:hint="eastAsia" w:ascii="仿宋_GB2312" w:hAnsi="仿宋_GB2312" w:eastAsia="仿宋_GB2312"/>
          <w:color w:val="000000"/>
          <w:sz w:val="32"/>
          <w:szCs w:val="24"/>
        </w:rPr>
        <w:t>严格按照预算安排进行开支</w:t>
      </w:r>
      <w:r>
        <w:rPr>
          <w:rFonts w:ascii="Times New Roman" w:eastAsia="仿宋_GB2312"/>
          <w:b w:val="0"/>
          <w:sz w:val="32"/>
          <w:szCs w:val="32"/>
        </w:rPr>
        <w:t>；较2023年度决算增加0.00万元，增长0.0%，主要原因是</w:t>
      </w:r>
      <w:r>
        <w:rPr>
          <w:rFonts w:hint="eastAsia" w:ascii="仿宋_GB2312" w:hAnsi="仿宋_GB2312" w:eastAsia="仿宋_GB2312"/>
          <w:color w:val="000000"/>
          <w:sz w:val="32"/>
          <w:szCs w:val="24"/>
        </w:rPr>
        <w:t>厉行节俭，严格控制相关费用开支</w:t>
      </w:r>
      <w:r>
        <w:rPr>
          <w:rFonts w:ascii="Times New Roman" w:eastAsia="仿宋_GB2312"/>
          <w:b w:val="0"/>
          <w:sz w:val="32"/>
          <w:szCs w:val="32"/>
        </w:rPr>
        <w:t>。</w:t>
      </w:r>
    </w:p>
    <w:p>
      <w:pPr>
        <w:widowControl/>
        <w:spacing w:before="0" w:beforeLines="0" w:beforeAutospacing="0" w:after="0" w:afterLines="0" w:afterAutospacing="0" w:line="360" w:lineRule="auto"/>
        <w:ind w:firstLine="643" w:firstLineChars="200"/>
        <w:jc w:val="left"/>
        <w:rPr>
          <w:rFonts w:ascii="Times New Roman" w:eastAsia="楷体_GB2312"/>
          <w:sz w:val="32"/>
          <w:szCs w:val="32"/>
        </w:rPr>
      </w:pPr>
      <w:r>
        <w:rPr>
          <w:rFonts w:ascii="Times New Roman" w:eastAsia="楷体_GB2312"/>
          <w:b/>
          <w:sz w:val="32"/>
          <w:szCs w:val="32"/>
        </w:rPr>
        <w:t>（二）“三公”经费财政拨款支出决算具体情况说明</w:t>
      </w:r>
    </w:p>
    <w:p>
      <w:pPr>
        <w:widowControl/>
        <w:spacing w:before="0" w:beforeLines="0" w:beforeAutospacing="0" w:after="0" w:afterLines="0" w:afterAutospacing="0" w:line="360" w:lineRule="auto"/>
        <w:ind w:firstLine="643" w:firstLineChars="200"/>
        <w:jc w:val="left"/>
        <w:rPr>
          <w:rFonts w:hint="eastAsia" w:ascii="Times New Roman" w:eastAsia="仿宋_GB2312"/>
          <w:b w:val="0"/>
          <w:sz w:val="32"/>
          <w:szCs w:val="32"/>
        </w:rPr>
      </w:pPr>
      <w:r>
        <w:rPr>
          <w:rFonts w:ascii="Times New Roman" w:eastAsia="楷体_GB2312"/>
          <w:b/>
          <w:sz w:val="32"/>
          <w:szCs w:val="32"/>
        </w:rPr>
        <w:t>1.因公出国（境）费支出情况。</w:t>
      </w:r>
      <w:r>
        <w:rPr>
          <w:rFonts w:hint="eastAsia" w:ascii="Times New Roman" w:eastAsia="仿宋_GB2312"/>
          <w:b w:val="0"/>
          <w:sz w:val="32"/>
          <w:szCs w:val="32"/>
        </w:rPr>
        <w:t>本单位2024年度因公出国（境）费支出预算为0万元，支出决算0万元，完成预算的0%。因公出国（境）费支出较预算增加0万元，增长0%,主要是本年无因公出国（境）费用预算及支出；较上年增加0万元，增长0%,主要是本年及上年均无因公出国（境）费用支出。</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楷体_GB2312"/>
          <w:b/>
          <w:sz w:val="32"/>
          <w:szCs w:val="32"/>
        </w:rPr>
        <w:t>2.公务用车购置及运行维护费支出情况。</w:t>
      </w:r>
      <w:r>
        <w:rPr>
          <w:rFonts w:ascii="Times New Roman" w:eastAsia="仿宋_GB2312"/>
          <w:b w:val="0"/>
          <w:sz w:val="32"/>
          <w:szCs w:val="32"/>
        </w:rPr>
        <w:t>本部门2024年度公务用车购置及运行维护费预算为32.50万元，支出决算32.50万元，完成预算的100.0%,较预算增加0.00万元，增长0.0%,主要原因是；</w:t>
      </w:r>
      <w:r>
        <w:rPr>
          <w:rFonts w:hint="eastAsia" w:ascii="仿宋_GB2312" w:hAnsi="仿宋_GB2312" w:eastAsia="仿宋_GB2312"/>
          <w:color w:val="000000"/>
          <w:sz w:val="32"/>
          <w:szCs w:val="24"/>
        </w:rPr>
        <w:t>严格按照预算安排进行开支</w:t>
      </w:r>
      <w:r>
        <w:rPr>
          <w:rFonts w:hint="eastAsia" w:ascii="仿宋_GB2312" w:hAnsi="仿宋_GB2312" w:eastAsia="仿宋_GB2312"/>
          <w:color w:val="000000"/>
          <w:sz w:val="32"/>
          <w:szCs w:val="24"/>
          <w:lang w:eastAsia="zh-CN"/>
        </w:rPr>
        <w:t>；</w:t>
      </w:r>
      <w:r>
        <w:rPr>
          <w:rFonts w:ascii="Times New Roman" w:eastAsia="仿宋_GB2312"/>
          <w:b w:val="0"/>
          <w:sz w:val="32"/>
          <w:szCs w:val="32"/>
        </w:rPr>
        <w:t>较上年增加0.00万元，增长0.0%,主要原因是</w:t>
      </w:r>
      <w:r>
        <w:rPr>
          <w:rFonts w:hint="eastAsia" w:ascii="仿宋_GB2312" w:hAnsi="仿宋_GB2312" w:eastAsia="仿宋_GB2312"/>
          <w:color w:val="000000"/>
          <w:sz w:val="32"/>
          <w:szCs w:val="24"/>
        </w:rPr>
        <w:t>厉行节俭，严格控制相关费用开支</w:t>
      </w:r>
      <w:r>
        <w:rPr>
          <w:rFonts w:ascii="Times New Roman" w:eastAsia="仿宋_GB2312"/>
          <w:b w:val="0"/>
          <w:sz w:val="32"/>
          <w:szCs w:val="32"/>
        </w:rPr>
        <w:t>。其中：</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公务用车购置费支出0.00万元：</w:t>
      </w:r>
      <w:r>
        <w:rPr>
          <w:rFonts w:ascii="Times New Roman" w:eastAsia="仿宋_GB2312"/>
          <w:b w:val="0"/>
          <w:sz w:val="32"/>
          <w:szCs w:val="32"/>
        </w:rPr>
        <w:t>本部门2024年度公务用车购置量0辆，发生“公务用车购置”经费支出0.00万元。公务用车购置费支出较预算增加0.00万元，增长0.0%,主要原因是</w:t>
      </w:r>
      <w:r>
        <w:rPr>
          <w:rFonts w:hint="eastAsia" w:ascii="仿宋_GB2312" w:hAnsi="仿宋_GB2312" w:eastAsia="仿宋_GB2312"/>
          <w:color w:val="000000"/>
          <w:sz w:val="32"/>
          <w:szCs w:val="24"/>
        </w:rPr>
        <w:t>本年无公务用车购置费预算及收支</w:t>
      </w:r>
      <w:r>
        <w:rPr>
          <w:rFonts w:ascii="Times New Roman" w:eastAsia="仿宋_GB2312"/>
          <w:b w:val="0"/>
          <w:sz w:val="32"/>
          <w:szCs w:val="32"/>
        </w:rPr>
        <w:t>；较上年增加0.00万元，增长0.00%,主要原因是</w:t>
      </w:r>
      <w:r>
        <w:rPr>
          <w:rFonts w:hint="eastAsia" w:ascii="仿宋_GB2312" w:hAnsi="仿宋_GB2312" w:eastAsia="仿宋_GB2312"/>
          <w:color w:val="000000"/>
          <w:sz w:val="32"/>
          <w:szCs w:val="24"/>
        </w:rPr>
        <w:t>本年及上年无公务车购置收支</w:t>
      </w:r>
      <w:r>
        <w:rPr>
          <w:rFonts w:ascii="Times New Roman" w:eastAsia="仿宋_GB2312"/>
          <w:b w:val="0"/>
          <w:sz w:val="32"/>
          <w:szCs w:val="32"/>
        </w:rPr>
        <w:t>。</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公务用车运行维护费支出32.50万元：</w:t>
      </w:r>
      <w:r>
        <w:rPr>
          <w:rFonts w:ascii="Times New Roman" w:eastAsia="仿宋_GB2312"/>
          <w:b w:val="0"/>
          <w:sz w:val="32"/>
          <w:szCs w:val="32"/>
        </w:rPr>
        <w:t>本部门2024年度单位公务用车保有量13辆，发生运行维护费支出32.50万元。公车运行维护费支出较预算增加0.00万元，增长0.0%,主要原因是</w:t>
      </w:r>
      <w:r>
        <w:rPr>
          <w:rFonts w:hint="eastAsia" w:ascii="仿宋_GB2312" w:hAnsi="仿宋_GB2312" w:eastAsia="仿宋_GB2312"/>
          <w:color w:val="000000"/>
          <w:sz w:val="32"/>
          <w:szCs w:val="24"/>
        </w:rPr>
        <w:t>严格按照预算安排进行开支</w:t>
      </w:r>
      <w:r>
        <w:rPr>
          <w:rFonts w:ascii="Times New Roman" w:eastAsia="仿宋_GB2312"/>
          <w:b w:val="0"/>
          <w:sz w:val="32"/>
          <w:szCs w:val="32"/>
        </w:rPr>
        <w:t>；较上年增加0.00万元，增长0.0%，主要原因是</w:t>
      </w:r>
      <w:r>
        <w:rPr>
          <w:rFonts w:hint="eastAsia" w:ascii="仿宋_GB2312" w:hAnsi="仿宋_GB2312" w:eastAsia="仿宋_GB2312"/>
          <w:color w:val="000000"/>
          <w:sz w:val="32"/>
          <w:szCs w:val="24"/>
        </w:rPr>
        <w:t>厉行节俭，严格控制相关费用开支</w:t>
      </w:r>
      <w:r>
        <w:rPr>
          <w:rFonts w:ascii="Times New Roman" w:eastAsia="仿宋_GB2312"/>
          <w:b w:val="0"/>
          <w:sz w:val="32"/>
          <w:szCs w:val="32"/>
        </w:rPr>
        <w:t>。</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楷体_GB2312"/>
          <w:b/>
          <w:sz w:val="32"/>
          <w:szCs w:val="32"/>
        </w:rPr>
        <w:t>3.公务接待费支出情况。</w:t>
      </w:r>
      <w:r>
        <w:rPr>
          <w:rFonts w:ascii="Times New Roman" w:eastAsia="仿宋_GB2312"/>
          <w:b w:val="0"/>
          <w:sz w:val="32"/>
          <w:szCs w:val="32"/>
        </w:rPr>
        <w:t>本部门2024年度公务接待费支出预算为1.90万元，支出决算1.90万元，完成预算的100.0%。公务接待费支出较预算增加0.00万元，增长0.0%,主要原因是</w:t>
      </w:r>
      <w:r>
        <w:rPr>
          <w:rFonts w:hint="eastAsia" w:ascii="仿宋_GB2312" w:hAnsi="仿宋_GB2312" w:eastAsia="仿宋_GB2312"/>
          <w:color w:val="000000"/>
          <w:sz w:val="32"/>
          <w:szCs w:val="24"/>
        </w:rPr>
        <w:t>严格按照预算安排进行开支</w:t>
      </w:r>
      <w:r>
        <w:rPr>
          <w:rFonts w:ascii="Times New Roman" w:eastAsia="仿宋_GB2312"/>
          <w:b w:val="0"/>
          <w:sz w:val="32"/>
          <w:szCs w:val="32"/>
        </w:rPr>
        <w:t>；较上年度增加0.00万元，增长0.0%,主要原因是</w:t>
      </w:r>
      <w:r>
        <w:rPr>
          <w:rFonts w:hint="eastAsia" w:ascii="仿宋_GB2312" w:hAnsi="仿宋_GB2312" w:eastAsia="仿宋_GB2312"/>
          <w:color w:val="000000"/>
          <w:sz w:val="32"/>
          <w:szCs w:val="24"/>
        </w:rPr>
        <w:t>厉行节俭，严格控制相关费用开支</w:t>
      </w:r>
      <w:r>
        <w:rPr>
          <w:rFonts w:ascii="Times New Roman" w:eastAsia="仿宋_GB2312"/>
          <w:b w:val="0"/>
          <w:sz w:val="32"/>
          <w:szCs w:val="32"/>
        </w:rPr>
        <w:t>。本年度共发生公务接待32批次、320人次。</w:t>
      </w:r>
    </w:p>
    <w:p>
      <w:pPr>
        <w:widowControl/>
        <w:spacing w:before="0" w:beforeLines="0" w:beforeAutospacing="0" w:after="0" w:afterLines="0" w:afterAutospacing="0" w:line="360" w:lineRule="auto"/>
        <w:ind w:firstLine="640" w:firstLineChars="200"/>
        <w:jc w:val="left"/>
        <w:outlineLvl w:val="1"/>
        <w:rPr>
          <w:rFonts w:ascii="Times New Roman" w:eastAsia="黑体"/>
          <w:sz w:val="32"/>
          <w:szCs w:val="32"/>
        </w:rPr>
      </w:pPr>
      <w:r>
        <w:rPr>
          <w:rFonts w:ascii="Times New Roman" w:eastAsia="黑体"/>
          <w:b w:val="0"/>
          <w:sz w:val="32"/>
          <w:szCs w:val="32"/>
        </w:rPr>
        <w:t>六、机关运行经费支出说明</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本部门2024年度机关运行经费支出159.80万元，较2023年度减少14.10万元，降低8.1%。主要原因是</w:t>
      </w:r>
      <w:r>
        <w:rPr>
          <w:rFonts w:hint="eastAsia" w:ascii="仿宋_GB2312" w:hAnsi="仿宋_GB2312" w:eastAsia="仿宋_GB2312"/>
          <w:color w:val="000000"/>
          <w:sz w:val="32"/>
          <w:szCs w:val="24"/>
        </w:rPr>
        <w:t>厉行节俭，严格控制相关费用开支</w:t>
      </w:r>
      <w:r>
        <w:rPr>
          <w:rFonts w:ascii="Times New Roman" w:eastAsia="仿宋_GB2312"/>
          <w:b w:val="0"/>
          <w:sz w:val="32"/>
          <w:szCs w:val="32"/>
        </w:rPr>
        <w:t>。</w:t>
      </w:r>
    </w:p>
    <w:p>
      <w:pPr>
        <w:widowControl/>
        <w:spacing w:before="0" w:beforeLines="0" w:beforeAutospacing="0" w:after="0" w:afterLines="0" w:afterAutospacing="0" w:line="360" w:lineRule="auto"/>
        <w:ind w:firstLine="640" w:firstLineChars="200"/>
        <w:jc w:val="left"/>
        <w:outlineLvl w:val="1"/>
        <w:rPr>
          <w:rFonts w:ascii="Times New Roman" w:eastAsia="黑体"/>
          <w:sz w:val="32"/>
          <w:szCs w:val="32"/>
        </w:rPr>
      </w:pPr>
      <w:r>
        <w:rPr>
          <w:rFonts w:ascii="Times New Roman" w:eastAsia="黑体"/>
          <w:b w:val="0"/>
          <w:sz w:val="32"/>
          <w:szCs w:val="32"/>
        </w:rPr>
        <w:t>七、政府采购支出说明</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本部门2024年度政府采购支出总额0.00万元，从采购类型来看，政府采购货物支出0.00万元、政府采购工程支出0.00万元、政府采购服务支出0.00万元。授予中小企业合同金额0.00万元，占政府采购支出总额的0.0%，其中授予小微企业合同金额0.00万元，占政府采购支出总额的0.0%。</w:t>
      </w:r>
    </w:p>
    <w:p>
      <w:pPr>
        <w:widowControl/>
        <w:spacing w:before="0" w:beforeLines="0" w:beforeAutospacing="0" w:after="0" w:afterLines="0" w:afterAutospacing="0" w:line="360" w:lineRule="auto"/>
        <w:ind w:firstLine="640" w:firstLineChars="200"/>
        <w:jc w:val="left"/>
        <w:outlineLvl w:val="1"/>
        <w:rPr>
          <w:rFonts w:ascii="Times New Roman" w:eastAsia="黑体"/>
          <w:sz w:val="32"/>
          <w:szCs w:val="32"/>
        </w:rPr>
      </w:pPr>
      <w:r>
        <w:rPr>
          <w:rFonts w:ascii="Times New Roman" w:eastAsia="黑体"/>
          <w:b w:val="0"/>
          <w:sz w:val="32"/>
          <w:szCs w:val="32"/>
        </w:rPr>
        <w:t>八、国有资产占用情况说明</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截至2024年12月31日，本部门共有车辆14辆，比上年增加1辆，主要是</w:t>
      </w:r>
      <w:r>
        <w:rPr>
          <w:rFonts w:hint="eastAsia" w:ascii="Times New Roman" w:eastAsia="仿宋_GB2312"/>
          <w:b w:val="0"/>
          <w:sz w:val="32"/>
          <w:szCs w:val="32"/>
        </w:rPr>
        <w:t>主要是202</w:t>
      </w:r>
      <w:r>
        <w:rPr>
          <w:rFonts w:hint="eastAsia" w:ascii="Times New Roman" w:eastAsia="仿宋_GB2312"/>
          <w:b w:val="0"/>
          <w:sz w:val="32"/>
          <w:szCs w:val="32"/>
          <w:lang w:val="en-US" w:eastAsia="zh-CN"/>
        </w:rPr>
        <w:t>3</w:t>
      </w:r>
      <w:r>
        <w:rPr>
          <w:rFonts w:hint="eastAsia" w:ascii="Times New Roman" w:eastAsia="仿宋_GB2312"/>
          <w:b w:val="0"/>
          <w:sz w:val="32"/>
          <w:szCs w:val="32"/>
        </w:rPr>
        <w:t>年决算车辆数填写错误</w:t>
      </w:r>
      <w:r>
        <w:rPr>
          <w:rFonts w:ascii="Times New Roman" w:eastAsia="仿宋_GB2312"/>
          <w:b w:val="0"/>
          <w:sz w:val="32"/>
          <w:szCs w:val="32"/>
        </w:rPr>
        <w:t>。其中，副部（省）级及以上领导用车0辆，主要负责人用车0辆，机要通信用车0辆，应急保障用车3辆，执法执勤用车8辆，特种专业技术用车3辆，离退休干部用车0辆，其他用车0辆，其他用车主要是。单位价值100万元（含）以上设备（不含车辆）0台（套）。</w:t>
      </w:r>
    </w:p>
    <w:p>
      <w:pPr>
        <w:widowControl/>
        <w:spacing w:before="0" w:beforeLines="0" w:beforeAutospacing="0" w:after="0" w:afterLines="0" w:afterAutospacing="0" w:line="360" w:lineRule="auto"/>
        <w:ind w:firstLine="640" w:firstLineChars="200"/>
        <w:jc w:val="left"/>
        <w:outlineLvl w:val="1"/>
        <w:rPr>
          <w:rFonts w:ascii="Times New Roman" w:eastAsia="黑体"/>
          <w:sz w:val="32"/>
          <w:szCs w:val="32"/>
        </w:rPr>
      </w:pPr>
      <w:r>
        <w:rPr>
          <w:rFonts w:ascii="Times New Roman" w:eastAsia="黑体"/>
          <w:b w:val="0"/>
          <w:sz w:val="32"/>
          <w:szCs w:val="32"/>
        </w:rPr>
        <w:t>九、关于2024年度绩效评价情况的说明</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（一）绩效评价工作开展情况</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根据预算绩效管理要求，本部门组织对2024年度本级预算项目支出全面开展绩效自评，共涉及资金</w:t>
      </w:r>
      <w:r>
        <w:rPr>
          <w:rFonts w:hint="eastAsia" w:ascii="Times New Roman" w:eastAsia="仿宋_GB2312"/>
          <w:b w:val="0"/>
          <w:sz w:val="32"/>
          <w:szCs w:val="32"/>
          <w:lang w:val="en-US" w:eastAsia="zh-CN"/>
        </w:rPr>
        <w:t>871.77</w:t>
      </w:r>
      <w:r>
        <w:rPr>
          <w:rFonts w:ascii="Times New Roman" w:eastAsia="仿宋_GB2312"/>
          <w:b w:val="0"/>
          <w:sz w:val="32"/>
          <w:szCs w:val="32"/>
        </w:rPr>
        <w:t>万元（决算金额）。其中，一般公共预算项目</w:t>
      </w:r>
      <w:r>
        <w:rPr>
          <w:rFonts w:hint="eastAsia" w:ascii="Times New Roman" w:eastAsia="仿宋_GB2312"/>
          <w:b w:val="0"/>
          <w:sz w:val="32"/>
          <w:szCs w:val="32"/>
          <w:lang w:val="en-US" w:eastAsia="zh-CN"/>
        </w:rPr>
        <w:t>14</w:t>
      </w:r>
      <w:r>
        <w:rPr>
          <w:rFonts w:ascii="Times New Roman" w:eastAsia="仿宋_GB2312"/>
          <w:b w:val="0"/>
          <w:sz w:val="32"/>
          <w:szCs w:val="32"/>
        </w:rPr>
        <w:t>个，涉及资金</w:t>
      </w:r>
      <w:r>
        <w:rPr>
          <w:rFonts w:hint="eastAsia" w:ascii="Times New Roman" w:eastAsia="仿宋_GB2312"/>
          <w:b w:val="0"/>
          <w:sz w:val="32"/>
          <w:szCs w:val="32"/>
          <w:lang w:val="en-US" w:eastAsia="zh-CN"/>
        </w:rPr>
        <w:t>871.77</w:t>
      </w:r>
      <w:r>
        <w:rPr>
          <w:rFonts w:ascii="Times New Roman" w:eastAsia="仿宋_GB2312"/>
          <w:b w:val="0"/>
          <w:sz w:val="32"/>
          <w:szCs w:val="32"/>
        </w:rPr>
        <w:t>万元，占一般公共预算项目支出总额的</w:t>
      </w:r>
      <w:r>
        <w:rPr>
          <w:rFonts w:hint="eastAsia" w:ascii="Times New Roman" w:eastAsia="仿宋_GB2312"/>
          <w:b w:val="0"/>
          <w:sz w:val="32"/>
          <w:szCs w:val="32"/>
          <w:lang w:val="en-US" w:eastAsia="zh-CN"/>
        </w:rPr>
        <w:t>100</w:t>
      </w:r>
      <w:r>
        <w:rPr>
          <w:rFonts w:ascii="Times New Roman" w:eastAsia="仿宋_GB2312"/>
          <w:b w:val="0"/>
          <w:sz w:val="32"/>
          <w:szCs w:val="32"/>
        </w:rPr>
        <w:t>%；政府性基金预算项目</w:t>
      </w:r>
      <w:r>
        <w:rPr>
          <w:rFonts w:hint="eastAsia" w:ascii="Times New Roman" w:eastAsia="仿宋_GB2312"/>
          <w:b w:val="0"/>
          <w:sz w:val="32"/>
          <w:szCs w:val="32"/>
          <w:lang w:val="en-US" w:eastAsia="zh-CN"/>
        </w:rPr>
        <w:t>0</w:t>
      </w:r>
      <w:r>
        <w:rPr>
          <w:rFonts w:ascii="Times New Roman" w:eastAsia="仿宋_GB2312"/>
          <w:b w:val="0"/>
          <w:sz w:val="32"/>
          <w:szCs w:val="32"/>
        </w:rPr>
        <w:t>个，涉及资</w:t>
      </w:r>
      <w:r>
        <w:rPr>
          <w:rFonts w:hint="eastAsia" w:ascii="Times New Roman" w:eastAsia="仿宋_GB2312"/>
          <w:b w:val="0"/>
          <w:sz w:val="32"/>
          <w:szCs w:val="32"/>
          <w:lang w:val="en-US" w:eastAsia="zh-CN"/>
        </w:rPr>
        <w:t>0.00</w:t>
      </w:r>
      <w:r>
        <w:rPr>
          <w:rFonts w:ascii="Times New Roman" w:eastAsia="仿宋_GB2312"/>
          <w:b w:val="0"/>
          <w:sz w:val="32"/>
          <w:szCs w:val="32"/>
        </w:rPr>
        <w:t>金万元，占政府性基金预算项目支出总额的</w:t>
      </w:r>
      <w:r>
        <w:rPr>
          <w:rFonts w:hint="eastAsia" w:ascii="Times New Roman" w:eastAsia="仿宋_GB2312"/>
          <w:b w:val="0"/>
          <w:sz w:val="32"/>
          <w:szCs w:val="32"/>
          <w:lang w:val="en-US" w:eastAsia="zh-CN"/>
        </w:rPr>
        <w:t>0</w:t>
      </w:r>
      <w:r>
        <w:rPr>
          <w:rFonts w:ascii="Times New Roman" w:eastAsia="仿宋_GB2312"/>
          <w:b w:val="0"/>
          <w:sz w:val="32"/>
          <w:szCs w:val="32"/>
        </w:rPr>
        <w:t>%；国有资本经营预算项目</w:t>
      </w:r>
      <w:r>
        <w:rPr>
          <w:rFonts w:hint="eastAsia" w:ascii="Times New Roman" w:eastAsia="仿宋_GB2312"/>
          <w:b w:val="0"/>
          <w:sz w:val="32"/>
          <w:szCs w:val="32"/>
          <w:lang w:val="en-US" w:eastAsia="zh-CN"/>
        </w:rPr>
        <w:t>0</w:t>
      </w:r>
      <w:r>
        <w:rPr>
          <w:rFonts w:ascii="Times New Roman" w:eastAsia="仿宋_GB2312"/>
          <w:b w:val="0"/>
          <w:sz w:val="32"/>
          <w:szCs w:val="32"/>
        </w:rPr>
        <w:t>个，涉及资金</w:t>
      </w:r>
      <w:r>
        <w:rPr>
          <w:rFonts w:hint="eastAsia" w:ascii="Times New Roman" w:eastAsia="仿宋_GB2312"/>
          <w:b w:val="0"/>
          <w:sz w:val="32"/>
          <w:szCs w:val="32"/>
          <w:lang w:val="en-US" w:eastAsia="zh-CN"/>
        </w:rPr>
        <w:t>0.00</w:t>
      </w:r>
      <w:r>
        <w:rPr>
          <w:rFonts w:ascii="Times New Roman" w:eastAsia="仿宋_GB2312"/>
          <w:b w:val="0"/>
          <w:sz w:val="32"/>
          <w:szCs w:val="32"/>
        </w:rPr>
        <w:t>万元，占国有资本经营预算项目支出总额的</w:t>
      </w:r>
      <w:r>
        <w:rPr>
          <w:rFonts w:hint="eastAsia" w:ascii="Times New Roman" w:eastAsia="仿宋_GB2312"/>
          <w:b w:val="0"/>
          <w:sz w:val="32"/>
          <w:szCs w:val="32"/>
          <w:lang w:val="en-US" w:eastAsia="zh-CN"/>
        </w:rPr>
        <w:t>0</w:t>
      </w:r>
      <w:r>
        <w:rPr>
          <w:rFonts w:ascii="Times New Roman" w:eastAsia="仿宋_GB2312"/>
          <w:b w:val="0"/>
          <w:sz w:val="32"/>
          <w:szCs w:val="32"/>
        </w:rPr>
        <w:t>%。</w:t>
      </w:r>
    </w:p>
    <w:p>
      <w:pPr>
        <w:adjustRightInd w:val="0"/>
        <w:snapToGrid w:val="0"/>
        <w:spacing w:line="580" w:lineRule="exact"/>
        <w:ind w:firstLine="640" w:firstLineChars="200"/>
        <w:rPr>
          <w:rFonts w:ascii="Times New Roman" w:eastAsia="仿宋_GB2312"/>
          <w:sz w:val="32"/>
          <w:szCs w:val="32"/>
        </w:rPr>
      </w:pPr>
      <w:r>
        <w:rPr>
          <w:rFonts w:ascii="Times New Roman" w:eastAsia="仿宋_GB2312"/>
          <w:b w:val="0"/>
          <w:sz w:val="32"/>
          <w:szCs w:val="32"/>
        </w:rPr>
        <w:t>组织对</w:t>
      </w:r>
      <w:r>
        <w:rPr>
          <w:rFonts w:hint="eastAsia" w:ascii="Times New Roman" w:eastAsia="仿宋_GB2312"/>
          <w:b w:val="0"/>
          <w:sz w:val="32"/>
          <w:szCs w:val="32"/>
          <w:lang w:val="en-US" w:eastAsia="zh-CN"/>
        </w:rPr>
        <w:t>14</w:t>
      </w:r>
      <w:r>
        <w:rPr>
          <w:rFonts w:ascii="Times New Roman" w:eastAsia="仿宋_GB2312"/>
          <w:b w:val="0"/>
          <w:sz w:val="32"/>
          <w:szCs w:val="32"/>
        </w:rPr>
        <w:t>等个项目开展了部门重点评价，涉及一般公共预算支出</w:t>
      </w:r>
      <w:r>
        <w:rPr>
          <w:rFonts w:hint="eastAsia" w:ascii="Times New Roman" w:eastAsia="仿宋_GB2312"/>
          <w:b w:val="0"/>
          <w:sz w:val="32"/>
          <w:szCs w:val="32"/>
          <w:lang w:val="en-US" w:eastAsia="zh-CN"/>
        </w:rPr>
        <w:t>871.77</w:t>
      </w:r>
      <w:r>
        <w:rPr>
          <w:rFonts w:ascii="Times New Roman" w:eastAsia="仿宋_GB2312"/>
          <w:b w:val="0"/>
          <w:sz w:val="32"/>
          <w:szCs w:val="32"/>
        </w:rPr>
        <w:t>万元，政府性基金预算支出</w:t>
      </w:r>
      <w:r>
        <w:rPr>
          <w:rFonts w:hint="eastAsia" w:ascii="Times New Roman" w:eastAsia="仿宋_GB2312"/>
          <w:b w:val="0"/>
          <w:sz w:val="32"/>
          <w:szCs w:val="32"/>
          <w:lang w:val="en-US" w:eastAsia="zh-CN"/>
        </w:rPr>
        <w:t>0.00</w:t>
      </w:r>
      <w:r>
        <w:rPr>
          <w:rFonts w:ascii="Times New Roman" w:eastAsia="仿宋_GB2312"/>
          <w:b w:val="0"/>
          <w:sz w:val="32"/>
          <w:szCs w:val="32"/>
        </w:rPr>
        <w:t>万元，国有资本经营预算支出</w:t>
      </w:r>
      <w:r>
        <w:rPr>
          <w:rFonts w:hint="eastAsia" w:ascii="Times New Roman" w:eastAsia="仿宋_GB2312"/>
          <w:b w:val="0"/>
          <w:sz w:val="32"/>
          <w:szCs w:val="32"/>
          <w:lang w:val="en-US" w:eastAsia="zh-CN"/>
        </w:rPr>
        <w:t>0.00</w:t>
      </w:r>
      <w:r>
        <w:rPr>
          <w:rFonts w:ascii="Times New Roman" w:eastAsia="仿宋_GB2312"/>
          <w:b w:val="0"/>
          <w:sz w:val="32"/>
          <w:szCs w:val="32"/>
        </w:rPr>
        <w:t>万元，从评价情况来看</w:t>
      </w:r>
      <w:r>
        <w:rPr>
          <w:rFonts w:hint="eastAsia" w:ascii="仿宋_GB2312" w:hAnsi="仿宋_GB2312" w:eastAsia="仿宋_GB2312" w:cs="仿宋_GB2312"/>
          <w:color w:val="auto"/>
          <w:sz w:val="32"/>
          <w:szCs w:val="32"/>
        </w:rPr>
        <w:t>项目绩效自评指标</w:t>
      </w:r>
      <w:r>
        <w:rPr>
          <w:rFonts w:hint="eastAsia" w:ascii="仿宋_GB2312" w:hAnsi="仿宋_GB2312" w:eastAsia="仿宋_GB2312" w:cs="仿宋_GB2312"/>
          <w:sz w:val="32"/>
          <w:szCs w:val="32"/>
        </w:rPr>
        <w:t>设置科学合理，指标评分依据恰当、准确，绩效指标值的设置能够比较全面的评价该项目的绩效情况，评价结果能够运用于对该项目资金使用和管理情况的监控，有助于健全项目执行管理制度，完善项目支出责任制度，提高支出执行的及时性、均衡性和有效性。</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（二）部门决算中项目绩效自评结果</w:t>
      </w:r>
    </w:p>
    <w:p>
      <w:pPr>
        <w:adjustRightInd w:val="0"/>
        <w:snapToGrid w:val="0"/>
        <w:spacing w:line="580" w:lineRule="exact"/>
        <w:ind w:firstLine="640" w:firstLineChars="200"/>
        <w:rPr>
          <w:rFonts w:ascii="仿宋_GB2312" w:hAnsi="仿宋_GB2312" w:eastAsia="仿宋_GB2312" w:cs="仿宋_GB2312"/>
          <w:color w:val="auto"/>
          <w:sz w:val="32"/>
          <w:szCs w:val="32"/>
        </w:rPr>
      </w:pPr>
      <w:r>
        <w:rPr>
          <w:rFonts w:ascii="Times New Roman" w:eastAsia="仿宋_GB2312"/>
          <w:b w:val="0"/>
          <w:sz w:val="32"/>
          <w:szCs w:val="32"/>
        </w:rPr>
        <w:t>本</w:t>
      </w:r>
      <w:r>
        <w:rPr>
          <w:rFonts w:hint="eastAsia" w:ascii="仿宋_GB2312" w:hAnsi="仿宋_GB2312" w:eastAsia="仿宋_GB2312" w:cs="仿宋_GB2312"/>
          <w:color w:val="auto"/>
          <w:sz w:val="32"/>
          <w:szCs w:val="32"/>
        </w:rPr>
        <w:t>本部门在今年部门决算公开中反映办案点运行维护费项目绩效自评结果。</w:t>
      </w:r>
    </w:p>
    <w:p>
      <w:pPr>
        <w:adjustRightInd w:val="0"/>
        <w:snapToGrid w:val="0"/>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“办案点运行维护费”</w:t>
      </w:r>
      <w:r>
        <w:rPr>
          <w:rFonts w:hint="eastAsia" w:ascii="仿宋_GB2312" w:hAnsi="仿宋_GB2312" w:eastAsia="仿宋_GB2312" w:cs="仿宋_GB2312"/>
          <w:color w:val="auto"/>
          <w:sz w:val="32"/>
          <w:szCs w:val="32"/>
        </w:rPr>
        <w:t>项目自评综述：根据年初设定的绩效目标，该项目绩效自评得分为</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分（绩效自评表附后）。全年预算数为</w:t>
      </w:r>
      <w:r>
        <w:rPr>
          <w:rFonts w:hint="eastAsia" w:ascii="仿宋_GB2312" w:hAnsi="仿宋_GB2312" w:eastAsia="仿宋_GB2312" w:cs="仿宋_GB2312"/>
          <w:color w:val="auto"/>
          <w:sz w:val="32"/>
          <w:szCs w:val="32"/>
          <w:lang w:val="en-US" w:eastAsia="zh-CN"/>
        </w:rPr>
        <w:t>26</w:t>
      </w:r>
      <w:r>
        <w:rPr>
          <w:rFonts w:hint="eastAsia" w:ascii="仿宋_GB2312" w:hAnsi="仿宋_GB2312" w:eastAsia="仿宋_GB2312" w:cs="仿宋_GB2312"/>
          <w:color w:val="auto"/>
          <w:sz w:val="32"/>
          <w:szCs w:val="32"/>
        </w:rPr>
        <w:t>万元，执行数为</w:t>
      </w:r>
      <w:r>
        <w:rPr>
          <w:rFonts w:hint="eastAsia" w:ascii="仿宋_GB2312" w:hAnsi="仿宋_GB2312" w:eastAsia="仿宋_GB2312" w:cs="仿宋_GB2312"/>
          <w:color w:val="auto"/>
          <w:sz w:val="32"/>
          <w:szCs w:val="32"/>
          <w:lang w:val="en-US" w:eastAsia="zh-CN"/>
        </w:rPr>
        <w:t>26</w:t>
      </w:r>
      <w:r>
        <w:rPr>
          <w:rFonts w:hint="eastAsia" w:ascii="仿宋_GB2312" w:hAnsi="仿宋_GB2312" w:eastAsia="仿宋_GB2312" w:cs="仿宋_GB2312"/>
          <w:color w:val="auto"/>
          <w:sz w:val="32"/>
          <w:szCs w:val="32"/>
        </w:rPr>
        <w:t>万元，完成预算的</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。通过项目实施，完成了年初设定的各项绩效目标，对于项目的运行实现了全程监控，控制了资金支出的规模，提高了资金支出的效率，产生了较好的社会效益</w:t>
      </w:r>
      <w:r>
        <w:rPr>
          <w:rFonts w:hint="eastAsia" w:ascii="仿宋_GB2312" w:hAnsi="仿宋_GB2312" w:eastAsia="仿宋_GB2312" w:cs="仿宋_GB2312"/>
          <w:color w:val="auto"/>
          <w:sz w:val="32"/>
          <w:szCs w:val="32"/>
          <w:lang w:eastAsia="zh-CN"/>
        </w:rPr>
        <w:t>，实现了年度绩效</w:t>
      </w:r>
      <w:r>
        <w:rPr>
          <w:rFonts w:hint="eastAsia" w:ascii="仿宋_GB2312" w:hAnsi="仿宋_GB2312" w:eastAsia="仿宋_GB2312" w:cs="仿宋_GB2312"/>
          <w:color w:val="auto"/>
          <w:sz w:val="32"/>
          <w:szCs w:val="32"/>
          <w:lang w:val="en-US" w:eastAsia="zh-CN"/>
        </w:rPr>
        <w:t>目标</w:t>
      </w:r>
      <w:r>
        <w:rPr>
          <w:rFonts w:hint="eastAsia" w:ascii="仿宋_GB2312" w:hAnsi="仿宋_GB2312" w:eastAsia="仿宋_GB2312" w:cs="仿宋_GB2312"/>
          <w:color w:val="auto"/>
          <w:sz w:val="32"/>
          <w:szCs w:val="32"/>
        </w:rPr>
        <w:t>。发现的主要问题</w:t>
      </w:r>
      <w:r>
        <w:rPr>
          <w:rFonts w:hint="eastAsia" w:ascii="仿宋_GB2312" w:hAnsi="仿宋_GB2312" w:eastAsia="仿宋_GB2312" w:cs="仿宋_GB2312"/>
          <w:sz w:val="32"/>
          <w:szCs w:val="32"/>
        </w:rPr>
        <w:t>是指标设置上尚有可完善的空间，原因为绩效指标设置人员对项目情况了解不透彻。下一步将加强业务人员与绩效指标制定人员之间的沟通，使得绩效指标能够更加准确、全面的评价项目情况。</w:t>
      </w:r>
    </w:p>
    <w:tbl>
      <w:tblPr>
        <w:tblW w:w="9573" w:type="dxa"/>
        <w:tblInd w:w="0" w:type="dxa"/>
        <w:shd w:val="clear"/>
        <w:tblLayout w:type="fixed"/>
        <w:tblCellMar>
          <w:top w:w="0" w:type="dxa"/>
          <w:left w:w="0" w:type="dxa"/>
          <w:bottom w:w="0" w:type="dxa"/>
          <w:right w:w="0" w:type="dxa"/>
        </w:tblCellMar>
      </w:tblPr>
      <w:tblGrid>
        <w:gridCol w:w="1464"/>
        <w:gridCol w:w="1553"/>
        <w:gridCol w:w="972"/>
        <w:gridCol w:w="957"/>
        <w:gridCol w:w="1009"/>
        <w:gridCol w:w="972"/>
        <w:gridCol w:w="1161"/>
        <w:gridCol w:w="594"/>
        <w:gridCol w:w="891"/>
      </w:tblGrid>
      <w:tr>
        <w:tblPrEx>
          <w:shd w:val="clear"/>
          <w:tblLayout w:type="fixed"/>
          <w:tblCellMar>
            <w:top w:w="0" w:type="dxa"/>
            <w:left w:w="0" w:type="dxa"/>
            <w:bottom w:w="0" w:type="dxa"/>
            <w:right w:w="0" w:type="dxa"/>
          </w:tblCellMar>
        </w:tblPrEx>
        <w:trPr>
          <w:trHeight w:val="444" w:hRule="atLeast"/>
        </w:trPr>
        <w:tc>
          <w:tcPr>
            <w:tcW w:w="9573" w:type="dxa"/>
            <w:gridSpan w:val="9"/>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center"/>
              <w:textAlignment w:val="center"/>
              <w:rPr>
                <w:rFonts w:ascii="黑体" w:hAnsi="宋体" w:eastAsia="黑体" w:cs="黑体"/>
                <w:i w:val="0"/>
                <w:color w:val="000000"/>
                <w:sz w:val="36"/>
                <w:szCs w:val="36"/>
                <w:u w:val="none"/>
              </w:rPr>
            </w:pPr>
            <w:r>
              <w:rPr>
                <w:rFonts w:hint="eastAsia" w:ascii="黑体" w:hAnsi="宋体" w:eastAsia="黑体" w:cs="黑体"/>
                <w:i w:val="0"/>
                <w:color w:val="000000"/>
                <w:kern w:val="0"/>
                <w:sz w:val="36"/>
                <w:szCs w:val="36"/>
                <w:u w:val="none"/>
                <w:bdr w:val="none" w:color="auto" w:sz="0" w:space="0"/>
                <w:lang w:val="en-US" w:eastAsia="zh-CN" w:bidi="ar"/>
              </w:rPr>
              <w:t>绩效自评表</w:t>
            </w:r>
          </w:p>
        </w:tc>
      </w:tr>
      <w:tr>
        <w:tblPrEx>
          <w:tblLayout w:type="fixed"/>
          <w:tblCellMar>
            <w:top w:w="0" w:type="dxa"/>
            <w:left w:w="0" w:type="dxa"/>
            <w:bottom w:w="0" w:type="dxa"/>
            <w:right w:w="0" w:type="dxa"/>
          </w:tblCellMar>
        </w:tblPrEx>
        <w:trPr>
          <w:trHeight w:val="222" w:hRule="atLeast"/>
        </w:trPr>
        <w:tc>
          <w:tcPr>
            <w:tcW w:w="1464"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填报单位（盖章）：</w:t>
            </w:r>
          </w:p>
        </w:tc>
        <w:tc>
          <w:tcPr>
            <w:tcW w:w="1553" w:type="dxa"/>
            <w:tcBorders>
              <w:top w:val="nil"/>
              <w:left w:val="nil"/>
              <w:bottom w:val="nil"/>
              <w:right w:val="nil"/>
            </w:tcBorders>
            <w:shd w:val="clear"/>
            <w:noWrap/>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tcBorders>
              <w:top w:val="nil"/>
              <w:left w:val="nil"/>
              <w:bottom w:val="nil"/>
              <w:right w:val="nil"/>
            </w:tcBorders>
            <w:shd w:val="clear"/>
            <w:noWrap/>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57" w:type="dxa"/>
            <w:tcBorders>
              <w:top w:val="nil"/>
              <w:left w:val="nil"/>
              <w:bottom w:val="nil"/>
              <w:right w:val="nil"/>
            </w:tcBorders>
            <w:shd w:val="clear"/>
            <w:noWrap/>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009" w:type="dxa"/>
            <w:tcBorders>
              <w:top w:val="nil"/>
              <w:left w:val="nil"/>
              <w:bottom w:val="nil"/>
              <w:right w:val="nil"/>
            </w:tcBorders>
            <w:shd w:val="clear"/>
            <w:noWrap/>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tcBorders>
              <w:top w:val="nil"/>
              <w:left w:val="nil"/>
              <w:bottom w:val="nil"/>
              <w:right w:val="nil"/>
            </w:tcBorders>
            <w:shd w:val="clear"/>
            <w:noWrap/>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nil"/>
              <w:left w:val="nil"/>
              <w:bottom w:val="nil"/>
              <w:right w:val="nil"/>
            </w:tcBorders>
            <w:shd w:val="clear"/>
            <w:noWrap/>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485" w:type="dxa"/>
            <w:gridSpan w:val="2"/>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金额单位：万元</w:t>
            </w:r>
          </w:p>
        </w:tc>
      </w:tr>
      <w:tr>
        <w:tblPrEx>
          <w:tblLayout w:type="fixed"/>
          <w:tblCellMar>
            <w:top w:w="0" w:type="dxa"/>
            <w:left w:w="0" w:type="dxa"/>
            <w:bottom w:w="0" w:type="dxa"/>
            <w:right w:w="0" w:type="dxa"/>
          </w:tblCellMar>
        </w:tblPrEx>
        <w:trPr>
          <w:trHeight w:val="360" w:hRule="atLeast"/>
        </w:trPr>
        <w:tc>
          <w:tcPr>
            <w:tcW w:w="1464" w:type="dxa"/>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一、</w:t>
            </w:r>
            <w:r>
              <w:rPr>
                <w:rFonts w:ascii="Calibri" w:hAnsi="Calibri" w:eastAsia="宋体" w:cs="Calibri"/>
                <w:i w:val="0"/>
                <w:color w:val="000000"/>
                <w:kern w:val="0"/>
                <w:sz w:val="16"/>
                <w:szCs w:val="16"/>
                <w:u w:val="none"/>
                <w:bdr w:val="none" w:color="auto" w:sz="0" w:space="0"/>
                <w:lang w:val="en-US" w:eastAsia="zh-CN" w:bidi="ar"/>
              </w:rPr>
              <w:t xml:space="preserve"> </w:t>
            </w:r>
            <w:r>
              <w:rPr>
                <w:rFonts w:hint="eastAsia" w:ascii="宋体" w:hAnsi="宋体" w:eastAsia="宋体" w:cs="宋体"/>
                <w:i w:val="0"/>
                <w:color w:val="000000"/>
                <w:kern w:val="0"/>
                <w:sz w:val="16"/>
                <w:szCs w:val="16"/>
                <w:u w:val="none"/>
                <w:bdr w:val="none" w:color="auto" w:sz="0" w:space="0"/>
                <w:lang w:val="en-US" w:eastAsia="zh-CN" w:bidi="ar"/>
              </w:rPr>
              <w:t>基本情况</w:t>
            </w:r>
          </w:p>
        </w:tc>
        <w:tc>
          <w:tcPr>
            <w:tcW w:w="1553"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项目名称</w:t>
            </w:r>
          </w:p>
        </w:tc>
        <w:tc>
          <w:tcPr>
            <w:tcW w:w="6556" w:type="dxa"/>
            <w:gridSpan w:val="7"/>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办案点运行维护费</w:t>
            </w:r>
          </w:p>
        </w:tc>
      </w:tr>
      <w:tr>
        <w:tblPrEx>
          <w:tblLayout w:type="fixed"/>
          <w:tblCellMar>
            <w:top w:w="0" w:type="dxa"/>
            <w:left w:w="0" w:type="dxa"/>
            <w:bottom w:w="0" w:type="dxa"/>
            <w:right w:w="0" w:type="dxa"/>
          </w:tblCellMar>
        </w:tblPrEx>
        <w:trPr>
          <w:trHeight w:val="360" w:hRule="atLeast"/>
        </w:trPr>
        <w:tc>
          <w:tcPr>
            <w:tcW w:w="1464" w:type="dxa"/>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1553"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主管部门</w:t>
            </w:r>
          </w:p>
        </w:tc>
        <w:tc>
          <w:tcPr>
            <w:tcW w:w="2938" w:type="dxa"/>
            <w:gridSpan w:val="3"/>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中共滦州市纪委</w:t>
            </w:r>
          </w:p>
        </w:tc>
        <w:tc>
          <w:tcPr>
            <w:tcW w:w="972" w:type="dxa"/>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实施单位</w:t>
            </w:r>
          </w:p>
        </w:tc>
        <w:tc>
          <w:tcPr>
            <w:tcW w:w="2646" w:type="dxa"/>
            <w:gridSpan w:val="3"/>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中共滦州市纪委</w:t>
            </w:r>
          </w:p>
        </w:tc>
      </w:tr>
      <w:tr>
        <w:tblPrEx>
          <w:tblLayout w:type="fixed"/>
          <w:tblCellMar>
            <w:top w:w="0" w:type="dxa"/>
            <w:left w:w="0" w:type="dxa"/>
            <w:bottom w:w="0" w:type="dxa"/>
            <w:right w:w="0" w:type="dxa"/>
          </w:tblCellMar>
        </w:tblPrEx>
        <w:trPr>
          <w:trHeight w:val="288" w:hRule="atLeast"/>
        </w:trPr>
        <w:tc>
          <w:tcPr>
            <w:tcW w:w="1464" w:type="dxa"/>
            <w:vMerge w:val="restart"/>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二、预算执行情况</w:t>
            </w:r>
          </w:p>
        </w:tc>
        <w:tc>
          <w:tcPr>
            <w:tcW w:w="1553"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rPr>
                <w:rFonts w:hint="eastAsia" w:ascii="宋体" w:hAnsi="宋体" w:eastAsia="宋体" w:cs="宋体"/>
                <w:i w:val="0"/>
                <w:color w:val="000000"/>
                <w:sz w:val="16"/>
                <w:szCs w:val="16"/>
                <w:u w:val="none"/>
              </w:rPr>
            </w:pPr>
          </w:p>
        </w:tc>
        <w:tc>
          <w:tcPr>
            <w:tcW w:w="1929"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年初预算数</w:t>
            </w:r>
          </w:p>
        </w:tc>
        <w:tc>
          <w:tcPr>
            <w:tcW w:w="1981"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全年预算数</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全年执行数</w:t>
            </w:r>
          </w:p>
        </w:tc>
        <w:tc>
          <w:tcPr>
            <w:tcW w:w="1485"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执行率（%）</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年度项目资金总额</w:t>
            </w:r>
          </w:p>
        </w:tc>
        <w:tc>
          <w:tcPr>
            <w:tcW w:w="1929"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26</w:t>
            </w:r>
          </w:p>
        </w:tc>
        <w:tc>
          <w:tcPr>
            <w:tcW w:w="1981"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26</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26</w:t>
            </w:r>
          </w:p>
        </w:tc>
        <w:tc>
          <w:tcPr>
            <w:tcW w:w="1485"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2" w:hRule="atLeast"/>
        </w:trPr>
        <w:tc>
          <w:tcPr>
            <w:tcW w:w="1464" w:type="dxa"/>
            <w:vMerge w:val="continue"/>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其中：当年财政拨款</w:t>
            </w:r>
          </w:p>
        </w:tc>
        <w:tc>
          <w:tcPr>
            <w:tcW w:w="1929"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26</w:t>
            </w:r>
          </w:p>
        </w:tc>
        <w:tc>
          <w:tcPr>
            <w:tcW w:w="1981"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26</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26</w:t>
            </w:r>
          </w:p>
        </w:tc>
        <w:tc>
          <w:tcPr>
            <w:tcW w:w="1485"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上年结转资金</w:t>
            </w:r>
          </w:p>
        </w:tc>
        <w:tc>
          <w:tcPr>
            <w:tcW w:w="1929"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default" w:ascii="Calibri" w:hAnsi="Calibri" w:eastAsia="宋体" w:cs="Calibri"/>
                <w:i w:val="0"/>
                <w:color w:val="000000"/>
                <w:sz w:val="21"/>
                <w:szCs w:val="21"/>
                <w:u w:val="none"/>
              </w:rPr>
            </w:pPr>
          </w:p>
        </w:tc>
        <w:tc>
          <w:tcPr>
            <w:tcW w:w="1981"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rPr>
                <w:rFonts w:hint="eastAsia" w:ascii="宋体" w:hAnsi="宋体" w:eastAsia="宋体" w:cs="宋体"/>
                <w:i w:val="0"/>
                <w:color w:val="000000"/>
                <w:sz w:val="16"/>
                <w:szCs w:val="16"/>
                <w:u w:val="none"/>
              </w:rPr>
            </w:pPr>
          </w:p>
        </w:tc>
        <w:tc>
          <w:tcPr>
            <w:tcW w:w="1485"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 xml:space="preserve">      其他资金</w:t>
            </w:r>
          </w:p>
        </w:tc>
        <w:tc>
          <w:tcPr>
            <w:tcW w:w="1929"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default" w:ascii="Calibri" w:hAnsi="Calibri" w:eastAsia="宋体" w:cs="Calibri"/>
                <w:i w:val="0"/>
                <w:color w:val="000000"/>
                <w:sz w:val="21"/>
                <w:szCs w:val="21"/>
                <w:u w:val="none"/>
              </w:rPr>
            </w:pPr>
          </w:p>
        </w:tc>
        <w:tc>
          <w:tcPr>
            <w:tcW w:w="1981"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rPr>
                <w:rFonts w:hint="eastAsia" w:ascii="宋体" w:hAnsi="宋体" w:eastAsia="宋体" w:cs="宋体"/>
                <w:i w:val="0"/>
                <w:color w:val="000000"/>
                <w:sz w:val="16"/>
                <w:szCs w:val="16"/>
                <w:u w:val="none"/>
              </w:rPr>
            </w:pPr>
          </w:p>
        </w:tc>
        <w:tc>
          <w:tcPr>
            <w:tcW w:w="1485"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restart"/>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三、目标完成情况</w:t>
            </w:r>
          </w:p>
        </w:tc>
        <w:tc>
          <w:tcPr>
            <w:tcW w:w="3482" w:type="dxa"/>
            <w:gridSpan w:val="3"/>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年度预期目标</w:t>
            </w:r>
          </w:p>
        </w:tc>
        <w:tc>
          <w:tcPr>
            <w:tcW w:w="3142" w:type="dxa"/>
            <w:gridSpan w:val="3"/>
            <w:tcBorders>
              <w:top w:val="nil"/>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具体完成情况</w:t>
            </w:r>
          </w:p>
        </w:tc>
        <w:tc>
          <w:tcPr>
            <w:tcW w:w="1485" w:type="dxa"/>
            <w:gridSpan w:val="2"/>
            <w:tcBorders>
              <w:top w:val="nil"/>
              <w:left w:val="nil"/>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总体完成率</w:t>
            </w:r>
          </w:p>
        </w:tc>
      </w:tr>
      <w:tr>
        <w:tblPrEx>
          <w:tblLayout w:type="fixed"/>
          <w:tblCellMar>
            <w:top w:w="0" w:type="dxa"/>
            <w:left w:w="0" w:type="dxa"/>
            <w:bottom w:w="0" w:type="dxa"/>
            <w:right w:w="0" w:type="dxa"/>
          </w:tblCellMar>
        </w:tblPrEx>
        <w:trPr>
          <w:trHeight w:val="760" w:hRule="atLeast"/>
        </w:trPr>
        <w:tc>
          <w:tcPr>
            <w:tcW w:w="1464" w:type="dxa"/>
            <w:vMerge w:val="continue"/>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3482" w:type="dxa"/>
            <w:gridSpan w:val="3"/>
            <w:tcBorders>
              <w:top w:val="nil"/>
              <w:left w:val="single" w:color="000000" w:sz="4" w:space="0"/>
              <w:bottom w:val="nil"/>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26</w:t>
            </w:r>
          </w:p>
        </w:tc>
        <w:tc>
          <w:tcPr>
            <w:tcW w:w="3142" w:type="dxa"/>
            <w:gridSpan w:val="3"/>
            <w:tcBorders>
              <w:top w:val="nil"/>
              <w:left w:val="single" w:color="000000" w:sz="4" w:space="0"/>
              <w:bottom w:val="nil"/>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26</w:t>
            </w:r>
          </w:p>
        </w:tc>
        <w:tc>
          <w:tcPr>
            <w:tcW w:w="1485" w:type="dxa"/>
            <w:gridSpan w:val="2"/>
            <w:tcBorders>
              <w:top w:val="nil"/>
              <w:left w:val="nil"/>
              <w:bottom w:val="nil"/>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70" w:hRule="atLeast"/>
        </w:trPr>
        <w:tc>
          <w:tcPr>
            <w:tcW w:w="1464"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四、年度绩效指标完成情况</w:t>
            </w:r>
          </w:p>
        </w:tc>
        <w:tc>
          <w:tcPr>
            <w:tcW w:w="1553" w:type="dxa"/>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一级指标</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二级指标</w:t>
            </w: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三级指标</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预期指标值</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实际完成值</w:t>
            </w: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分值</w:t>
            </w: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自评得分</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restart"/>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产出指标（50）</w:t>
            </w: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数量指标</w:t>
            </w: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完成标准化建设</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质量指标</w:t>
            </w: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完成率</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时效指标</w:t>
            </w: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按时按质完成</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成本指标</w:t>
            </w: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成本最小化</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restart"/>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效益指标（30）</w:t>
            </w: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经济效益指标</w:t>
            </w: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经济最大化</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社会效益指标</w:t>
            </w: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社会影响力</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生态效益指标</w:t>
            </w: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效益最大化</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可持续影响指标</w:t>
            </w: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可持续影响力完成率</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restart"/>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满意度指标（10）</w:t>
            </w: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满意度指标</w:t>
            </w: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群众满意度</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160"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预算执行率（10）</w:t>
            </w: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预算执行率</w:t>
            </w:r>
          </w:p>
        </w:tc>
        <w:tc>
          <w:tcPr>
            <w:tcW w:w="1966" w:type="dxa"/>
            <w:gridSpan w:val="2"/>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完成预算执行</w:t>
            </w: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bdr w:val="none" w:color="auto" w:sz="0" w:space="0"/>
                <w:lang w:val="en-US" w:eastAsia="zh-CN" w:bidi="ar"/>
              </w:rPr>
              <w:t>100</w:t>
            </w:r>
          </w:p>
        </w:tc>
        <w:tc>
          <w:tcPr>
            <w:tcW w:w="1161"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bdr w:val="none" w:color="auto" w:sz="0" w:space="0"/>
                <w:lang w:val="en-US" w:eastAsia="zh-CN" w:bidi="ar"/>
              </w:rPr>
              <w:t>100</w:t>
            </w:r>
          </w:p>
        </w:tc>
        <w:tc>
          <w:tcPr>
            <w:tcW w:w="594"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bdr w:val="none" w:color="auto" w:sz="0" w:space="0"/>
                <w:lang w:val="en-US" w:eastAsia="zh-CN" w:bidi="ar"/>
              </w:rPr>
              <w:t>100</w:t>
            </w:r>
          </w:p>
        </w:tc>
        <w:tc>
          <w:tcPr>
            <w:tcW w:w="891"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160"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default" w:ascii="Calibri" w:hAnsi="Calibri" w:eastAsia="宋体" w:cs="Calibri"/>
                <w:i w:val="0"/>
                <w:color w:val="000000"/>
                <w:sz w:val="21"/>
                <w:szCs w:val="21"/>
                <w:u w:val="none"/>
              </w:rPr>
            </w:pPr>
          </w:p>
        </w:tc>
        <w:tc>
          <w:tcPr>
            <w:tcW w:w="1161"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default" w:ascii="Calibri" w:hAnsi="Calibri" w:eastAsia="宋体" w:cs="Calibri"/>
                <w:i w:val="0"/>
                <w:color w:val="000000"/>
                <w:sz w:val="21"/>
                <w:szCs w:val="21"/>
                <w:u w:val="none"/>
              </w:rPr>
            </w:pPr>
          </w:p>
        </w:tc>
        <w:tc>
          <w:tcPr>
            <w:tcW w:w="59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default" w:ascii="Calibri" w:hAnsi="Calibri" w:eastAsia="宋体" w:cs="Calibri"/>
                <w:i w:val="0"/>
                <w:color w:val="000000"/>
                <w:sz w:val="21"/>
                <w:szCs w:val="21"/>
                <w:u w:val="none"/>
              </w:rPr>
            </w:pPr>
          </w:p>
        </w:tc>
        <w:tc>
          <w:tcPr>
            <w:tcW w:w="891"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default" w:ascii="Calibri" w:hAnsi="Calibri" w:eastAsia="宋体" w:cs="Calibri"/>
                <w:i w:val="0"/>
                <w:color w:val="000000"/>
                <w:sz w:val="21"/>
                <w:szCs w:val="21"/>
                <w:u w:val="none"/>
              </w:rPr>
            </w:pPr>
          </w:p>
        </w:tc>
      </w:tr>
      <w:tr>
        <w:tblPrEx>
          <w:tblLayout w:type="fixed"/>
          <w:tblCellMar>
            <w:top w:w="0" w:type="dxa"/>
            <w:left w:w="0" w:type="dxa"/>
            <w:bottom w:w="0" w:type="dxa"/>
            <w:right w:w="0" w:type="dxa"/>
          </w:tblCellMar>
        </w:tblPrEx>
        <w:trPr>
          <w:trHeight w:val="160"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default" w:ascii="Calibri" w:hAnsi="Calibri" w:eastAsia="宋体" w:cs="Calibri"/>
                <w:i w:val="0"/>
                <w:color w:val="000000"/>
                <w:sz w:val="21"/>
                <w:szCs w:val="21"/>
                <w:u w:val="none"/>
              </w:rPr>
            </w:pPr>
          </w:p>
        </w:tc>
        <w:tc>
          <w:tcPr>
            <w:tcW w:w="1161"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default" w:ascii="Calibri" w:hAnsi="Calibri" w:eastAsia="宋体" w:cs="Calibri"/>
                <w:i w:val="0"/>
                <w:color w:val="000000"/>
                <w:sz w:val="21"/>
                <w:szCs w:val="21"/>
                <w:u w:val="none"/>
              </w:rPr>
            </w:pPr>
          </w:p>
        </w:tc>
        <w:tc>
          <w:tcPr>
            <w:tcW w:w="59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default" w:ascii="Calibri" w:hAnsi="Calibri" w:eastAsia="宋体" w:cs="Calibri"/>
                <w:i w:val="0"/>
                <w:color w:val="000000"/>
                <w:sz w:val="21"/>
                <w:szCs w:val="21"/>
                <w:u w:val="none"/>
              </w:rPr>
            </w:pPr>
          </w:p>
        </w:tc>
        <w:tc>
          <w:tcPr>
            <w:tcW w:w="891"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default" w:ascii="Calibri" w:hAnsi="Calibri" w:eastAsia="宋体" w:cs="Calibri"/>
                <w:i w:val="0"/>
                <w:color w:val="000000"/>
                <w:sz w:val="21"/>
                <w:szCs w:val="21"/>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7218" w:type="dxa"/>
            <w:gridSpan w:val="7"/>
            <w:tcBorders>
              <w:top w:val="nil"/>
              <w:left w:val="nil"/>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总分（共计100分）</w:t>
            </w:r>
          </w:p>
        </w:tc>
        <w:tc>
          <w:tcPr>
            <w:tcW w:w="89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bl>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val="en-US" w:eastAsia="zh-CN"/>
        </w:rPr>
        <w:t>“办案业务费”</w:t>
      </w:r>
      <w:r>
        <w:rPr>
          <w:rFonts w:hint="eastAsia" w:ascii="仿宋_GB2312" w:hAnsi="仿宋_GB2312" w:eastAsia="仿宋_GB2312" w:cs="仿宋_GB2312"/>
          <w:color w:val="auto"/>
          <w:sz w:val="32"/>
          <w:szCs w:val="32"/>
        </w:rPr>
        <w:t>项目自评综述：根据年初设定的绩效目标，该项目绩效自评得分为</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分（绩效自评表附后）。全年预算数为</w:t>
      </w:r>
      <w:r>
        <w:rPr>
          <w:rFonts w:hint="eastAsia" w:ascii="仿宋_GB2312" w:hAnsi="仿宋_GB2312" w:eastAsia="仿宋_GB2312" w:cs="仿宋_GB2312"/>
          <w:color w:val="auto"/>
          <w:sz w:val="32"/>
          <w:szCs w:val="32"/>
          <w:lang w:val="en-US" w:eastAsia="zh-CN"/>
        </w:rPr>
        <w:t>41</w:t>
      </w:r>
      <w:r>
        <w:rPr>
          <w:rFonts w:hint="eastAsia" w:ascii="仿宋_GB2312" w:hAnsi="仿宋_GB2312" w:eastAsia="仿宋_GB2312" w:cs="仿宋_GB2312"/>
          <w:color w:val="auto"/>
          <w:sz w:val="32"/>
          <w:szCs w:val="32"/>
        </w:rPr>
        <w:t>万元，执行数为</w:t>
      </w:r>
      <w:r>
        <w:rPr>
          <w:rFonts w:hint="eastAsia" w:ascii="仿宋_GB2312" w:hAnsi="仿宋_GB2312" w:eastAsia="仿宋_GB2312" w:cs="仿宋_GB2312"/>
          <w:color w:val="auto"/>
          <w:sz w:val="32"/>
          <w:szCs w:val="32"/>
          <w:lang w:val="en-US" w:eastAsia="zh-CN"/>
        </w:rPr>
        <w:t>41</w:t>
      </w:r>
      <w:r>
        <w:rPr>
          <w:rFonts w:hint="eastAsia" w:ascii="仿宋_GB2312" w:hAnsi="仿宋_GB2312" w:eastAsia="仿宋_GB2312" w:cs="仿宋_GB2312"/>
          <w:color w:val="auto"/>
          <w:sz w:val="32"/>
          <w:szCs w:val="32"/>
        </w:rPr>
        <w:t>万元，完成预算的</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。通过项目实施，完成了年初设定的各项绩效目标，对于项目的运行实现了全程监控，控制了资金支出的规模，提高了资金支出的效率，产生了较好的社会效益</w:t>
      </w:r>
      <w:r>
        <w:rPr>
          <w:rFonts w:hint="eastAsia" w:ascii="仿宋_GB2312" w:hAnsi="仿宋_GB2312" w:eastAsia="仿宋_GB2312" w:cs="仿宋_GB2312"/>
          <w:color w:val="auto"/>
          <w:sz w:val="32"/>
          <w:szCs w:val="32"/>
          <w:lang w:eastAsia="zh-CN"/>
        </w:rPr>
        <w:t>，实现了年度绩效</w:t>
      </w:r>
      <w:r>
        <w:rPr>
          <w:rFonts w:hint="eastAsia" w:ascii="仿宋_GB2312" w:hAnsi="仿宋_GB2312" w:eastAsia="仿宋_GB2312" w:cs="仿宋_GB2312"/>
          <w:color w:val="auto"/>
          <w:sz w:val="32"/>
          <w:szCs w:val="32"/>
          <w:lang w:val="en-US" w:eastAsia="zh-CN"/>
        </w:rPr>
        <w:t>目标</w:t>
      </w:r>
      <w:r>
        <w:rPr>
          <w:rFonts w:hint="eastAsia" w:ascii="仿宋_GB2312" w:hAnsi="仿宋_GB2312" w:eastAsia="仿宋_GB2312" w:cs="仿宋_GB2312"/>
          <w:color w:val="auto"/>
          <w:sz w:val="32"/>
          <w:szCs w:val="32"/>
        </w:rPr>
        <w:t>。发现的主要问题</w:t>
      </w:r>
      <w:r>
        <w:rPr>
          <w:rFonts w:hint="eastAsia" w:ascii="仿宋_GB2312" w:hAnsi="仿宋_GB2312" w:eastAsia="仿宋_GB2312" w:cs="仿宋_GB2312"/>
          <w:sz w:val="32"/>
          <w:szCs w:val="32"/>
        </w:rPr>
        <w:t>是指标设置上尚有可完善的空间，原因为绩效指标设置人员对项目情况了解不透彻。下一步将加强业务人员与绩效指标制定人员之间的沟通，使得绩效指标能够更加准确、全面的评价项目情况。</w:t>
      </w:r>
    </w:p>
    <w:tbl>
      <w:tblPr>
        <w:tblW w:w="9414" w:type="dxa"/>
        <w:tblInd w:w="0" w:type="dxa"/>
        <w:shd w:val="clear"/>
        <w:tblLayout w:type="fixed"/>
        <w:tblCellMar>
          <w:top w:w="0" w:type="dxa"/>
          <w:left w:w="0" w:type="dxa"/>
          <w:bottom w:w="0" w:type="dxa"/>
          <w:right w:w="0" w:type="dxa"/>
        </w:tblCellMar>
      </w:tblPr>
      <w:tblGrid>
        <w:gridCol w:w="1464"/>
        <w:gridCol w:w="1553"/>
        <w:gridCol w:w="972"/>
        <w:gridCol w:w="956"/>
        <w:gridCol w:w="1010"/>
        <w:gridCol w:w="972"/>
        <w:gridCol w:w="1161"/>
        <w:gridCol w:w="594"/>
        <w:gridCol w:w="732"/>
      </w:tblGrid>
      <w:tr>
        <w:tblPrEx>
          <w:shd w:val="clear"/>
          <w:tblLayout w:type="fixed"/>
          <w:tblCellMar>
            <w:top w:w="0" w:type="dxa"/>
            <w:left w:w="0" w:type="dxa"/>
            <w:bottom w:w="0" w:type="dxa"/>
            <w:right w:w="0" w:type="dxa"/>
          </w:tblCellMar>
        </w:tblPrEx>
        <w:trPr>
          <w:trHeight w:val="444" w:hRule="atLeast"/>
        </w:trPr>
        <w:tc>
          <w:tcPr>
            <w:tcW w:w="9414" w:type="dxa"/>
            <w:gridSpan w:val="9"/>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center"/>
              <w:textAlignment w:val="center"/>
              <w:rPr>
                <w:rFonts w:ascii="黑体" w:hAnsi="宋体" w:eastAsia="黑体" w:cs="黑体"/>
                <w:i w:val="0"/>
                <w:color w:val="000000"/>
                <w:sz w:val="36"/>
                <w:szCs w:val="36"/>
                <w:u w:val="none"/>
              </w:rPr>
            </w:pPr>
            <w:r>
              <w:rPr>
                <w:rFonts w:hint="eastAsia" w:ascii="黑体" w:hAnsi="宋体" w:eastAsia="黑体" w:cs="黑体"/>
                <w:i w:val="0"/>
                <w:color w:val="000000"/>
                <w:kern w:val="0"/>
                <w:sz w:val="36"/>
                <w:szCs w:val="36"/>
                <w:u w:val="none"/>
                <w:bdr w:val="none" w:color="auto" w:sz="0" w:space="0"/>
                <w:lang w:val="en-US" w:eastAsia="zh-CN" w:bidi="ar"/>
              </w:rPr>
              <w:t>2024年度部门项目支出绩效自评表</w:t>
            </w:r>
          </w:p>
        </w:tc>
      </w:tr>
      <w:tr>
        <w:tblPrEx>
          <w:tblLayout w:type="fixed"/>
          <w:tblCellMar>
            <w:top w:w="0" w:type="dxa"/>
            <w:left w:w="0" w:type="dxa"/>
            <w:bottom w:w="0" w:type="dxa"/>
            <w:right w:w="0" w:type="dxa"/>
          </w:tblCellMar>
        </w:tblPrEx>
        <w:trPr>
          <w:trHeight w:val="222" w:hRule="atLeast"/>
        </w:trPr>
        <w:tc>
          <w:tcPr>
            <w:tcW w:w="1464"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填报单位（盖章）：</w:t>
            </w:r>
          </w:p>
        </w:tc>
        <w:tc>
          <w:tcPr>
            <w:tcW w:w="1553" w:type="dxa"/>
            <w:tcBorders>
              <w:top w:val="nil"/>
              <w:left w:val="nil"/>
              <w:bottom w:val="nil"/>
              <w:right w:val="nil"/>
            </w:tcBorders>
            <w:shd w:val="clear"/>
            <w:noWrap/>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tcBorders>
              <w:top w:val="nil"/>
              <w:left w:val="nil"/>
              <w:bottom w:val="nil"/>
              <w:right w:val="nil"/>
            </w:tcBorders>
            <w:shd w:val="clear"/>
            <w:noWrap/>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56" w:type="dxa"/>
            <w:tcBorders>
              <w:top w:val="nil"/>
              <w:left w:val="nil"/>
              <w:bottom w:val="nil"/>
              <w:right w:val="nil"/>
            </w:tcBorders>
            <w:shd w:val="clear"/>
            <w:noWrap/>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010" w:type="dxa"/>
            <w:tcBorders>
              <w:top w:val="nil"/>
              <w:left w:val="nil"/>
              <w:bottom w:val="nil"/>
              <w:right w:val="nil"/>
            </w:tcBorders>
            <w:shd w:val="clear"/>
            <w:noWrap/>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tcBorders>
              <w:top w:val="nil"/>
              <w:left w:val="nil"/>
              <w:bottom w:val="nil"/>
              <w:right w:val="nil"/>
            </w:tcBorders>
            <w:shd w:val="clear"/>
            <w:noWrap/>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nil"/>
              <w:left w:val="nil"/>
              <w:bottom w:val="nil"/>
              <w:right w:val="nil"/>
            </w:tcBorders>
            <w:shd w:val="clear"/>
            <w:noWrap/>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326" w:type="dxa"/>
            <w:gridSpan w:val="2"/>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金额单位：万元</w:t>
            </w:r>
          </w:p>
        </w:tc>
      </w:tr>
      <w:tr>
        <w:tblPrEx>
          <w:tblLayout w:type="fixed"/>
          <w:tblCellMar>
            <w:top w:w="0" w:type="dxa"/>
            <w:left w:w="0" w:type="dxa"/>
            <w:bottom w:w="0" w:type="dxa"/>
            <w:right w:w="0" w:type="dxa"/>
          </w:tblCellMar>
        </w:tblPrEx>
        <w:trPr>
          <w:trHeight w:val="360" w:hRule="atLeast"/>
        </w:trPr>
        <w:tc>
          <w:tcPr>
            <w:tcW w:w="1464" w:type="dxa"/>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一、</w:t>
            </w:r>
            <w:r>
              <w:rPr>
                <w:rFonts w:ascii="Calibri" w:hAnsi="Calibri" w:eastAsia="宋体" w:cs="Calibri"/>
                <w:i w:val="0"/>
                <w:color w:val="000000"/>
                <w:kern w:val="0"/>
                <w:sz w:val="16"/>
                <w:szCs w:val="16"/>
                <w:u w:val="none"/>
                <w:bdr w:val="none" w:color="auto" w:sz="0" w:space="0"/>
                <w:lang w:val="en-US" w:eastAsia="zh-CN" w:bidi="ar"/>
              </w:rPr>
              <w:t xml:space="preserve"> </w:t>
            </w:r>
            <w:r>
              <w:rPr>
                <w:rFonts w:hint="eastAsia" w:ascii="宋体" w:hAnsi="宋体" w:eastAsia="宋体" w:cs="宋体"/>
                <w:i w:val="0"/>
                <w:color w:val="000000"/>
                <w:kern w:val="0"/>
                <w:sz w:val="16"/>
                <w:szCs w:val="16"/>
                <w:u w:val="none"/>
                <w:bdr w:val="none" w:color="auto" w:sz="0" w:space="0"/>
                <w:lang w:val="en-US" w:eastAsia="zh-CN" w:bidi="ar"/>
              </w:rPr>
              <w:t>基本情况</w:t>
            </w:r>
          </w:p>
        </w:tc>
        <w:tc>
          <w:tcPr>
            <w:tcW w:w="1553"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项目名称</w:t>
            </w:r>
          </w:p>
        </w:tc>
        <w:tc>
          <w:tcPr>
            <w:tcW w:w="6397" w:type="dxa"/>
            <w:gridSpan w:val="7"/>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办案业务费</w:t>
            </w:r>
          </w:p>
        </w:tc>
      </w:tr>
      <w:tr>
        <w:tblPrEx>
          <w:tblLayout w:type="fixed"/>
          <w:tblCellMar>
            <w:top w:w="0" w:type="dxa"/>
            <w:left w:w="0" w:type="dxa"/>
            <w:bottom w:w="0" w:type="dxa"/>
            <w:right w:w="0" w:type="dxa"/>
          </w:tblCellMar>
        </w:tblPrEx>
        <w:trPr>
          <w:trHeight w:val="360" w:hRule="atLeast"/>
        </w:trPr>
        <w:tc>
          <w:tcPr>
            <w:tcW w:w="1464" w:type="dxa"/>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1553"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主管部门</w:t>
            </w:r>
          </w:p>
        </w:tc>
        <w:tc>
          <w:tcPr>
            <w:tcW w:w="2938" w:type="dxa"/>
            <w:gridSpan w:val="3"/>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中共滦州市纪委</w:t>
            </w:r>
          </w:p>
        </w:tc>
        <w:tc>
          <w:tcPr>
            <w:tcW w:w="972" w:type="dxa"/>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实施单位</w:t>
            </w:r>
          </w:p>
        </w:tc>
        <w:tc>
          <w:tcPr>
            <w:tcW w:w="2487" w:type="dxa"/>
            <w:gridSpan w:val="3"/>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中共滦州市纪委</w:t>
            </w:r>
          </w:p>
        </w:tc>
      </w:tr>
      <w:tr>
        <w:tblPrEx>
          <w:tblLayout w:type="fixed"/>
          <w:tblCellMar>
            <w:top w:w="0" w:type="dxa"/>
            <w:left w:w="0" w:type="dxa"/>
            <w:bottom w:w="0" w:type="dxa"/>
            <w:right w:w="0" w:type="dxa"/>
          </w:tblCellMar>
        </w:tblPrEx>
        <w:trPr>
          <w:trHeight w:val="288" w:hRule="atLeast"/>
        </w:trPr>
        <w:tc>
          <w:tcPr>
            <w:tcW w:w="1464" w:type="dxa"/>
            <w:vMerge w:val="restart"/>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二、预算执行情况</w:t>
            </w:r>
          </w:p>
        </w:tc>
        <w:tc>
          <w:tcPr>
            <w:tcW w:w="1553"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rPr>
                <w:rFonts w:hint="eastAsia" w:ascii="宋体" w:hAnsi="宋体" w:eastAsia="宋体" w:cs="宋体"/>
                <w:i w:val="0"/>
                <w:color w:val="000000"/>
                <w:sz w:val="16"/>
                <w:szCs w:val="16"/>
                <w:u w:val="none"/>
              </w:rPr>
            </w:pPr>
          </w:p>
        </w:tc>
        <w:tc>
          <w:tcPr>
            <w:tcW w:w="1928"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年初预算数</w:t>
            </w:r>
          </w:p>
        </w:tc>
        <w:tc>
          <w:tcPr>
            <w:tcW w:w="1982"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全年预算数</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全年执行数</w:t>
            </w:r>
          </w:p>
        </w:tc>
        <w:tc>
          <w:tcPr>
            <w:tcW w:w="132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执行率（%）</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年度项目资金总额</w:t>
            </w:r>
          </w:p>
        </w:tc>
        <w:tc>
          <w:tcPr>
            <w:tcW w:w="1928"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41</w:t>
            </w:r>
          </w:p>
        </w:tc>
        <w:tc>
          <w:tcPr>
            <w:tcW w:w="1982"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41</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41</w:t>
            </w:r>
          </w:p>
        </w:tc>
        <w:tc>
          <w:tcPr>
            <w:tcW w:w="132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2" w:hRule="atLeast"/>
        </w:trPr>
        <w:tc>
          <w:tcPr>
            <w:tcW w:w="1464" w:type="dxa"/>
            <w:vMerge w:val="continue"/>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其中：当年财政拨款</w:t>
            </w:r>
          </w:p>
        </w:tc>
        <w:tc>
          <w:tcPr>
            <w:tcW w:w="1928"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41</w:t>
            </w:r>
          </w:p>
        </w:tc>
        <w:tc>
          <w:tcPr>
            <w:tcW w:w="1982"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41</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41</w:t>
            </w:r>
          </w:p>
        </w:tc>
        <w:tc>
          <w:tcPr>
            <w:tcW w:w="132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上年结转资金</w:t>
            </w:r>
          </w:p>
        </w:tc>
        <w:tc>
          <w:tcPr>
            <w:tcW w:w="1928"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default" w:ascii="Calibri" w:hAnsi="Calibri" w:eastAsia="宋体" w:cs="Calibri"/>
                <w:i w:val="0"/>
                <w:color w:val="000000"/>
                <w:sz w:val="21"/>
                <w:szCs w:val="21"/>
                <w:u w:val="none"/>
              </w:rPr>
            </w:pPr>
          </w:p>
        </w:tc>
        <w:tc>
          <w:tcPr>
            <w:tcW w:w="1982"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rPr>
                <w:rFonts w:hint="eastAsia" w:ascii="宋体" w:hAnsi="宋体" w:eastAsia="宋体" w:cs="宋体"/>
                <w:i w:val="0"/>
                <w:color w:val="000000"/>
                <w:sz w:val="16"/>
                <w:szCs w:val="16"/>
                <w:u w:val="none"/>
              </w:rPr>
            </w:pPr>
          </w:p>
        </w:tc>
        <w:tc>
          <w:tcPr>
            <w:tcW w:w="132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 xml:space="preserve">      其他资金</w:t>
            </w:r>
          </w:p>
        </w:tc>
        <w:tc>
          <w:tcPr>
            <w:tcW w:w="1928"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default" w:ascii="Calibri" w:hAnsi="Calibri" w:eastAsia="宋体" w:cs="Calibri"/>
                <w:i w:val="0"/>
                <w:color w:val="000000"/>
                <w:sz w:val="21"/>
                <w:szCs w:val="21"/>
                <w:u w:val="none"/>
              </w:rPr>
            </w:pPr>
          </w:p>
        </w:tc>
        <w:tc>
          <w:tcPr>
            <w:tcW w:w="1982"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rPr>
                <w:rFonts w:hint="eastAsia" w:ascii="宋体" w:hAnsi="宋体" w:eastAsia="宋体" w:cs="宋体"/>
                <w:i w:val="0"/>
                <w:color w:val="000000"/>
                <w:sz w:val="16"/>
                <w:szCs w:val="16"/>
                <w:u w:val="none"/>
              </w:rPr>
            </w:pPr>
          </w:p>
        </w:tc>
        <w:tc>
          <w:tcPr>
            <w:tcW w:w="132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restart"/>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三、目标完成情况</w:t>
            </w:r>
          </w:p>
        </w:tc>
        <w:tc>
          <w:tcPr>
            <w:tcW w:w="3481" w:type="dxa"/>
            <w:gridSpan w:val="3"/>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年度预期目标</w:t>
            </w:r>
          </w:p>
        </w:tc>
        <w:tc>
          <w:tcPr>
            <w:tcW w:w="3143" w:type="dxa"/>
            <w:gridSpan w:val="3"/>
            <w:tcBorders>
              <w:top w:val="nil"/>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具体完成情况</w:t>
            </w:r>
          </w:p>
        </w:tc>
        <w:tc>
          <w:tcPr>
            <w:tcW w:w="1326" w:type="dxa"/>
            <w:gridSpan w:val="2"/>
            <w:tcBorders>
              <w:top w:val="nil"/>
              <w:left w:val="nil"/>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总体完成率</w:t>
            </w:r>
          </w:p>
        </w:tc>
      </w:tr>
      <w:tr>
        <w:tblPrEx>
          <w:tblLayout w:type="fixed"/>
          <w:tblCellMar>
            <w:top w:w="0" w:type="dxa"/>
            <w:left w:w="0" w:type="dxa"/>
            <w:bottom w:w="0" w:type="dxa"/>
            <w:right w:w="0" w:type="dxa"/>
          </w:tblCellMar>
        </w:tblPrEx>
        <w:trPr>
          <w:trHeight w:val="760" w:hRule="atLeast"/>
        </w:trPr>
        <w:tc>
          <w:tcPr>
            <w:tcW w:w="1464" w:type="dxa"/>
            <w:vMerge w:val="continue"/>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3481" w:type="dxa"/>
            <w:gridSpan w:val="3"/>
            <w:tcBorders>
              <w:top w:val="nil"/>
              <w:left w:val="single" w:color="000000" w:sz="4" w:space="0"/>
              <w:bottom w:val="nil"/>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41</w:t>
            </w:r>
          </w:p>
        </w:tc>
        <w:tc>
          <w:tcPr>
            <w:tcW w:w="3143" w:type="dxa"/>
            <w:gridSpan w:val="3"/>
            <w:tcBorders>
              <w:top w:val="nil"/>
              <w:left w:val="single" w:color="000000" w:sz="4" w:space="0"/>
              <w:bottom w:val="nil"/>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41</w:t>
            </w:r>
          </w:p>
        </w:tc>
        <w:tc>
          <w:tcPr>
            <w:tcW w:w="1326" w:type="dxa"/>
            <w:gridSpan w:val="2"/>
            <w:tcBorders>
              <w:top w:val="nil"/>
              <w:left w:val="nil"/>
              <w:bottom w:val="nil"/>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70" w:hRule="atLeast"/>
        </w:trPr>
        <w:tc>
          <w:tcPr>
            <w:tcW w:w="1464"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四、年度绩效指标完成情况</w:t>
            </w:r>
          </w:p>
        </w:tc>
        <w:tc>
          <w:tcPr>
            <w:tcW w:w="1553" w:type="dxa"/>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一级指标</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二级指标</w:t>
            </w: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三级指标</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预期指标值</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实际完成值</w:t>
            </w: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分值</w:t>
            </w: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自评得分</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restart"/>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产出指标（50）</w:t>
            </w: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数量指标</w:t>
            </w: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完成标准化建设</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质量指标</w:t>
            </w: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完成率</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时效指标</w:t>
            </w: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按时按质完成</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成本指标</w:t>
            </w: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成本最小化</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restart"/>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效益指标（30）</w:t>
            </w: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经济效益指标</w:t>
            </w: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经济最大化</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社会效益指标</w:t>
            </w: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社会影响力</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生态效益指标</w:t>
            </w: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效益最大化</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可持续影响指标</w:t>
            </w: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可持续影响力完成率</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restart"/>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满意度指标（10）</w:t>
            </w: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满意度指标</w:t>
            </w: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群众满意度</w:t>
            </w: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nil"/>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tcBorders>
              <w:top w:val="single" w:color="000000" w:sz="4" w:space="0"/>
              <w:left w:val="single" w:color="000000" w:sz="4" w:space="0"/>
              <w:bottom w:val="nil"/>
              <w:right w:val="single" w:color="000000" w:sz="4" w:space="0"/>
            </w:tcBorders>
            <w:shd w:val="clear"/>
            <w:tcMar>
              <w:top w:w="12" w:type="dxa"/>
              <w:left w:w="12" w:type="dxa"/>
              <w:right w:w="12" w:type="dxa"/>
            </w:tcMar>
            <w:vAlign w:val="center"/>
          </w:tcPr>
          <w:p>
            <w:pPr>
              <w:jc w:val="left"/>
              <w:rPr>
                <w:rFonts w:hint="eastAsia" w:ascii="宋体" w:hAnsi="宋体" w:eastAsia="宋体" w:cs="宋体"/>
                <w:i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161"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594"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160"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预算执行率（10）</w:t>
            </w: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预算执行率</w:t>
            </w:r>
          </w:p>
        </w:tc>
        <w:tc>
          <w:tcPr>
            <w:tcW w:w="1966" w:type="dxa"/>
            <w:gridSpan w:val="2"/>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完成预算执行</w:t>
            </w:r>
          </w:p>
        </w:tc>
        <w:tc>
          <w:tcPr>
            <w:tcW w:w="97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bdr w:val="none" w:color="auto" w:sz="0" w:space="0"/>
                <w:lang w:val="en-US" w:eastAsia="zh-CN" w:bidi="ar"/>
              </w:rPr>
              <w:t>100</w:t>
            </w:r>
          </w:p>
        </w:tc>
        <w:tc>
          <w:tcPr>
            <w:tcW w:w="1161"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bdr w:val="none" w:color="auto" w:sz="0" w:space="0"/>
                <w:lang w:val="en-US" w:eastAsia="zh-CN" w:bidi="ar"/>
              </w:rPr>
              <w:t>100</w:t>
            </w:r>
          </w:p>
        </w:tc>
        <w:tc>
          <w:tcPr>
            <w:tcW w:w="594"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bdr w:val="none" w:color="auto" w:sz="0" w:space="0"/>
                <w:lang w:val="en-US" w:eastAsia="zh-CN" w:bidi="ar"/>
              </w:rPr>
              <w:t>100</w:t>
            </w:r>
          </w:p>
        </w:tc>
        <w:tc>
          <w:tcPr>
            <w:tcW w:w="732" w:type="dxa"/>
            <w:vMerge w:val="restart"/>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bdr w:val="none" w:color="auto" w:sz="0" w:space="0"/>
                <w:lang w:val="en-US" w:eastAsia="zh-CN" w:bidi="ar"/>
              </w:rPr>
              <w:t>100</w:t>
            </w:r>
          </w:p>
        </w:tc>
      </w:tr>
      <w:tr>
        <w:tblPrEx>
          <w:tblLayout w:type="fixed"/>
          <w:tblCellMar>
            <w:top w:w="0" w:type="dxa"/>
            <w:left w:w="0" w:type="dxa"/>
            <w:bottom w:w="0" w:type="dxa"/>
            <w:right w:w="0" w:type="dxa"/>
          </w:tblCellMar>
        </w:tblPrEx>
        <w:trPr>
          <w:trHeight w:val="160"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default" w:ascii="Calibri" w:hAnsi="Calibri" w:eastAsia="宋体" w:cs="Calibri"/>
                <w:i w:val="0"/>
                <w:color w:val="000000"/>
                <w:sz w:val="21"/>
                <w:szCs w:val="21"/>
                <w:u w:val="none"/>
              </w:rPr>
            </w:pPr>
          </w:p>
        </w:tc>
        <w:tc>
          <w:tcPr>
            <w:tcW w:w="1161"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default" w:ascii="Calibri" w:hAnsi="Calibri" w:eastAsia="宋体" w:cs="Calibri"/>
                <w:i w:val="0"/>
                <w:color w:val="000000"/>
                <w:sz w:val="21"/>
                <w:szCs w:val="21"/>
                <w:u w:val="none"/>
              </w:rPr>
            </w:pPr>
          </w:p>
        </w:tc>
        <w:tc>
          <w:tcPr>
            <w:tcW w:w="59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default" w:ascii="Calibri" w:hAnsi="Calibri" w:eastAsia="宋体" w:cs="Calibri"/>
                <w:i w:val="0"/>
                <w:color w:val="000000"/>
                <w:sz w:val="21"/>
                <w:szCs w:val="21"/>
                <w:u w:val="none"/>
              </w:rPr>
            </w:pPr>
          </w:p>
        </w:tc>
        <w:tc>
          <w:tcPr>
            <w:tcW w:w="73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default" w:ascii="Calibri" w:hAnsi="Calibri" w:eastAsia="宋体" w:cs="Calibri"/>
                <w:i w:val="0"/>
                <w:color w:val="000000"/>
                <w:sz w:val="21"/>
                <w:szCs w:val="21"/>
                <w:u w:val="none"/>
              </w:rPr>
            </w:pPr>
          </w:p>
        </w:tc>
      </w:tr>
      <w:tr>
        <w:tblPrEx>
          <w:tblLayout w:type="fixed"/>
          <w:tblCellMar>
            <w:top w:w="0" w:type="dxa"/>
            <w:left w:w="0" w:type="dxa"/>
            <w:bottom w:w="0" w:type="dxa"/>
            <w:right w:w="0" w:type="dxa"/>
          </w:tblCellMar>
        </w:tblPrEx>
        <w:trPr>
          <w:trHeight w:val="160"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553"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1966" w:type="dxa"/>
            <w:gridSpan w:val="2"/>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default" w:ascii="Calibri" w:hAnsi="Calibri" w:eastAsia="宋体" w:cs="Calibri"/>
                <w:i w:val="0"/>
                <w:color w:val="000000"/>
                <w:sz w:val="21"/>
                <w:szCs w:val="21"/>
                <w:u w:val="none"/>
              </w:rPr>
            </w:pPr>
          </w:p>
        </w:tc>
        <w:tc>
          <w:tcPr>
            <w:tcW w:w="1161"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default" w:ascii="Calibri" w:hAnsi="Calibri" w:eastAsia="宋体" w:cs="Calibri"/>
                <w:i w:val="0"/>
                <w:color w:val="000000"/>
                <w:sz w:val="21"/>
                <w:szCs w:val="21"/>
                <w:u w:val="none"/>
              </w:rPr>
            </w:pPr>
          </w:p>
        </w:tc>
        <w:tc>
          <w:tcPr>
            <w:tcW w:w="59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default" w:ascii="Calibri" w:hAnsi="Calibri" w:eastAsia="宋体" w:cs="Calibri"/>
                <w:i w:val="0"/>
                <w:color w:val="000000"/>
                <w:sz w:val="21"/>
                <w:szCs w:val="21"/>
                <w:u w:val="none"/>
              </w:rPr>
            </w:pPr>
          </w:p>
        </w:tc>
        <w:tc>
          <w:tcPr>
            <w:tcW w:w="732"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default" w:ascii="Calibri" w:hAnsi="Calibri" w:eastAsia="宋体" w:cs="Calibri"/>
                <w:i w:val="0"/>
                <w:color w:val="000000"/>
                <w:sz w:val="21"/>
                <w:szCs w:val="21"/>
                <w:u w:val="none"/>
              </w:rPr>
            </w:pPr>
          </w:p>
        </w:tc>
      </w:tr>
      <w:tr>
        <w:tblPrEx>
          <w:tblLayout w:type="fixed"/>
          <w:tblCellMar>
            <w:top w:w="0" w:type="dxa"/>
            <w:left w:w="0" w:type="dxa"/>
            <w:bottom w:w="0" w:type="dxa"/>
            <w:right w:w="0" w:type="dxa"/>
          </w:tblCellMar>
        </w:tblPrEx>
        <w:trPr>
          <w:trHeight w:val="288" w:hRule="atLeast"/>
        </w:trPr>
        <w:tc>
          <w:tcPr>
            <w:tcW w:w="1464" w:type="dxa"/>
            <w:vMerge w:val="continue"/>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jc w:val="center"/>
              <w:rPr>
                <w:rFonts w:hint="eastAsia" w:ascii="宋体" w:hAnsi="宋体" w:eastAsia="宋体" w:cs="宋体"/>
                <w:i w:val="0"/>
                <w:color w:val="000000"/>
                <w:sz w:val="16"/>
                <w:szCs w:val="16"/>
                <w:u w:val="none"/>
              </w:rPr>
            </w:pPr>
          </w:p>
        </w:tc>
        <w:tc>
          <w:tcPr>
            <w:tcW w:w="7218" w:type="dxa"/>
            <w:gridSpan w:val="7"/>
            <w:tcBorders>
              <w:top w:val="nil"/>
              <w:left w:val="nil"/>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总分（共计100分）</w:t>
            </w:r>
          </w:p>
        </w:tc>
        <w:tc>
          <w:tcPr>
            <w:tcW w:w="732" w:type="dxa"/>
            <w:tcBorders>
              <w:top w:val="single" w:color="000000" w:sz="4" w:space="0"/>
              <w:left w:val="single" w:color="000000" w:sz="4" w:space="0"/>
              <w:bottom w:val="single" w:color="000000" w:sz="4" w:space="0"/>
              <w:right w:val="single" w:color="000000" w:sz="4"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w:t>
            </w:r>
          </w:p>
        </w:tc>
      </w:tr>
    </w:tbl>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（三）部门评价项目绩效评价结果</w:t>
      </w:r>
      <w:bookmarkStart w:id="0" w:name="_GoBack"/>
      <w:bookmarkEnd w:id="0"/>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hint="eastAsia" w:ascii="仿宋_GB2312" w:hAnsi="Times New Roman" w:eastAsia="仿宋_GB2312" w:cs="DengXian-Regular"/>
          <w:sz w:val="32"/>
          <w:szCs w:val="32"/>
          <w:lang w:val="en-US" w:eastAsia="zh-CN"/>
        </w:rPr>
        <w:t>从各预算项目自评情况看，2024年本部门预算项目总体进展良好，目标总体完成率达较高，部门</w:t>
      </w:r>
      <w:r>
        <w:rPr>
          <w:rFonts w:hint="eastAsia" w:ascii="仿宋_GB2312" w:hAnsi="Times New Roman" w:eastAsia="仿宋_GB2312" w:cs="DengXian-Regular"/>
          <w:sz w:val="32"/>
          <w:szCs w:val="32"/>
        </w:rPr>
        <w:t>绩效自评得分全部在90分以上。评价结果真实客观地反映了</w:t>
      </w:r>
      <w:r>
        <w:rPr>
          <w:rFonts w:hint="eastAsia" w:ascii="仿宋_GB2312" w:hAnsi="Times New Roman" w:eastAsia="仿宋_GB2312" w:cs="DengXian-Regular"/>
          <w:sz w:val="32"/>
          <w:szCs w:val="32"/>
          <w:lang w:eastAsia="zh-CN"/>
        </w:rPr>
        <w:t>本部门</w:t>
      </w:r>
      <w:r>
        <w:rPr>
          <w:rFonts w:hint="eastAsia" w:ascii="仿宋_GB2312" w:hAnsi="Times New Roman" w:eastAsia="仿宋_GB2312" w:cs="DengXian-Regular"/>
          <w:sz w:val="32"/>
          <w:szCs w:val="32"/>
        </w:rPr>
        <w:t>资金的使用情况和效果。通过绩效评价，进一步强化了预算绩效管理理念，提高了资金绩效管理的自觉性，有力促进了资金的使用效益不断提高。</w:t>
      </w:r>
    </w:p>
    <w:p>
      <w:pPr>
        <w:widowControl/>
        <w:spacing w:before="0" w:beforeLines="0" w:beforeAutospacing="0" w:after="0" w:afterLines="0" w:afterAutospacing="0" w:line="360" w:lineRule="auto"/>
        <w:ind w:firstLine="640" w:firstLineChars="200"/>
        <w:jc w:val="left"/>
        <w:rPr>
          <w:rFonts w:ascii="Times New Roman" w:eastAsia="黑体"/>
          <w:sz w:val="32"/>
          <w:szCs w:val="32"/>
        </w:rPr>
      </w:pPr>
      <w:r>
        <w:rPr>
          <w:rFonts w:ascii="Times New Roman" w:eastAsia="黑体"/>
          <w:b w:val="0"/>
          <w:sz w:val="32"/>
          <w:szCs w:val="32"/>
        </w:rPr>
        <w:t>十、其他需要说明的情况</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1.本部门2024年度政府性基金预算财政拨款收入支出决算表（公开07表）、国有资本经营预算财政拨款支出决算表（公开08表）无相应收支，故空表列示。</w:t>
      </w:r>
    </w:p>
    <w:p>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2.由于决算公开表格中金额数值应当保留两位小数，公开数据为四舍五入计算结果，个别数据合计项与分项之和存在小数点后差额，特此说明。</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p>
    <w:p>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第四部分名词解释</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一、财政拨款收入：</w:t>
      </w:r>
      <w:r>
        <w:rPr>
          <w:rFonts w:ascii="Times New Roman" w:eastAsia="仿宋_GB2312"/>
          <w:b w:val="0"/>
          <w:sz w:val="32"/>
          <w:szCs w:val="32"/>
        </w:rPr>
        <w:t>指单位从同级财政部门取得的财政预算资金。</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二、事业收入：</w:t>
      </w:r>
      <w:r>
        <w:rPr>
          <w:rFonts w:ascii="Times New Roman" w:eastAsia="仿宋_GB2312"/>
          <w:b w:val="0"/>
          <w:sz w:val="32"/>
          <w:szCs w:val="32"/>
        </w:rPr>
        <w:t>指事业单位开展专业业务活动及辅助活动取得的收入。</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三、经营收入：</w:t>
      </w:r>
      <w:r>
        <w:rPr>
          <w:rFonts w:ascii="Times New Roman" w:eastAsia="仿宋_GB2312"/>
          <w:b w:val="0"/>
          <w:sz w:val="32"/>
          <w:szCs w:val="32"/>
        </w:rPr>
        <w:t>指事业单位在专业业务活动及其辅助活动之外开展非独立核算经营活动取得的收入。</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四、其他收入：</w:t>
      </w:r>
      <w:r>
        <w:rPr>
          <w:rFonts w:ascii="Times New Roman" w:eastAsia="仿宋_GB2312"/>
          <w:b w:val="0"/>
          <w:sz w:val="32"/>
          <w:szCs w:val="32"/>
        </w:rPr>
        <w:t>指单位取得的除上述收入以外的各项收入。主要是事业单位固定资产出租收入、存款利息收入等。</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五、使用非财政拨款结余（含专用结余）：</w:t>
      </w:r>
      <w:r>
        <w:rPr>
          <w:rFonts w:ascii="Times New Roman" w:eastAsia="仿宋_GB2312"/>
          <w:b w:val="0"/>
          <w:sz w:val="32"/>
          <w:szCs w:val="32"/>
        </w:rPr>
        <w:t>指事业单位按照预算管理要求使用非财政拨款结余弥补收支差额的金额，以及使用专用结余安排支出的金额。</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六、年初结转和结余：</w:t>
      </w:r>
      <w:r>
        <w:rPr>
          <w:rFonts w:ascii="Times New Roman" w:eastAsia="仿宋_GB2312"/>
          <w:b w:val="0"/>
          <w:sz w:val="32"/>
          <w:szCs w:val="32"/>
        </w:rPr>
        <w:t>指单位以前年度尚未完成、结转到本年仍按原规定用途继续使用的资金，或项目已完成等产生的结余资金。</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七、结余分配：</w:t>
      </w:r>
      <w:r>
        <w:rPr>
          <w:rFonts w:ascii="Times New Roman" w:eastAsia="仿宋_GB2312"/>
          <w:b w:val="0"/>
          <w:sz w:val="32"/>
          <w:szCs w:val="32"/>
        </w:rPr>
        <w:t>指事业单位按照会计制度规定缴纳的所得税、提取的专用结余以及转入非财政拨款结余的金额等。</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八、年末结转和结余：</w:t>
      </w:r>
      <w:r>
        <w:rPr>
          <w:rFonts w:ascii="Times New Roman" w:eastAsia="仿宋_GB2312"/>
          <w:b w:val="0"/>
          <w:sz w:val="32"/>
          <w:szCs w:val="32"/>
        </w:rPr>
        <w:t>指单位按有关规定结转到下年或以后年度继续使用的资金，或项目已完成等产生的结余资金。</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九、基本支出：</w:t>
      </w:r>
      <w:r>
        <w:rPr>
          <w:rFonts w:ascii="Times New Roman" w:eastAsia="仿宋_GB2312"/>
          <w:b w:val="0"/>
          <w:sz w:val="32"/>
          <w:szCs w:val="32"/>
        </w:rPr>
        <w:t>指为保障机构正常运转、完成日常工作任务而发生的人员支出和公用支出。</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十、项目支出：</w:t>
      </w:r>
      <w:r>
        <w:rPr>
          <w:rFonts w:ascii="Times New Roman" w:eastAsia="仿宋_GB2312"/>
          <w:b w:val="0"/>
          <w:sz w:val="32"/>
          <w:szCs w:val="32"/>
        </w:rPr>
        <w:t>指在基本支出之外为完成特定行政任务和事业发展目标所发生的支出。</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十一、经营支出：</w:t>
      </w:r>
      <w:r>
        <w:rPr>
          <w:rFonts w:ascii="Times New Roman" w:eastAsia="仿宋_GB2312"/>
          <w:b w:val="0"/>
          <w:sz w:val="32"/>
          <w:szCs w:val="32"/>
        </w:rPr>
        <w:t>指事业单位在专业业务活动及其辅助活动之外开展非独立核算经营活动发生的支出。</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十二、基本建设支出：</w:t>
      </w:r>
      <w:r>
        <w:rPr>
          <w:rFonts w:ascii="Times New Roman" w:eastAsia="仿宋_GB2312"/>
          <w:b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十三、其他资本性支出：</w:t>
      </w:r>
      <w:r>
        <w:rPr>
          <w:rFonts w:ascii="Times New Roman" w:eastAsia="仿宋_GB2312"/>
          <w:b w:val="0"/>
          <w:sz w:val="32"/>
          <w:szCs w:val="32"/>
        </w:rPr>
        <w:t>填列由各级非发展与改革部门集中安排的用于购置固定资产、战备性和应急性储备、土地和无形资产，以及购建基础设施、大型修缮和财政支持企业更新改造所发生的支出。</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十四、“三公”经费：</w:t>
      </w:r>
      <w:r>
        <w:rPr>
          <w:rFonts w:ascii="Times New Roman" w:eastAsia="仿宋_GB2312"/>
          <w:b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牌照费）及按规定保留的公务用车燃料费、维修费、过桥过路费、保险费、安全奖励费用等支出；公务接待费反映单位按规定开支的各类公务接待（含外宾接待）支出。</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十五、其他交通费用：</w:t>
      </w:r>
      <w:r>
        <w:rPr>
          <w:rFonts w:ascii="Times New Roman" w:eastAsia="仿宋_GB2312"/>
          <w:b w:val="0"/>
          <w:sz w:val="32"/>
          <w:szCs w:val="32"/>
        </w:rPr>
        <w:t>填列单位除公务用车运行维护费以外的其他交通费用。如公务交通补贴、租车费用、出租车费用，飞机、船舶等燃料费、维修费、保险费等。</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十六、公务用车购置：</w:t>
      </w:r>
      <w:r>
        <w:rPr>
          <w:rFonts w:ascii="Times New Roman" w:eastAsia="仿宋_GB2312"/>
          <w:b w:val="0"/>
          <w:sz w:val="32"/>
          <w:szCs w:val="32"/>
        </w:rPr>
        <w:t>填列单位公务用车车辆购置支出（含车辆购置税、牌照费）。</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十七、其他交通工具购置：</w:t>
      </w:r>
      <w:r>
        <w:rPr>
          <w:rFonts w:ascii="Times New Roman" w:eastAsia="仿宋_GB2312"/>
          <w:b w:val="0"/>
          <w:sz w:val="32"/>
          <w:szCs w:val="32"/>
        </w:rPr>
        <w:t>填列单位除公务用车外的其他各类交通工具（如船舶、飞机等）购置支出（含车辆购置税、牌照费）。</w:t>
      </w:r>
    </w:p>
    <w:p>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十八、机关运行经费：</w:t>
      </w:r>
      <w:r>
        <w:rPr>
          <w:rFonts w:ascii="Times New Roman" w:eastAsia="仿宋_GB2312"/>
          <w:b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sectPr>
      <w:pgSz w:w="11906" w:h="16838"/>
      <w:pgMar w:top="2098" w:right="1417" w:bottom="1871" w:left="1417" w:header="851" w:footer="992" w:gutter="0"/>
      <w:pgBorders>
        <w:top w:val="none" w:sz="0" w:space="0"/>
        <w:left w:val="none" w:sz="0" w:space="0"/>
        <w:bottom w:val="none" w:sz="0" w:space="0"/>
        <w:right w:val="none" w:sz="0" w:space="0"/>
      </w:pgBorders>
      <w:cols w:space="0" w:num="1"/>
      <w:rtlGutter w:val="0"/>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41D61552-CF8A-4433-8D68-4A45C3AE10BC}"/>
  </w:font>
  <w:font w:name="黑体">
    <w:panose1 w:val="02010609060101010101"/>
    <w:charset w:val="86"/>
    <w:family w:val="auto"/>
    <w:pitch w:val="default"/>
    <w:sig w:usb0="800002BF" w:usb1="38CF7CFA" w:usb2="00000016" w:usb3="00000000" w:csb0="00040001" w:csb1="00000000"/>
    <w:embedRegular r:id="rId2" w:fontKey="{CA71CE5C-A517-4FE1-B24B-A1F9E310461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3" w:fontKey="{96B413EE-401C-4F85-8FF4-EAAAC9857F47}"/>
  </w:font>
  <w:font w:name="仿宋">
    <w:panose1 w:val="02010609060101010101"/>
    <w:charset w:val="86"/>
    <w:family w:val="modern"/>
    <w:pitch w:val="default"/>
    <w:sig w:usb0="800002BF" w:usb1="38CF7CFA" w:usb2="00000016" w:usb3="00000000" w:csb0="00040001" w:csb1="00000000"/>
    <w:embedRegular r:id="rId4" w:fontKey="{FA464CD4-ABDB-46A5-9F75-D70A4AB90E23}"/>
  </w:font>
  <w:font w:name="Calibri Light">
    <w:altName w:val="Calibri"/>
    <w:panose1 w:val="020F0302020204030204"/>
    <w:charset w:val="00"/>
    <w:family w:val="auto"/>
    <w:pitch w:val="default"/>
    <w:sig w:usb0="00000000" w:usb1="00000000"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0" w:usb1="00000000" w:usb2="00000000" w:usb3="00000000" w:csb0="00000000" w:csb1="00000000"/>
    <w:embedRegular r:id="rId5" w:fontKey="{09ACB6D3-B3FE-4AE9-8549-3F01887B78F3}"/>
  </w:font>
  <w:font w:name="方正小标宋_GBK">
    <w:panose1 w:val="02000000000000000000"/>
    <w:charset w:val="86"/>
    <w:family w:val="script"/>
    <w:pitch w:val="default"/>
    <w:sig w:usb0="00000000" w:usb1="00000000" w:usb2="00000000" w:usb3="00000000" w:csb0="00000000" w:csb1="00000000"/>
    <w:embedRegular r:id="rId6" w:fontKey="{8E371184-4037-42E8-A2D7-C36BD4E28F46}"/>
  </w:font>
  <w:font w:name="仿宋_GB2312">
    <w:panose1 w:val="02010609030101010101"/>
    <w:charset w:val="86"/>
    <w:family w:val="auto"/>
    <w:pitch w:val="default"/>
    <w:sig w:usb0="00000000" w:usb1="00000000" w:usb2="00000000" w:usb3="00000000" w:csb0="00000000" w:csb1="00000000"/>
    <w:embedRegular r:id="rId7" w:fontKey="{D32B7C8F-F31B-41AD-BA08-487EA0503F19}"/>
  </w:font>
  <w:font w:name="ArialUnicodeMS">
    <w:altName w:val="Malgun Gothic"/>
    <w:panose1 w:val="00000000000000000000"/>
    <w:charset w:val="81"/>
    <w:family w:val="auto"/>
    <w:pitch w:val="default"/>
    <w:sig w:usb0="00000000" w:usb1="00000000" w:usb2="00000010" w:usb3="00000000" w:csb0="00080001" w:csb1="00000000"/>
    <w:embedRegular r:id="rId8" w:fontKey="{AEA6C97D-77C5-44C2-BD07-F57C4C8A077D}"/>
  </w:font>
  <w:font w:name="方正仿宋_GB2312">
    <w:altName w:val="仿宋"/>
    <w:panose1 w:val="02000000000000000000"/>
    <w:charset w:val="86"/>
    <w:family w:val="auto"/>
    <w:pitch w:val="default"/>
    <w:sig w:usb0="00000000" w:usb1="00000000" w:usb2="00000012" w:usb3="00000000" w:csb0="00040001" w:csb1="00000000"/>
    <w:embedRegular r:id="rId9" w:fontKey="{68CA017A-B87E-4789-BDD1-D9B17EF41B8E}"/>
  </w:font>
  <w:font w:name="仿宋_GB2312">
    <w:panose1 w:val="02010609030101010101"/>
    <w:charset w:val="00"/>
    <w:family w:val="auto"/>
    <w:pitch w:val="default"/>
    <w:sig w:usb0="00000000" w:usb1="00000000" w:usb2="00000000" w:usb3="00000000" w:csb0="00000000" w:csb1="00000000"/>
  </w:font>
  <w:font w:name="Malgun Gothic">
    <w:panose1 w:val="020B0503020000020004"/>
    <w:charset w:val="81"/>
    <w:family w:val="auto"/>
    <w:pitch w:val="default"/>
    <w:sig w:usb0="900002AF" w:usb1="01D77CFB" w:usb2="00000012" w:usb3="00000000" w:csb0="00080001" w:csb1="00000000"/>
  </w:font>
  <w:font w:name="DengXian-Regular">
    <w:altName w:val="宋体"/>
    <w:panose1 w:val="00000000000000000000"/>
    <w:charset w:val="86"/>
    <w:family w:val="auto"/>
    <w:pitch w:val="default"/>
    <w:sig w:usb0="00000000" w:usb1="00000000" w:usb2="00000010" w:usb3="00000000" w:csb0="00040001" w:csb1="00000000"/>
    <w:embedRegular r:id="rId10" w:fontKey="{E7990B2E-ADB7-47BF-B9BF-70C4A1564C7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16A424"/>
    <w:multiLevelType w:val="multilevel"/>
    <w:tmpl w:val="5F16A424"/>
    <w:lvl w:ilvl="0" w:tentative="0">
      <w:start w:val="1"/>
      <w:numFmt w:val="decimal"/>
      <w:pStyle w:val="2"/>
      <w:lvlText w:val="%1."/>
      <w:lvlJc w:val="left"/>
      <w:pPr>
        <w:ind w:left="425" w:hanging="425"/>
      </w:pPr>
      <w:rPr>
        <w:rFonts w:hint="default"/>
      </w:rPr>
    </w:lvl>
    <w:lvl w:ilvl="1" w:tentative="0">
      <w:start w:val="1"/>
      <w:numFmt w:val="decimal"/>
      <w:pStyle w:val="3"/>
      <w:lvlText w:val="%1.%2."/>
      <w:lvlJc w:val="left"/>
      <w:pPr>
        <w:ind w:left="567" w:hanging="567"/>
      </w:pPr>
      <w:rPr>
        <w:rFonts w:hint="default"/>
      </w:rPr>
    </w:lvl>
    <w:lvl w:ilvl="2" w:tentative="0">
      <w:start w:val="1"/>
      <w:numFmt w:val="decimal"/>
      <w:pStyle w:val="4"/>
      <w:lvlText w:val="%1.%2.%3."/>
      <w:lvlJc w:val="left"/>
      <w:pPr>
        <w:ind w:left="709" w:hanging="709"/>
      </w:pPr>
      <w:rPr>
        <w:rFonts w:hint="default"/>
      </w:rPr>
    </w:lvl>
    <w:lvl w:ilvl="3" w:tentative="0">
      <w:start w:val="1"/>
      <w:numFmt w:val="decimal"/>
      <w:pStyle w:val="5"/>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TrueTypeFonts/>
  <w:saveSubsetFonts/>
  <w:bordersDoNotSurroundHeader w:val="0"/>
  <w:bordersDoNotSurroundFooter w:val="0"/>
  <w:documentProtection w:enforcement="0"/>
  <w:defaultTabStop w:val="420"/>
  <w:drawingGridVerticalSpacing w:val="16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jksImhkaWQiOiJiMzk2N2EzZjUyYWViODRjZjJhMDZjM2YyYjk4MTExMiIsInVzZXJDb3VudCI6MX0="/>
  </w:docVars>
  <w:rsids>
    <w:rsidRoot w:val="00000000"/>
    <w:rsid w:val="00086151"/>
    <w:rsid w:val="00236F8C"/>
    <w:rsid w:val="00822154"/>
    <w:rsid w:val="00C65689"/>
    <w:rsid w:val="00CC2C8E"/>
    <w:rsid w:val="01A03C5A"/>
    <w:rsid w:val="01A5267D"/>
    <w:rsid w:val="01AF6A8D"/>
    <w:rsid w:val="024808A2"/>
    <w:rsid w:val="025C3821"/>
    <w:rsid w:val="02DA3B1B"/>
    <w:rsid w:val="02E57B4D"/>
    <w:rsid w:val="03450B90"/>
    <w:rsid w:val="037B12D4"/>
    <w:rsid w:val="03804D63"/>
    <w:rsid w:val="03FB73B0"/>
    <w:rsid w:val="04806B11"/>
    <w:rsid w:val="049C1B9D"/>
    <w:rsid w:val="04BD008C"/>
    <w:rsid w:val="04C55939"/>
    <w:rsid w:val="04DA28BB"/>
    <w:rsid w:val="04F528BE"/>
    <w:rsid w:val="050E10CE"/>
    <w:rsid w:val="054F2DFB"/>
    <w:rsid w:val="05991C82"/>
    <w:rsid w:val="05CD1EC8"/>
    <w:rsid w:val="061416A9"/>
    <w:rsid w:val="061D60A6"/>
    <w:rsid w:val="06236884"/>
    <w:rsid w:val="06B07006"/>
    <w:rsid w:val="06FC7C2A"/>
    <w:rsid w:val="07533AFE"/>
    <w:rsid w:val="07AC18F2"/>
    <w:rsid w:val="07B3657A"/>
    <w:rsid w:val="07C857D0"/>
    <w:rsid w:val="083F3A0A"/>
    <w:rsid w:val="08AB5AAF"/>
    <w:rsid w:val="09012C64"/>
    <w:rsid w:val="093B2E99"/>
    <w:rsid w:val="095D7943"/>
    <w:rsid w:val="09C006C6"/>
    <w:rsid w:val="0A10621F"/>
    <w:rsid w:val="0A464C4F"/>
    <w:rsid w:val="0A6729A3"/>
    <w:rsid w:val="0A694877"/>
    <w:rsid w:val="0AA954BE"/>
    <w:rsid w:val="0AC76CC2"/>
    <w:rsid w:val="0AE70639"/>
    <w:rsid w:val="0B4F5E6D"/>
    <w:rsid w:val="0B753AE2"/>
    <w:rsid w:val="0BB67D0A"/>
    <w:rsid w:val="0BC56230"/>
    <w:rsid w:val="0BCF21BD"/>
    <w:rsid w:val="0C4E53E8"/>
    <w:rsid w:val="0C6712D6"/>
    <w:rsid w:val="0C9F7900"/>
    <w:rsid w:val="0CB23317"/>
    <w:rsid w:val="0D101068"/>
    <w:rsid w:val="0D4E13BE"/>
    <w:rsid w:val="0D7557DF"/>
    <w:rsid w:val="0D853E34"/>
    <w:rsid w:val="0D9C2A57"/>
    <w:rsid w:val="0DC3019B"/>
    <w:rsid w:val="0DFA5D82"/>
    <w:rsid w:val="0E1E52CE"/>
    <w:rsid w:val="0E866524"/>
    <w:rsid w:val="0E9268D3"/>
    <w:rsid w:val="0E957F1F"/>
    <w:rsid w:val="0F0E7284"/>
    <w:rsid w:val="0F28110F"/>
    <w:rsid w:val="0F37083F"/>
    <w:rsid w:val="0F7470AF"/>
    <w:rsid w:val="0F891DB8"/>
    <w:rsid w:val="0F8D3287"/>
    <w:rsid w:val="0FAA3B86"/>
    <w:rsid w:val="10191346"/>
    <w:rsid w:val="102A01A6"/>
    <w:rsid w:val="105A290D"/>
    <w:rsid w:val="10754A6C"/>
    <w:rsid w:val="108B537D"/>
    <w:rsid w:val="10B11DB1"/>
    <w:rsid w:val="11177F57"/>
    <w:rsid w:val="11217C97"/>
    <w:rsid w:val="11464C20"/>
    <w:rsid w:val="115E4926"/>
    <w:rsid w:val="118A1FFA"/>
    <w:rsid w:val="11E35B5A"/>
    <w:rsid w:val="11E42DD6"/>
    <w:rsid w:val="125F5A1B"/>
    <w:rsid w:val="126979D6"/>
    <w:rsid w:val="129E45A7"/>
    <w:rsid w:val="13074404"/>
    <w:rsid w:val="136A5C00"/>
    <w:rsid w:val="13B97B08"/>
    <w:rsid w:val="13C527AC"/>
    <w:rsid w:val="14711797"/>
    <w:rsid w:val="147B6F17"/>
    <w:rsid w:val="14D42061"/>
    <w:rsid w:val="15081C8B"/>
    <w:rsid w:val="15090D5C"/>
    <w:rsid w:val="15CF053D"/>
    <w:rsid w:val="15E0131A"/>
    <w:rsid w:val="15E11DC0"/>
    <w:rsid w:val="16457D9F"/>
    <w:rsid w:val="16801217"/>
    <w:rsid w:val="17223EFF"/>
    <w:rsid w:val="17AA5F28"/>
    <w:rsid w:val="17B713F6"/>
    <w:rsid w:val="184350A0"/>
    <w:rsid w:val="18935485"/>
    <w:rsid w:val="18A34206"/>
    <w:rsid w:val="18DE3B2C"/>
    <w:rsid w:val="1906685D"/>
    <w:rsid w:val="19111683"/>
    <w:rsid w:val="19353916"/>
    <w:rsid w:val="193E101D"/>
    <w:rsid w:val="19C10AF1"/>
    <w:rsid w:val="1A017CDA"/>
    <w:rsid w:val="1A2672DE"/>
    <w:rsid w:val="1AA81D42"/>
    <w:rsid w:val="1AB433D9"/>
    <w:rsid w:val="1AFB6D70"/>
    <w:rsid w:val="1B1B11EE"/>
    <w:rsid w:val="1B3719E0"/>
    <w:rsid w:val="1B6261C3"/>
    <w:rsid w:val="1B731730"/>
    <w:rsid w:val="1B882BB5"/>
    <w:rsid w:val="1B9B33C7"/>
    <w:rsid w:val="1B9D7FEC"/>
    <w:rsid w:val="1BA55461"/>
    <w:rsid w:val="1BE74496"/>
    <w:rsid w:val="1C3D67D1"/>
    <w:rsid w:val="1C40731A"/>
    <w:rsid w:val="1C506572"/>
    <w:rsid w:val="1C560392"/>
    <w:rsid w:val="1C581532"/>
    <w:rsid w:val="1C9F2E05"/>
    <w:rsid w:val="1CA15E03"/>
    <w:rsid w:val="1CA24F0C"/>
    <w:rsid w:val="1CF8716C"/>
    <w:rsid w:val="1D0B0CAE"/>
    <w:rsid w:val="1D1638FE"/>
    <w:rsid w:val="1D1E545A"/>
    <w:rsid w:val="1D4B1F5B"/>
    <w:rsid w:val="1D6C5CA0"/>
    <w:rsid w:val="1D725586"/>
    <w:rsid w:val="1D745B4F"/>
    <w:rsid w:val="1D867987"/>
    <w:rsid w:val="1D944010"/>
    <w:rsid w:val="1DD70E85"/>
    <w:rsid w:val="1DE74AD7"/>
    <w:rsid w:val="1DF60A19"/>
    <w:rsid w:val="1DFA6713"/>
    <w:rsid w:val="1E050843"/>
    <w:rsid w:val="1E2D3FB0"/>
    <w:rsid w:val="1E2E50F1"/>
    <w:rsid w:val="1E3B4E26"/>
    <w:rsid w:val="1EDF707D"/>
    <w:rsid w:val="1F394761"/>
    <w:rsid w:val="1F65664C"/>
    <w:rsid w:val="1F7C149A"/>
    <w:rsid w:val="1F84140D"/>
    <w:rsid w:val="1F9B7FFD"/>
    <w:rsid w:val="1F9C7614"/>
    <w:rsid w:val="1FBE1971"/>
    <w:rsid w:val="2008768D"/>
    <w:rsid w:val="204B327F"/>
    <w:rsid w:val="204C2B10"/>
    <w:rsid w:val="207D30AD"/>
    <w:rsid w:val="209064B9"/>
    <w:rsid w:val="20970D81"/>
    <w:rsid w:val="20D165D5"/>
    <w:rsid w:val="210878E6"/>
    <w:rsid w:val="210E1408"/>
    <w:rsid w:val="211069AD"/>
    <w:rsid w:val="21505642"/>
    <w:rsid w:val="21573FAB"/>
    <w:rsid w:val="2172069C"/>
    <w:rsid w:val="21987BC4"/>
    <w:rsid w:val="21BE314A"/>
    <w:rsid w:val="220451AB"/>
    <w:rsid w:val="2237486E"/>
    <w:rsid w:val="223D1378"/>
    <w:rsid w:val="22451BC7"/>
    <w:rsid w:val="22940650"/>
    <w:rsid w:val="22AD4B1E"/>
    <w:rsid w:val="22C43743"/>
    <w:rsid w:val="22D31DF3"/>
    <w:rsid w:val="22DF57F0"/>
    <w:rsid w:val="22FD3CF7"/>
    <w:rsid w:val="232C221B"/>
    <w:rsid w:val="2356249E"/>
    <w:rsid w:val="236E713A"/>
    <w:rsid w:val="23700968"/>
    <w:rsid w:val="238761A6"/>
    <w:rsid w:val="23920578"/>
    <w:rsid w:val="23BB6F9A"/>
    <w:rsid w:val="23FC3864"/>
    <w:rsid w:val="24857B00"/>
    <w:rsid w:val="24F25212"/>
    <w:rsid w:val="251B0465"/>
    <w:rsid w:val="254B0AC6"/>
    <w:rsid w:val="25571AB6"/>
    <w:rsid w:val="25B40AD6"/>
    <w:rsid w:val="25BE7872"/>
    <w:rsid w:val="25BF702A"/>
    <w:rsid w:val="26390459"/>
    <w:rsid w:val="264D2D17"/>
    <w:rsid w:val="26D50E55"/>
    <w:rsid w:val="271A539C"/>
    <w:rsid w:val="273823FA"/>
    <w:rsid w:val="274972D4"/>
    <w:rsid w:val="27AA3D97"/>
    <w:rsid w:val="280A3758"/>
    <w:rsid w:val="28292E99"/>
    <w:rsid w:val="289057C5"/>
    <w:rsid w:val="28A67C7A"/>
    <w:rsid w:val="28EA3248"/>
    <w:rsid w:val="28F879DA"/>
    <w:rsid w:val="294B7731"/>
    <w:rsid w:val="29514455"/>
    <w:rsid w:val="29D21FF2"/>
    <w:rsid w:val="2A611B0F"/>
    <w:rsid w:val="2AC1762B"/>
    <w:rsid w:val="2AE845D0"/>
    <w:rsid w:val="2B4975FB"/>
    <w:rsid w:val="2B695031"/>
    <w:rsid w:val="2B735A8F"/>
    <w:rsid w:val="2BA7478D"/>
    <w:rsid w:val="2BB038DB"/>
    <w:rsid w:val="2BB761E0"/>
    <w:rsid w:val="2BB812F9"/>
    <w:rsid w:val="2BE35C27"/>
    <w:rsid w:val="2BFA504B"/>
    <w:rsid w:val="2C681F1F"/>
    <w:rsid w:val="2C8608DC"/>
    <w:rsid w:val="2CA4764A"/>
    <w:rsid w:val="2CC42ECA"/>
    <w:rsid w:val="2CDA4349"/>
    <w:rsid w:val="2D225539"/>
    <w:rsid w:val="2D4618D2"/>
    <w:rsid w:val="2D5F021B"/>
    <w:rsid w:val="2D6E1286"/>
    <w:rsid w:val="2D70583E"/>
    <w:rsid w:val="2E0725DC"/>
    <w:rsid w:val="2E1B4BB8"/>
    <w:rsid w:val="2E256CB6"/>
    <w:rsid w:val="2E5F27E4"/>
    <w:rsid w:val="2EBD223E"/>
    <w:rsid w:val="2EC10AD1"/>
    <w:rsid w:val="2ECB6A5A"/>
    <w:rsid w:val="2EE65418"/>
    <w:rsid w:val="2EFC0112"/>
    <w:rsid w:val="2F0F6197"/>
    <w:rsid w:val="2F2B730D"/>
    <w:rsid w:val="2F9F3DC1"/>
    <w:rsid w:val="2FFC7AC2"/>
    <w:rsid w:val="301430AF"/>
    <w:rsid w:val="30630612"/>
    <w:rsid w:val="308E59B0"/>
    <w:rsid w:val="30B10568"/>
    <w:rsid w:val="30E55DD3"/>
    <w:rsid w:val="30E60399"/>
    <w:rsid w:val="31142B22"/>
    <w:rsid w:val="31356AA5"/>
    <w:rsid w:val="313E22F0"/>
    <w:rsid w:val="31B0194C"/>
    <w:rsid w:val="31CE17D1"/>
    <w:rsid w:val="32270449"/>
    <w:rsid w:val="323E4515"/>
    <w:rsid w:val="3286389B"/>
    <w:rsid w:val="32994FDB"/>
    <w:rsid w:val="32CF5C94"/>
    <w:rsid w:val="32D337C7"/>
    <w:rsid w:val="32E200EC"/>
    <w:rsid w:val="32E5408B"/>
    <w:rsid w:val="32EB0D70"/>
    <w:rsid w:val="332824BC"/>
    <w:rsid w:val="332868BB"/>
    <w:rsid w:val="333211F3"/>
    <w:rsid w:val="33504B41"/>
    <w:rsid w:val="338B4A07"/>
    <w:rsid w:val="33944811"/>
    <w:rsid w:val="33CE0488"/>
    <w:rsid w:val="341D31EE"/>
    <w:rsid w:val="34262463"/>
    <w:rsid w:val="34296F31"/>
    <w:rsid w:val="34340A27"/>
    <w:rsid w:val="346A2989"/>
    <w:rsid w:val="348865E9"/>
    <w:rsid w:val="348F70D5"/>
    <w:rsid w:val="349D2BAD"/>
    <w:rsid w:val="34B25886"/>
    <w:rsid w:val="35277FF8"/>
    <w:rsid w:val="35763460"/>
    <w:rsid w:val="35776F72"/>
    <w:rsid w:val="35997371"/>
    <w:rsid w:val="35DD4D47"/>
    <w:rsid w:val="360134DF"/>
    <w:rsid w:val="360B1E2F"/>
    <w:rsid w:val="360D500F"/>
    <w:rsid w:val="36330424"/>
    <w:rsid w:val="365163DD"/>
    <w:rsid w:val="36FE3ABA"/>
    <w:rsid w:val="37072BDE"/>
    <w:rsid w:val="37455334"/>
    <w:rsid w:val="37527C32"/>
    <w:rsid w:val="37731921"/>
    <w:rsid w:val="37D3341E"/>
    <w:rsid w:val="37E509C0"/>
    <w:rsid w:val="37E96FB8"/>
    <w:rsid w:val="38222D85"/>
    <w:rsid w:val="38803721"/>
    <w:rsid w:val="38925A62"/>
    <w:rsid w:val="389F5F4F"/>
    <w:rsid w:val="38C36BA2"/>
    <w:rsid w:val="38E11CEF"/>
    <w:rsid w:val="38F6595C"/>
    <w:rsid w:val="391702A7"/>
    <w:rsid w:val="39286EB6"/>
    <w:rsid w:val="39601DF4"/>
    <w:rsid w:val="396960F3"/>
    <w:rsid w:val="39840D35"/>
    <w:rsid w:val="39A97DAF"/>
    <w:rsid w:val="39CD1330"/>
    <w:rsid w:val="39DD1AFF"/>
    <w:rsid w:val="3A2510B9"/>
    <w:rsid w:val="3A2B1DFC"/>
    <w:rsid w:val="3AA6422C"/>
    <w:rsid w:val="3AAF46D5"/>
    <w:rsid w:val="3AF562AE"/>
    <w:rsid w:val="3B135A0E"/>
    <w:rsid w:val="3B272BBC"/>
    <w:rsid w:val="3B374FEE"/>
    <w:rsid w:val="3B4410EE"/>
    <w:rsid w:val="3B56159C"/>
    <w:rsid w:val="3B596DF7"/>
    <w:rsid w:val="3B7D732B"/>
    <w:rsid w:val="3BD30423"/>
    <w:rsid w:val="3C6C0B58"/>
    <w:rsid w:val="3CBE41D5"/>
    <w:rsid w:val="3D446B0E"/>
    <w:rsid w:val="3D745844"/>
    <w:rsid w:val="3D8626D0"/>
    <w:rsid w:val="3D953A6B"/>
    <w:rsid w:val="3DBB5979"/>
    <w:rsid w:val="3DD56F21"/>
    <w:rsid w:val="3DEF6699"/>
    <w:rsid w:val="3E1057AF"/>
    <w:rsid w:val="3E6C0DFA"/>
    <w:rsid w:val="3E740322"/>
    <w:rsid w:val="3E7F4380"/>
    <w:rsid w:val="3E8D171B"/>
    <w:rsid w:val="3EA5630D"/>
    <w:rsid w:val="3EBA731B"/>
    <w:rsid w:val="3EE33949"/>
    <w:rsid w:val="3EFB5800"/>
    <w:rsid w:val="3F3B4E59"/>
    <w:rsid w:val="3F6E677C"/>
    <w:rsid w:val="3F712F46"/>
    <w:rsid w:val="3FBC0EF7"/>
    <w:rsid w:val="3FCD2AB9"/>
    <w:rsid w:val="3FD17600"/>
    <w:rsid w:val="402E7C36"/>
    <w:rsid w:val="4050218A"/>
    <w:rsid w:val="405C7868"/>
    <w:rsid w:val="408B24EB"/>
    <w:rsid w:val="408D1DBF"/>
    <w:rsid w:val="40C652D1"/>
    <w:rsid w:val="410D027D"/>
    <w:rsid w:val="417044B8"/>
    <w:rsid w:val="41A203A0"/>
    <w:rsid w:val="41A25D3E"/>
    <w:rsid w:val="41C77987"/>
    <w:rsid w:val="41E83F8C"/>
    <w:rsid w:val="422D1842"/>
    <w:rsid w:val="425B7C31"/>
    <w:rsid w:val="427D66D0"/>
    <w:rsid w:val="42BC7E02"/>
    <w:rsid w:val="42C82575"/>
    <w:rsid w:val="43022EE1"/>
    <w:rsid w:val="431A5F8F"/>
    <w:rsid w:val="431F247A"/>
    <w:rsid w:val="43335E8F"/>
    <w:rsid w:val="433F2968"/>
    <w:rsid w:val="43655F7F"/>
    <w:rsid w:val="43676E20"/>
    <w:rsid w:val="43A31040"/>
    <w:rsid w:val="43BF774E"/>
    <w:rsid w:val="43CD062F"/>
    <w:rsid w:val="43E214F9"/>
    <w:rsid w:val="43F06264"/>
    <w:rsid w:val="44404C8E"/>
    <w:rsid w:val="447537F1"/>
    <w:rsid w:val="44870D07"/>
    <w:rsid w:val="44D33826"/>
    <w:rsid w:val="45344EFF"/>
    <w:rsid w:val="45513D03"/>
    <w:rsid w:val="45541E1C"/>
    <w:rsid w:val="45FE7734"/>
    <w:rsid w:val="461F0A8B"/>
    <w:rsid w:val="4648721E"/>
    <w:rsid w:val="46663E71"/>
    <w:rsid w:val="466A37AC"/>
    <w:rsid w:val="468A1A00"/>
    <w:rsid w:val="46CB071B"/>
    <w:rsid w:val="46DE140B"/>
    <w:rsid w:val="46E77334"/>
    <w:rsid w:val="46F22E29"/>
    <w:rsid w:val="46F7142F"/>
    <w:rsid w:val="47107AE3"/>
    <w:rsid w:val="473C62ED"/>
    <w:rsid w:val="47617242"/>
    <w:rsid w:val="478C16C9"/>
    <w:rsid w:val="47BD246B"/>
    <w:rsid w:val="47C94366"/>
    <w:rsid w:val="47CB2B0C"/>
    <w:rsid w:val="47E773CE"/>
    <w:rsid w:val="47EE2C9A"/>
    <w:rsid w:val="47F00499"/>
    <w:rsid w:val="48015FF5"/>
    <w:rsid w:val="483820D2"/>
    <w:rsid w:val="48692CD0"/>
    <w:rsid w:val="48AE3D01"/>
    <w:rsid w:val="48B96318"/>
    <w:rsid w:val="49067B2F"/>
    <w:rsid w:val="49677E31"/>
    <w:rsid w:val="496C2225"/>
    <w:rsid w:val="49A35E02"/>
    <w:rsid w:val="49AE2880"/>
    <w:rsid w:val="49F42EAF"/>
    <w:rsid w:val="4A337323"/>
    <w:rsid w:val="4A5B28DC"/>
    <w:rsid w:val="4AA06B93"/>
    <w:rsid w:val="4ADB18EB"/>
    <w:rsid w:val="4B3A6FE7"/>
    <w:rsid w:val="4B96118E"/>
    <w:rsid w:val="4BAE1B66"/>
    <w:rsid w:val="4BC806E6"/>
    <w:rsid w:val="4BED4708"/>
    <w:rsid w:val="4BF133DC"/>
    <w:rsid w:val="4C2E4987"/>
    <w:rsid w:val="4C4117A4"/>
    <w:rsid w:val="4C507D4A"/>
    <w:rsid w:val="4CDF5563"/>
    <w:rsid w:val="4CFB2214"/>
    <w:rsid w:val="4D2C4D26"/>
    <w:rsid w:val="4D335E0E"/>
    <w:rsid w:val="4D4E4EA3"/>
    <w:rsid w:val="4D9A5B1B"/>
    <w:rsid w:val="4DA55D85"/>
    <w:rsid w:val="4DBB20DB"/>
    <w:rsid w:val="4DDC3F22"/>
    <w:rsid w:val="4DE66FB2"/>
    <w:rsid w:val="4DEC6CB8"/>
    <w:rsid w:val="4E1040C7"/>
    <w:rsid w:val="4E1760BF"/>
    <w:rsid w:val="4E30647F"/>
    <w:rsid w:val="4EBA03C3"/>
    <w:rsid w:val="4EBC5459"/>
    <w:rsid w:val="4ED94CB0"/>
    <w:rsid w:val="4EEC2ED3"/>
    <w:rsid w:val="4F0E56EA"/>
    <w:rsid w:val="4F2E11BC"/>
    <w:rsid w:val="4F3C4343"/>
    <w:rsid w:val="4F416688"/>
    <w:rsid w:val="4F5620B0"/>
    <w:rsid w:val="4F616EB4"/>
    <w:rsid w:val="4F6654EE"/>
    <w:rsid w:val="4F7379C6"/>
    <w:rsid w:val="4F872BDB"/>
    <w:rsid w:val="4FA033E9"/>
    <w:rsid w:val="4FA743DA"/>
    <w:rsid w:val="4FB3565A"/>
    <w:rsid w:val="4FC4714D"/>
    <w:rsid w:val="503D1C79"/>
    <w:rsid w:val="507A6406"/>
    <w:rsid w:val="50853863"/>
    <w:rsid w:val="508A4590"/>
    <w:rsid w:val="50F1461D"/>
    <w:rsid w:val="50FE5411"/>
    <w:rsid w:val="510B072E"/>
    <w:rsid w:val="511B0BF4"/>
    <w:rsid w:val="51264306"/>
    <w:rsid w:val="514E62C9"/>
    <w:rsid w:val="516123CE"/>
    <w:rsid w:val="51932FAD"/>
    <w:rsid w:val="51B177A9"/>
    <w:rsid w:val="51E066EB"/>
    <w:rsid w:val="520C0C6A"/>
    <w:rsid w:val="52640E8B"/>
    <w:rsid w:val="5267570A"/>
    <w:rsid w:val="52707792"/>
    <w:rsid w:val="52A12CDC"/>
    <w:rsid w:val="52DF0C92"/>
    <w:rsid w:val="52E1159C"/>
    <w:rsid w:val="52E34D6A"/>
    <w:rsid w:val="531E524E"/>
    <w:rsid w:val="534072EB"/>
    <w:rsid w:val="537648BE"/>
    <w:rsid w:val="538E2D0B"/>
    <w:rsid w:val="53922782"/>
    <w:rsid w:val="539C1424"/>
    <w:rsid w:val="53A639C0"/>
    <w:rsid w:val="53F00A24"/>
    <w:rsid w:val="53F63DBA"/>
    <w:rsid w:val="5448624E"/>
    <w:rsid w:val="546E2B1A"/>
    <w:rsid w:val="5482555F"/>
    <w:rsid w:val="54A31DD8"/>
    <w:rsid w:val="54AA6F8B"/>
    <w:rsid w:val="54AC2B5F"/>
    <w:rsid w:val="54D26583"/>
    <w:rsid w:val="55363E67"/>
    <w:rsid w:val="556E6DF7"/>
    <w:rsid w:val="55965CE3"/>
    <w:rsid w:val="559D47CE"/>
    <w:rsid w:val="55BE1959"/>
    <w:rsid w:val="56232437"/>
    <w:rsid w:val="56541A75"/>
    <w:rsid w:val="568832FC"/>
    <w:rsid w:val="568C4181"/>
    <w:rsid w:val="570725A9"/>
    <w:rsid w:val="5714693E"/>
    <w:rsid w:val="571D0C9C"/>
    <w:rsid w:val="573A16CE"/>
    <w:rsid w:val="579C7F80"/>
    <w:rsid w:val="57B30D7C"/>
    <w:rsid w:val="58166B03"/>
    <w:rsid w:val="583E3C94"/>
    <w:rsid w:val="58721734"/>
    <w:rsid w:val="58900246"/>
    <w:rsid w:val="58977358"/>
    <w:rsid w:val="58D53944"/>
    <w:rsid w:val="58D65478"/>
    <w:rsid w:val="58F52487"/>
    <w:rsid w:val="590422E6"/>
    <w:rsid w:val="592257E5"/>
    <w:rsid w:val="59655E33"/>
    <w:rsid w:val="59CF5BD9"/>
    <w:rsid w:val="59E20C3C"/>
    <w:rsid w:val="5A1D5B0A"/>
    <w:rsid w:val="5A3B4B4E"/>
    <w:rsid w:val="5A4804CA"/>
    <w:rsid w:val="5A594C85"/>
    <w:rsid w:val="5A8842AA"/>
    <w:rsid w:val="5AEB1E3C"/>
    <w:rsid w:val="5B2507CA"/>
    <w:rsid w:val="5B2A474A"/>
    <w:rsid w:val="5B2D237E"/>
    <w:rsid w:val="5B830730"/>
    <w:rsid w:val="5BBB2DD6"/>
    <w:rsid w:val="5BE263B6"/>
    <w:rsid w:val="5C8E5C5A"/>
    <w:rsid w:val="5C965E61"/>
    <w:rsid w:val="5CF0089C"/>
    <w:rsid w:val="5CF5796F"/>
    <w:rsid w:val="5D242A11"/>
    <w:rsid w:val="5D9217C2"/>
    <w:rsid w:val="5DAD06BF"/>
    <w:rsid w:val="5DC92CE9"/>
    <w:rsid w:val="5DE23CB3"/>
    <w:rsid w:val="5DE97EEC"/>
    <w:rsid w:val="5DFA5EB0"/>
    <w:rsid w:val="5E000E4D"/>
    <w:rsid w:val="5E0B583E"/>
    <w:rsid w:val="5E201A7B"/>
    <w:rsid w:val="5EA45884"/>
    <w:rsid w:val="5EBD0484"/>
    <w:rsid w:val="5F2C5C7C"/>
    <w:rsid w:val="5F36141C"/>
    <w:rsid w:val="5FC5273F"/>
    <w:rsid w:val="604F6C39"/>
    <w:rsid w:val="60806DF2"/>
    <w:rsid w:val="60F50217"/>
    <w:rsid w:val="61072DA5"/>
    <w:rsid w:val="611C0817"/>
    <w:rsid w:val="61224A52"/>
    <w:rsid w:val="61520CCB"/>
    <w:rsid w:val="61851A29"/>
    <w:rsid w:val="622D1522"/>
    <w:rsid w:val="622E0574"/>
    <w:rsid w:val="62683B6B"/>
    <w:rsid w:val="6275761C"/>
    <w:rsid w:val="62816E52"/>
    <w:rsid w:val="62AB7BE6"/>
    <w:rsid w:val="62AC5944"/>
    <w:rsid w:val="63182808"/>
    <w:rsid w:val="632F3F8A"/>
    <w:rsid w:val="63716241"/>
    <w:rsid w:val="637279B4"/>
    <w:rsid w:val="63817D2B"/>
    <w:rsid w:val="63BD1FA9"/>
    <w:rsid w:val="63D175D1"/>
    <w:rsid w:val="63D27965"/>
    <w:rsid w:val="63F4667E"/>
    <w:rsid w:val="64095516"/>
    <w:rsid w:val="641A2468"/>
    <w:rsid w:val="64372F20"/>
    <w:rsid w:val="64757B32"/>
    <w:rsid w:val="648944D0"/>
    <w:rsid w:val="64DC72D7"/>
    <w:rsid w:val="64FA42B4"/>
    <w:rsid w:val="653619A6"/>
    <w:rsid w:val="65610A02"/>
    <w:rsid w:val="65720EDC"/>
    <w:rsid w:val="65A11EA3"/>
    <w:rsid w:val="65AC3D66"/>
    <w:rsid w:val="65BB5334"/>
    <w:rsid w:val="663E1DBA"/>
    <w:rsid w:val="665D0213"/>
    <w:rsid w:val="668506C7"/>
    <w:rsid w:val="669E59F1"/>
    <w:rsid w:val="66A2024B"/>
    <w:rsid w:val="66CB5E2D"/>
    <w:rsid w:val="6704732B"/>
    <w:rsid w:val="670F6731"/>
    <w:rsid w:val="67585CB0"/>
    <w:rsid w:val="67770F0C"/>
    <w:rsid w:val="67B03535"/>
    <w:rsid w:val="68174F69"/>
    <w:rsid w:val="682C436A"/>
    <w:rsid w:val="68382778"/>
    <w:rsid w:val="68391F41"/>
    <w:rsid w:val="68436B8C"/>
    <w:rsid w:val="68797358"/>
    <w:rsid w:val="6884624F"/>
    <w:rsid w:val="68A519DF"/>
    <w:rsid w:val="68C4160B"/>
    <w:rsid w:val="68C41C30"/>
    <w:rsid w:val="68CF3BA4"/>
    <w:rsid w:val="69257FA7"/>
    <w:rsid w:val="693F26C7"/>
    <w:rsid w:val="697E12B2"/>
    <w:rsid w:val="69C8706D"/>
    <w:rsid w:val="6A0E3FB4"/>
    <w:rsid w:val="6A292754"/>
    <w:rsid w:val="6A5E3B28"/>
    <w:rsid w:val="6A6B1EBE"/>
    <w:rsid w:val="6A8F43F7"/>
    <w:rsid w:val="6AD625F3"/>
    <w:rsid w:val="6B7218BE"/>
    <w:rsid w:val="6B750BA9"/>
    <w:rsid w:val="6BB93285"/>
    <w:rsid w:val="6C0C698C"/>
    <w:rsid w:val="6C222401"/>
    <w:rsid w:val="6C56267F"/>
    <w:rsid w:val="6C826EF9"/>
    <w:rsid w:val="6CAE4C93"/>
    <w:rsid w:val="6CB14F16"/>
    <w:rsid w:val="6CEC2069"/>
    <w:rsid w:val="6D0B1869"/>
    <w:rsid w:val="6D65402D"/>
    <w:rsid w:val="6D683822"/>
    <w:rsid w:val="6D8D136C"/>
    <w:rsid w:val="6DBF2759"/>
    <w:rsid w:val="6DC96F36"/>
    <w:rsid w:val="6DFA3EBF"/>
    <w:rsid w:val="6E3E63D2"/>
    <w:rsid w:val="6E5F7BE6"/>
    <w:rsid w:val="6E6918C6"/>
    <w:rsid w:val="6EEB4AC4"/>
    <w:rsid w:val="6F212DD6"/>
    <w:rsid w:val="6F3B5912"/>
    <w:rsid w:val="6FA14A81"/>
    <w:rsid w:val="6FA3261F"/>
    <w:rsid w:val="6FB44BAA"/>
    <w:rsid w:val="700D6539"/>
    <w:rsid w:val="704203E3"/>
    <w:rsid w:val="7058046B"/>
    <w:rsid w:val="707F2079"/>
    <w:rsid w:val="70922734"/>
    <w:rsid w:val="70CD16CB"/>
    <w:rsid w:val="70CE6DC7"/>
    <w:rsid w:val="710B3646"/>
    <w:rsid w:val="711759F2"/>
    <w:rsid w:val="713C4ED8"/>
    <w:rsid w:val="71407642"/>
    <w:rsid w:val="71641210"/>
    <w:rsid w:val="71D95B7C"/>
    <w:rsid w:val="71EA6A50"/>
    <w:rsid w:val="71FE31A8"/>
    <w:rsid w:val="720C30AE"/>
    <w:rsid w:val="721A7983"/>
    <w:rsid w:val="721F6113"/>
    <w:rsid w:val="7233782C"/>
    <w:rsid w:val="726A729D"/>
    <w:rsid w:val="73177841"/>
    <w:rsid w:val="733774FE"/>
    <w:rsid w:val="73617E1B"/>
    <w:rsid w:val="736D7653"/>
    <w:rsid w:val="738035CB"/>
    <w:rsid w:val="73852C46"/>
    <w:rsid w:val="738B5F04"/>
    <w:rsid w:val="7396335C"/>
    <w:rsid w:val="73F46595"/>
    <w:rsid w:val="73F47FAE"/>
    <w:rsid w:val="74283FA2"/>
    <w:rsid w:val="742C135B"/>
    <w:rsid w:val="74463733"/>
    <w:rsid w:val="748A2F40"/>
    <w:rsid w:val="74D84FF7"/>
    <w:rsid w:val="74F85778"/>
    <w:rsid w:val="75272439"/>
    <w:rsid w:val="758F1E9B"/>
    <w:rsid w:val="75CE266B"/>
    <w:rsid w:val="76120141"/>
    <w:rsid w:val="768216BE"/>
    <w:rsid w:val="76C23B43"/>
    <w:rsid w:val="76FD6F97"/>
    <w:rsid w:val="770218E8"/>
    <w:rsid w:val="779469CE"/>
    <w:rsid w:val="77C875A5"/>
    <w:rsid w:val="78A27DF6"/>
    <w:rsid w:val="79285B3A"/>
    <w:rsid w:val="79490B03"/>
    <w:rsid w:val="79625CA9"/>
    <w:rsid w:val="79A91196"/>
    <w:rsid w:val="7A0B32D3"/>
    <w:rsid w:val="7AC13CD3"/>
    <w:rsid w:val="7AE10264"/>
    <w:rsid w:val="7AE4248E"/>
    <w:rsid w:val="7B4A207F"/>
    <w:rsid w:val="7B936F45"/>
    <w:rsid w:val="7BA47419"/>
    <w:rsid w:val="7BB10D45"/>
    <w:rsid w:val="7BB44151"/>
    <w:rsid w:val="7C656A39"/>
    <w:rsid w:val="7CB93996"/>
    <w:rsid w:val="7CBE0F99"/>
    <w:rsid w:val="7D4E45F1"/>
    <w:rsid w:val="7DFB6D82"/>
    <w:rsid w:val="7E1D71D1"/>
    <w:rsid w:val="7E246254"/>
    <w:rsid w:val="7E553215"/>
    <w:rsid w:val="7E6D090F"/>
    <w:rsid w:val="7ECC66B2"/>
    <w:rsid w:val="7F2914C3"/>
    <w:rsid w:val="7F5F2ED6"/>
    <w:rsid w:val="7FA837EF"/>
    <w:rsid w:val="7FC36955"/>
    <w:rsid w:val="7FE903A0"/>
    <w:rsid w:val="7FF07065"/>
    <w:rsid w:val="7FF97946"/>
    <w:rsid w:val="7FFE78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color w:val="auto"/>
      <w:kern w:val="0"/>
      <w:sz w:val="24"/>
      <w:szCs w:val="24"/>
      <w:lang w:val="en-US" w:eastAsia="zh-CN" w:bidi="ar-SA"/>
    </w:rPr>
  </w:style>
  <w:style w:type="paragraph" w:styleId="2">
    <w:name w:val="heading 1"/>
    <w:basedOn w:val="1"/>
    <w:next w:val="1"/>
    <w:qFormat/>
    <w:uiPriority w:val="0"/>
    <w:pPr>
      <w:keepNext/>
      <w:keepLines/>
      <w:numPr>
        <w:ilvl w:val="0"/>
        <w:numId w:val="1"/>
      </w:numPr>
      <w:adjustRightInd w:val="0"/>
      <w:snapToGrid w:val="0"/>
      <w:spacing w:before="340" w:after="50" w:afterLines="50" w:line="578" w:lineRule="auto"/>
      <w:ind w:left="425" w:hanging="425"/>
      <w:jc w:val="left"/>
      <w:outlineLvl w:val="0"/>
    </w:pPr>
    <w:rPr>
      <w:rFonts w:ascii="Times New Roman" w:hAnsi="Times New Roman" w:eastAsia="仿宋" w:cs="Times New Roman"/>
      <w:b/>
      <w:bCs/>
      <w:kern w:val="44"/>
      <w:sz w:val="36"/>
      <w:szCs w:val="44"/>
    </w:rPr>
  </w:style>
  <w:style w:type="paragraph" w:styleId="3">
    <w:name w:val="heading 2"/>
    <w:basedOn w:val="1"/>
    <w:next w:val="1"/>
    <w:link w:val="15"/>
    <w:semiHidden/>
    <w:unhideWhenUsed/>
    <w:qFormat/>
    <w:uiPriority w:val="9"/>
    <w:pPr>
      <w:widowControl w:val="0"/>
      <w:numPr>
        <w:ilvl w:val="1"/>
        <w:numId w:val="1"/>
      </w:numPr>
      <w:spacing w:line="416" w:lineRule="auto"/>
      <w:ind w:left="567" w:hanging="567"/>
      <w:outlineLvl w:val="1"/>
    </w:pPr>
    <w:rPr>
      <w:rFonts w:ascii="Calibri Light" w:hAnsi="Calibri Light" w:eastAsia="宋体" w:cs="Times New Roman"/>
      <w:b/>
      <w:bCs/>
      <w:sz w:val="28"/>
      <w:szCs w:val="32"/>
    </w:rPr>
  </w:style>
  <w:style w:type="paragraph" w:styleId="4">
    <w:name w:val="heading 3"/>
    <w:basedOn w:val="1"/>
    <w:next w:val="1"/>
    <w:semiHidden/>
    <w:unhideWhenUsed/>
    <w:qFormat/>
    <w:uiPriority w:val="9"/>
    <w:pPr>
      <w:keepNext/>
      <w:keepLines/>
      <w:numPr>
        <w:ilvl w:val="2"/>
        <w:numId w:val="1"/>
      </w:numPr>
      <w:spacing w:before="50" w:beforeLines="50" w:after="50" w:afterLines="50" w:line="416" w:lineRule="auto"/>
      <w:outlineLvl w:val="2"/>
    </w:pPr>
    <w:rPr>
      <w:rFonts w:ascii="宋体" w:hAnsi="宋体" w:eastAsia="宋体" w:cs="宋体"/>
      <w:b/>
      <w:bCs/>
      <w:sz w:val="32"/>
    </w:rPr>
  </w:style>
  <w:style w:type="paragraph" w:styleId="5">
    <w:name w:val="heading 4"/>
    <w:basedOn w:val="1"/>
    <w:next w:val="1"/>
    <w:semiHidden/>
    <w:unhideWhenUsed/>
    <w:qFormat/>
    <w:uiPriority w:val="9"/>
    <w:pPr>
      <w:keepNext/>
      <w:keepLines/>
      <w:numPr>
        <w:ilvl w:val="3"/>
        <w:numId w:val="1"/>
      </w:numPr>
      <w:spacing w:before="120" w:after="120"/>
      <w:outlineLvl w:val="3"/>
    </w:pPr>
    <w:rPr>
      <w:rFonts w:ascii="Calibri Light" w:hAnsi="Calibri Light" w:eastAsia="宋体" w:cs="Times New Roman"/>
      <w:b/>
      <w:bCs/>
      <w:sz w:val="28"/>
      <w:szCs w:val="28"/>
    </w:rPr>
  </w:style>
  <w:style w:type="character" w:default="1" w:styleId="11">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6">
    <w:name w:val="annotation text"/>
    <w:basedOn w:val="1"/>
    <w:semiHidden/>
    <w:unhideWhenUsed/>
    <w:qFormat/>
    <w:uiPriority w:val="99"/>
    <w:pPr>
      <w:jc w:val="left"/>
    </w:pPr>
  </w:style>
  <w:style w:type="paragraph" w:styleId="7">
    <w:name w:val="Balloon Text"/>
    <w:basedOn w:val="1"/>
    <w:link w:val="24"/>
    <w:unhideWhenUsed/>
    <w:qFormat/>
    <w:uiPriority w:val="99"/>
    <w:rPr>
      <w:rFonts w:cstheme="minorBidi"/>
      <w:kern w:val="2"/>
      <w:sz w:val="18"/>
      <w:szCs w:val="18"/>
    </w:rPr>
  </w:style>
  <w:style w:type="paragraph" w:styleId="8">
    <w:name w:val="footer"/>
    <w:basedOn w:val="1"/>
    <w:link w:val="16"/>
    <w:qFormat/>
    <w:uiPriority w:val="99"/>
    <w:pPr>
      <w:tabs>
        <w:tab w:val="center" w:pos="4153"/>
        <w:tab w:val="right" w:pos="8306"/>
      </w:tabs>
      <w:snapToGrid w:val="0"/>
      <w:jc w:val="left"/>
    </w:pPr>
    <w:rPr>
      <w:rFonts w:cstheme="minorBidi"/>
      <w:kern w:val="2"/>
      <w:sz w:val="18"/>
      <w:szCs w:val="18"/>
    </w:rPr>
  </w:style>
  <w:style w:type="paragraph" w:styleId="9">
    <w:name w:val="header"/>
    <w:basedOn w:val="1"/>
    <w:link w:val="1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cstheme="minorBidi"/>
      <w:kern w:val="2"/>
      <w:sz w:val="18"/>
      <w:szCs w:val="18"/>
    </w:rPr>
  </w:style>
  <w:style w:type="paragraph" w:styleId="10">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12">
    <w:name w:val="Strong"/>
    <w:basedOn w:val="11"/>
    <w:qFormat/>
    <w:uiPriority w:val="22"/>
    <w:rPr>
      <w:b/>
    </w:rPr>
  </w:style>
  <w:style w:type="table" w:styleId="14">
    <w:name w:val="Table Grid"/>
    <w:qFormat/>
    <w:uiPriority w:val="0"/>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15">
    <w:name w:val="标题 2 Char"/>
    <w:link w:val="3"/>
    <w:qFormat/>
    <w:uiPriority w:val="0"/>
    <w:rPr>
      <w:rFonts w:ascii="Calibri Light" w:hAnsi="Calibri Light" w:eastAsia="宋体" w:cs="Times New Roman"/>
      <w:b/>
      <w:bCs/>
      <w:sz w:val="28"/>
      <w:szCs w:val="32"/>
    </w:rPr>
  </w:style>
  <w:style w:type="character" w:customStyle="1" w:styleId="16">
    <w:name w:val="页脚 Char"/>
    <w:basedOn w:val="11"/>
    <w:link w:val="8"/>
    <w:qFormat/>
    <w:uiPriority w:val="99"/>
    <w:rPr>
      <w:rFonts w:asciiTheme="minorHAnsi" w:hAnsiTheme="minorHAnsi" w:eastAsiaTheme="minorEastAsia" w:cstheme="minorBidi"/>
      <w:sz w:val="18"/>
      <w:szCs w:val="18"/>
      <w:lang w:val="en-US" w:eastAsia="zh-CN" w:bidi="ar-SA"/>
    </w:rPr>
  </w:style>
  <w:style w:type="character" w:customStyle="1" w:styleId="17">
    <w:name w:val="页眉 Char"/>
    <w:basedOn w:val="11"/>
    <w:link w:val="9"/>
    <w:qFormat/>
    <w:uiPriority w:val="0"/>
    <w:rPr>
      <w:rFonts w:asciiTheme="minorHAnsi" w:hAnsiTheme="minorHAnsi" w:eastAsiaTheme="minorEastAsia" w:cstheme="minorBidi"/>
      <w:sz w:val="18"/>
      <w:szCs w:val="18"/>
      <w:lang w:val="en-US" w:eastAsia="zh-CN" w:bidi="ar-SA"/>
    </w:rPr>
  </w:style>
  <w:style w:type="character" w:customStyle="1" w:styleId="18">
    <w:name w:val="font11"/>
    <w:basedOn w:val="11"/>
    <w:qFormat/>
    <w:uiPriority w:val="0"/>
    <w:rPr>
      <w:rFonts w:hint="eastAsia" w:ascii="宋体" w:hAnsi="宋体" w:eastAsia="宋体" w:cs="宋体"/>
      <w:color w:val="000000"/>
      <w:sz w:val="20"/>
      <w:szCs w:val="20"/>
      <w:u w:val="none"/>
      <w:lang w:val="en-US" w:eastAsia="zh-CN" w:bidi="ar-SA"/>
    </w:rPr>
  </w:style>
  <w:style w:type="character" w:customStyle="1" w:styleId="19">
    <w:name w:val="font01"/>
    <w:basedOn w:val="11"/>
    <w:qFormat/>
    <w:uiPriority w:val="0"/>
    <w:rPr>
      <w:rFonts w:hint="eastAsia" w:ascii="宋体" w:hAnsi="宋体" w:eastAsia="宋体" w:cs="宋体"/>
      <w:color w:val="000000"/>
      <w:sz w:val="22"/>
      <w:szCs w:val="22"/>
      <w:u w:val="none"/>
      <w:lang w:val="en-US" w:eastAsia="zh-CN" w:bidi="ar-SA"/>
    </w:rPr>
  </w:style>
  <w:style w:type="character" w:customStyle="1" w:styleId="20">
    <w:name w:val="font41"/>
    <w:basedOn w:val="11"/>
    <w:qFormat/>
    <w:uiPriority w:val="0"/>
    <w:rPr>
      <w:rFonts w:hint="eastAsia" w:ascii="宋体" w:hAnsi="宋体" w:eastAsia="宋体" w:cs="宋体"/>
      <w:color w:val="000000"/>
      <w:sz w:val="24"/>
      <w:szCs w:val="24"/>
      <w:u w:val="none"/>
      <w:lang w:val="en-US" w:eastAsia="zh-CN" w:bidi="ar-SA"/>
    </w:rPr>
  </w:style>
  <w:style w:type="character" w:customStyle="1" w:styleId="21">
    <w:name w:val="font31"/>
    <w:basedOn w:val="11"/>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2">
    <w:name w:val="font91"/>
    <w:basedOn w:val="11"/>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3">
    <w:name w:val="font51"/>
    <w:basedOn w:val="11"/>
    <w:qFormat/>
    <w:uiPriority w:val="0"/>
    <w:rPr>
      <w:rFonts w:hint="eastAsia" w:ascii="宋体" w:hAnsi="宋体" w:eastAsia="宋体" w:cs="宋体"/>
      <w:color w:val="000000"/>
      <w:sz w:val="24"/>
      <w:szCs w:val="24"/>
      <w:u w:val="none"/>
      <w:lang w:val="en-US" w:eastAsia="zh-CN" w:bidi="ar-SA"/>
    </w:rPr>
  </w:style>
  <w:style w:type="character" w:customStyle="1" w:styleId="24">
    <w:name w:val="批注框文本 Char"/>
    <w:basedOn w:val="11"/>
    <w:link w:val="7"/>
    <w:semiHidden/>
    <w:qFormat/>
    <w:uiPriority w:val="99"/>
    <w:rPr>
      <w:rFonts w:asciiTheme="minorHAnsi" w:hAnsiTheme="minorHAnsi" w:eastAsiaTheme="minorEastAsia" w:cstheme="minorBidi"/>
      <w:sz w:val="18"/>
      <w:szCs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1.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图 </a:t>
            </a:r>
            <a:r>
              <a:rPr lang="en-US" altLang="zh-CN"/>
              <a:t>1 </a:t>
            </a:r>
            <a:r>
              <a:rPr lang="zh-CN" altLang="en-US"/>
              <a:t>： </a:t>
            </a:r>
            <a:r>
              <a:rPr lang="en-US" altLang="zh-CN"/>
              <a:t>2023-2024</a:t>
            </a:r>
            <a:r>
              <a:rPr lang="zh-CN" altLang="en-US"/>
              <a:t>年收支总计对比图（万元）</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收支总计</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2023年</c:v>
                </c:pt>
                <c:pt idx="1">
                  <c:v>2024年</c:v>
                </c:pt>
              </c:strCache>
            </c:strRef>
          </c:cat>
          <c:val>
            <c:numRef>
              <c:f>Sheet1!$B$2:$B$3</c:f>
              <c:numCache>
                <c:formatCode>General</c:formatCode>
                <c:ptCount val="2"/>
                <c:pt idx="0">
                  <c:v>1994.42</c:v>
                </c:pt>
                <c:pt idx="1">
                  <c:v>2286.21</c:v>
                </c:pt>
              </c:numCache>
            </c:numRef>
          </c:val>
        </c:ser>
        <c:dLbls>
          <c:showLegendKey val="0"/>
          <c:showVal val="1"/>
          <c:showCatName val="0"/>
          <c:showSerName val="0"/>
          <c:showPercent val="0"/>
          <c:showBubbleSize val="0"/>
        </c:dLbls>
        <c:gapWidth val="246"/>
        <c:overlap val="-28"/>
        <c:axId val="817088452"/>
        <c:axId val="587069473"/>
      </c:barChart>
      <c:catAx>
        <c:axId val="817088452"/>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87069473"/>
        <c:crosses val="autoZero"/>
        <c:auto val="1"/>
        <c:lblAlgn val="ctr"/>
        <c:lblOffset val="100"/>
        <c:noMultiLvlLbl val="0"/>
      </c:catAx>
      <c:valAx>
        <c:axId val="587069473"/>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1708845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chemeClr val="tx1">
                    <a:lumMod val="75000"/>
                    <a:lumOff val="25000"/>
                  </a:schemeClr>
                </a:solidFill>
                <a:latin typeface="+mn-lt"/>
                <a:ea typeface="+mn-ea"/>
                <a:cs typeface="+mn-cs"/>
              </a:defRPr>
            </a:pPr>
            <a:r>
              <a:rPr lang="zh-CN" altLang="en-US" b="1"/>
              <a:t>图 </a:t>
            </a:r>
            <a:r>
              <a:rPr lang="en-US" altLang="zh-CN" b="1"/>
              <a:t>3 </a:t>
            </a:r>
            <a:r>
              <a:rPr lang="zh-CN" altLang="en-US" b="1"/>
              <a:t>：支出决算构成情况图</a:t>
            </a:r>
            <a:endParaRPr lang="zh-CN" altLang="en-US" b="1"/>
          </a:p>
        </c:rich>
      </c:tx>
      <c:layout/>
      <c:overlay val="0"/>
      <c:spPr>
        <a:noFill/>
        <a:ln>
          <a:noFill/>
        </a:ln>
        <a:effectLst/>
      </c:spPr>
    </c:title>
    <c:autoTitleDeleted val="0"/>
    <c:plotArea>
      <c:layout/>
      <c:pieChart>
        <c:varyColors val="1"/>
        <c:ser>
          <c:idx val="0"/>
          <c:order val="0"/>
          <c:tx>
            <c:strRef>
              <c:f>Sheet1!$B$1</c:f>
              <c:strCache>
                <c:ptCount val="1"/>
                <c:pt idx="0">
                  <c:v>金额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dLbl>
              <c:idx val="0"/>
              <c:layout>
                <c:manualLayout>
                  <c:x val="0.346218893452525"/>
                  <c:y val="0.715469613259669"/>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357095916888137"/>
                  <c:y val="0.097938376540627"/>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292703551582508"/>
                  <c:y val="0.266893327666808"/>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3"/>
              <c:layout>
                <c:manualLayout>
                  <c:x val="-0.315235684561946"/>
                  <c:y val="0.468316617084613"/>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4"/>
              <c:layout>
                <c:manualLayout>
                  <c:x val="-0.273558967655045"/>
                  <c:y val="0.718210369740799"/>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numFmt formatCode="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1"/>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v>14110786.23</c:v>
                </c:pt>
                <c:pt idx="1">
                  <c:v>8751315.14</c:v>
                </c:pt>
                <c:pt idx="2">
                  <c:v>0</c:v>
                </c:pt>
                <c:pt idx="3">
                  <c:v>0</c:v>
                </c:pt>
                <c:pt idx="4">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图 </a:t>
            </a:r>
            <a:r>
              <a:rPr lang="en-US" altLang="zh-CN"/>
              <a:t>4 </a:t>
            </a:r>
            <a:r>
              <a:rPr lang="zh-CN" altLang="en-US"/>
              <a:t>：</a:t>
            </a:r>
            <a:r>
              <a:rPr lang="en-US" altLang="zh-CN"/>
              <a:t>2023-2024</a:t>
            </a:r>
            <a:r>
              <a:rPr lang="zh-CN" altLang="en-US"/>
              <a:t>年财政拨款收支对比图（万元）</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Sheet1!$B$2:$B$9</c:f>
              <c:numCache>
                <c:formatCode>General</c:formatCode>
                <c:ptCount val="8"/>
                <c:pt idx="0">
                  <c:v>1994.42</c:v>
                </c:pt>
                <c:pt idx="1">
                  <c:v>1994.42</c:v>
                </c:pt>
                <c:pt idx="2">
                  <c:v>1994.42</c:v>
                </c:pt>
                <c:pt idx="3">
                  <c:v>1994.42</c:v>
                </c:pt>
                <c:pt idx="4">
                  <c:v>0</c:v>
                </c:pt>
                <c:pt idx="5">
                  <c:v>0</c:v>
                </c:pt>
                <c:pt idx="6">
                  <c:v>0</c:v>
                </c:pt>
                <c:pt idx="7">
                  <c:v>0</c:v>
                </c:pt>
              </c:numCache>
            </c:numRef>
          </c:val>
        </c:ser>
        <c:ser>
          <c:idx val="1"/>
          <c:order val="1"/>
          <c:tx>
            <c:strRef>
              <c:f>Sheet1!$C$1</c:f>
              <c:strCache>
                <c:ptCount val="1"/>
                <c:pt idx="0">
                  <c:v>2024年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Sheet1!$C$2:$C$9</c:f>
              <c:numCache>
                <c:formatCode>General</c:formatCode>
                <c:ptCount val="8"/>
                <c:pt idx="0">
                  <c:v>2286.21</c:v>
                </c:pt>
                <c:pt idx="1">
                  <c:v>2286.21</c:v>
                </c:pt>
                <c:pt idx="2">
                  <c:v>2286.21</c:v>
                </c:pt>
                <c:pt idx="3">
                  <c:v>2286.21</c:v>
                </c:pt>
                <c:pt idx="4">
                  <c:v>0</c:v>
                </c:pt>
                <c:pt idx="5">
                  <c:v>0</c:v>
                </c:pt>
                <c:pt idx="6">
                  <c:v>0</c:v>
                </c:pt>
                <c:pt idx="7">
                  <c:v>0</c:v>
                </c:pt>
              </c:numCache>
            </c:numRef>
          </c:val>
        </c:ser>
        <c:dLbls>
          <c:showLegendKey val="0"/>
          <c:showVal val="1"/>
          <c:showCatName val="0"/>
          <c:showSerName val="0"/>
          <c:showPercent val="0"/>
          <c:showBubbleSize val="0"/>
        </c:dLbls>
        <c:gapWidth val="246"/>
        <c:overlap val="-28"/>
        <c:axId val="40225855"/>
        <c:axId val="660958640"/>
      </c:barChart>
      <c:catAx>
        <c:axId val="40225855"/>
        <c:scaling>
          <c:orientation val="minMax"/>
        </c:scaling>
        <c:delete val="0"/>
        <c:axPos val="b"/>
        <c:numFmt formatCode="General" sourceLinked="0"/>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60958640"/>
        <c:crosses val="autoZero"/>
        <c:auto val="1"/>
        <c:lblAlgn val="ctr"/>
        <c:lblOffset val="100"/>
        <c:noMultiLvlLbl val="0"/>
      </c:catAx>
      <c:valAx>
        <c:axId val="660958640"/>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0225855"/>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图 </a:t>
            </a:r>
            <a:r>
              <a:rPr lang="en-US" altLang="zh-CN"/>
              <a:t>5 :</a:t>
            </a:r>
            <a:r>
              <a:rPr lang="zh-CN" altLang="en-US"/>
              <a:t>财政拨款收支预算对比图（万元）</a:t>
            </a:r>
            <a:endParaRPr lang="zh-CN" altLang="en-US"/>
          </a:p>
        </c:rich>
      </c:tx>
      <c:layout/>
      <c:overlay val="0"/>
      <c:spPr>
        <a:noFill/>
        <a:ln>
          <a:noFill/>
        </a:ln>
        <a:effectLst/>
      </c:spPr>
    </c:title>
    <c:autoTitleDeleted val="0"/>
    <c:plotArea>
      <c:layout>
        <c:manualLayout>
          <c:layoutTarget val="inner"/>
          <c:xMode val="edge"/>
          <c:yMode val="edge"/>
          <c:x val="0.17641942498188"/>
          <c:y val="0.160433489162771"/>
          <c:w val="0.795796086011114"/>
          <c:h val="0.474330641733957"/>
        </c:manualLayout>
      </c:layout>
      <c:barChart>
        <c:barDir val="col"/>
        <c:grouping val="clustered"/>
        <c:varyColors val="0"/>
        <c:ser>
          <c:idx val="0"/>
          <c:order val="0"/>
          <c:tx>
            <c:strRef>
              <c:f>Sheet1!$B$1</c:f>
              <c:strCache>
                <c:ptCount val="1"/>
                <c:pt idx="0">
                  <c:v>年初预算数</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Sheet1!$B$2:$B$9</c:f>
              <c:numCache>
                <c:formatCode>General</c:formatCode>
                <c:ptCount val="8"/>
                <c:pt idx="0">
                  <c:v>1497.54</c:v>
                </c:pt>
                <c:pt idx="1">
                  <c:v>1497.54</c:v>
                </c:pt>
                <c:pt idx="2">
                  <c:v>1497.54</c:v>
                </c:pt>
                <c:pt idx="3">
                  <c:v>1497.54</c:v>
                </c:pt>
                <c:pt idx="4">
                  <c:v>0</c:v>
                </c:pt>
                <c:pt idx="5">
                  <c:v>0</c:v>
                </c:pt>
                <c:pt idx="6">
                  <c:v>0</c:v>
                </c:pt>
                <c:pt idx="7">
                  <c:v>0</c:v>
                </c:pt>
              </c:numCache>
            </c:numRef>
          </c:val>
        </c:ser>
        <c:ser>
          <c:idx val="1"/>
          <c:order val="1"/>
          <c:tx>
            <c:strRef>
              <c:f>Sheet1!$C$1</c:f>
              <c:strCache>
                <c:ptCount val="1"/>
                <c:pt idx="0">
                  <c:v>决算数</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Sheet1!$C$2:$C$9</c:f>
              <c:numCache>
                <c:formatCode>General</c:formatCode>
                <c:ptCount val="8"/>
                <c:pt idx="0">
                  <c:v>2286.21</c:v>
                </c:pt>
                <c:pt idx="1">
                  <c:v>2286.21</c:v>
                </c:pt>
                <c:pt idx="2">
                  <c:v>2286.21</c:v>
                </c:pt>
                <c:pt idx="3">
                  <c:v>2286.21</c:v>
                </c:pt>
                <c:pt idx="4">
                  <c:v>0</c:v>
                </c:pt>
                <c:pt idx="5">
                  <c:v>0</c:v>
                </c:pt>
                <c:pt idx="6">
                  <c:v>0</c:v>
                </c:pt>
                <c:pt idx="7">
                  <c:v>0</c:v>
                </c:pt>
              </c:numCache>
            </c:numRef>
          </c:val>
        </c:ser>
        <c:dLbls>
          <c:showLegendKey val="0"/>
          <c:showVal val="1"/>
          <c:showCatName val="0"/>
          <c:showSerName val="0"/>
          <c:showPercent val="0"/>
          <c:showBubbleSize val="0"/>
        </c:dLbls>
        <c:gapWidth val="150"/>
        <c:axId val="136214206"/>
        <c:axId val="897256872"/>
      </c:barChart>
      <c:catAx>
        <c:axId val="136214206"/>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97256872"/>
        <c:crosses val="autoZero"/>
        <c:auto val="1"/>
        <c:lblAlgn val="ctr"/>
        <c:lblOffset val="100"/>
        <c:noMultiLvlLbl val="0"/>
      </c:catAx>
      <c:valAx>
        <c:axId val="897256872"/>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6214206"/>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25</Pages>
  <Words>611</Words>
  <Characters>2169</Characters>
  <Lines>86</Lines>
  <Paragraphs>24</Paragraphs>
  <TotalTime>0</TotalTime>
  <ScaleCrop>false</ScaleCrop>
  <LinksUpToDate>false</LinksUpToDate>
  <CharactersWithSpaces>2170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2023-08-04T07:55:00Z</dcterms:created>
  <dc:creator>王明新TIAD</dc:creator>
  <cp:lastModifiedBy>Administrator</cp:lastModifiedBy>
  <cp:lastPrinted>2023-08-04T01:00:00Z</cp:lastPrinted>
  <dcterms:modified xsi:type="dcterms:W3CDTF">2025-08-25T09:19:57Z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B9D4097774744A28A58B1072CF95DB35_13</vt:lpwstr>
  </property>
  <property fmtid="{D5CDD505-2E9C-101B-9397-08002B2CF9AE}" pid="4" name="KSOTemplateUUID">
    <vt:lpwstr>v1.0_mb_S7ajbG3IpAnL1wSthNCxfw==</vt:lpwstr>
  </property>
  <property fmtid="{D5CDD505-2E9C-101B-9397-08002B2CF9AE}" pid="5" name="KSOTemplateDocerSaveRecord">
    <vt:lpwstr>eyJoZGlkIjoiYjA3YzVjY2RhYzM1OWI4MmYzZjdlYWUzZWM2YTQyNTYiLCJ1c2VySWQiOiIxNTIwMzY1OTkzIn0=</vt:lpwstr>
  </property>
</Properties>
</file>