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01E" w:rsidRDefault="006E23F4">
      <w:pPr>
        <w:spacing w:line="600" w:lineRule="auto"/>
        <w:rPr>
          <w:rFonts w:ascii="楷体_GB2312" w:eastAsia="楷体_GB2312" w:hAnsi="楷体_GB2312" w:cs="楷体_GB2312"/>
          <w:color w:val="000000"/>
          <w:sz w:val="40"/>
          <w:szCs w:val="40"/>
        </w:rPr>
      </w:pPr>
      <w:r>
        <w:rPr>
          <w:noProof/>
        </w:rPr>
        <w:drawing>
          <wp:anchor distT="0" distB="0" distL="114300" distR="114300" simplePos="0" relativeHeight="251659264" behindDoc="1" locked="0" layoutInCell="1" allowOverlap="1">
            <wp:simplePos x="0" y="0"/>
            <wp:positionH relativeFrom="column">
              <wp:posOffset>-1692910</wp:posOffset>
            </wp:positionH>
            <wp:positionV relativeFrom="paragraph">
              <wp:posOffset>-1319530</wp:posOffset>
            </wp:positionV>
            <wp:extent cx="8646795" cy="11107420"/>
            <wp:effectExtent l="0" t="0" r="1905" b="5080"/>
            <wp:wrapNone/>
            <wp:docPr id="15" name="图片 15" descr="7b0a202020202266696c746572223a202230220a7d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b0a202020202266696c746572223a202230220a7d0a"/>
                    <pic:cNvPicPr>
                      <a:picLocks noChangeAspect="1"/>
                    </pic:cNvPicPr>
                  </pic:nvPicPr>
                  <pic:blipFill>
                    <a:blip r:embed="rId8" cstate="print">
                      <a:lum bright="6000"/>
                    </a:blip>
                    <a:srcRect t="559" b="3637"/>
                    <a:stretch>
                      <a:fillRect/>
                    </a:stretch>
                  </pic:blipFill>
                  <pic:spPr>
                    <a:xfrm>
                      <a:off x="0" y="0"/>
                      <a:ext cx="8646795" cy="11107420"/>
                    </a:xfrm>
                    <a:prstGeom prst="rect">
                      <a:avLst/>
                    </a:prstGeom>
                  </pic:spPr>
                </pic:pic>
              </a:graphicData>
            </a:graphic>
          </wp:anchor>
        </w:drawing>
      </w:r>
      <w:r w:rsidR="00294346" w:rsidRPr="00294346">
        <w:pict>
          <v:shapetype id="_x0000_t202" coordsize="21600,21600" o:spt="202" path="m,l,21600r21600,l21600,xe">
            <v:stroke joinstyle="miter"/>
            <v:path gradientshapeok="t" o:connecttype="rect"/>
          </v:shapetype>
          <v:shape id="_x0000_s1026" type="#_x0000_t202" alt="7b0a2020202022776f7264617274223a20227b5c2269645c223a32353030323136362c5c227469645c223a5c225c227d220a7d0a" style="position:absolute;left:0;text-align:left;margin-left:-43.05pt;margin-top:19.95pt;width:506.4pt;height:225.4pt;z-index:251660288;mso-position-horizontal-relative:text;mso-position-vertical-relative:text" filled="f" stroked="f">
            <v:textbox>
              <w:txbxContent>
                <w:p w:rsidR="006E23F4" w:rsidRDefault="006E23F4">
                  <w:pPr>
                    <w:spacing w:line="1400" w:lineRule="exact"/>
                    <w:jc w:val="left"/>
                    <w:rPr>
                      <w:rFonts w:ascii="方正小标宋_GBK" w:eastAsia="方正小标宋_GBK" w:hAnsi="方正小标宋_GBK" w:cs="方正小标宋_GBK"/>
                      <w:b/>
                      <w:bCs/>
                      <w:color w:val="0D0D0D" w:themeColor="text1" w:themeTint="F2"/>
                      <w:sz w:val="112"/>
                      <w:szCs w:val="112"/>
                    </w:rPr>
                  </w:pPr>
                  <w:r>
                    <w:rPr>
                      <w:rFonts w:ascii="方正小标宋_GBK" w:eastAsia="方正小标宋_GBK" w:hAnsi="方正小标宋_GBK" w:cs="方正小标宋_GBK" w:hint="eastAsia"/>
                      <w:b/>
                      <w:bCs/>
                      <w:color w:val="0D0D0D" w:themeColor="text1" w:themeTint="F2"/>
                      <w:sz w:val="112"/>
                      <w:szCs w:val="112"/>
                    </w:rPr>
                    <w:t>2024年度</w:t>
                  </w:r>
                </w:p>
                <w:p w:rsidR="006E23F4" w:rsidRDefault="006E23F4">
                  <w:pPr>
                    <w:spacing w:line="1400" w:lineRule="exact"/>
                    <w:jc w:val="left"/>
                    <w:rPr>
                      <w:rFonts w:ascii="方正小标宋_GBK" w:eastAsia="方正小标宋_GBK" w:hAnsi="方正小标宋_GBK" w:cs="方正小标宋_GBK"/>
                      <w:b/>
                      <w:bCs/>
                      <w:color w:val="0D0D0D" w:themeColor="text1" w:themeTint="F2"/>
                      <w:sz w:val="112"/>
                      <w:szCs w:val="112"/>
                    </w:rPr>
                  </w:pPr>
                  <w:r>
                    <w:rPr>
                      <w:rFonts w:ascii="方正小标宋_GBK" w:eastAsia="方正小标宋_GBK" w:hAnsi="方正小标宋_GBK" w:cs="方正小标宋_GBK" w:hint="eastAsia"/>
                      <w:b/>
                      <w:bCs/>
                      <w:color w:val="0D0D0D" w:themeColor="text1" w:themeTint="F2"/>
                      <w:sz w:val="112"/>
                      <w:szCs w:val="112"/>
                    </w:rPr>
                    <w:t>部门决算公开文本</w:t>
                  </w:r>
                </w:p>
              </w:txbxContent>
            </v:textbox>
          </v:shape>
        </w:pict>
      </w:r>
    </w:p>
    <w:p w:rsidR="0081201E" w:rsidRDefault="0081201E">
      <w:pPr>
        <w:spacing w:line="600" w:lineRule="auto"/>
        <w:rPr>
          <w:rFonts w:ascii="楷体_GB2312" w:eastAsia="楷体_GB2312" w:hAnsi="楷体_GB2312" w:cs="楷体_GB2312"/>
          <w:color w:val="000000"/>
          <w:sz w:val="40"/>
          <w:szCs w:val="40"/>
        </w:rPr>
      </w:pPr>
    </w:p>
    <w:p w:rsidR="0081201E" w:rsidRDefault="0081201E">
      <w:pPr>
        <w:spacing w:line="600" w:lineRule="auto"/>
        <w:rPr>
          <w:rFonts w:ascii="楷体_GB2312" w:eastAsia="楷体_GB2312" w:hAnsi="楷体_GB2312" w:cs="楷体_GB2312"/>
          <w:color w:val="000000"/>
          <w:sz w:val="40"/>
          <w:szCs w:val="40"/>
        </w:rPr>
      </w:pPr>
    </w:p>
    <w:p w:rsidR="0081201E" w:rsidRDefault="0081201E">
      <w:pPr>
        <w:spacing w:line="600" w:lineRule="auto"/>
        <w:rPr>
          <w:rFonts w:ascii="楷体_GB2312" w:eastAsia="楷体_GB2312" w:hAnsi="楷体_GB2312" w:cs="楷体_GB2312"/>
          <w:color w:val="000000"/>
          <w:sz w:val="40"/>
          <w:szCs w:val="40"/>
        </w:rPr>
      </w:pPr>
    </w:p>
    <w:p w:rsidR="0081201E" w:rsidRDefault="0081201E">
      <w:pPr>
        <w:spacing w:line="600" w:lineRule="auto"/>
        <w:rPr>
          <w:rFonts w:ascii="楷体_GB2312" w:eastAsia="楷体_GB2312" w:hAnsi="楷体_GB2312" w:cs="楷体_GB2312"/>
          <w:color w:val="000000"/>
          <w:sz w:val="40"/>
          <w:szCs w:val="40"/>
        </w:rPr>
      </w:pPr>
    </w:p>
    <w:p w:rsidR="0081201E" w:rsidRDefault="0081201E">
      <w:pPr>
        <w:spacing w:line="600" w:lineRule="auto"/>
        <w:rPr>
          <w:rFonts w:ascii="楷体_GB2312" w:eastAsia="楷体_GB2312" w:hAnsi="楷体_GB2312" w:cs="楷体_GB2312"/>
          <w:color w:val="000000"/>
          <w:sz w:val="40"/>
          <w:szCs w:val="40"/>
        </w:rPr>
      </w:pPr>
    </w:p>
    <w:p w:rsidR="0081201E" w:rsidRDefault="0081201E">
      <w:pPr>
        <w:spacing w:line="600" w:lineRule="auto"/>
        <w:rPr>
          <w:rFonts w:ascii="楷体_GB2312" w:eastAsia="楷体_GB2312" w:hAnsi="楷体_GB2312" w:cs="楷体_GB2312"/>
          <w:color w:val="000000"/>
          <w:sz w:val="40"/>
          <w:szCs w:val="40"/>
        </w:rPr>
      </w:pPr>
    </w:p>
    <w:p w:rsidR="0081201E" w:rsidRDefault="0081201E">
      <w:pPr>
        <w:spacing w:line="600" w:lineRule="auto"/>
        <w:rPr>
          <w:rFonts w:ascii="楷体_GB2312" w:eastAsia="楷体_GB2312" w:hAnsi="楷体_GB2312" w:cs="楷体_GB2312"/>
          <w:color w:val="000000"/>
          <w:sz w:val="40"/>
          <w:szCs w:val="40"/>
        </w:rPr>
      </w:pPr>
    </w:p>
    <w:p w:rsidR="0081201E" w:rsidRDefault="0081201E">
      <w:pPr>
        <w:spacing w:line="600" w:lineRule="auto"/>
        <w:rPr>
          <w:rFonts w:ascii="楷体_GB2312" w:eastAsia="楷体_GB2312" w:hAnsi="楷体_GB2312" w:cs="楷体_GB2312"/>
          <w:color w:val="000000"/>
          <w:sz w:val="40"/>
          <w:szCs w:val="40"/>
        </w:rPr>
      </w:pPr>
    </w:p>
    <w:p w:rsidR="0081201E" w:rsidRDefault="0081201E">
      <w:pPr>
        <w:spacing w:line="600" w:lineRule="auto"/>
        <w:rPr>
          <w:rFonts w:ascii="楷体_GB2312" w:eastAsia="楷体_GB2312" w:hAnsi="楷体_GB2312" w:cs="楷体_GB2312"/>
          <w:color w:val="000000"/>
          <w:sz w:val="40"/>
          <w:szCs w:val="40"/>
        </w:rPr>
      </w:pPr>
    </w:p>
    <w:p w:rsidR="0081201E" w:rsidRDefault="0081201E">
      <w:pPr>
        <w:spacing w:line="600" w:lineRule="auto"/>
        <w:rPr>
          <w:rFonts w:ascii="楷体_GB2312" w:eastAsia="楷体_GB2312" w:hAnsi="楷体_GB2312" w:cs="楷体_GB2312"/>
          <w:color w:val="000000"/>
          <w:sz w:val="40"/>
          <w:szCs w:val="40"/>
        </w:rPr>
      </w:pPr>
    </w:p>
    <w:p w:rsidR="0081201E" w:rsidRDefault="0081201E">
      <w:pPr>
        <w:spacing w:line="600" w:lineRule="auto"/>
        <w:rPr>
          <w:rFonts w:ascii="楷体_GB2312" w:eastAsia="楷体_GB2312" w:hAnsi="楷体_GB2312" w:cs="楷体_GB2312"/>
          <w:color w:val="000000"/>
          <w:sz w:val="40"/>
          <w:szCs w:val="40"/>
        </w:rPr>
      </w:pPr>
    </w:p>
    <w:p w:rsidR="0081201E" w:rsidRDefault="006E23F4">
      <w:pPr>
        <w:spacing w:line="600" w:lineRule="auto"/>
        <w:jc w:val="left"/>
        <w:rPr>
          <w:rFonts w:ascii="楷体_GB2312" w:eastAsia="楷体_GB2312" w:hAnsi="楷体_GB2312" w:cs="楷体_GB2312"/>
          <w:color w:val="000000"/>
          <w:sz w:val="40"/>
          <w:szCs w:val="40"/>
        </w:rPr>
      </w:pPr>
      <w:r>
        <w:rPr>
          <w:rFonts w:ascii="黑体" w:eastAsia="黑体" w:hAnsi="黑体" w:cs="黑体" w:hint="eastAsia"/>
          <w:color w:val="000000"/>
          <w:sz w:val="40"/>
          <w:szCs w:val="40"/>
        </w:rPr>
        <w:t>预算代码</w:t>
      </w:r>
      <w:r>
        <w:rPr>
          <w:rFonts w:ascii="楷体_GB2312" w:eastAsia="楷体_GB2312" w:hAnsi="楷体_GB2312" w:cs="楷体_GB2312" w:hint="eastAsia"/>
          <w:color w:val="000000"/>
          <w:sz w:val="40"/>
          <w:szCs w:val="40"/>
        </w:rPr>
        <w:t>：</w:t>
      </w:r>
      <w:r>
        <w:rPr>
          <w:rFonts w:ascii="宋体" w:eastAsia="宋体" w:hAnsi="宋体" w:hint="eastAsia"/>
          <w:color w:val="000000"/>
          <w:sz w:val="40"/>
          <w:szCs w:val="40"/>
        </w:rPr>
        <w:t>808</w:t>
      </w:r>
      <w:r>
        <w:rPr>
          <w:rFonts w:ascii="楷体_GB2312" w:eastAsia="楷体_GB2312" w:hAnsi="楷体_GB2312" w:cs="楷体_GB2312" w:hint="eastAsia"/>
          <w:color w:val="000000"/>
          <w:sz w:val="40"/>
          <w:szCs w:val="40"/>
        </w:rPr>
        <w:t>808001</w:t>
      </w:r>
    </w:p>
    <w:p w:rsidR="0081201E" w:rsidRDefault="006E23F4">
      <w:pPr>
        <w:spacing w:line="600" w:lineRule="auto"/>
        <w:jc w:val="left"/>
        <w:rPr>
          <w:rFonts w:ascii="楷体_GB2312" w:eastAsia="楷体_GB2312" w:hAnsi="楷体_GB2312" w:cs="楷体_GB2312"/>
          <w:color w:val="000000"/>
          <w:sz w:val="40"/>
          <w:szCs w:val="40"/>
        </w:rPr>
      </w:pPr>
      <w:r>
        <w:rPr>
          <w:rFonts w:ascii="黑体" w:eastAsia="黑体" w:hAnsi="黑体" w:cs="黑体" w:hint="eastAsia"/>
          <w:color w:val="000000"/>
          <w:sz w:val="40"/>
          <w:szCs w:val="40"/>
        </w:rPr>
        <w:t>单位名称</w:t>
      </w:r>
      <w:r>
        <w:rPr>
          <w:rFonts w:ascii="楷体_GB2312" w:eastAsia="楷体_GB2312" w:hAnsi="楷体_GB2312" w:cs="楷体_GB2312" w:hint="eastAsia"/>
          <w:color w:val="000000"/>
          <w:sz w:val="40"/>
          <w:szCs w:val="40"/>
        </w:rPr>
        <w:t>：</w:t>
      </w:r>
      <w:r w:rsidRPr="001D46DC">
        <w:rPr>
          <w:rFonts w:ascii="楷体" w:eastAsia="楷体" w:hAnsi="楷体" w:cs="楷体_GB2312" w:hint="eastAsia"/>
          <w:color w:val="000000"/>
          <w:sz w:val="40"/>
          <w:szCs w:val="40"/>
        </w:rPr>
        <w:t>滦州市古马镇人民政府</w:t>
      </w:r>
    </w:p>
    <w:p w:rsidR="0081201E" w:rsidRDefault="0081201E">
      <w:pPr>
        <w:spacing w:line="600" w:lineRule="auto"/>
        <w:rPr>
          <w:rFonts w:ascii="楷体_GB2312" w:eastAsia="楷体_GB2312" w:hAnsi="楷体_GB2312" w:cs="楷体_GB2312"/>
          <w:color w:val="000000"/>
          <w:sz w:val="40"/>
          <w:szCs w:val="40"/>
        </w:rPr>
        <w:sectPr w:rsidR="0081201E">
          <w:footerReference w:type="default" r:id="rId9"/>
          <w:pgSz w:w="11906" w:h="16838"/>
          <w:pgMar w:top="2098" w:right="1417" w:bottom="1871" w:left="1417" w:header="851" w:footer="992" w:gutter="0"/>
          <w:cols w:space="720"/>
          <w:docGrid w:type="lines" w:linePitch="312"/>
        </w:sectPr>
      </w:pPr>
    </w:p>
    <w:p w:rsidR="0081201E" w:rsidRDefault="0081201E">
      <w:pPr>
        <w:spacing w:line="600" w:lineRule="auto"/>
        <w:jc w:val="center"/>
        <w:rPr>
          <w:rFonts w:ascii="楷体_GB2312" w:eastAsia="楷体_GB2312" w:hAnsi="楷体_GB2312" w:cs="楷体_GB2312"/>
          <w:color w:val="000000"/>
          <w:sz w:val="40"/>
          <w:szCs w:val="40"/>
        </w:rPr>
      </w:pPr>
    </w:p>
    <w:p w:rsidR="0081201E" w:rsidRDefault="0081201E">
      <w:pPr>
        <w:rPr>
          <w:rFonts w:ascii="黑体" w:eastAsia="黑体" w:hAnsi="黑体" w:cs="黑体"/>
          <w:b/>
          <w:bCs/>
          <w:sz w:val="32"/>
          <w:szCs w:val="36"/>
          <w:highlight w:val="yellow"/>
        </w:rPr>
      </w:pPr>
    </w:p>
    <w:p w:rsidR="0081201E" w:rsidRPr="00535C9B" w:rsidRDefault="006E23F4">
      <w:pPr>
        <w:widowControl/>
        <w:spacing w:line="360" w:lineRule="auto"/>
        <w:jc w:val="center"/>
        <w:rPr>
          <w:rFonts w:ascii="仿宋" w:eastAsia="仿宋" w:hAnsi="仿宋"/>
          <w:sz w:val="72"/>
          <w:szCs w:val="72"/>
        </w:rPr>
      </w:pPr>
      <w:r w:rsidRPr="00535C9B">
        <w:rPr>
          <w:rFonts w:ascii="仿宋" w:eastAsia="仿宋" w:hAnsi="仿宋"/>
          <w:sz w:val="72"/>
          <w:szCs w:val="72"/>
        </w:rPr>
        <w:t>滦州市古马镇人民政府</w:t>
      </w:r>
    </w:p>
    <w:p w:rsidR="0081201E" w:rsidRPr="00535C9B" w:rsidRDefault="006E23F4">
      <w:pPr>
        <w:widowControl/>
        <w:spacing w:line="360" w:lineRule="auto"/>
        <w:jc w:val="center"/>
        <w:rPr>
          <w:rFonts w:ascii="仿宋" w:eastAsia="仿宋" w:hAnsi="仿宋"/>
          <w:sz w:val="72"/>
          <w:szCs w:val="72"/>
        </w:rPr>
      </w:pPr>
      <w:r w:rsidRPr="00535C9B">
        <w:rPr>
          <w:rFonts w:ascii="仿宋" w:eastAsia="仿宋" w:hAnsi="仿宋"/>
          <w:sz w:val="72"/>
          <w:szCs w:val="72"/>
        </w:rPr>
        <w:t>2024年度部门决算公开文本</w:t>
      </w:r>
    </w:p>
    <w:p w:rsidR="0081201E" w:rsidRDefault="0081201E">
      <w:pPr>
        <w:spacing w:line="360" w:lineRule="auto"/>
        <w:jc w:val="center"/>
        <w:rPr>
          <w:rFonts w:ascii="黑体" w:eastAsia="黑体" w:hAnsi="黑体" w:cs="黑体"/>
          <w:sz w:val="56"/>
          <w:szCs w:val="72"/>
        </w:rPr>
      </w:pPr>
    </w:p>
    <w:p w:rsidR="0081201E" w:rsidRDefault="0081201E">
      <w:pPr>
        <w:spacing w:line="600" w:lineRule="auto"/>
        <w:jc w:val="center"/>
        <w:rPr>
          <w:rFonts w:ascii="黑体" w:eastAsia="黑体" w:hAnsi="黑体" w:cs="黑体"/>
          <w:sz w:val="56"/>
          <w:szCs w:val="72"/>
        </w:rPr>
      </w:pPr>
    </w:p>
    <w:p w:rsidR="0081201E" w:rsidRDefault="0081201E">
      <w:pPr>
        <w:spacing w:line="600" w:lineRule="auto"/>
        <w:jc w:val="center"/>
        <w:rPr>
          <w:rFonts w:ascii="黑体" w:eastAsia="黑体" w:hAnsi="黑体" w:cs="黑体"/>
          <w:sz w:val="56"/>
          <w:szCs w:val="72"/>
        </w:rPr>
      </w:pPr>
    </w:p>
    <w:p w:rsidR="0081201E" w:rsidRDefault="0081201E">
      <w:pPr>
        <w:spacing w:line="480" w:lineRule="auto"/>
        <w:rPr>
          <w:rFonts w:ascii="黑体" w:eastAsia="黑体" w:hAnsi="黑体" w:cs="黑体"/>
          <w:sz w:val="56"/>
          <w:szCs w:val="72"/>
        </w:rPr>
      </w:pPr>
    </w:p>
    <w:p w:rsidR="0081201E" w:rsidRPr="001D46DC" w:rsidRDefault="006E23F4">
      <w:pPr>
        <w:widowControl/>
        <w:spacing w:line="360" w:lineRule="auto"/>
        <w:jc w:val="center"/>
        <w:rPr>
          <w:rFonts w:ascii="楷体" w:eastAsia="楷体" w:hAnsi="楷体"/>
          <w:sz w:val="44"/>
          <w:szCs w:val="44"/>
        </w:rPr>
      </w:pPr>
      <w:r w:rsidRPr="001D46DC">
        <w:rPr>
          <w:rFonts w:ascii="楷体" w:eastAsia="楷体" w:hAnsi="楷体"/>
          <w:sz w:val="44"/>
          <w:szCs w:val="44"/>
        </w:rPr>
        <w:t>滦州市古马镇人民政府</w:t>
      </w:r>
    </w:p>
    <w:p w:rsidR="0081201E" w:rsidRPr="001D46DC" w:rsidRDefault="006E23F4">
      <w:pPr>
        <w:widowControl/>
        <w:spacing w:line="360" w:lineRule="auto"/>
        <w:jc w:val="center"/>
        <w:rPr>
          <w:rFonts w:ascii="楷体" w:eastAsia="楷体" w:hAnsi="楷体"/>
          <w:sz w:val="44"/>
          <w:szCs w:val="44"/>
        </w:rPr>
      </w:pPr>
      <w:r w:rsidRPr="001D46DC">
        <w:rPr>
          <w:rFonts w:ascii="楷体" w:eastAsia="楷体" w:hAnsi="楷体"/>
          <w:sz w:val="44"/>
          <w:szCs w:val="44"/>
        </w:rPr>
        <w:t>二〇二五年八月</w:t>
      </w:r>
    </w:p>
    <w:p w:rsidR="0081201E" w:rsidRDefault="0081201E">
      <w:pPr>
        <w:snapToGrid w:val="0"/>
        <w:jc w:val="left"/>
        <w:rPr>
          <w:rFonts w:ascii="楷体_GB2312" w:eastAsia="楷体_GB2312" w:hAnsi="楷体_GB2312" w:cs="楷体_GB2312"/>
          <w:color w:val="000000" w:themeColor="text1"/>
          <w:sz w:val="44"/>
          <w:szCs w:val="44"/>
        </w:rPr>
      </w:pPr>
    </w:p>
    <w:p w:rsidR="0081201E" w:rsidRDefault="0081201E">
      <w:pPr>
        <w:snapToGrid w:val="0"/>
        <w:jc w:val="left"/>
        <w:rPr>
          <w:rFonts w:ascii="楷体_GB2312" w:eastAsia="楷体_GB2312" w:hAnsi="楷体_GB2312" w:cs="楷体_GB2312"/>
          <w:color w:val="000000" w:themeColor="text1"/>
          <w:sz w:val="44"/>
          <w:szCs w:val="44"/>
        </w:rPr>
        <w:sectPr w:rsidR="0081201E">
          <w:pgSz w:w="11906" w:h="16838"/>
          <w:pgMar w:top="1531" w:right="1984" w:bottom="1531" w:left="2098" w:header="851" w:footer="992" w:gutter="0"/>
          <w:cols w:space="720"/>
          <w:docGrid w:type="lines" w:linePitch="312"/>
        </w:sectPr>
      </w:pPr>
    </w:p>
    <w:p w:rsidR="0081201E" w:rsidRDefault="0081201E">
      <w:pPr>
        <w:widowControl/>
        <w:spacing w:line="600" w:lineRule="exact"/>
        <w:jc w:val="left"/>
        <w:rPr>
          <w:rFonts w:ascii="黑体" w:eastAsia="黑体" w:hAnsi="黑体" w:cs="黑体"/>
          <w:bCs/>
          <w:sz w:val="32"/>
          <w:szCs w:val="32"/>
        </w:rPr>
      </w:pPr>
    </w:p>
    <w:p w:rsidR="0081201E" w:rsidRDefault="0081201E">
      <w:pPr>
        <w:tabs>
          <w:tab w:val="left" w:pos="2728"/>
        </w:tabs>
        <w:jc w:val="center"/>
        <w:rPr>
          <w:rFonts w:ascii="黑体" w:eastAsia="黑体" w:hAnsi="Times New Roman" w:cs="Times New Roman"/>
          <w:sz w:val="48"/>
          <w:szCs w:val="48"/>
        </w:rPr>
      </w:pPr>
    </w:p>
    <w:p w:rsidR="0081201E" w:rsidRDefault="006E23F4">
      <w:pPr>
        <w:widowControl/>
        <w:spacing w:line="360" w:lineRule="auto"/>
        <w:jc w:val="center"/>
        <w:outlineLvl w:val="0"/>
        <w:rPr>
          <w:rFonts w:ascii="Times New Roman" w:eastAsia="黑体"/>
          <w:sz w:val="44"/>
          <w:szCs w:val="44"/>
        </w:rPr>
      </w:pPr>
      <w:r>
        <w:rPr>
          <w:rFonts w:ascii="Times New Roman" w:eastAsia="黑体"/>
          <w:sz w:val="44"/>
          <w:szCs w:val="44"/>
        </w:rPr>
        <w:t>目录</w:t>
      </w:r>
    </w:p>
    <w:p w:rsidR="0081201E" w:rsidRDefault="0081201E">
      <w:pPr>
        <w:widowControl/>
        <w:spacing w:after="160" w:line="580" w:lineRule="exact"/>
        <w:ind w:firstLineChars="200" w:firstLine="640"/>
        <w:rPr>
          <w:rFonts w:ascii="Times New Roman" w:eastAsia="黑体" w:hAnsi="Times New Roman" w:cs="Times New Roman"/>
          <w:sz w:val="32"/>
          <w:szCs w:val="32"/>
        </w:rPr>
      </w:pPr>
    </w:p>
    <w:p w:rsidR="0081201E" w:rsidRDefault="006E23F4">
      <w:pPr>
        <w:widowControl/>
        <w:spacing w:line="360" w:lineRule="auto"/>
        <w:jc w:val="left"/>
        <w:rPr>
          <w:rFonts w:ascii="Times New Roman" w:eastAsia="黑体"/>
          <w:sz w:val="32"/>
          <w:szCs w:val="32"/>
        </w:rPr>
      </w:pPr>
      <w:r>
        <w:rPr>
          <w:rFonts w:ascii="Times New Roman" w:eastAsia="黑体"/>
          <w:sz w:val="32"/>
          <w:szCs w:val="32"/>
        </w:rPr>
        <w:t>第一部分单位概况</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一、单位职责</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二、机构设置</w:t>
      </w:r>
    </w:p>
    <w:p w:rsidR="0081201E" w:rsidRDefault="006E23F4">
      <w:pPr>
        <w:widowControl/>
        <w:spacing w:line="360" w:lineRule="auto"/>
        <w:jc w:val="left"/>
        <w:outlineLvl w:val="0"/>
        <w:rPr>
          <w:rFonts w:ascii="Times New Roman" w:eastAsia="黑体"/>
          <w:sz w:val="32"/>
          <w:szCs w:val="32"/>
        </w:rPr>
      </w:pPr>
      <w:r>
        <w:rPr>
          <w:rFonts w:ascii="Times New Roman" w:eastAsia="黑体"/>
          <w:sz w:val="32"/>
          <w:szCs w:val="32"/>
        </w:rPr>
        <w:t>第二部分</w:t>
      </w:r>
      <w:r>
        <w:rPr>
          <w:rFonts w:ascii="Times New Roman" w:eastAsia="黑体"/>
          <w:sz w:val="32"/>
          <w:szCs w:val="32"/>
        </w:rPr>
        <w:t>2024</w:t>
      </w:r>
      <w:r>
        <w:rPr>
          <w:rFonts w:ascii="Times New Roman" w:eastAsia="黑体"/>
          <w:sz w:val="32"/>
          <w:szCs w:val="32"/>
        </w:rPr>
        <w:t>年度部门决算报表</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一、收入支出决算总表</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二、收入决算表</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三、支出决算表</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四、财政拨款收入支出决算总表</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五、一般公共预算财政拨款支出决算表</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六、一般公共预算财政拨款基本支出决算明细表</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七、政府性基金预算财政拨款收入支出决算表</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八、国有资本经营预算财政拨款支出决算表</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九、财政拨款</w:t>
      </w:r>
      <w:r>
        <w:rPr>
          <w:rFonts w:ascii="Times New Roman" w:eastAsia="仿宋_GB2312"/>
          <w:sz w:val="32"/>
          <w:szCs w:val="32"/>
        </w:rPr>
        <w:t>“</w:t>
      </w:r>
      <w:r>
        <w:rPr>
          <w:rFonts w:ascii="Times New Roman" w:eastAsia="仿宋_GB2312"/>
          <w:sz w:val="32"/>
          <w:szCs w:val="32"/>
        </w:rPr>
        <w:t>三公</w:t>
      </w:r>
      <w:r>
        <w:rPr>
          <w:rFonts w:ascii="Times New Roman" w:eastAsia="仿宋_GB2312"/>
          <w:sz w:val="32"/>
          <w:szCs w:val="32"/>
        </w:rPr>
        <w:t>”</w:t>
      </w:r>
      <w:r>
        <w:rPr>
          <w:rFonts w:ascii="Times New Roman" w:eastAsia="仿宋_GB2312"/>
          <w:sz w:val="32"/>
          <w:szCs w:val="32"/>
        </w:rPr>
        <w:t>经费支出决算表</w:t>
      </w:r>
    </w:p>
    <w:p w:rsidR="0081201E" w:rsidRDefault="006E23F4">
      <w:pPr>
        <w:widowControl/>
        <w:spacing w:line="360" w:lineRule="auto"/>
        <w:jc w:val="left"/>
        <w:rPr>
          <w:rFonts w:ascii="Times New Roman" w:eastAsia="黑体"/>
          <w:sz w:val="32"/>
          <w:szCs w:val="32"/>
        </w:rPr>
      </w:pPr>
      <w:r>
        <w:rPr>
          <w:rFonts w:ascii="Times New Roman" w:eastAsia="黑体"/>
          <w:sz w:val="32"/>
          <w:szCs w:val="32"/>
        </w:rPr>
        <w:t>第三部分</w:t>
      </w:r>
      <w:r>
        <w:rPr>
          <w:rFonts w:ascii="Times New Roman" w:eastAsia="黑体"/>
          <w:sz w:val="32"/>
          <w:szCs w:val="32"/>
        </w:rPr>
        <w:t>2024</w:t>
      </w:r>
      <w:r>
        <w:rPr>
          <w:rFonts w:ascii="Times New Roman" w:eastAsia="黑体"/>
          <w:sz w:val="32"/>
          <w:szCs w:val="32"/>
        </w:rPr>
        <w:t>年度部门决算情况说明</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一、收入支出决算总体情况说明</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二、收入决算情况说明</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三、支出决算情况说明</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四、财政拨款收入支出决算总体情况说明</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lastRenderedPageBreak/>
        <w:t>五、财政拨款“三公”经费支出决算情况说明</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六、机关运行经费支出说明</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七、政府采购支出说明</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八、国有资产占用情况说明</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九、关于2024年度绩效评价情况的说明</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十、其他需要说明的情况</w:t>
      </w:r>
    </w:p>
    <w:p w:rsidR="0081201E" w:rsidRDefault="006E23F4">
      <w:pPr>
        <w:widowControl/>
        <w:spacing w:line="360" w:lineRule="auto"/>
        <w:jc w:val="left"/>
        <w:rPr>
          <w:rFonts w:ascii="Times New Roman" w:eastAsia="黑体"/>
          <w:sz w:val="32"/>
          <w:szCs w:val="32"/>
        </w:rPr>
      </w:pPr>
      <w:r>
        <w:rPr>
          <w:rFonts w:ascii="Times New Roman" w:eastAsia="黑体"/>
          <w:sz w:val="32"/>
          <w:szCs w:val="32"/>
        </w:rPr>
        <w:t>第四部分名词解释</w:t>
      </w:r>
    </w:p>
    <w:p w:rsidR="0081201E" w:rsidRDefault="0081201E">
      <w:pPr>
        <w:widowControl/>
        <w:spacing w:after="160" w:line="580" w:lineRule="exact"/>
        <w:rPr>
          <w:rFonts w:ascii="Times New Roman" w:eastAsia="黑体" w:hAnsi="Times New Roman" w:cs="Times New Roman"/>
          <w:sz w:val="32"/>
          <w:szCs w:val="32"/>
        </w:rPr>
        <w:sectPr w:rsidR="0081201E">
          <w:headerReference w:type="default" r:id="rId10"/>
          <w:footerReference w:type="default" r:id="rId11"/>
          <w:headerReference w:type="first" r:id="rId12"/>
          <w:footerReference w:type="first" r:id="rId13"/>
          <w:pgSz w:w="11906" w:h="16838"/>
          <w:pgMar w:top="1474" w:right="1531" w:bottom="1474" w:left="1531" w:header="851" w:footer="992" w:gutter="0"/>
          <w:cols w:space="0"/>
          <w:titlePg/>
          <w:docGrid w:type="lines" w:linePitch="312"/>
        </w:sectPr>
      </w:pPr>
    </w:p>
    <w:p w:rsidR="0081201E" w:rsidRDefault="006E23F4">
      <w:pPr>
        <w:widowControl/>
        <w:spacing w:line="360" w:lineRule="auto"/>
        <w:jc w:val="center"/>
        <w:outlineLvl w:val="0"/>
        <w:rPr>
          <w:rFonts w:ascii="Times New Roman" w:eastAsia="黑体"/>
          <w:sz w:val="44"/>
          <w:szCs w:val="44"/>
        </w:rPr>
      </w:pPr>
      <w:r>
        <w:rPr>
          <w:rFonts w:ascii="Times New Roman" w:eastAsia="黑体"/>
          <w:sz w:val="44"/>
          <w:szCs w:val="44"/>
        </w:rPr>
        <w:lastRenderedPageBreak/>
        <w:t>第一部分单位概况</w:t>
      </w:r>
    </w:p>
    <w:p w:rsidR="0081201E" w:rsidRDefault="006E23F4">
      <w:pPr>
        <w:widowControl/>
        <w:spacing w:line="360" w:lineRule="auto"/>
        <w:jc w:val="left"/>
        <w:outlineLvl w:val="1"/>
        <w:rPr>
          <w:rFonts w:ascii="Times New Roman" w:eastAsia="黑体"/>
          <w:sz w:val="32"/>
          <w:szCs w:val="32"/>
        </w:rPr>
      </w:pPr>
      <w:r>
        <w:rPr>
          <w:rFonts w:ascii="Times New Roman" w:eastAsia="黑体"/>
          <w:sz w:val="32"/>
          <w:szCs w:val="32"/>
        </w:rPr>
        <w:t>一、单位职责</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根据部门“三定”方案，我部门的职责主要有以下几方面： 一是拟订财税发展战略、规划、政策和改革方案并组织实施。分析预测宏观经济形势，参与制定宏观经济政策，提出运用财税政策实施宏观调控和综合平衡社会财力的建议；完善鼓励公益事业发展的政策； 二是贯彻执行财政、财务、会计管理的法律、行政法规、规章，起草相关的财政、预算、财务、会计管理等方面制度及实施方案，并监督执行。 三是负责管理市本级各项财政收支。编制年度市本级预决算草案并组织执行，汇编全市预决算草案。组织制定经费开支标准、定额，审核批复部门（单位）年度预决算。受市政府委托，向市人民代表大会及其常委会报告财政预算、执行和决算等情况。负责财政预决算公开。 四是讨论和决定本镇经济建设、政治建设、文化建设、社会建设、生态文明建设和党的建设以及乡村振兴中的重大问题。 五是组织召开本级人民代表大会，充分行使重大事项决定权，监督全和任免权，做好人大代表工作，联系选民，反映群众意见和要求。 六是研究制定行政区域内发展规划、专项规划、区域规划、国土空间规划。管理本行政区域内的经济、教育、科学、文化、卫生健康、体育事业和财政、</w:t>
      </w:r>
      <w:r w:rsidRPr="00535C9B">
        <w:rPr>
          <w:rFonts w:ascii="仿宋" w:eastAsia="仿宋" w:hAnsi="仿宋"/>
          <w:sz w:val="32"/>
          <w:szCs w:val="32"/>
        </w:rPr>
        <w:lastRenderedPageBreak/>
        <w:t>统计、民政、司法行政等行政工作。 七是镇党委领导镇政权机关，群团组织和其他各类组织，支持和保证这些机关和组织依照国家法律法规以及各自章程履行职责。坚持党管武装的根本原则和制度，协调各方面力量。 八是加强镇党委自身建设和村党组织建设，抓好发展党员工作，加强党员队伍建设。维护和执行党的纪律，监督党员干部和其他工作人员严格遵守国家法律法规。 九是领导本镇的基层治理，加强社会主义民主法治建设和精神文明建设，加强社会治安综合治理，做好应急管理、生态环保、乡村振兴、民生保障、脱贫致富、民族宗教、防反邪教等工作。承担民兵预备役、征兵、退役军人服务，拥军优属等工作。 十保护社会主义的全民所有的财产和劳动群众集体所有的财产，保护公民私人所有的合法财产，维护社会秩序，保障公民的人身权利及其他权利。</w:t>
      </w:r>
    </w:p>
    <w:p w:rsidR="0081201E" w:rsidRDefault="006E23F4">
      <w:pPr>
        <w:widowControl/>
        <w:spacing w:line="360" w:lineRule="auto"/>
        <w:jc w:val="left"/>
        <w:outlineLvl w:val="1"/>
        <w:rPr>
          <w:rFonts w:ascii="Times New Roman" w:eastAsia="黑体"/>
          <w:sz w:val="32"/>
          <w:szCs w:val="32"/>
        </w:rPr>
      </w:pPr>
      <w:r>
        <w:rPr>
          <w:rFonts w:ascii="Times New Roman" w:eastAsia="黑体"/>
          <w:sz w:val="32"/>
          <w:szCs w:val="32"/>
        </w:rPr>
        <w:t>二、机构设置</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从决算编报单位构成看，纳入2024年度本部门决算汇编范围的独立核算单位（以下简称“单位”）共1个，具体情况如下：</w:t>
      </w:r>
    </w:p>
    <w:tbl>
      <w:tblPr>
        <w:tblpPr w:leftFromText="180" w:rightFromText="180" w:vertAnchor="text" w:horzAnchor="page" w:tblpXSpec="center" w:tblpY="10"/>
        <w:tblOverlap w:val="neve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5"/>
        <w:gridCol w:w="3485"/>
        <w:gridCol w:w="2445"/>
        <w:gridCol w:w="2665"/>
      </w:tblGrid>
      <w:tr w:rsidR="0081201E">
        <w:trPr>
          <w:trHeight w:val="811"/>
          <w:jc w:val="center"/>
        </w:trPr>
        <w:tc>
          <w:tcPr>
            <w:tcW w:w="985" w:type="dxa"/>
            <w:vAlign w:val="center"/>
          </w:tcPr>
          <w:p w:rsidR="0081201E" w:rsidRDefault="006E23F4">
            <w:pPr>
              <w:spacing w:line="560" w:lineRule="exact"/>
              <w:jc w:val="center"/>
              <w:rPr>
                <w:rFonts w:ascii="仿宋_GB2312" w:eastAsia="仿宋_GB2312" w:hAnsi="Calibri" w:cs="ArialUnicodeMS"/>
                <w:b/>
                <w:bCs/>
                <w:sz w:val="28"/>
                <w:szCs w:val="28"/>
              </w:rPr>
            </w:pPr>
            <w:r>
              <w:rPr>
                <w:rFonts w:ascii="仿宋_GB2312" w:eastAsia="仿宋_GB2312" w:hAnsi="Calibri" w:cs="ArialUnicodeMS" w:hint="eastAsia"/>
                <w:b/>
                <w:bCs/>
                <w:sz w:val="28"/>
                <w:szCs w:val="28"/>
              </w:rPr>
              <w:t>序号</w:t>
            </w:r>
          </w:p>
        </w:tc>
        <w:tc>
          <w:tcPr>
            <w:tcW w:w="3485" w:type="dxa"/>
            <w:vAlign w:val="center"/>
          </w:tcPr>
          <w:p w:rsidR="0081201E" w:rsidRDefault="006E23F4">
            <w:pPr>
              <w:spacing w:line="560" w:lineRule="exact"/>
              <w:jc w:val="center"/>
              <w:rPr>
                <w:rFonts w:ascii="仿宋_GB2312" w:eastAsia="仿宋_GB2312" w:hAnsi="Calibri" w:cs="ArialUnicodeMS"/>
                <w:b/>
                <w:bCs/>
                <w:sz w:val="28"/>
                <w:szCs w:val="28"/>
              </w:rPr>
            </w:pPr>
            <w:r>
              <w:rPr>
                <w:rFonts w:ascii="仿宋_GB2312" w:eastAsia="仿宋_GB2312" w:hAnsi="Calibri" w:cs="ArialUnicodeMS" w:hint="eastAsia"/>
                <w:b/>
                <w:bCs/>
                <w:sz w:val="28"/>
                <w:szCs w:val="28"/>
              </w:rPr>
              <w:t>单位名称</w:t>
            </w:r>
          </w:p>
        </w:tc>
        <w:tc>
          <w:tcPr>
            <w:tcW w:w="2445" w:type="dxa"/>
            <w:vAlign w:val="center"/>
          </w:tcPr>
          <w:p w:rsidR="0081201E" w:rsidRDefault="006E23F4">
            <w:pPr>
              <w:spacing w:line="560" w:lineRule="exact"/>
              <w:jc w:val="center"/>
              <w:rPr>
                <w:rFonts w:ascii="仿宋_GB2312" w:eastAsia="仿宋_GB2312" w:hAnsi="Calibri" w:cs="ArialUnicodeMS"/>
                <w:b/>
                <w:bCs/>
                <w:sz w:val="28"/>
                <w:szCs w:val="28"/>
              </w:rPr>
            </w:pPr>
            <w:r>
              <w:rPr>
                <w:rFonts w:ascii="仿宋_GB2312" w:eastAsia="仿宋_GB2312" w:hAnsi="Calibri" w:cs="ArialUnicodeMS" w:hint="eastAsia"/>
                <w:b/>
                <w:bCs/>
                <w:sz w:val="28"/>
                <w:szCs w:val="28"/>
              </w:rPr>
              <w:t>单位基本性质</w:t>
            </w:r>
          </w:p>
        </w:tc>
        <w:tc>
          <w:tcPr>
            <w:tcW w:w="2665" w:type="dxa"/>
            <w:vAlign w:val="center"/>
          </w:tcPr>
          <w:p w:rsidR="0081201E" w:rsidRDefault="006E23F4">
            <w:pPr>
              <w:spacing w:line="560" w:lineRule="exact"/>
              <w:jc w:val="center"/>
              <w:rPr>
                <w:rFonts w:ascii="仿宋_GB2312" w:eastAsia="仿宋_GB2312" w:hAnsi="Calibri" w:cs="ArialUnicodeMS"/>
                <w:b/>
                <w:bCs/>
                <w:sz w:val="28"/>
                <w:szCs w:val="28"/>
              </w:rPr>
            </w:pPr>
            <w:r>
              <w:rPr>
                <w:rFonts w:ascii="仿宋_GB2312" w:eastAsia="仿宋_GB2312" w:hAnsi="Calibri" w:cs="ArialUnicodeMS" w:hint="eastAsia"/>
                <w:b/>
                <w:bCs/>
                <w:sz w:val="28"/>
                <w:szCs w:val="28"/>
              </w:rPr>
              <w:t>经费形式</w:t>
            </w:r>
          </w:p>
        </w:tc>
      </w:tr>
      <w:tr w:rsidR="0081201E">
        <w:trPr>
          <w:trHeight w:val="596"/>
          <w:jc w:val="center"/>
        </w:trPr>
        <w:tc>
          <w:tcPr>
            <w:tcW w:w="985" w:type="dxa"/>
          </w:tcPr>
          <w:p w:rsidR="0081201E" w:rsidRDefault="006E23F4">
            <w:pPr>
              <w:spacing w:line="560" w:lineRule="exact"/>
              <w:jc w:val="center"/>
              <w:rPr>
                <w:rFonts w:ascii="仿宋_GB2312" w:eastAsia="仿宋_GB2312" w:hAnsi="Calibri" w:cs="ArialUnicodeMS"/>
                <w:sz w:val="28"/>
                <w:szCs w:val="28"/>
              </w:rPr>
            </w:pPr>
            <w:r>
              <w:rPr>
                <w:rFonts w:ascii="仿宋_GB2312" w:eastAsia="仿宋_GB2312" w:hAnsi="Calibri" w:cs="ArialUnicodeMS" w:hint="eastAsia"/>
                <w:sz w:val="28"/>
                <w:szCs w:val="28"/>
              </w:rPr>
              <w:t>1</w:t>
            </w:r>
          </w:p>
        </w:tc>
        <w:tc>
          <w:tcPr>
            <w:tcW w:w="3485" w:type="dxa"/>
          </w:tcPr>
          <w:p w:rsidR="0081201E" w:rsidRPr="00535C9B" w:rsidRDefault="006E23F4">
            <w:pPr>
              <w:spacing w:line="560" w:lineRule="exact"/>
              <w:jc w:val="center"/>
              <w:rPr>
                <w:rFonts w:ascii="仿宋" w:eastAsia="仿宋" w:hAnsi="仿宋" w:cs="ArialUnicodeMS"/>
                <w:sz w:val="28"/>
                <w:szCs w:val="28"/>
              </w:rPr>
            </w:pPr>
            <w:r w:rsidRPr="00535C9B">
              <w:rPr>
                <w:rFonts w:ascii="仿宋" w:eastAsia="仿宋" w:hAnsi="仿宋" w:cs="ArialUnicodeMS" w:hint="eastAsia"/>
                <w:sz w:val="28"/>
                <w:szCs w:val="28"/>
              </w:rPr>
              <w:t>滦州市古马镇人民政府</w:t>
            </w:r>
          </w:p>
        </w:tc>
        <w:tc>
          <w:tcPr>
            <w:tcW w:w="2445" w:type="dxa"/>
          </w:tcPr>
          <w:p w:rsidR="0081201E" w:rsidRDefault="006E23F4">
            <w:pPr>
              <w:spacing w:line="560" w:lineRule="exact"/>
              <w:jc w:val="center"/>
              <w:rPr>
                <w:rFonts w:ascii="仿宋_GB2312" w:eastAsia="仿宋_GB2312" w:hAnsi="Calibri" w:cs="ArialUnicodeMS"/>
                <w:sz w:val="28"/>
                <w:szCs w:val="28"/>
              </w:rPr>
            </w:pPr>
            <w:r>
              <w:rPr>
                <w:rFonts w:ascii="宋体" w:eastAsia="宋体" w:hAnsi="宋体" w:hint="eastAsia"/>
                <w:sz w:val="28"/>
                <w:szCs w:val="28"/>
              </w:rPr>
              <w:t>行政单位</w:t>
            </w:r>
          </w:p>
        </w:tc>
        <w:tc>
          <w:tcPr>
            <w:tcW w:w="2665" w:type="dxa"/>
          </w:tcPr>
          <w:p w:rsidR="0081201E" w:rsidRDefault="006E23F4">
            <w:pPr>
              <w:spacing w:line="560" w:lineRule="exact"/>
              <w:jc w:val="center"/>
              <w:rPr>
                <w:rFonts w:ascii="仿宋_GB2312" w:eastAsia="仿宋_GB2312" w:hAnsi="Calibri" w:cs="ArialUnicodeMS"/>
                <w:sz w:val="28"/>
                <w:szCs w:val="28"/>
              </w:rPr>
            </w:pPr>
            <w:r>
              <w:rPr>
                <w:rFonts w:ascii="仿宋_GB2312" w:eastAsia="仿宋_GB2312" w:hAnsi="Calibri" w:cs="ArialUnicodeMS" w:hint="eastAsia"/>
                <w:sz w:val="28"/>
                <w:szCs w:val="28"/>
              </w:rPr>
              <w:t>全额</w:t>
            </w:r>
          </w:p>
        </w:tc>
      </w:tr>
    </w:tbl>
    <w:p w:rsidR="0081201E" w:rsidRPr="001D46DC" w:rsidRDefault="00535C9B">
      <w:pPr>
        <w:rPr>
          <w:rFonts w:ascii="楷体" w:eastAsia="楷体" w:hAnsi="楷体" w:cs="Times New Roman"/>
          <w:sz w:val="32"/>
          <w:szCs w:val="32"/>
          <w:highlight w:val="yellow"/>
        </w:rPr>
      </w:pPr>
      <w:r w:rsidRPr="001D46DC">
        <w:rPr>
          <w:rFonts w:ascii="楷体" w:eastAsia="楷体" w:hAnsi="楷体" w:hint="eastAsia"/>
          <w:sz w:val="32"/>
          <w:szCs w:val="32"/>
        </w:rPr>
        <w:lastRenderedPageBreak/>
        <w:t>我部门无二级预算单位，因此，</w:t>
      </w:r>
      <w:r w:rsidRPr="001D46DC">
        <w:rPr>
          <w:rFonts w:ascii="楷体" w:eastAsia="楷体" w:hAnsi="楷体" w:cs="ArialUnicodeMS" w:hint="eastAsia"/>
          <w:sz w:val="28"/>
          <w:szCs w:val="28"/>
        </w:rPr>
        <w:t>滦州市古马镇人民政府</w:t>
      </w:r>
      <w:r w:rsidRPr="001D46DC">
        <w:rPr>
          <w:rFonts w:ascii="楷体" w:eastAsia="楷体" w:hAnsi="楷体" w:hint="eastAsia"/>
          <w:sz w:val="32"/>
          <w:szCs w:val="32"/>
        </w:rPr>
        <w:t>2024年度部门决算即</w:t>
      </w:r>
      <w:r w:rsidRPr="001D46DC">
        <w:rPr>
          <w:rFonts w:ascii="楷体" w:eastAsia="楷体" w:hAnsi="楷体" w:cs="ArialUnicodeMS" w:hint="eastAsia"/>
          <w:sz w:val="28"/>
          <w:szCs w:val="28"/>
        </w:rPr>
        <w:t>滦州市古马镇人民政府</w:t>
      </w:r>
      <w:r w:rsidRPr="001D46DC">
        <w:rPr>
          <w:rFonts w:ascii="楷体" w:eastAsia="楷体" w:hAnsi="楷体" w:hint="eastAsia"/>
          <w:sz w:val="32"/>
          <w:szCs w:val="32"/>
        </w:rPr>
        <w:t>本级2024年度决算。</w:t>
      </w:r>
      <w:r w:rsidR="006E23F4" w:rsidRPr="001D46DC">
        <w:rPr>
          <w:rFonts w:ascii="楷体" w:eastAsia="楷体" w:hAnsi="楷体" w:cs="Times New Roman" w:hint="eastAsia"/>
          <w:sz w:val="32"/>
          <w:szCs w:val="32"/>
        </w:rPr>
        <w:br w:type="page"/>
      </w:r>
    </w:p>
    <w:p w:rsidR="0081201E" w:rsidRDefault="006E23F4">
      <w:pPr>
        <w:widowControl/>
        <w:spacing w:line="360" w:lineRule="auto"/>
        <w:jc w:val="center"/>
        <w:outlineLvl w:val="0"/>
        <w:rPr>
          <w:rFonts w:ascii="Times New Roman" w:eastAsia="黑体"/>
          <w:sz w:val="44"/>
          <w:szCs w:val="44"/>
        </w:rPr>
      </w:pPr>
      <w:r>
        <w:rPr>
          <w:rFonts w:ascii="Times New Roman" w:eastAsia="黑体"/>
          <w:sz w:val="44"/>
          <w:szCs w:val="44"/>
        </w:rPr>
        <w:lastRenderedPageBreak/>
        <w:t>第二部分</w:t>
      </w:r>
      <w:r>
        <w:rPr>
          <w:rFonts w:ascii="Times New Roman" w:eastAsia="仿宋_GB2312"/>
          <w:sz w:val="44"/>
          <w:szCs w:val="44"/>
        </w:rPr>
        <w:t>2024</w:t>
      </w:r>
      <w:r>
        <w:rPr>
          <w:rFonts w:ascii="Times New Roman" w:eastAsia="黑体"/>
          <w:sz w:val="44"/>
          <w:szCs w:val="44"/>
        </w:rPr>
        <w:t>年度部门决算表</w:t>
      </w:r>
    </w:p>
    <w:tbl>
      <w:tblPr>
        <w:tblW w:w="7250" w:type="pct"/>
        <w:tblInd w:w="-1817" w:type="dxa"/>
        <w:tblLayout w:type="fixed"/>
        <w:tblLook w:val="04A0"/>
      </w:tblPr>
      <w:tblGrid>
        <w:gridCol w:w="3343"/>
        <w:gridCol w:w="623"/>
        <w:gridCol w:w="613"/>
        <w:gridCol w:w="1317"/>
        <w:gridCol w:w="1625"/>
        <w:gridCol w:w="1548"/>
        <w:gridCol w:w="623"/>
        <w:gridCol w:w="1931"/>
        <w:gridCol w:w="35"/>
      </w:tblGrid>
      <w:tr w:rsidR="0081201E">
        <w:trPr>
          <w:gridAfter w:val="1"/>
          <w:wAfter w:w="14" w:type="pct"/>
          <w:trHeight w:val="361"/>
        </w:trPr>
        <w:tc>
          <w:tcPr>
            <w:tcW w:w="4985" w:type="pct"/>
            <w:gridSpan w:val="8"/>
            <w:tcBorders>
              <w:top w:val="nil"/>
              <w:left w:val="nil"/>
              <w:bottom w:val="nil"/>
              <w:right w:val="nil"/>
            </w:tcBorders>
            <w:noWrap/>
            <w:vAlign w:val="bottom"/>
          </w:tcPr>
          <w:p w:rsidR="0081201E" w:rsidRDefault="006E23F4">
            <w:pPr>
              <w:widowControl/>
              <w:jc w:val="center"/>
              <w:textAlignment w:val="bottom"/>
              <w:rPr>
                <w:rFonts w:ascii="宋体" w:eastAsia="宋体" w:hAnsi="宋体"/>
                <w:color w:val="000000"/>
                <w:sz w:val="20"/>
                <w:szCs w:val="20"/>
              </w:rPr>
            </w:pPr>
            <w:r>
              <w:rPr>
                <w:rFonts w:ascii="方正仿宋_GB2312" w:eastAsia="方正仿宋_GB2312" w:hAnsi="方正仿宋_GB2312" w:cs="方正仿宋_GB2312" w:hint="eastAsia"/>
                <w:bCs/>
                <w:sz w:val="32"/>
                <w:szCs w:val="32"/>
              </w:rPr>
              <w:t>收入支出决算总表</w:t>
            </w:r>
          </w:p>
        </w:tc>
      </w:tr>
      <w:tr w:rsidR="0081201E">
        <w:trPr>
          <w:gridAfter w:val="1"/>
          <w:wAfter w:w="14" w:type="pct"/>
          <w:trHeight w:val="357"/>
        </w:trPr>
        <w:tc>
          <w:tcPr>
            <w:tcW w:w="4985" w:type="pct"/>
            <w:gridSpan w:val="8"/>
            <w:tcBorders>
              <w:top w:val="nil"/>
              <w:left w:val="nil"/>
              <w:bottom w:val="nil"/>
              <w:right w:val="nil"/>
            </w:tcBorders>
            <w:noWrap/>
            <w:vAlign w:val="bottom"/>
          </w:tcPr>
          <w:p w:rsidR="0081201E" w:rsidRDefault="006E23F4">
            <w:pPr>
              <w:widowControl/>
              <w:jc w:val="righ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 xml:space="preserve"> 公开</w:t>
            </w:r>
            <w:r>
              <w:rPr>
                <w:rFonts w:ascii="Times New Roman" w:eastAsia="宋体" w:hAnsi="Times New Roman" w:cs="Times New Roman" w:hint="eastAsia"/>
                <w:color w:val="000000"/>
                <w:sz w:val="20"/>
                <w:szCs w:val="20"/>
              </w:rPr>
              <w:t>01</w:t>
            </w:r>
            <w:r>
              <w:rPr>
                <w:rFonts w:ascii="方正仿宋_GB2312" w:eastAsia="方正仿宋_GB2312" w:hAnsi="方正仿宋_GB2312" w:cs="方正仿宋_GB2312" w:hint="eastAsia"/>
                <w:color w:val="000000"/>
                <w:sz w:val="20"/>
                <w:szCs w:val="20"/>
              </w:rPr>
              <w:t>表</w:t>
            </w:r>
          </w:p>
        </w:tc>
      </w:tr>
      <w:tr w:rsidR="0081201E">
        <w:trPr>
          <w:gridAfter w:val="1"/>
          <w:wAfter w:w="14" w:type="pct"/>
          <w:trHeight w:val="351"/>
        </w:trPr>
        <w:tc>
          <w:tcPr>
            <w:tcW w:w="1964" w:type="pct"/>
            <w:gridSpan w:val="3"/>
            <w:tcBorders>
              <w:top w:val="nil"/>
              <w:left w:val="nil"/>
              <w:bottom w:val="single" w:sz="4" w:space="0" w:color="auto"/>
              <w:right w:val="nil"/>
            </w:tcBorders>
            <w:noWrap/>
            <w:vAlign w:val="bottom"/>
          </w:tcPr>
          <w:p w:rsidR="0081201E" w:rsidRDefault="006E23F4">
            <w:pP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部门（单位）：滦州市古马镇人民政府(本级)</w:t>
            </w:r>
          </w:p>
        </w:tc>
        <w:tc>
          <w:tcPr>
            <w:tcW w:w="1262" w:type="pct"/>
            <w:gridSpan w:val="2"/>
            <w:tcBorders>
              <w:top w:val="nil"/>
              <w:left w:val="nil"/>
              <w:bottom w:val="single" w:sz="4" w:space="0" w:color="auto"/>
              <w:right w:val="nil"/>
            </w:tcBorders>
            <w:noWrap/>
            <w:vAlign w:val="bottom"/>
          </w:tcPr>
          <w:p w:rsidR="0081201E" w:rsidRDefault="006E23F4">
            <w:pPr>
              <w:jc w:val="center"/>
              <w:rPr>
                <w:rFonts w:ascii="宋体" w:eastAsia="宋体" w:hAnsi="宋体"/>
                <w:color w:val="000000"/>
                <w:sz w:val="20"/>
                <w:szCs w:val="20"/>
              </w:rPr>
            </w:pPr>
            <w:r>
              <w:rPr>
                <w:rFonts w:ascii="Times New Roman" w:eastAsia="宋体" w:hAnsi="Times New Roman" w:cs="Times New Roman" w:hint="eastAsia"/>
                <w:color w:val="000000"/>
                <w:sz w:val="20"/>
                <w:szCs w:val="20"/>
              </w:rPr>
              <w:t>2024</w:t>
            </w:r>
            <w:r>
              <w:rPr>
                <w:rFonts w:ascii="方正仿宋_GB2312" w:eastAsia="方正仿宋_GB2312" w:hAnsi="方正仿宋_GB2312" w:cs="方正仿宋_GB2312" w:hint="eastAsia"/>
                <w:color w:val="000000"/>
                <w:sz w:val="20"/>
                <w:szCs w:val="20"/>
              </w:rPr>
              <w:t>年度</w:t>
            </w:r>
          </w:p>
        </w:tc>
        <w:tc>
          <w:tcPr>
            <w:tcW w:w="1757" w:type="pct"/>
            <w:gridSpan w:val="3"/>
            <w:tcBorders>
              <w:top w:val="nil"/>
              <w:left w:val="nil"/>
              <w:bottom w:val="single" w:sz="4" w:space="0" w:color="auto"/>
              <w:right w:val="nil"/>
            </w:tcBorders>
            <w:noWrap/>
            <w:vAlign w:val="bottom"/>
          </w:tcPr>
          <w:p w:rsidR="0081201E" w:rsidRDefault="006E23F4">
            <w:pPr>
              <w:jc w:val="right"/>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金额单位：万元</w:t>
            </w:r>
          </w:p>
        </w:tc>
      </w:tr>
      <w:tr w:rsidR="0081201E">
        <w:trPr>
          <w:gridAfter w:val="1"/>
          <w:wAfter w:w="14" w:type="pct"/>
          <w:trHeight w:val="544"/>
        </w:trPr>
        <w:tc>
          <w:tcPr>
            <w:tcW w:w="2529" w:type="pct"/>
            <w:gridSpan w:val="4"/>
            <w:tcBorders>
              <w:top w:val="single" w:sz="4" w:space="0" w:color="auto"/>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收入</w:t>
            </w:r>
          </w:p>
        </w:tc>
        <w:tc>
          <w:tcPr>
            <w:tcW w:w="2456" w:type="pct"/>
            <w:gridSpan w:val="4"/>
            <w:tcBorders>
              <w:top w:val="single" w:sz="4" w:space="0" w:color="auto"/>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支出</w:t>
            </w:r>
          </w:p>
        </w:tc>
      </w:tr>
      <w:tr w:rsidR="0081201E">
        <w:trPr>
          <w:gridAfter w:val="1"/>
          <w:wAfter w:w="14" w:type="pct"/>
          <w:trHeight w:val="308"/>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项目</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行次</w:t>
            </w:r>
          </w:p>
        </w:tc>
        <w:tc>
          <w:tcPr>
            <w:tcW w:w="826"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决算数</w:t>
            </w: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项目</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行次</w:t>
            </w:r>
          </w:p>
        </w:tc>
        <w:tc>
          <w:tcPr>
            <w:tcW w:w="82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决算数</w:t>
            </w: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栏次</w:t>
            </w:r>
          </w:p>
        </w:tc>
        <w:tc>
          <w:tcPr>
            <w:tcW w:w="267" w:type="pct"/>
            <w:tcBorders>
              <w:top w:val="nil"/>
              <w:left w:val="nil"/>
              <w:bottom w:val="single" w:sz="4" w:space="0" w:color="000000"/>
              <w:right w:val="single" w:sz="4" w:space="0" w:color="000000"/>
            </w:tcBorders>
            <w:noWrap/>
            <w:vAlign w:val="center"/>
          </w:tcPr>
          <w:p w:rsidR="0081201E" w:rsidRDefault="0081201E">
            <w:pPr>
              <w:jc w:val="center"/>
              <w:rPr>
                <w:rFonts w:ascii="宋体" w:eastAsia="宋体" w:hAnsi="宋体"/>
                <w:color w:val="000000"/>
                <w:sz w:val="20"/>
                <w:szCs w:val="20"/>
              </w:rPr>
            </w:pPr>
          </w:p>
        </w:tc>
        <w:tc>
          <w:tcPr>
            <w:tcW w:w="826"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Times New Roman" w:eastAsia="宋体" w:hAnsi="Times New Roman" w:cs="Times New Roman" w:hint="eastAsia"/>
                <w:color w:val="000000"/>
                <w:sz w:val="20"/>
                <w:szCs w:val="20"/>
              </w:rPr>
              <w:t>1</w:t>
            </w: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栏次</w:t>
            </w:r>
          </w:p>
        </w:tc>
        <w:tc>
          <w:tcPr>
            <w:tcW w:w="267" w:type="pct"/>
            <w:tcBorders>
              <w:top w:val="nil"/>
              <w:left w:val="nil"/>
              <w:bottom w:val="single" w:sz="4" w:space="0" w:color="000000"/>
              <w:right w:val="single" w:sz="4" w:space="0" w:color="000000"/>
            </w:tcBorders>
            <w:noWrap/>
            <w:vAlign w:val="center"/>
          </w:tcPr>
          <w:p w:rsidR="0081201E" w:rsidRDefault="0081201E">
            <w:pPr>
              <w:jc w:val="center"/>
              <w:rPr>
                <w:rFonts w:ascii="宋体" w:eastAsia="宋体" w:hAnsi="宋体"/>
                <w:color w:val="000000"/>
                <w:sz w:val="20"/>
                <w:szCs w:val="20"/>
              </w:rPr>
            </w:pPr>
          </w:p>
        </w:tc>
        <w:tc>
          <w:tcPr>
            <w:tcW w:w="82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Times New Roman" w:eastAsia="宋体" w:hAnsi="Times New Roman" w:cs="Times New Roman" w:hint="eastAsia"/>
                <w:color w:val="000000"/>
                <w:sz w:val="20"/>
                <w:szCs w:val="20"/>
              </w:rPr>
              <w:t>2</w:t>
            </w: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一、一般公共预算财政拨款收入</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宋体" w:eastAsia="宋体" w:hAnsi="宋体"/>
                <w:color w:val="000000"/>
                <w:sz w:val="20"/>
                <w:szCs w:val="20"/>
              </w:rPr>
              <w:t>1</w:t>
            </w:r>
          </w:p>
        </w:tc>
        <w:tc>
          <w:tcPr>
            <w:tcW w:w="826"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2,562.54</w:t>
            </w: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一、一般公共服务支出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32</w:t>
            </w:r>
          </w:p>
        </w:tc>
        <w:tc>
          <w:tcPr>
            <w:tcW w:w="826"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1,481.30</w:t>
            </w: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二、政府性基金预算财政拨款收入</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二、外交支出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33</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三、国有资本经营预算财政拨款收入</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三、国防支出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34</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四、上级补助收入</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四、公共安全支出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35</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五、事业收入</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五、教育支出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36</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六、经营收入</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六、科学技术支出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37</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七、附属单位上缴收入</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7</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七、文化旅游体育与传媒支出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38</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八、其他收入</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八、社会保障和就业支出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39</w:t>
            </w:r>
          </w:p>
        </w:tc>
        <w:tc>
          <w:tcPr>
            <w:tcW w:w="826"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150.37</w:t>
            </w: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9</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九、卫生健康支出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40</w:t>
            </w:r>
          </w:p>
        </w:tc>
        <w:tc>
          <w:tcPr>
            <w:tcW w:w="826"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151.96</w:t>
            </w: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十、节能环保支出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41</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11</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十一、城乡社区支出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42</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12</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十二、农林水支出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43</w:t>
            </w:r>
          </w:p>
        </w:tc>
        <w:tc>
          <w:tcPr>
            <w:tcW w:w="826"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694.82</w:t>
            </w: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13</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十三、交通运输支出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44</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auto"/>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nil"/>
              <w:left w:val="nil"/>
              <w:bottom w:val="single" w:sz="4" w:space="0" w:color="auto"/>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w:t>
            </w:r>
          </w:p>
        </w:tc>
        <w:tc>
          <w:tcPr>
            <w:tcW w:w="826" w:type="pct"/>
            <w:gridSpan w:val="2"/>
            <w:tcBorders>
              <w:top w:val="nil"/>
              <w:left w:val="nil"/>
              <w:bottom w:val="single" w:sz="4" w:space="0" w:color="auto"/>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auto"/>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十四、资源勘探工业信息等支出</w:t>
            </w:r>
          </w:p>
        </w:tc>
        <w:tc>
          <w:tcPr>
            <w:tcW w:w="267" w:type="pct"/>
            <w:tcBorders>
              <w:top w:val="nil"/>
              <w:left w:val="nil"/>
              <w:bottom w:val="single" w:sz="4" w:space="0" w:color="auto"/>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45</w:t>
            </w:r>
          </w:p>
        </w:tc>
        <w:tc>
          <w:tcPr>
            <w:tcW w:w="826" w:type="pct"/>
            <w:tcBorders>
              <w:top w:val="nil"/>
              <w:left w:val="nil"/>
              <w:bottom w:val="single" w:sz="4" w:space="0" w:color="auto"/>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15</w:t>
            </w:r>
          </w:p>
        </w:tc>
        <w:tc>
          <w:tcPr>
            <w:tcW w:w="826"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十五、商业服务业等支出</w:t>
            </w: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46</w:t>
            </w:r>
          </w:p>
        </w:tc>
        <w:tc>
          <w:tcPr>
            <w:tcW w:w="826"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16</w:t>
            </w:r>
          </w:p>
        </w:tc>
        <w:tc>
          <w:tcPr>
            <w:tcW w:w="826"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十六、金融支出</w:t>
            </w: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47</w:t>
            </w:r>
          </w:p>
        </w:tc>
        <w:tc>
          <w:tcPr>
            <w:tcW w:w="826"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17</w:t>
            </w:r>
          </w:p>
        </w:tc>
        <w:tc>
          <w:tcPr>
            <w:tcW w:w="826"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十七、援助其他地区支出</w:t>
            </w: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48</w:t>
            </w:r>
          </w:p>
        </w:tc>
        <w:tc>
          <w:tcPr>
            <w:tcW w:w="826"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18</w:t>
            </w:r>
          </w:p>
        </w:tc>
        <w:tc>
          <w:tcPr>
            <w:tcW w:w="826"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十八、自然资源海洋气象等支出</w:t>
            </w: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49</w:t>
            </w:r>
          </w:p>
        </w:tc>
        <w:tc>
          <w:tcPr>
            <w:tcW w:w="826"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19</w:t>
            </w:r>
          </w:p>
        </w:tc>
        <w:tc>
          <w:tcPr>
            <w:tcW w:w="826"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十九、住房保障支出</w:t>
            </w: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50</w:t>
            </w:r>
          </w:p>
        </w:tc>
        <w:tc>
          <w:tcPr>
            <w:tcW w:w="82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84.27</w:t>
            </w:r>
          </w:p>
        </w:tc>
      </w:tr>
      <w:tr w:rsidR="0081201E">
        <w:trPr>
          <w:gridAfter w:val="1"/>
          <w:wAfter w:w="14" w:type="pct"/>
          <w:trHeight w:val="476"/>
        </w:trPr>
        <w:tc>
          <w:tcPr>
            <w:tcW w:w="1434"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20</w:t>
            </w:r>
          </w:p>
        </w:tc>
        <w:tc>
          <w:tcPr>
            <w:tcW w:w="826"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二十、粮油物资储备支出</w:t>
            </w:r>
          </w:p>
        </w:tc>
        <w:tc>
          <w:tcPr>
            <w:tcW w:w="267"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51</w:t>
            </w:r>
          </w:p>
        </w:tc>
        <w:tc>
          <w:tcPr>
            <w:tcW w:w="826"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single" w:sz="4" w:space="0" w:color="auto"/>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single" w:sz="4" w:space="0" w:color="auto"/>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21</w:t>
            </w:r>
          </w:p>
        </w:tc>
        <w:tc>
          <w:tcPr>
            <w:tcW w:w="826" w:type="pct"/>
            <w:gridSpan w:val="2"/>
            <w:tcBorders>
              <w:top w:val="single" w:sz="4" w:space="0" w:color="auto"/>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single" w:sz="4" w:space="0" w:color="auto"/>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二十一、国有资本经营预算支出</w:t>
            </w:r>
          </w:p>
        </w:tc>
        <w:tc>
          <w:tcPr>
            <w:tcW w:w="267" w:type="pct"/>
            <w:tcBorders>
              <w:top w:val="single" w:sz="4" w:space="0" w:color="auto"/>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52</w:t>
            </w:r>
          </w:p>
        </w:tc>
        <w:tc>
          <w:tcPr>
            <w:tcW w:w="826" w:type="pct"/>
            <w:tcBorders>
              <w:top w:val="single" w:sz="4" w:space="0" w:color="auto"/>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22</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二十二、灾害防治及应急管理支出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53</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23</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二十三、其他支出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54</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24</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二十四、债务还本支出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55</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25</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二十五、债务付息支出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56</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26</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二十六、抗疫特别国债安排的支出</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57</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b/>
                <w:bCs/>
                <w:color w:val="000000"/>
                <w:sz w:val="20"/>
                <w:szCs w:val="20"/>
              </w:rPr>
            </w:pPr>
            <w:r>
              <w:rPr>
                <w:rFonts w:ascii="方正仿宋_GB2312" w:eastAsia="方正仿宋_GB2312" w:hAnsi="方正仿宋_GB2312" w:cs="方正仿宋_GB2312" w:hint="eastAsia"/>
                <w:b/>
                <w:bCs/>
                <w:color w:val="000000"/>
                <w:sz w:val="20"/>
                <w:szCs w:val="20"/>
              </w:rPr>
              <w:t>本年收入合计</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27</w:t>
            </w:r>
          </w:p>
        </w:tc>
        <w:tc>
          <w:tcPr>
            <w:tcW w:w="826"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2,562.54</w:t>
            </w: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b/>
                <w:bCs/>
                <w:color w:val="000000"/>
                <w:sz w:val="20"/>
                <w:szCs w:val="20"/>
              </w:rPr>
            </w:pPr>
            <w:r>
              <w:rPr>
                <w:rFonts w:ascii="方正仿宋_GB2312" w:eastAsia="方正仿宋_GB2312" w:hAnsi="方正仿宋_GB2312" w:cs="方正仿宋_GB2312" w:hint="eastAsia"/>
                <w:b/>
                <w:bCs/>
                <w:color w:val="000000"/>
                <w:sz w:val="20"/>
                <w:szCs w:val="20"/>
              </w:rPr>
              <w:t>本年支出合计</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58</w:t>
            </w:r>
          </w:p>
        </w:tc>
        <w:tc>
          <w:tcPr>
            <w:tcW w:w="826"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2,562.71</w:t>
            </w: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使用非财政拨款结余（含专用结余）</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28</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结余分配</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59</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年初结转和结余</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29</w:t>
            </w:r>
          </w:p>
        </w:tc>
        <w:tc>
          <w:tcPr>
            <w:tcW w:w="826"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10.56</w:t>
            </w: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年末结转和结余</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60</w:t>
            </w:r>
          </w:p>
        </w:tc>
        <w:tc>
          <w:tcPr>
            <w:tcW w:w="826"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10.38</w:t>
            </w:r>
          </w:p>
        </w:tc>
      </w:tr>
      <w:tr w:rsidR="0081201E">
        <w:trPr>
          <w:gridAfter w:val="1"/>
          <w:wAfter w:w="14" w:type="pct"/>
          <w:trHeight w:val="476"/>
        </w:trPr>
        <w:tc>
          <w:tcPr>
            <w:tcW w:w="1434" w:type="pct"/>
            <w:tcBorders>
              <w:top w:val="nil"/>
              <w:left w:val="single" w:sz="4" w:space="0" w:color="000000"/>
              <w:bottom w:val="single" w:sz="4" w:space="0" w:color="000000"/>
              <w:right w:val="single" w:sz="4" w:space="0" w:color="000000"/>
            </w:tcBorders>
            <w:noWrap/>
            <w:vAlign w:val="center"/>
          </w:tcPr>
          <w:p w:rsidR="0081201E" w:rsidRDefault="0081201E">
            <w:pPr>
              <w:widowControl/>
              <w:jc w:val="center"/>
              <w:textAlignment w:val="center"/>
              <w:rPr>
                <w:rFonts w:ascii="方正仿宋_GB2312" w:eastAsia="方正仿宋_GB2312" w:hAnsi="方正仿宋_GB2312" w:cs="方正仿宋_GB2312"/>
                <w:b/>
                <w:bCs/>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30</w:t>
            </w:r>
          </w:p>
        </w:tc>
        <w:tc>
          <w:tcPr>
            <w:tcW w:w="826"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361" w:type="pct"/>
            <w:gridSpan w:val="2"/>
            <w:tcBorders>
              <w:top w:val="nil"/>
              <w:left w:val="nil"/>
              <w:bottom w:val="single" w:sz="4" w:space="0" w:color="000000"/>
              <w:right w:val="single" w:sz="4" w:space="0" w:color="000000"/>
            </w:tcBorders>
            <w:noWrap/>
            <w:vAlign w:val="center"/>
          </w:tcPr>
          <w:p w:rsidR="0081201E" w:rsidRDefault="0081201E">
            <w:pPr>
              <w:widowControl/>
              <w:jc w:val="center"/>
              <w:textAlignment w:val="center"/>
              <w:rPr>
                <w:rFonts w:ascii="方正仿宋_GB2312" w:eastAsia="方正仿宋_GB2312" w:hAnsi="方正仿宋_GB2312" w:cs="方正仿宋_GB2312"/>
                <w:b/>
                <w:bCs/>
                <w:color w:val="000000"/>
                <w:sz w:val="20"/>
                <w:szCs w:val="20"/>
              </w:rPr>
            </w:pP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61</w:t>
            </w:r>
          </w:p>
        </w:tc>
        <w:tc>
          <w:tcPr>
            <w:tcW w:w="82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gridAfter w:val="1"/>
          <w:wAfter w:w="14" w:type="pct"/>
          <w:trHeight w:val="308"/>
        </w:trPr>
        <w:tc>
          <w:tcPr>
            <w:tcW w:w="1434" w:type="pct"/>
            <w:tcBorders>
              <w:top w:val="nil"/>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b/>
                <w:bCs/>
                <w:color w:val="000000"/>
                <w:sz w:val="20"/>
                <w:szCs w:val="20"/>
              </w:rPr>
            </w:pPr>
            <w:r>
              <w:rPr>
                <w:rFonts w:ascii="方正仿宋_GB2312" w:eastAsia="方正仿宋_GB2312" w:hAnsi="方正仿宋_GB2312" w:cs="方正仿宋_GB2312" w:hint="eastAsia"/>
                <w:b/>
                <w:bCs/>
                <w:color w:val="000000"/>
                <w:sz w:val="20"/>
                <w:szCs w:val="20"/>
              </w:rPr>
              <w:t>总计</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31</w:t>
            </w:r>
          </w:p>
        </w:tc>
        <w:tc>
          <w:tcPr>
            <w:tcW w:w="826"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2,573.10</w:t>
            </w:r>
          </w:p>
        </w:tc>
        <w:tc>
          <w:tcPr>
            <w:tcW w:w="1361"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b/>
                <w:bCs/>
                <w:color w:val="000000"/>
                <w:sz w:val="20"/>
                <w:szCs w:val="20"/>
              </w:rPr>
            </w:pPr>
            <w:r>
              <w:rPr>
                <w:rFonts w:ascii="方正仿宋_GB2312" w:eastAsia="方正仿宋_GB2312" w:hAnsi="方正仿宋_GB2312" w:cs="方正仿宋_GB2312" w:hint="eastAsia"/>
                <w:b/>
                <w:bCs/>
                <w:color w:val="000000"/>
                <w:sz w:val="20"/>
                <w:szCs w:val="20"/>
              </w:rPr>
              <w:t>总计</w:t>
            </w:r>
          </w:p>
        </w:tc>
        <w:tc>
          <w:tcPr>
            <w:tcW w:w="26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62</w:t>
            </w:r>
          </w:p>
        </w:tc>
        <w:tc>
          <w:tcPr>
            <w:tcW w:w="826"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2,573.10</w:t>
            </w:r>
          </w:p>
        </w:tc>
      </w:tr>
      <w:tr w:rsidR="0081201E">
        <w:trPr>
          <w:trHeight w:val="308"/>
        </w:trPr>
        <w:tc>
          <w:tcPr>
            <w:tcW w:w="5000" w:type="pct"/>
            <w:gridSpan w:val="9"/>
            <w:tcBorders>
              <w:top w:val="nil"/>
              <w:left w:val="nil"/>
              <w:bottom w:val="nil"/>
              <w:right w:val="nil"/>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注：1.本表反映部门本年度的总收支和年末结转结余情况。</w:t>
            </w:r>
          </w:p>
          <w:p w:rsidR="0081201E" w:rsidRDefault="006E23F4">
            <w:pPr>
              <w:widowControl/>
              <w:ind w:firstLineChars="200" w:firstLine="400"/>
              <w:jc w:val="left"/>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2.本套报表金额转换时可能存在尾数误差。</w:t>
            </w:r>
          </w:p>
        </w:tc>
      </w:tr>
    </w:tbl>
    <w:p w:rsidR="0081201E" w:rsidRDefault="0081201E">
      <w:pPr>
        <w:rPr>
          <w:rFonts w:ascii="仿宋_GB2312" w:eastAsia="仿宋_GB2312" w:hAnsi="宋体"/>
          <w:b/>
          <w:sz w:val="32"/>
          <w:szCs w:val="32"/>
        </w:rPr>
      </w:pPr>
    </w:p>
    <w:p w:rsidR="0081201E" w:rsidRDefault="006E23F4">
      <w:pPr>
        <w:rPr>
          <w:rFonts w:ascii="仿宋_GB2312" w:eastAsia="仿宋_GB2312" w:hAnsi="宋体"/>
          <w:b/>
          <w:sz w:val="32"/>
          <w:szCs w:val="32"/>
        </w:rPr>
      </w:pPr>
      <w:r>
        <w:rPr>
          <w:rFonts w:ascii="仿宋_GB2312" w:eastAsia="仿宋_GB2312" w:hAnsi="宋体" w:hint="eastAsia"/>
          <w:b/>
          <w:sz w:val="32"/>
          <w:szCs w:val="32"/>
        </w:rPr>
        <w:br w:type="page"/>
      </w:r>
    </w:p>
    <w:tbl>
      <w:tblPr>
        <w:tblW w:w="9230" w:type="dxa"/>
        <w:jc w:val="center"/>
        <w:tblLayout w:type="fixed"/>
        <w:tblLook w:val="04A0"/>
      </w:tblPr>
      <w:tblGrid>
        <w:gridCol w:w="1040"/>
        <w:gridCol w:w="1160"/>
        <w:gridCol w:w="1037"/>
        <w:gridCol w:w="1037"/>
        <w:gridCol w:w="1037"/>
        <w:gridCol w:w="964"/>
        <w:gridCol w:w="367"/>
        <w:gridCol w:w="597"/>
        <w:gridCol w:w="1027"/>
        <w:gridCol w:w="964"/>
      </w:tblGrid>
      <w:tr w:rsidR="0081201E">
        <w:trPr>
          <w:trHeight w:val="550"/>
          <w:jc w:val="center"/>
        </w:trPr>
        <w:tc>
          <w:tcPr>
            <w:tcW w:w="9230" w:type="dxa"/>
            <w:gridSpan w:val="10"/>
            <w:tcBorders>
              <w:top w:val="nil"/>
              <w:left w:val="nil"/>
              <w:bottom w:val="nil"/>
              <w:right w:val="nil"/>
            </w:tcBorders>
            <w:noWrap/>
            <w:vAlign w:val="bottom"/>
          </w:tcPr>
          <w:p w:rsidR="0081201E" w:rsidRDefault="006E23F4">
            <w:pPr>
              <w:widowControl/>
              <w:jc w:val="center"/>
              <w:textAlignment w:val="bottom"/>
              <w:rPr>
                <w:rFonts w:ascii="宋体" w:eastAsia="宋体" w:hAnsi="宋体"/>
                <w:color w:val="000000"/>
                <w:sz w:val="20"/>
                <w:szCs w:val="20"/>
              </w:rPr>
            </w:pPr>
            <w:r>
              <w:rPr>
                <w:rFonts w:ascii="方正仿宋_GB2312" w:eastAsia="方正仿宋_GB2312" w:hAnsi="方正仿宋_GB2312" w:cs="方正仿宋_GB2312" w:hint="eastAsia"/>
                <w:bCs/>
                <w:sz w:val="32"/>
                <w:szCs w:val="32"/>
              </w:rPr>
              <w:lastRenderedPageBreak/>
              <w:t>收入决算表</w:t>
            </w:r>
          </w:p>
        </w:tc>
      </w:tr>
      <w:tr w:rsidR="0081201E">
        <w:trPr>
          <w:trHeight w:val="300"/>
          <w:jc w:val="center"/>
        </w:trPr>
        <w:tc>
          <w:tcPr>
            <w:tcW w:w="9230" w:type="dxa"/>
            <w:gridSpan w:val="10"/>
            <w:tcBorders>
              <w:top w:val="nil"/>
              <w:left w:val="nil"/>
              <w:bottom w:val="nil"/>
              <w:right w:val="nil"/>
            </w:tcBorders>
            <w:noWrap/>
            <w:vAlign w:val="bottom"/>
          </w:tcPr>
          <w:p w:rsidR="0081201E" w:rsidRDefault="006E23F4">
            <w:pPr>
              <w:widowControl/>
              <w:jc w:val="righ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公开</w:t>
            </w:r>
            <w:r>
              <w:rPr>
                <w:rFonts w:ascii="Times New Roman" w:eastAsia="宋体" w:hAnsi="Times New Roman" w:cs="Times New Roman" w:hint="eastAsia"/>
                <w:color w:val="000000"/>
                <w:sz w:val="20"/>
                <w:szCs w:val="20"/>
              </w:rPr>
              <w:t>02</w:t>
            </w:r>
            <w:r>
              <w:rPr>
                <w:rFonts w:ascii="方正仿宋_GB2312" w:eastAsia="方正仿宋_GB2312" w:hAnsi="方正仿宋_GB2312" w:cs="方正仿宋_GB2312" w:hint="eastAsia"/>
                <w:color w:val="000000"/>
                <w:sz w:val="20"/>
                <w:szCs w:val="20"/>
              </w:rPr>
              <w:t>表</w:t>
            </w:r>
          </w:p>
        </w:tc>
      </w:tr>
      <w:tr w:rsidR="0081201E">
        <w:trPr>
          <w:trHeight w:val="300"/>
          <w:jc w:val="center"/>
        </w:trPr>
        <w:tc>
          <w:tcPr>
            <w:tcW w:w="3237" w:type="dxa"/>
            <w:gridSpan w:val="3"/>
            <w:tcBorders>
              <w:top w:val="nil"/>
              <w:left w:val="nil"/>
              <w:bottom w:val="single" w:sz="4" w:space="0" w:color="auto"/>
              <w:right w:val="nil"/>
            </w:tcBorders>
            <w:noWrap/>
            <w:vAlign w:val="bottom"/>
          </w:tcPr>
          <w:p w:rsidR="0081201E" w:rsidRDefault="006E23F4">
            <w:pP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 xml:space="preserve">部门（单位）：滦州市古马镇人民政府(本级)                                                                                                         </w:t>
            </w:r>
          </w:p>
        </w:tc>
        <w:tc>
          <w:tcPr>
            <w:tcW w:w="3405" w:type="dxa"/>
            <w:gridSpan w:val="4"/>
            <w:tcBorders>
              <w:top w:val="nil"/>
              <w:left w:val="nil"/>
              <w:bottom w:val="single" w:sz="4" w:space="0" w:color="auto"/>
              <w:right w:val="nil"/>
            </w:tcBorders>
            <w:noWrap/>
            <w:vAlign w:val="bottom"/>
          </w:tcPr>
          <w:p w:rsidR="0081201E" w:rsidRDefault="006E23F4">
            <w:pPr>
              <w:jc w:val="center"/>
              <w:rPr>
                <w:rFonts w:ascii="方正仿宋_GB2312" w:eastAsia="方正仿宋_GB2312" w:hAnsi="方正仿宋_GB2312" w:cs="方正仿宋_GB2312"/>
                <w:color w:val="000000"/>
                <w:sz w:val="20"/>
                <w:szCs w:val="20"/>
              </w:rPr>
            </w:pPr>
            <w:r>
              <w:rPr>
                <w:rFonts w:ascii="Times New Roman" w:eastAsia="方正仿宋_GB2312" w:hAnsi="Times New Roman" w:cs="Times New Roman"/>
                <w:color w:val="000000"/>
                <w:sz w:val="20"/>
                <w:szCs w:val="20"/>
              </w:rPr>
              <w:t>202</w:t>
            </w:r>
            <w:r>
              <w:rPr>
                <w:rFonts w:ascii="Times New Roman" w:eastAsia="方正仿宋_GB2312" w:hAnsi="Times New Roman" w:cs="Times New Roman" w:hint="eastAsia"/>
                <w:color w:val="000000"/>
                <w:sz w:val="20"/>
                <w:szCs w:val="20"/>
              </w:rPr>
              <w:t>4</w:t>
            </w:r>
            <w:r>
              <w:rPr>
                <w:rFonts w:ascii="方正仿宋_GB2312" w:eastAsia="方正仿宋_GB2312" w:hAnsi="方正仿宋_GB2312" w:cs="方正仿宋_GB2312" w:hint="eastAsia"/>
                <w:color w:val="000000"/>
                <w:sz w:val="20"/>
                <w:szCs w:val="20"/>
              </w:rPr>
              <w:t>年度</w:t>
            </w:r>
          </w:p>
        </w:tc>
        <w:tc>
          <w:tcPr>
            <w:tcW w:w="2588" w:type="dxa"/>
            <w:gridSpan w:val="3"/>
            <w:tcBorders>
              <w:top w:val="nil"/>
              <w:left w:val="nil"/>
              <w:bottom w:val="single" w:sz="4" w:space="0" w:color="auto"/>
              <w:right w:val="nil"/>
            </w:tcBorders>
            <w:noWrap/>
            <w:vAlign w:val="bottom"/>
          </w:tcPr>
          <w:p w:rsidR="0081201E" w:rsidRDefault="006E23F4">
            <w:pPr>
              <w:jc w:val="righ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金额单位：万元</w:t>
            </w:r>
          </w:p>
        </w:tc>
      </w:tr>
      <w:tr w:rsidR="0081201E">
        <w:trPr>
          <w:trHeight w:val="510"/>
          <w:jc w:val="center"/>
        </w:trPr>
        <w:tc>
          <w:tcPr>
            <w:tcW w:w="2200" w:type="dxa"/>
            <w:gridSpan w:val="2"/>
            <w:tcBorders>
              <w:top w:val="single" w:sz="4" w:space="0" w:color="auto"/>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项目</w:t>
            </w:r>
          </w:p>
        </w:tc>
        <w:tc>
          <w:tcPr>
            <w:tcW w:w="1037" w:type="dxa"/>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本年收入合计</w:t>
            </w:r>
          </w:p>
        </w:tc>
        <w:tc>
          <w:tcPr>
            <w:tcW w:w="1037" w:type="dxa"/>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财政拨款收入</w:t>
            </w:r>
          </w:p>
        </w:tc>
        <w:tc>
          <w:tcPr>
            <w:tcW w:w="1037" w:type="dxa"/>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上级补助收入</w:t>
            </w:r>
          </w:p>
        </w:tc>
        <w:tc>
          <w:tcPr>
            <w:tcW w:w="964" w:type="dxa"/>
            <w:vMerge w:val="restart"/>
            <w:tcBorders>
              <w:top w:val="single" w:sz="4" w:space="0" w:color="auto"/>
              <w:left w:val="nil"/>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事业收入</w:t>
            </w:r>
          </w:p>
        </w:tc>
        <w:tc>
          <w:tcPr>
            <w:tcW w:w="964" w:type="dxa"/>
            <w:gridSpan w:val="2"/>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经营收入</w:t>
            </w:r>
          </w:p>
        </w:tc>
        <w:tc>
          <w:tcPr>
            <w:tcW w:w="1027" w:type="dxa"/>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附属单位上缴收入</w:t>
            </w:r>
          </w:p>
        </w:tc>
        <w:tc>
          <w:tcPr>
            <w:tcW w:w="964" w:type="dxa"/>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其他收入</w:t>
            </w:r>
          </w:p>
        </w:tc>
      </w:tr>
      <w:tr w:rsidR="0081201E">
        <w:trPr>
          <w:trHeight w:val="312"/>
          <w:jc w:val="center"/>
        </w:trPr>
        <w:tc>
          <w:tcPr>
            <w:tcW w:w="1040" w:type="dxa"/>
            <w:vMerge w:val="restart"/>
            <w:tcBorders>
              <w:top w:val="nil"/>
              <w:left w:val="single" w:sz="4" w:space="0" w:color="000000"/>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科目代码</w:t>
            </w:r>
          </w:p>
        </w:tc>
        <w:tc>
          <w:tcPr>
            <w:tcW w:w="1160" w:type="dxa"/>
            <w:vMerge w:val="restar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科目名称</w:t>
            </w:r>
          </w:p>
        </w:tc>
        <w:tc>
          <w:tcPr>
            <w:tcW w:w="103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103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103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964" w:type="dxa"/>
            <w:vMerge/>
            <w:tcBorders>
              <w:left w:val="nil"/>
              <w:right w:val="single" w:sz="4" w:space="0" w:color="000000"/>
            </w:tcBorders>
            <w:vAlign w:val="center"/>
          </w:tcPr>
          <w:p w:rsidR="0081201E" w:rsidRDefault="0081201E">
            <w:pPr>
              <w:widowControl/>
              <w:jc w:val="center"/>
              <w:textAlignment w:val="center"/>
              <w:rPr>
                <w:rFonts w:ascii="宋体" w:eastAsia="宋体" w:hAnsi="宋体"/>
                <w:color w:val="000000"/>
                <w:sz w:val="20"/>
                <w:szCs w:val="20"/>
              </w:rPr>
            </w:pPr>
          </w:p>
        </w:tc>
        <w:tc>
          <w:tcPr>
            <w:tcW w:w="964" w:type="dxa"/>
            <w:gridSpan w:val="2"/>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102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964"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r>
      <w:tr w:rsidR="0081201E">
        <w:trPr>
          <w:trHeight w:val="312"/>
          <w:jc w:val="center"/>
        </w:trPr>
        <w:tc>
          <w:tcPr>
            <w:tcW w:w="1040" w:type="dxa"/>
            <w:vMerge/>
            <w:tcBorders>
              <w:top w:val="nil"/>
              <w:left w:val="single" w:sz="4" w:space="0" w:color="000000"/>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1160" w:type="dxa"/>
            <w:vMerge/>
            <w:tcBorders>
              <w:top w:val="nil"/>
              <w:left w:val="nil"/>
              <w:bottom w:val="single" w:sz="4" w:space="0" w:color="000000"/>
              <w:right w:val="single" w:sz="4" w:space="0" w:color="000000"/>
            </w:tcBorders>
            <w:noWrap/>
            <w:vAlign w:val="center"/>
          </w:tcPr>
          <w:p w:rsidR="0081201E" w:rsidRDefault="0081201E">
            <w:pPr>
              <w:jc w:val="center"/>
              <w:rPr>
                <w:rFonts w:ascii="方正仿宋_GB2312" w:eastAsia="方正仿宋_GB2312" w:hAnsi="方正仿宋_GB2312" w:cs="方正仿宋_GB2312"/>
                <w:color w:val="000000"/>
                <w:sz w:val="20"/>
                <w:szCs w:val="20"/>
              </w:rPr>
            </w:pPr>
          </w:p>
        </w:tc>
        <w:tc>
          <w:tcPr>
            <w:tcW w:w="103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103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103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964" w:type="dxa"/>
            <w:vMerge/>
            <w:tcBorders>
              <w:left w:val="nil"/>
              <w:right w:val="single" w:sz="4" w:space="0" w:color="000000"/>
            </w:tcBorders>
            <w:vAlign w:val="center"/>
          </w:tcPr>
          <w:p w:rsidR="0081201E" w:rsidRDefault="0081201E">
            <w:pPr>
              <w:jc w:val="center"/>
              <w:rPr>
                <w:rFonts w:ascii="宋体" w:eastAsia="宋体" w:hAnsi="宋体"/>
                <w:color w:val="000000"/>
                <w:sz w:val="20"/>
                <w:szCs w:val="20"/>
              </w:rPr>
            </w:pPr>
          </w:p>
        </w:tc>
        <w:tc>
          <w:tcPr>
            <w:tcW w:w="964" w:type="dxa"/>
            <w:gridSpan w:val="2"/>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102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964"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r>
      <w:tr w:rsidR="0081201E">
        <w:trPr>
          <w:trHeight w:val="312"/>
          <w:jc w:val="center"/>
        </w:trPr>
        <w:tc>
          <w:tcPr>
            <w:tcW w:w="1040" w:type="dxa"/>
            <w:vMerge/>
            <w:tcBorders>
              <w:top w:val="nil"/>
              <w:left w:val="single" w:sz="4" w:space="0" w:color="000000"/>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1160" w:type="dxa"/>
            <w:vMerge/>
            <w:tcBorders>
              <w:top w:val="nil"/>
              <w:left w:val="nil"/>
              <w:bottom w:val="single" w:sz="4" w:space="0" w:color="000000"/>
              <w:right w:val="single" w:sz="4" w:space="0" w:color="000000"/>
            </w:tcBorders>
            <w:noWrap/>
            <w:vAlign w:val="center"/>
          </w:tcPr>
          <w:p w:rsidR="0081201E" w:rsidRDefault="0081201E">
            <w:pPr>
              <w:jc w:val="center"/>
              <w:rPr>
                <w:rFonts w:ascii="方正仿宋_GB2312" w:eastAsia="方正仿宋_GB2312" w:hAnsi="方正仿宋_GB2312" w:cs="方正仿宋_GB2312"/>
                <w:color w:val="000000"/>
                <w:sz w:val="20"/>
                <w:szCs w:val="20"/>
              </w:rPr>
            </w:pPr>
          </w:p>
        </w:tc>
        <w:tc>
          <w:tcPr>
            <w:tcW w:w="103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103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103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964" w:type="dxa"/>
            <w:vMerge/>
            <w:tcBorders>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964" w:type="dxa"/>
            <w:gridSpan w:val="2"/>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1027"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964" w:type="dxa"/>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r>
      <w:tr w:rsidR="0081201E">
        <w:trPr>
          <w:trHeight w:val="454"/>
          <w:jc w:val="center"/>
        </w:trPr>
        <w:tc>
          <w:tcPr>
            <w:tcW w:w="2200" w:type="dxa"/>
            <w:gridSpan w:val="2"/>
            <w:tcBorders>
              <w:top w:val="single" w:sz="4" w:space="0" w:color="000000"/>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栏次</w:t>
            </w:r>
          </w:p>
        </w:tc>
        <w:tc>
          <w:tcPr>
            <w:tcW w:w="1037" w:type="dxa"/>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1</w:t>
            </w:r>
          </w:p>
        </w:tc>
        <w:tc>
          <w:tcPr>
            <w:tcW w:w="1037" w:type="dxa"/>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2</w:t>
            </w:r>
          </w:p>
        </w:tc>
        <w:tc>
          <w:tcPr>
            <w:tcW w:w="1037" w:type="dxa"/>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3</w:t>
            </w:r>
          </w:p>
        </w:tc>
        <w:tc>
          <w:tcPr>
            <w:tcW w:w="964" w:type="dxa"/>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4</w:t>
            </w:r>
          </w:p>
        </w:tc>
        <w:tc>
          <w:tcPr>
            <w:tcW w:w="964" w:type="dxa"/>
            <w:gridSpan w:val="2"/>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5</w:t>
            </w:r>
          </w:p>
        </w:tc>
        <w:tc>
          <w:tcPr>
            <w:tcW w:w="1027" w:type="dxa"/>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6</w:t>
            </w:r>
          </w:p>
        </w:tc>
        <w:tc>
          <w:tcPr>
            <w:tcW w:w="964" w:type="dxa"/>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7</w:t>
            </w:r>
          </w:p>
        </w:tc>
      </w:tr>
      <w:tr w:rsidR="0081201E">
        <w:trPr>
          <w:trHeight w:val="567"/>
          <w:jc w:val="center"/>
        </w:trPr>
        <w:tc>
          <w:tcPr>
            <w:tcW w:w="2200" w:type="dxa"/>
            <w:gridSpan w:val="2"/>
            <w:tcBorders>
              <w:top w:val="single" w:sz="4" w:space="0" w:color="000000"/>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合计</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2,562.54</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2,562.54</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201</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一般公共服务支出</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1,481.12</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1,481.12</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20103</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政府办公厅（室）及相关机构事务</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1,481.12</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1,481.12</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2010301</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行政运行</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1,005.08</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1,005.08</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2010302</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一般行政管理事务</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476.05</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476.05</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208</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社会保障和就业支出</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150.37</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150.37</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20805</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行政事业单位养老支出</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107.77</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107.77</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2080501</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行政单位离退休</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4.02</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4.02</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2080505</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机关事业单位基本养老保险缴费支出</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103.75</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103.75</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20809</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退役安置</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42.60</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42.60</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2080901</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退役士兵安置</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42.60</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42.60</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210</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卫生健康支出</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151.96</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151.96</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21007</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计划生育事务</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5.66</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5.66</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2100717</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计划生育服务</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5.66</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5.66</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lastRenderedPageBreak/>
              <w:t>21011</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行政事业单位医疗</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146.29</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146.29</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2101101</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行政单位医疗</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146.29</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146.29</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213</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农林水支出</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694.82</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694.82</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21307</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农村综合改革</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694.82</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694.82</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2130701</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对村级公益事业建设的补助</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303.00</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303.00</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2130705</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对村民委员会和村党支部的补助</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91.82</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91.82</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2130799</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其他农村综合改革支出</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30</w:t>
            </w:r>
            <w:r w:rsidR="000C5FCE">
              <w:rPr>
                <w:rFonts w:ascii="Times New Roman" w:eastAsia="宋体" w:hAnsi="Times New Roman" w:cs="Times New Roman"/>
                <w:spacing w:val="-2"/>
                <w:sz w:val="20"/>
                <w:szCs w:val="20"/>
              </w:rPr>
              <w:t>0</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30</w:t>
            </w:r>
            <w:r w:rsidR="000C5FCE">
              <w:rPr>
                <w:rFonts w:ascii="Times New Roman" w:eastAsia="宋体" w:hAnsi="Times New Roman" w:cs="Times New Roman"/>
                <w:spacing w:val="-2"/>
                <w:sz w:val="20"/>
                <w:szCs w:val="20"/>
              </w:rPr>
              <w:t>0</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221</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住房保障支出</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84.27</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84.27</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22102</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住房改革支出</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84.27</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84.27</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1040" w:type="dxa"/>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2210201</w:t>
            </w:r>
          </w:p>
        </w:tc>
        <w:tc>
          <w:tcPr>
            <w:tcW w:w="1160" w:type="dxa"/>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spacing w:val="-2"/>
                <w:sz w:val="20"/>
                <w:szCs w:val="20"/>
              </w:rPr>
              <w:t>住房公积金</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84.27</w:t>
            </w:r>
          </w:p>
        </w:tc>
        <w:tc>
          <w:tcPr>
            <w:tcW w:w="1037" w:type="dxa"/>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84.27</w:t>
            </w:r>
          </w:p>
        </w:tc>
        <w:tc>
          <w:tcPr>
            <w:tcW w:w="103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1027"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64" w:type="dxa"/>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9230" w:type="dxa"/>
            <w:gridSpan w:val="10"/>
            <w:tcBorders>
              <w:top w:val="nil"/>
              <w:left w:val="nil"/>
              <w:bottom w:val="nil"/>
              <w:right w:val="nil"/>
            </w:tcBorders>
            <w:noWrap/>
            <w:vAlign w:val="center"/>
          </w:tcPr>
          <w:p w:rsidR="0081201E" w:rsidRDefault="006E23F4">
            <w:pPr>
              <w:widowControl/>
              <w:jc w:val="left"/>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注：本表反映部门本年度取得的各项收入情况。</w:t>
            </w:r>
          </w:p>
        </w:tc>
      </w:tr>
    </w:tbl>
    <w:p w:rsidR="0081201E" w:rsidRDefault="0081201E">
      <w:pPr>
        <w:rPr>
          <w:rFonts w:ascii="仿宋_GB2312" w:eastAsia="仿宋_GB2312" w:hAnsi="宋体"/>
          <w:b/>
          <w:sz w:val="32"/>
          <w:szCs w:val="32"/>
        </w:rPr>
      </w:pPr>
    </w:p>
    <w:p w:rsidR="0081201E" w:rsidRDefault="006E23F4">
      <w:pPr>
        <w:rPr>
          <w:rFonts w:ascii="黑体" w:eastAsia="黑体" w:hAnsi="黑体"/>
          <w:bCs/>
          <w:sz w:val="32"/>
          <w:szCs w:val="32"/>
        </w:rPr>
      </w:pPr>
      <w:r>
        <w:rPr>
          <w:rFonts w:ascii="仿宋_GB2312" w:eastAsia="仿宋_GB2312" w:hAnsi="宋体" w:hint="eastAsia"/>
          <w:b/>
          <w:sz w:val="32"/>
          <w:szCs w:val="32"/>
        </w:rPr>
        <w:br w:type="page"/>
      </w:r>
    </w:p>
    <w:tbl>
      <w:tblPr>
        <w:tblW w:w="5812" w:type="pct"/>
        <w:jc w:val="center"/>
        <w:tblLayout w:type="fixed"/>
        <w:tblLook w:val="04A0"/>
      </w:tblPr>
      <w:tblGrid>
        <w:gridCol w:w="1040"/>
        <w:gridCol w:w="1187"/>
        <w:gridCol w:w="1127"/>
        <w:gridCol w:w="127"/>
        <w:gridCol w:w="998"/>
        <w:gridCol w:w="1125"/>
        <w:gridCol w:w="499"/>
        <w:gridCol w:w="626"/>
        <w:gridCol w:w="1125"/>
        <w:gridCol w:w="1492"/>
      </w:tblGrid>
      <w:tr w:rsidR="0081201E">
        <w:trPr>
          <w:trHeight w:val="550"/>
          <w:jc w:val="center"/>
        </w:trPr>
        <w:tc>
          <w:tcPr>
            <w:tcW w:w="5000" w:type="pct"/>
            <w:gridSpan w:val="10"/>
            <w:tcBorders>
              <w:top w:val="nil"/>
              <w:left w:val="nil"/>
              <w:bottom w:val="nil"/>
              <w:right w:val="nil"/>
            </w:tcBorders>
            <w:noWrap/>
            <w:vAlign w:val="bottom"/>
          </w:tcPr>
          <w:p w:rsidR="0081201E" w:rsidRDefault="006E23F4">
            <w:pPr>
              <w:jc w:val="center"/>
              <w:outlineLvl w:val="1"/>
              <w:rPr>
                <w:rFonts w:ascii="宋体" w:eastAsia="宋体" w:hAnsi="宋体"/>
                <w:color w:val="000000"/>
                <w:sz w:val="20"/>
                <w:szCs w:val="20"/>
              </w:rPr>
            </w:pPr>
            <w:r>
              <w:rPr>
                <w:rFonts w:ascii="方正仿宋_GB2312" w:eastAsia="方正仿宋_GB2312" w:hAnsi="方正仿宋_GB2312" w:cs="方正仿宋_GB2312" w:hint="eastAsia"/>
                <w:bCs/>
                <w:sz w:val="32"/>
                <w:szCs w:val="32"/>
              </w:rPr>
              <w:lastRenderedPageBreak/>
              <w:br w:type="page"/>
              <w:t>支出决算表</w:t>
            </w:r>
          </w:p>
        </w:tc>
      </w:tr>
      <w:tr w:rsidR="0081201E">
        <w:trPr>
          <w:trHeight w:val="300"/>
          <w:jc w:val="center"/>
        </w:trPr>
        <w:tc>
          <w:tcPr>
            <w:tcW w:w="5000" w:type="pct"/>
            <w:gridSpan w:val="10"/>
            <w:tcBorders>
              <w:top w:val="nil"/>
              <w:left w:val="nil"/>
              <w:bottom w:val="nil"/>
              <w:right w:val="nil"/>
            </w:tcBorders>
            <w:noWrap/>
            <w:vAlign w:val="bottom"/>
          </w:tcPr>
          <w:p w:rsidR="0081201E" w:rsidRDefault="006E23F4">
            <w:pPr>
              <w:widowControl/>
              <w:jc w:val="righ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公开</w:t>
            </w:r>
            <w:r>
              <w:rPr>
                <w:rFonts w:ascii="Times New Roman" w:eastAsia="宋体" w:hAnsi="Times New Roman" w:cs="Times New Roman"/>
                <w:color w:val="000000"/>
                <w:sz w:val="20"/>
                <w:szCs w:val="20"/>
              </w:rPr>
              <w:t>03</w:t>
            </w:r>
            <w:r>
              <w:rPr>
                <w:rFonts w:ascii="方正仿宋_GB2312" w:eastAsia="方正仿宋_GB2312" w:hAnsi="方正仿宋_GB2312" w:cs="方正仿宋_GB2312" w:hint="eastAsia"/>
                <w:color w:val="000000"/>
                <w:sz w:val="20"/>
                <w:szCs w:val="20"/>
              </w:rPr>
              <w:t>表</w:t>
            </w:r>
          </w:p>
        </w:tc>
      </w:tr>
      <w:tr w:rsidR="0081201E">
        <w:trPr>
          <w:trHeight w:val="300"/>
          <w:jc w:val="center"/>
        </w:trPr>
        <w:tc>
          <w:tcPr>
            <w:tcW w:w="1862" w:type="pct"/>
            <w:gridSpan w:val="4"/>
            <w:tcBorders>
              <w:top w:val="nil"/>
              <w:left w:val="nil"/>
              <w:bottom w:val="single" w:sz="4" w:space="0" w:color="auto"/>
              <w:right w:val="nil"/>
            </w:tcBorders>
            <w:noWrap/>
            <w:vAlign w:val="bottom"/>
          </w:tcPr>
          <w:p w:rsidR="0081201E" w:rsidRDefault="006E23F4">
            <w:pPr>
              <w:widowControl/>
              <w:jc w:val="lef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 xml:space="preserve">部门（单位）：滦州市古马镇人民政府(本级) </w:t>
            </w:r>
            <w:r>
              <w:rPr>
                <w:rFonts w:asciiTheme="minorEastAsia" w:hAnsiTheme="minorEastAsia" w:cstheme="minorEastAsia" w:hint="eastAsia"/>
                <w:color w:val="000000"/>
                <w:sz w:val="20"/>
                <w:szCs w:val="20"/>
              </w:rPr>
              <w:t xml:space="preserve">                                                                                                         </w:t>
            </w:r>
          </w:p>
        </w:tc>
        <w:tc>
          <w:tcPr>
            <w:tcW w:w="1403" w:type="pct"/>
            <w:gridSpan w:val="3"/>
            <w:tcBorders>
              <w:top w:val="nil"/>
              <w:left w:val="nil"/>
              <w:bottom w:val="single" w:sz="4" w:space="0" w:color="auto"/>
              <w:right w:val="nil"/>
            </w:tcBorders>
            <w:noWrap/>
            <w:vAlign w:val="bottom"/>
          </w:tcPr>
          <w:p w:rsidR="0081201E" w:rsidRDefault="006E23F4">
            <w:pPr>
              <w:widowControl/>
              <w:jc w:val="center"/>
              <w:textAlignment w:val="bottom"/>
              <w:rPr>
                <w:rFonts w:asciiTheme="minorEastAsia" w:hAnsiTheme="minorEastAsia" w:cstheme="minorEastAsia"/>
                <w:color w:val="000000"/>
                <w:sz w:val="20"/>
                <w:szCs w:val="20"/>
              </w:rPr>
            </w:pPr>
            <w:r>
              <w:rPr>
                <w:rFonts w:ascii="Times New Roman" w:hAnsi="Times New Roman" w:cs="Times New Roman"/>
                <w:color w:val="000000"/>
                <w:sz w:val="20"/>
                <w:szCs w:val="20"/>
              </w:rPr>
              <w:t>202</w:t>
            </w:r>
            <w:r>
              <w:rPr>
                <w:rFonts w:ascii="Times New Roman" w:hAnsi="Times New Roman" w:cs="Times New Roman" w:hint="eastAsia"/>
                <w:color w:val="000000"/>
                <w:sz w:val="20"/>
                <w:szCs w:val="20"/>
              </w:rPr>
              <w:t>4</w:t>
            </w:r>
            <w:r>
              <w:rPr>
                <w:rFonts w:ascii="方正仿宋_GB2312" w:eastAsia="方正仿宋_GB2312" w:hAnsi="方正仿宋_GB2312" w:cs="方正仿宋_GB2312" w:hint="eastAsia"/>
                <w:color w:val="000000"/>
                <w:sz w:val="20"/>
                <w:szCs w:val="20"/>
              </w:rPr>
              <w:t>年度</w:t>
            </w:r>
          </w:p>
        </w:tc>
        <w:tc>
          <w:tcPr>
            <w:tcW w:w="1734" w:type="pct"/>
            <w:gridSpan w:val="3"/>
            <w:tcBorders>
              <w:top w:val="nil"/>
              <w:left w:val="nil"/>
              <w:bottom w:val="single" w:sz="4" w:space="0" w:color="auto"/>
              <w:right w:val="nil"/>
            </w:tcBorders>
            <w:noWrap/>
            <w:vAlign w:val="bottom"/>
          </w:tcPr>
          <w:p w:rsidR="0081201E" w:rsidRDefault="006E23F4">
            <w:pPr>
              <w:widowControl/>
              <w:jc w:val="right"/>
              <w:textAlignment w:val="bottom"/>
              <w:rPr>
                <w:rFonts w:asciiTheme="minorEastAsia" w:hAnsiTheme="minorEastAsia" w:cstheme="minorEastAsia"/>
                <w:color w:val="000000"/>
                <w:sz w:val="20"/>
                <w:szCs w:val="20"/>
              </w:rPr>
            </w:pPr>
            <w:r>
              <w:rPr>
                <w:rFonts w:ascii="方正仿宋_GB2312" w:eastAsia="方正仿宋_GB2312" w:hAnsi="方正仿宋_GB2312" w:cs="方正仿宋_GB2312" w:hint="eastAsia"/>
                <w:color w:val="000000"/>
                <w:sz w:val="20"/>
                <w:szCs w:val="20"/>
              </w:rPr>
              <w:t xml:space="preserve"> 金额单位：万元</w:t>
            </w:r>
          </w:p>
        </w:tc>
      </w:tr>
      <w:tr w:rsidR="0081201E">
        <w:trPr>
          <w:trHeight w:val="510"/>
          <w:jc w:val="center"/>
        </w:trPr>
        <w:tc>
          <w:tcPr>
            <w:tcW w:w="1191" w:type="pct"/>
            <w:gridSpan w:val="2"/>
            <w:tcBorders>
              <w:top w:val="single" w:sz="4" w:space="0" w:color="auto"/>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项目</w:t>
            </w:r>
          </w:p>
        </w:tc>
        <w:tc>
          <w:tcPr>
            <w:tcW w:w="603" w:type="pct"/>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本年支出合计</w:t>
            </w:r>
          </w:p>
        </w:tc>
        <w:tc>
          <w:tcPr>
            <w:tcW w:w="602" w:type="pct"/>
            <w:gridSpan w:val="2"/>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基本支出</w:t>
            </w:r>
          </w:p>
        </w:tc>
        <w:tc>
          <w:tcPr>
            <w:tcW w:w="602" w:type="pct"/>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项目支出</w:t>
            </w:r>
          </w:p>
        </w:tc>
        <w:tc>
          <w:tcPr>
            <w:tcW w:w="602" w:type="pct"/>
            <w:gridSpan w:val="2"/>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上缴上级支出</w:t>
            </w:r>
          </w:p>
        </w:tc>
        <w:tc>
          <w:tcPr>
            <w:tcW w:w="602" w:type="pct"/>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经营支出</w:t>
            </w:r>
          </w:p>
        </w:tc>
        <w:tc>
          <w:tcPr>
            <w:tcW w:w="795" w:type="pct"/>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对附属单位补助支出</w:t>
            </w:r>
          </w:p>
        </w:tc>
      </w:tr>
      <w:tr w:rsidR="0081201E">
        <w:trPr>
          <w:trHeight w:val="312"/>
          <w:jc w:val="center"/>
        </w:trPr>
        <w:tc>
          <w:tcPr>
            <w:tcW w:w="556" w:type="pct"/>
            <w:vMerge w:val="restart"/>
            <w:tcBorders>
              <w:top w:val="nil"/>
              <w:left w:val="single" w:sz="4" w:space="0" w:color="000000"/>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科目代码</w:t>
            </w:r>
          </w:p>
        </w:tc>
        <w:tc>
          <w:tcPr>
            <w:tcW w:w="635" w:type="pct"/>
            <w:vMerge w:val="restar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科目名称</w:t>
            </w:r>
          </w:p>
        </w:tc>
        <w:tc>
          <w:tcPr>
            <w:tcW w:w="603"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gridSpan w:val="2"/>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gridSpan w:val="2"/>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795"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r>
      <w:tr w:rsidR="0081201E">
        <w:trPr>
          <w:trHeight w:val="312"/>
          <w:jc w:val="center"/>
        </w:trPr>
        <w:tc>
          <w:tcPr>
            <w:tcW w:w="556" w:type="pct"/>
            <w:vMerge/>
            <w:tcBorders>
              <w:top w:val="nil"/>
              <w:left w:val="single" w:sz="4" w:space="0" w:color="000000"/>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35" w:type="pct"/>
            <w:vMerge/>
            <w:tcBorders>
              <w:top w:val="nil"/>
              <w:left w:val="nil"/>
              <w:bottom w:val="single" w:sz="4" w:space="0" w:color="000000"/>
              <w:right w:val="single" w:sz="4" w:space="0" w:color="000000"/>
            </w:tcBorders>
            <w:noWrap/>
            <w:vAlign w:val="center"/>
          </w:tcPr>
          <w:p w:rsidR="0081201E" w:rsidRDefault="0081201E">
            <w:pPr>
              <w:jc w:val="center"/>
              <w:rPr>
                <w:rFonts w:ascii="宋体" w:eastAsia="宋体" w:hAnsi="宋体"/>
                <w:color w:val="000000"/>
                <w:sz w:val="20"/>
                <w:szCs w:val="20"/>
              </w:rPr>
            </w:pPr>
          </w:p>
        </w:tc>
        <w:tc>
          <w:tcPr>
            <w:tcW w:w="603"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gridSpan w:val="2"/>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gridSpan w:val="2"/>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795"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r>
      <w:tr w:rsidR="0081201E">
        <w:trPr>
          <w:trHeight w:val="312"/>
          <w:jc w:val="center"/>
        </w:trPr>
        <w:tc>
          <w:tcPr>
            <w:tcW w:w="556" w:type="pct"/>
            <w:vMerge/>
            <w:tcBorders>
              <w:top w:val="nil"/>
              <w:left w:val="single" w:sz="4" w:space="0" w:color="000000"/>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35" w:type="pct"/>
            <w:vMerge/>
            <w:tcBorders>
              <w:top w:val="nil"/>
              <w:left w:val="nil"/>
              <w:bottom w:val="single" w:sz="4" w:space="0" w:color="000000"/>
              <w:right w:val="single" w:sz="4" w:space="0" w:color="000000"/>
            </w:tcBorders>
            <w:noWrap/>
            <w:vAlign w:val="center"/>
          </w:tcPr>
          <w:p w:rsidR="0081201E" w:rsidRDefault="0081201E">
            <w:pPr>
              <w:jc w:val="center"/>
              <w:rPr>
                <w:rFonts w:ascii="宋体" w:eastAsia="宋体" w:hAnsi="宋体"/>
                <w:color w:val="000000"/>
                <w:sz w:val="20"/>
                <w:szCs w:val="20"/>
              </w:rPr>
            </w:pPr>
          </w:p>
        </w:tc>
        <w:tc>
          <w:tcPr>
            <w:tcW w:w="603"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gridSpan w:val="2"/>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gridSpan w:val="2"/>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602"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c>
          <w:tcPr>
            <w:tcW w:w="795"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宋体" w:eastAsia="宋体" w:hAnsi="宋体"/>
                <w:color w:val="000000"/>
                <w:sz w:val="20"/>
                <w:szCs w:val="20"/>
              </w:rPr>
            </w:pPr>
          </w:p>
        </w:tc>
      </w:tr>
      <w:tr w:rsidR="0081201E">
        <w:trPr>
          <w:trHeight w:val="454"/>
          <w:jc w:val="center"/>
        </w:trPr>
        <w:tc>
          <w:tcPr>
            <w:tcW w:w="1191" w:type="pct"/>
            <w:gridSpan w:val="2"/>
            <w:tcBorders>
              <w:top w:val="single" w:sz="4" w:space="0" w:color="000000"/>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栏次</w:t>
            </w:r>
          </w:p>
        </w:tc>
        <w:tc>
          <w:tcPr>
            <w:tcW w:w="603" w:type="pc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w:t>
            </w:r>
          </w:p>
        </w:tc>
        <w:tc>
          <w:tcPr>
            <w:tcW w:w="602" w:type="pct"/>
            <w:gridSpan w:val="2"/>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w:t>
            </w:r>
          </w:p>
        </w:tc>
        <w:tc>
          <w:tcPr>
            <w:tcW w:w="602" w:type="pc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w:t>
            </w:r>
          </w:p>
        </w:tc>
        <w:tc>
          <w:tcPr>
            <w:tcW w:w="602" w:type="pct"/>
            <w:gridSpan w:val="2"/>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w:t>
            </w:r>
          </w:p>
        </w:tc>
        <w:tc>
          <w:tcPr>
            <w:tcW w:w="602" w:type="pc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w:t>
            </w:r>
          </w:p>
        </w:tc>
        <w:tc>
          <w:tcPr>
            <w:tcW w:w="795" w:type="pc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w:t>
            </w:r>
          </w:p>
        </w:tc>
      </w:tr>
      <w:tr w:rsidR="0081201E">
        <w:trPr>
          <w:trHeight w:val="308"/>
          <w:jc w:val="center"/>
        </w:trPr>
        <w:tc>
          <w:tcPr>
            <w:tcW w:w="1191" w:type="pct"/>
            <w:gridSpan w:val="2"/>
            <w:tcBorders>
              <w:top w:val="single" w:sz="4" w:space="0" w:color="000000"/>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合计</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2,562.71</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1,338.95</w:t>
            </w: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1,223.76</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201</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一般公共服务支出</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1,481.30</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1,005.08</w:t>
            </w: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476.22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20103</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政府办公厅（室）及相关机构事务</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1,481.30</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1,005.08</w:t>
            </w: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476.22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2010301</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行政运行</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1,005.08</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1,005.08</w:t>
            </w: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2010302</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一般行政管理事务</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476.22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476.22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社会保障和就业支出</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150.37</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103.75</w:t>
            </w: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46.62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20805</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行政事业单位养老支出</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107.77</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103.75</w:t>
            </w: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4.02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2080501</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行政单位离退休</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4.02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4.02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2080505</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机关事业单位基本养老保险缴费支出</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103.75</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103.75</w:t>
            </w: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20809</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退役安置</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42.60</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42.60</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2080901</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退役士兵安置</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42.60</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42.60</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210</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卫生健康支出</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151.96</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145.86</w:t>
            </w: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6.10</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21007</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计划生育事务</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5.66</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5.66</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2100717</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计划生育服务</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5.66</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5.66</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21011</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行政事业</w:t>
            </w:r>
            <w:r>
              <w:rPr>
                <w:rFonts w:ascii="方正仿宋_GB2312" w:eastAsia="方正仿宋_GB2312" w:hAnsi="方正仿宋_GB2312" w:cs="方正仿宋_GB2312" w:hint="eastAsia"/>
                <w:color w:val="000000"/>
                <w:sz w:val="20"/>
                <w:szCs w:val="20"/>
              </w:rPr>
              <w:lastRenderedPageBreak/>
              <w:t>单位医疗</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lastRenderedPageBreak/>
              <w:t>146.29</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145.86</w:t>
            </w: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0.44</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lastRenderedPageBreak/>
              <w:t>2101101</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行政单位医疗</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146.29</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145.86</w:t>
            </w: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0.44</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213</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农林水支出</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694.82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694.82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21307</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农村综合改革</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694.82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694.82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2130701</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对村级公益事业建设的补助</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303.00</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303.00</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2130705</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对村民委员会和村党支部的补助</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91.82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91.82</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2130799</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其他农村综合改革支出</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30</w:t>
            </w:r>
            <w:r w:rsidR="000C5FCE">
              <w:rPr>
                <w:rFonts w:ascii="Times New Roman" w:eastAsia="宋体" w:hAnsi="Times New Roman" w:cs="Times New Roman"/>
                <w:color w:val="000000"/>
                <w:sz w:val="20"/>
                <w:szCs w:val="20"/>
              </w:rPr>
              <w:t>0</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30</w:t>
            </w:r>
            <w:r w:rsidR="000C5FCE">
              <w:rPr>
                <w:rFonts w:ascii="Times New Roman" w:eastAsia="宋体" w:hAnsi="Times New Roman" w:cs="Times New Roman"/>
                <w:color w:val="000000"/>
                <w:sz w:val="20"/>
                <w:szCs w:val="20"/>
              </w:rPr>
              <w:t>0</w:t>
            </w: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221</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住房保障支出</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22102</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住房改革支出</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56"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2210201</w:t>
            </w:r>
          </w:p>
        </w:tc>
        <w:tc>
          <w:tcPr>
            <w:tcW w:w="635"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住房公积金</w:t>
            </w:r>
          </w:p>
        </w:tc>
        <w:tc>
          <w:tcPr>
            <w:tcW w:w="60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60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60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9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jc w:val="center"/>
        </w:trPr>
        <w:tc>
          <w:tcPr>
            <w:tcW w:w="5000" w:type="pct"/>
            <w:gridSpan w:val="10"/>
            <w:tcBorders>
              <w:top w:val="nil"/>
              <w:left w:val="nil"/>
              <w:bottom w:val="nil"/>
              <w:right w:val="nil"/>
            </w:tcBorders>
            <w:noWrap/>
            <w:vAlign w:val="center"/>
          </w:tcPr>
          <w:p w:rsidR="0081201E" w:rsidRDefault="006E23F4">
            <w:pPr>
              <w:widowControl/>
              <w:jc w:val="left"/>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注：本表反映部门本年度各项支出情况。</w:t>
            </w:r>
          </w:p>
        </w:tc>
      </w:tr>
    </w:tbl>
    <w:p w:rsidR="0081201E" w:rsidRDefault="0081201E">
      <w:pPr>
        <w:rPr>
          <w:rFonts w:ascii="仿宋_GB2312" w:eastAsia="仿宋_GB2312" w:hAnsi="宋体"/>
          <w:b/>
          <w:sz w:val="32"/>
          <w:szCs w:val="32"/>
        </w:rPr>
      </w:pPr>
    </w:p>
    <w:p w:rsidR="0081201E" w:rsidRDefault="006E23F4">
      <w:pPr>
        <w:rPr>
          <w:rFonts w:ascii="仿宋_GB2312" w:eastAsia="仿宋_GB2312" w:hAnsi="宋体"/>
          <w:b/>
          <w:sz w:val="32"/>
          <w:szCs w:val="32"/>
        </w:rPr>
      </w:pPr>
      <w:r>
        <w:rPr>
          <w:rFonts w:ascii="仿宋_GB2312" w:eastAsia="仿宋_GB2312" w:hAnsi="宋体" w:hint="eastAsia"/>
          <w:b/>
          <w:sz w:val="32"/>
          <w:szCs w:val="32"/>
        </w:rPr>
        <w:br w:type="page"/>
      </w:r>
    </w:p>
    <w:tbl>
      <w:tblPr>
        <w:tblW w:w="7281" w:type="pct"/>
        <w:tblInd w:w="-1857" w:type="dxa"/>
        <w:tblLayout w:type="fixed"/>
        <w:tblLook w:val="04A0"/>
      </w:tblPr>
      <w:tblGrid>
        <w:gridCol w:w="1982"/>
        <w:gridCol w:w="623"/>
        <w:gridCol w:w="1428"/>
        <w:gridCol w:w="1658"/>
        <w:gridCol w:w="438"/>
        <w:gridCol w:w="623"/>
        <w:gridCol w:w="459"/>
        <w:gridCol w:w="834"/>
        <w:gridCol w:w="1218"/>
        <w:gridCol w:w="1218"/>
        <w:gridCol w:w="1227"/>
      </w:tblGrid>
      <w:tr w:rsidR="0081201E">
        <w:trPr>
          <w:trHeight w:val="550"/>
        </w:trPr>
        <w:tc>
          <w:tcPr>
            <w:tcW w:w="5000" w:type="pct"/>
            <w:gridSpan w:val="11"/>
            <w:tcBorders>
              <w:top w:val="nil"/>
              <w:left w:val="nil"/>
              <w:bottom w:val="nil"/>
              <w:right w:val="nil"/>
            </w:tcBorders>
            <w:noWrap/>
            <w:vAlign w:val="bottom"/>
          </w:tcPr>
          <w:p w:rsidR="0081201E" w:rsidRDefault="006E23F4">
            <w:pPr>
              <w:widowControl/>
              <w:jc w:val="center"/>
              <w:textAlignment w:val="bottom"/>
              <w:rPr>
                <w:rFonts w:ascii="宋体" w:eastAsia="宋体" w:hAnsi="宋体"/>
                <w:color w:val="000000"/>
                <w:sz w:val="20"/>
                <w:szCs w:val="20"/>
              </w:rPr>
            </w:pPr>
            <w:r>
              <w:rPr>
                <w:rFonts w:ascii="方正仿宋_GB2312" w:eastAsia="方正仿宋_GB2312" w:hAnsi="方正仿宋_GB2312" w:cs="方正仿宋_GB2312" w:hint="eastAsia"/>
                <w:bCs/>
                <w:sz w:val="32"/>
                <w:szCs w:val="32"/>
              </w:rPr>
              <w:lastRenderedPageBreak/>
              <w:t>财政拨款收入支出决算总表</w:t>
            </w:r>
          </w:p>
        </w:tc>
      </w:tr>
      <w:tr w:rsidR="0081201E">
        <w:trPr>
          <w:trHeight w:val="300"/>
        </w:trPr>
        <w:tc>
          <w:tcPr>
            <w:tcW w:w="5000" w:type="pct"/>
            <w:gridSpan w:val="11"/>
            <w:tcBorders>
              <w:top w:val="nil"/>
              <w:left w:val="nil"/>
              <w:bottom w:val="nil"/>
              <w:right w:val="nil"/>
            </w:tcBorders>
            <w:noWrap/>
            <w:vAlign w:val="bottom"/>
          </w:tcPr>
          <w:p w:rsidR="0081201E" w:rsidRDefault="006E23F4">
            <w:pPr>
              <w:widowControl/>
              <w:jc w:val="righ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公开04表</w:t>
            </w:r>
          </w:p>
        </w:tc>
      </w:tr>
      <w:tr w:rsidR="0081201E">
        <w:trPr>
          <w:trHeight w:val="300"/>
        </w:trPr>
        <w:tc>
          <w:tcPr>
            <w:tcW w:w="2431" w:type="pct"/>
            <w:gridSpan w:val="4"/>
            <w:tcBorders>
              <w:top w:val="nil"/>
              <w:left w:val="nil"/>
              <w:bottom w:val="single" w:sz="4" w:space="0" w:color="auto"/>
              <w:right w:val="nil"/>
            </w:tcBorders>
            <w:noWrap/>
            <w:vAlign w:val="bottom"/>
          </w:tcPr>
          <w:p w:rsidR="0081201E" w:rsidRDefault="006E23F4">
            <w:pPr>
              <w:rPr>
                <w:rFonts w:ascii="仿宋" w:eastAsia="仿宋" w:hAnsi="仿宋" w:cs="仿宋"/>
                <w:color w:val="000000"/>
                <w:sz w:val="20"/>
                <w:szCs w:val="20"/>
              </w:rPr>
            </w:pPr>
            <w:r>
              <w:rPr>
                <w:rFonts w:ascii="方正仿宋_GB2312" w:eastAsia="方正仿宋_GB2312" w:hAnsi="方正仿宋_GB2312" w:cs="方正仿宋_GB2312" w:hint="eastAsia"/>
                <w:color w:val="000000"/>
                <w:sz w:val="20"/>
                <w:szCs w:val="20"/>
              </w:rPr>
              <w:t xml:space="preserve">部门（单位）：滦州市古马镇人民政府(本级) </w:t>
            </w:r>
            <w:r>
              <w:rPr>
                <w:rFonts w:asciiTheme="minorEastAsia" w:hAnsiTheme="minorEastAsia" w:cstheme="minorEastAsia" w:hint="eastAsia"/>
                <w:color w:val="000000"/>
                <w:sz w:val="20"/>
                <w:szCs w:val="20"/>
              </w:rPr>
              <w:t xml:space="preserve">                                                                                                   </w:t>
            </w:r>
          </w:p>
        </w:tc>
        <w:tc>
          <w:tcPr>
            <w:tcW w:w="649" w:type="pct"/>
            <w:gridSpan w:val="3"/>
            <w:tcBorders>
              <w:top w:val="nil"/>
              <w:left w:val="nil"/>
              <w:bottom w:val="single" w:sz="4" w:space="0" w:color="auto"/>
              <w:right w:val="nil"/>
            </w:tcBorders>
            <w:noWrap/>
            <w:vAlign w:val="bottom"/>
          </w:tcPr>
          <w:p w:rsidR="0081201E" w:rsidRDefault="006E23F4">
            <w:pPr>
              <w:jc w:val="center"/>
              <w:rPr>
                <w:rFonts w:asciiTheme="minorEastAsia" w:hAnsiTheme="minorEastAsia" w:cstheme="minorEastAsia"/>
                <w:color w:val="000000"/>
                <w:sz w:val="20"/>
                <w:szCs w:val="20"/>
              </w:rPr>
            </w:pPr>
            <w:r>
              <w:rPr>
                <w:rFonts w:ascii="Times New Roman" w:hAnsi="Times New Roman" w:cs="Times New Roman"/>
                <w:color w:val="000000"/>
                <w:sz w:val="20"/>
                <w:szCs w:val="20"/>
              </w:rPr>
              <w:t>202</w:t>
            </w:r>
            <w:r>
              <w:rPr>
                <w:rFonts w:ascii="Times New Roman" w:hAnsi="Times New Roman" w:cs="Times New Roman" w:hint="eastAsia"/>
                <w:color w:val="000000"/>
                <w:sz w:val="20"/>
                <w:szCs w:val="20"/>
              </w:rPr>
              <w:t>4</w:t>
            </w:r>
            <w:r>
              <w:rPr>
                <w:rFonts w:ascii="方正仿宋_GB2312" w:eastAsia="方正仿宋_GB2312" w:hAnsi="方正仿宋_GB2312" w:cs="方正仿宋_GB2312" w:hint="eastAsia"/>
                <w:color w:val="000000"/>
                <w:sz w:val="20"/>
                <w:szCs w:val="20"/>
              </w:rPr>
              <w:t>年度</w:t>
            </w:r>
          </w:p>
        </w:tc>
        <w:tc>
          <w:tcPr>
            <w:tcW w:w="1919" w:type="pct"/>
            <w:gridSpan w:val="4"/>
            <w:tcBorders>
              <w:top w:val="nil"/>
              <w:left w:val="nil"/>
              <w:bottom w:val="single" w:sz="4" w:space="0" w:color="auto"/>
              <w:right w:val="nil"/>
            </w:tcBorders>
            <w:noWrap/>
            <w:vAlign w:val="bottom"/>
          </w:tcPr>
          <w:p w:rsidR="0081201E" w:rsidRDefault="006E23F4">
            <w:pPr>
              <w:jc w:val="right"/>
              <w:rPr>
                <w:rFonts w:asciiTheme="minorEastAsia" w:hAnsiTheme="minorEastAsia" w:cstheme="minorEastAsia"/>
                <w:color w:val="000000"/>
                <w:sz w:val="20"/>
                <w:szCs w:val="20"/>
              </w:rPr>
            </w:pPr>
            <w:r>
              <w:rPr>
                <w:rFonts w:ascii="方正仿宋_GB2312" w:eastAsia="方正仿宋_GB2312" w:hAnsi="方正仿宋_GB2312" w:cs="方正仿宋_GB2312" w:hint="eastAsia"/>
                <w:color w:val="000000"/>
                <w:sz w:val="20"/>
                <w:szCs w:val="20"/>
              </w:rPr>
              <w:t>金额单位：万元</w:t>
            </w:r>
          </w:p>
        </w:tc>
      </w:tr>
      <w:tr w:rsidR="0081201E">
        <w:trPr>
          <w:trHeight w:val="308"/>
        </w:trPr>
        <w:tc>
          <w:tcPr>
            <w:tcW w:w="1723" w:type="pct"/>
            <w:gridSpan w:val="3"/>
            <w:tcBorders>
              <w:top w:val="single" w:sz="4" w:space="0" w:color="auto"/>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收入</w:t>
            </w:r>
          </w:p>
        </w:tc>
        <w:tc>
          <w:tcPr>
            <w:tcW w:w="3276" w:type="pct"/>
            <w:gridSpan w:val="8"/>
            <w:tcBorders>
              <w:top w:val="single" w:sz="4" w:space="0" w:color="auto"/>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支出</w:t>
            </w:r>
          </w:p>
        </w:tc>
      </w:tr>
      <w:tr w:rsidR="0081201E">
        <w:trPr>
          <w:trHeight w:val="312"/>
        </w:trPr>
        <w:tc>
          <w:tcPr>
            <w:tcW w:w="847" w:type="pct"/>
            <w:vMerge w:val="restart"/>
            <w:tcBorders>
              <w:top w:val="nil"/>
              <w:left w:val="single" w:sz="4" w:space="0" w:color="000000"/>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项    目</w:t>
            </w:r>
          </w:p>
        </w:tc>
        <w:tc>
          <w:tcPr>
            <w:tcW w:w="266" w:type="pct"/>
            <w:vMerge w:val="restar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行次</w:t>
            </w:r>
          </w:p>
        </w:tc>
        <w:tc>
          <w:tcPr>
            <w:tcW w:w="609" w:type="pct"/>
            <w:vMerge w:val="restar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金额</w:t>
            </w:r>
          </w:p>
        </w:tc>
        <w:tc>
          <w:tcPr>
            <w:tcW w:w="895" w:type="pct"/>
            <w:gridSpan w:val="2"/>
            <w:vMerge w:val="restar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项目</w:t>
            </w:r>
          </w:p>
        </w:tc>
        <w:tc>
          <w:tcPr>
            <w:tcW w:w="266" w:type="pct"/>
            <w:vMerge w:val="restar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行次</w:t>
            </w:r>
          </w:p>
        </w:tc>
        <w:tc>
          <w:tcPr>
            <w:tcW w:w="552" w:type="pct"/>
            <w:gridSpan w:val="2"/>
            <w:vMerge w:val="restart"/>
            <w:tcBorders>
              <w:top w:val="nil"/>
              <w:left w:val="nil"/>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合计</w:t>
            </w:r>
          </w:p>
        </w:tc>
        <w:tc>
          <w:tcPr>
            <w:tcW w:w="520" w:type="pct"/>
            <w:vMerge w:val="restart"/>
            <w:tcBorders>
              <w:top w:val="nil"/>
              <w:left w:val="nil"/>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一般公共预算财政拨款</w:t>
            </w:r>
          </w:p>
        </w:tc>
        <w:tc>
          <w:tcPr>
            <w:tcW w:w="520" w:type="pct"/>
            <w:vMerge w:val="restart"/>
            <w:tcBorders>
              <w:top w:val="nil"/>
              <w:left w:val="nil"/>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政府性基金预算财政拨款</w:t>
            </w:r>
          </w:p>
        </w:tc>
        <w:tc>
          <w:tcPr>
            <w:tcW w:w="520" w:type="pct"/>
            <w:vMerge w:val="restart"/>
            <w:tcBorders>
              <w:top w:val="nil"/>
              <w:left w:val="nil"/>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国有资本经营预算财政拨款</w:t>
            </w:r>
          </w:p>
        </w:tc>
      </w:tr>
      <w:tr w:rsidR="0081201E">
        <w:trPr>
          <w:trHeight w:val="312"/>
        </w:trPr>
        <w:tc>
          <w:tcPr>
            <w:tcW w:w="847" w:type="pct"/>
            <w:vMerge/>
            <w:tcBorders>
              <w:top w:val="nil"/>
              <w:left w:val="single" w:sz="4" w:space="0" w:color="000000"/>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266" w:type="pct"/>
            <w:vMerge/>
            <w:tcBorders>
              <w:top w:val="nil"/>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609" w:type="pct"/>
            <w:vMerge/>
            <w:tcBorders>
              <w:top w:val="nil"/>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895" w:type="pct"/>
            <w:gridSpan w:val="2"/>
            <w:vMerge/>
            <w:tcBorders>
              <w:top w:val="nil"/>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266" w:type="pct"/>
            <w:vMerge/>
            <w:tcBorders>
              <w:top w:val="nil"/>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552" w:type="pct"/>
            <w:gridSpan w:val="2"/>
            <w:vMerge/>
            <w:tcBorders>
              <w:left w:val="nil"/>
              <w:bottom w:val="single" w:sz="4" w:space="0" w:color="000000"/>
              <w:right w:val="single" w:sz="8" w:space="0" w:color="000000"/>
            </w:tcBorders>
            <w:vAlign w:val="center"/>
          </w:tcPr>
          <w:p w:rsidR="0081201E" w:rsidRDefault="0081201E">
            <w:pPr>
              <w:widowControl/>
              <w:jc w:val="center"/>
              <w:textAlignment w:val="center"/>
              <w:rPr>
                <w:rFonts w:ascii="方正仿宋_GB2312" w:eastAsia="方正仿宋_GB2312" w:hAnsi="方正仿宋_GB2312" w:cs="方正仿宋_GB2312"/>
                <w:color w:val="000000"/>
                <w:sz w:val="20"/>
                <w:szCs w:val="20"/>
              </w:rPr>
            </w:pPr>
          </w:p>
        </w:tc>
        <w:tc>
          <w:tcPr>
            <w:tcW w:w="520" w:type="pct"/>
            <w:vMerge/>
            <w:tcBorders>
              <w:left w:val="nil"/>
              <w:bottom w:val="single" w:sz="4" w:space="0" w:color="000000"/>
              <w:right w:val="single" w:sz="8" w:space="0" w:color="000000"/>
            </w:tcBorders>
            <w:vAlign w:val="center"/>
          </w:tcPr>
          <w:p w:rsidR="0081201E" w:rsidRDefault="0081201E">
            <w:pPr>
              <w:widowControl/>
              <w:jc w:val="center"/>
              <w:textAlignment w:val="center"/>
              <w:rPr>
                <w:rFonts w:ascii="方正仿宋_GB2312" w:eastAsia="方正仿宋_GB2312" w:hAnsi="方正仿宋_GB2312" w:cs="方正仿宋_GB2312"/>
                <w:color w:val="000000"/>
                <w:sz w:val="20"/>
                <w:szCs w:val="20"/>
              </w:rPr>
            </w:pPr>
          </w:p>
        </w:tc>
        <w:tc>
          <w:tcPr>
            <w:tcW w:w="520" w:type="pct"/>
            <w:vMerge/>
            <w:tcBorders>
              <w:left w:val="nil"/>
              <w:bottom w:val="single" w:sz="4" w:space="0" w:color="000000"/>
              <w:right w:val="single" w:sz="8" w:space="0" w:color="000000"/>
            </w:tcBorders>
            <w:vAlign w:val="center"/>
          </w:tcPr>
          <w:p w:rsidR="0081201E" w:rsidRDefault="0081201E">
            <w:pPr>
              <w:widowControl/>
              <w:jc w:val="center"/>
              <w:textAlignment w:val="center"/>
              <w:rPr>
                <w:rFonts w:ascii="方正仿宋_GB2312" w:eastAsia="方正仿宋_GB2312" w:hAnsi="方正仿宋_GB2312" w:cs="方正仿宋_GB2312"/>
                <w:color w:val="000000"/>
                <w:sz w:val="20"/>
                <w:szCs w:val="20"/>
              </w:rPr>
            </w:pPr>
          </w:p>
        </w:tc>
        <w:tc>
          <w:tcPr>
            <w:tcW w:w="520" w:type="pct"/>
            <w:vMerge/>
            <w:tcBorders>
              <w:left w:val="nil"/>
              <w:bottom w:val="single" w:sz="4" w:space="0" w:color="000000"/>
              <w:right w:val="single" w:sz="8" w:space="0" w:color="000000"/>
            </w:tcBorders>
            <w:vAlign w:val="center"/>
          </w:tcPr>
          <w:p w:rsidR="0081201E" w:rsidRDefault="0081201E">
            <w:pPr>
              <w:widowControl/>
              <w:jc w:val="center"/>
              <w:textAlignment w:val="center"/>
              <w:rPr>
                <w:rFonts w:ascii="方正仿宋_GB2312" w:eastAsia="方正仿宋_GB2312" w:hAnsi="方正仿宋_GB2312" w:cs="方正仿宋_GB2312"/>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栏    次</w:t>
            </w:r>
          </w:p>
        </w:tc>
        <w:tc>
          <w:tcPr>
            <w:tcW w:w="266" w:type="pct"/>
            <w:tcBorders>
              <w:top w:val="nil"/>
              <w:left w:val="nil"/>
              <w:bottom w:val="single" w:sz="4" w:space="0" w:color="000000"/>
              <w:right w:val="single" w:sz="4" w:space="0" w:color="000000"/>
            </w:tcBorders>
            <w:noWrap/>
            <w:vAlign w:val="center"/>
          </w:tcPr>
          <w:p w:rsidR="0081201E" w:rsidRDefault="0081201E">
            <w:pPr>
              <w:jc w:val="center"/>
              <w:rPr>
                <w:rFonts w:ascii="宋体" w:eastAsia="宋体" w:hAnsi="宋体"/>
                <w:color w:val="000000"/>
                <w:sz w:val="20"/>
                <w:szCs w:val="20"/>
              </w:rPr>
            </w:pPr>
          </w:p>
        </w:tc>
        <w:tc>
          <w:tcPr>
            <w:tcW w:w="609"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1</w:t>
            </w: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栏    次</w:t>
            </w:r>
          </w:p>
        </w:tc>
        <w:tc>
          <w:tcPr>
            <w:tcW w:w="266" w:type="pct"/>
            <w:tcBorders>
              <w:top w:val="nil"/>
              <w:left w:val="nil"/>
              <w:bottom w:val="single" w:sz="4" w:space="0" w:color="000000"/>
              <w:right w:val="single" w:sz="4" w:space="0" w:color="000000"/>
            </w:tcBorders>
            <w:noWrap/>
            <w:vAlign w:val="center"/>
          </w:tcPr>
          <w:p w:rsidR="0081201E" w:rsidRDefault="0081201E">
            <w:pPr>
              <w:jc w:val="center"/>
              <w:rPr>
                <w:rFonts w:ascii="宋体" w:eastAsia="宋体" w:hAnsi="宋体"/>
                <w:color w:val="000000"/>
                <w:sz w:val="20"/>
                <w:szCs w:val="20"/>
              </w:rPr>
            </w:pPr>
          </w:p>
        </w:tc>
        <w:tc>
          <w:tcPr>
            <w:tcW w:w="552"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2</w:t>
            </w:r>
          </w:p>
        </w:tc>
        <w:tc>
          <w:tcPr>
            <w:tcW w:w="520"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3</w:t>
            </w:r>
          </w:p>
        </w:tc>
        <w:tc>
          <w:tcPr>
            <w:tcW w:w="520"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4</w:t>
            </w:r>
          </w:p>
        </w:tc>
        <w:tc>
          <w:tcPr>
            <w:tcW w:w="520" w:type="pct"/>
            <w:tcBorders>
              <w:top w:val="nil"/>
              <w:left w:val="nil"/>
              <w:bottom w:val="single" w:sz="4" w:space="0" w:color="000000"/>
              <w:right w:val="single" w:sz="8" w:space="0" w:color="000000"/>
            </w:tcBorders>
            <w:noWrap/>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5</w:t>
            </w: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一、一般公共预算财政拨款</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w:t>
            </w:r>
          </w:p>
        </w:tc>
        <w:tc>
          <w:tcPr>
            <w:tcW w:w="609"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2,562.54</w:t>
            </w: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一、一般公共服务支出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33</w:t>
            </w:r>
          </w:p>
        </w:tc>
        <w:tc>
          <w:tcPr>
            <w:tcW w:w="55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1,481.30</w:t>
            </w:r>
          </w:p>
        </w:tc>
        <w:tc>
          <w:tcPr>
            <w:tcW w:w="520"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1,481.30</w:t>
            </w: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二、政府性基金预算财政拨款</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二、外交支出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34</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三、国有资本经营预算财政拨款</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三、国防支出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35</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四、公共安全支出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36</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五、教育支出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37</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六、科学技术支出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38</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7</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七、文化旅游体育与传媒支出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39</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八、社会保障和就业支出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40</w:t>
            </w:r>
          </w:p>
        </w:tc>
        <w:tc>
          <w:tcPr>
            <w:tcW w:w="55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150.37</w:t>
            </w:r>
          </w:p>
        </w:tc>
        <w:tc>
          <w:tcPr>
            <w:tcW w:w="520"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150.37</w:t>
            </w: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9</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九、卫生健康支出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41</w:t>
            </w:r>
          </w:p>
        </w:tc>
        <w:tc>
          <w:tcPr>
            <w:tcW w:w="55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151.96</w:t>
            </w:r>
          </w:p>
        </w:tc>
        <w:tc>
          <w:tcPr>
            <w:tcW w:w="520"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151.96</w:t>
            </w: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十、节能环保支出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42</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11</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十一、城乡社区支出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43</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auto"/>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6" w:type="pct"/>
            <w:tcBorders>
              <w:top w:val="nil"/>
              <w:left w:val="nil"/>
              <w:bottom w:val="single" w:sz="4" w:space="0" w:color="auto"/>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12</w:t>
            </w:r>
          </w:p>
        </w:tc>
        <w:tc>
          <w:tcPr>
            <w:tcW w:w="609" w:type="pct"/>
            <w:tcBorders>
              <w:top w:val="nil"/>
              <w:left w:val="nil"/>
              <w:bottom w:val="single" w:sz="4" w:space="0" w:color="auto"/>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auto"/>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十二、农林水支出</w:t>
            </w:r>
          </w:p>
        </w:tc>
        <w:tc>
          <w:tcPr>
            <w:tcW w:w="266" w:type="pct"/>
            <w:tcBorders>
              <w:top w:val="nil"/>
              <w:left w:val="nil"/>
              <w:bottom w:val="single" w:sz="4" w:space="0" w:color="auto"/>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44</w:t>
            </w:r>
          </w:p>
        </w:tc>
        <w:tc>
          <w:tcPr>
            <w:tcW w:w="552" w:type="pct"/>
            <w:gridSpan w:val="2"/>
            <w:tcBorders>
              <w:top w:val="nil"/>
              <w:left w:val="nil"/>
              <w:bottom w:val="single" w:sz="4" w:space="0" w:color="auto"/>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694.82</w:t>
            </w:r>
          </w:p>
        </w:tc>
        <w:tc>
          <w:tcPr>
            <w:tcW w:w="520" w:type="pct"/>
            <w:tcBorders>
              <w:top w:val="nil"/>
              <w:left w:val="nil"/>
              <w:bottom w:val="single" w:sz="4" w:space="0" w:color="auto"/>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694.82</w:t>
            </w:r>
          </w:p>
        </w:tc>
        <w:tc>
          <w:tcPr>
            <w:tcW w:w="520" w:type="pct"/>
            <w:tcBorders>
              <w:top w:val="nil"/>
              <w:left w:val="nil"/>
              <w:bottom w:val="single" w:sz="4" w:space="0" w:color="auto"/>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auto"/>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13</w:t>
            </w:r>
          </w:p>
        </w:tc>
        <w:tc>
          <w:tcPr>
            <w:tcW w:w="60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十三、交通运输支出</w:t>
            </w: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45</w:t>
            </w:r>
          </w:p>
        </w:tc>
        <w:tc>
          <w:tcPr>
            <w:tcW w:w="552"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w:t>
            </w:r>
          </w:p>
        </w:tc>
        <w:tc>
          <w:tcPr>
            <w:tcW w:w="60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十四、资源勘探工业信息等支出</w:t>
            </w: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46</w:t>
            </w:r>
          </w:p>
        </w:tc>
        <w:tc>
          <w:tcPr>
            <w:tcW w:w="552"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15</w:t>
            </w:r>
          </w:p>
        </w:tc>
        <w:tc>
          <w:tcPr>
            <w:tcW w:w="60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十五、商业服务业等支出</w:t>
            </w: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47</w:t>
            </w:r>
          </w:p>
        </w:tc>
        <w:tc>
          <w:tcPr>
            <w:tcW w:w="552"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16</w:t>
            </w:r>
          </w:p>
        </w:tc>
        <w:tc>
          <w:tcPr>
            <w:tcW w:w="60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十六、金融支出</w:t>
            </w: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48</w:t>
            </w:r>
          </w:p>
        </w:tc>
        <w:tc>
          <w:tcPr>
            <w:tcW w:w="552"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17</w:t>
            </w:r>
          </w:p>
        </w:tc>
        <w:tc>
          <w:tcPr>
            <w:tcW w:w="60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十七、援助其他地区支出</w:t>
            </w: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49</w:t>
            </w:r>
          </w:p>
        </w:tc>
        <w:tc>
          <w:tcPr>
            <w:tcW w:w="552"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18</w:t>
            </w:r>
          </w:p>
        </w:tc>
        <w:tc>
          <w:tcPr>
            <w:tcW w:w="60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十八、自然资源海洋气象等支出</w:t>
            </w: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50</w:t>
            </w:r>
          </w:p>
        </w:tc>
        <w:tc>
          <w:tcPr>
            <w:tcW w:w="552"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19</w:t>
            </w:r>
          </w:p>
        </w:tc>
        <w:tc>
          <w:tcPr>
            <w:tcW w:w="60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十九、住房保障支出</w:t>
            </w: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51</w:t>
            </w:r>
          </w:p>
        </w:tc>
        <w:tc>
          <w:tcPr>
            <w:tcW w:w="552"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84.27</w:t>
            </w: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84.27</w:t>
            </w: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20</w:t>
            </w:r>
          </w:p>
        </w:tc>
        <w:tc>
          <w:tcPr>
            <w:tcW w:w="60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二十、粮油物资储备支出</w:t>
            </w: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52</w:t>
            </w:r>
          </w:p>
        </w:tc>
        <w:tc>
          <w:tcPr>
            <w:tcW w:w="552"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21</w:t>
            </w:r>
          </w:p>
        </w:tc>
        <w:tc>
          <w:tcPr>
            <w:tcW w:w="60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二十一、国有资本经营预算支出</w:t>
            </w: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53</w:t>
            </w:r>
          </w:p>
        </w:tc>
        <w:tc>
          <w:tcPr>
            <w:tcW w:w="552"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22</w:t>
            </w:r>
          </w:p>
        </w:tc>
        <w:tc>
          <w:tcPr>
            <w:tcW w:w="60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二十二、灾害防治及应急管理支出</w:t>
            </w: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54</w:t>
            </w:r>
          </w:p>
        </w:tc>
        <w:tc>
          <w:tcPr>
            <w:tcW w:w="552"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23</w:t>
            </w:r>
          </w:p>
        </w:tc>
        <w:tc>
          <w:tcPr>
            <w:tcW w:w="60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二十三、其他支出</w:t>
            </w:r>
          </w:p>
        </w:tc>
        <w:tc>
          <w:tcPr>
            <w:tcW w:w="266"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55</w:t>
            </w:r>
          </w:p>
        </w:tc>
        <w:tc>
          <w:tcPr>
            <w:tcW w:w="552"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single" w:sz="4" w:space="0" w:color="auto"/>
              <w:left w:val="single" w:sz="4" w:space="0" w:color="000000"/>
              <w:bottom w:val="single" w:sz="4" w:space="0" w:color="000000"/>
              <w:right w:val="single" w:sz="4" w:space="0" w:color="000000"/>
            </w:tcBorders>
            <w:noWrap/>
            <w:vAlign w:val="center"/>
          </w:tcPr>
          <w:p w:rsidR="0081201E" w:rsidRDefault="0081201E">
            <w:pPr>
              <w:jc w:val="left"/>
              <w:rPr>
                <w:rFonts w:ascii="宋体" w:eastAsia="宋体" w:hAnsi="宋体"/>
                <w:color w:val="000000"/>
                <w:sz w:val="20"/>
                <w:szCs w:val="20"/>
              </w:rPr>
            </w:pPr>
          </w:p>
        </w:tc>
        <w:tc>
          <w:tcPr>
            <w:tcW w:w="266" w:type="pct"/>
            <w:tcBorders>
              <w:top w:val="single" w:sz="4" w:space="0" w:color="auto"/>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24</w:t>
            </w:r>
          </w:p>
        </w:tc>
        <w:tc>
          <w:tcPr>
            <w:tcW w:w="609" w:type="pct"/>
            <w:tcBorders>
              <w:top w:val="single" w:sz="4" w:space="0" w:color="auto"/>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single" w:sz="4" w:space="0" w:color="auto"/>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二十四、债务还本支出</w:t>
            </w:r>
          </w:p>
        </w:tc>
        <w:tc>
          <w:tcPr>
            <w:tcW w:w="266" w:type="pct"/>
            <w:tcBorders>
              <w:top w:val="single" w:sz="4" w:space="0" w:color="auto"/>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56</w:t>
            </w:r>
          </w:p>
        </w:tc>
        <w:tc>
          <w:tcPr>
            <w:tcW w:w="552" w:type="pct"/>
            <w:gridSpan w:val="2"/>
            <w:tcBorders>
              <w:top w:val="single" w:sz="4" w:space="0" w:color="auto"/>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single" w:sz="4" w:space="0" w:color="auto"/>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81201E">
            <w:pPr>
              <w:jc w:val="center"/>
              <w:rPr>
                <w:rFonts w:ascii="宋体" w:eastAsia="宋体" w:hAnsi="宋体"/>
                <w:b/>
                <w:bCs/>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25</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二十五、债务付息支出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57</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81201E">
            <w:pPr>
              <w:jc w:val="center"/>
              <w:rPr>
                <w:rFonts w:ascii="宋体" w:eastAsia="宋体" w:hAnsi="宋体"/>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26</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二十六、抗疫特别国债安排的支出</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58</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b/>
                <w:bCs/>
                <w:color w:val="000000"/>
                <w:sz w:val="20"/>
                <w:szCs w:val="20"/>
              </w:rPr>
            </w:pPr>
            <w:r>
              <w:rPr>
                <w:rFonts w:ascii="方正仿宋_GB2312" w:eastAsia="方正仿宋_GB2312" w:hAnsi="方正仿宋_GB2312" w:cs="方正仿宋_GB2312" w:hint="eastAsia"/>
                <w:b/>
                <w:bCs/>
                <w:color w:val="000000"/>
                <w:sz w:val="20"/>
                <w:szCs w:val="20"/>
              </w:rPr>
              <w:t>本年收入合计</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27</w:t>
            </w:r>
          </w:p>
        </w:tc>
        <w:tc>
          <w:tcPr>
            <w:tcW w:w="609"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2,562.54</w:t>
            </w: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b/>
                <w:bCs/>
                <w:color w:val="000000"/>
                <w:sz w:val="20"/>
                <w:szCs w:val="20"/>
              </w:rPr>
            </w:pPr>
            <w:r>
              <w:rPr>
                <w:rFonts w:ascii="方正仿宋_GB2312" w:eastAsia="方正仿宋_GB2312" w:hAnsi="方正仿宋_GB2312" w:cs="方正仿宋_GB2312" w:hint="eastAsia"/>
                <w:b/>
                <w:bCs/>
                <w:color w:val="000000"/>
                <w:sz w:val="20"/>
                <w:szCs w:val="20"/>
              </w:rPr>
              <w:t>本年支出合计</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59</w:t>
            </w:r>
          </w:p>
        </w:tc>
        <w:tc>
          <w:tcPr>
            <w:tcW w:w="55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2,562.71</w:t>
            </w:r>
          </w:p>
        </w:tc>
        <w:tc>
          <w:tcPr>
            <w:tcW w:w="520"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2,562.71</w:t>
            </w: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年初财政拨款结转和结余</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28</w:t>
            </w:r>
          </w:p>
        </w:tc>
        <w:tc>
          <w:tcPr>
            <w:tcW w:w="609"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10.56</w:t>
            </w:r>
          </w:p>
        </w:tc>
        <w:tc>
          <w:tcPr>
            <w:tcW w:w="895" w:type="pct"/>
            <w:gridSpan w:val="2"/>
            <w:tcBorders>
              <w:top w:val="nil"/>
              <w:left w:val="nil"/>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年末财政拨款结转和结余</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60</w:t>
            </w:r>
          </w:p>
        </w:tc>
        <w:tc>
          <w:tcPr>
            <w:tcW w:w="552"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10.38</w:t>
            </w:r>
          </w:p>
        </w:tc>
        <w:tc>
          <w:tcPr>
            <w:tcW w:w="520" w:type="pct"/>
            <w:tcBorders>
              <w:top w:val="nil"/>
              <w:left w:val="nil"/>
              <w:bottom w:val="single" w:sz="4" w:space="0" w:color="000000"/>
              <w:right w:val="single" w:sz="4" w:space="0" w:color="000000"/>
            </w:tcBorders>
            <w:noWrap/>
            <w:vAlign w:val="center"/>
          </w:tcPr>
          <w:p w:rsidR="0081201E" w:rsidRDefault="006E23F4">
            <w:pPr>
              <w:rPr>
                <w:rFonts w:ascii="Times New Roman" w:eastAsia="宋体" w:hAnsi="Times New Roman" w:cs="Times New Roman"/>
                <w:color w:val="000000"/>
                <w:sz w:val="20"/>
                <w:szCs w:val="20"/>
              </w:rPr>
            </w:pPr>
            <w:r>
              <w:rPr>
                <w:rFonts w:ascii="Times New Roman" w:hAnsi="Times New Roman" w:cs="Times New Roman"/>
                <w:sz w:val="20"/>
                <w:szCs w:val="20"/>
              </w:rPr>
              <w:t>8.86</w:t>
            </w:r>
          </w:p>
        </w:tc>
        <w:tc>
          <w:tcPr>
            <w:tcW w:w="520"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1.53</w:t>
            </w:r>
          </w:p>
        </w:tc>
        <w:tc>
          <w:tcPr>
            <w:tcW w:w="520" w:type="pct"/>
            <w:tcBorders>
              <w:top w:val="nil"/>
              <w:left w:val="nil"/>
              <w:bottom w:val="single" w:sz="4" w:space="0" w:color="000000"/>
              <w:right w:val="single" w:sz="8" w:space="0" w:color="000000"/>
            </w:tcBorders>
            <w:noWrap/>
            <w:vAlign w:val="center"/>
          </w:tcPr>
          <w:p w:rsidR="0081201E" w:rsidRDefault="0081201E">
            <w:pPr>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一、一般公共预算财政拨款</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29</w:t>
            </w:r>
          </w:p>
        </w:tc>
        <w:tc>
          <w:tcPr>
            <w:tcW w:w="609"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9.03</w:t>
            </w:r>
          </w:p>
        </w:tc>
        <w:tc>
          <w:tcPr>
            <w:tcW w:w="895" w:type="pct"/>
            <w:gridSpan w:val="2"/>
            <w:tcBorders>
              <w:top w:val="nil"/>
              <w:left w:val="nil"/>
              <w:bottom w:val="single" w:sz="4" w:space="0" w:color="000000"/>
              <w:right w:val="single" w:sz="4" w:space="0" w:color="000000"/>
            </w:tcBorders>
            <w:noWrap/>
            <w:vAlign w:val="center"/>
          </w:tcPr>
          <w:p w:rsidR="0081201E" w:rsidRDefault="0081201E">
            <w:pPr>
              <w:jc w:val="left"/>
              <w:rPr>
                <w:rFonts w:ascii="方正仿宋_GB2312" w:eastAsia="方正仿宋_GB2312" w:hAnsi="方正仿宋_GB2312" w:cs="方正仿宋_GB2312"/>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61</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lef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二、政府性基金预算财政拨款</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30</w:t>
            </w:r>
          </w:p>
        </w:tc>
        <w:tc>
          <w:tcPr>
            <w:tcW w:w="609"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1.53</w:t>
            </w:r>
          </w:p>
        </w:tc>
        <w:tc>
          <w:tcPr>
            <w:tcW w:w="895" w:type="pct"/>
            <w:gridSpan w:val="2"/>
            <w:tcBorders>
              <w:top w:val="nil"/>
              <w:left w:val="nil"/>
              <w:bottom w:val="single" w:sz="4" w:space="0" w:color="000000"/>
              <w:right w:val="single" w:sz="4" w:space="0" w:color="000000"/>
            </w:tcBorders>
            <w:noWrap/>
            <w:vAlign w:val="center"/>
          </w:tcPr>
          <w:p w:rsidR="0081201E" w:rsidRDefault="0081201E">
            <w:pPr>
              <w:jc w:val="left"/>
              <w:rPr>
                <w:rFonts w:ascii="方正仿宋_GB2312" w:eastAsia="方正仿宋_GB2312" w:hAnsi="方正仿宋_GB2312" w:cs="方正仿宋_GB2312"/>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62</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lef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4" w:space="0" w:color="000000"/>
              <w:right w:val="single" w:sz="4" w:space="0" w:color="000000"/>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三、国有资本经营预算财政拨款</w:t>
            </w: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31</w:t>
            </w:r>
          </w:p>
        </w:tc>
        <w:tc>
          <w:tcPr>
            <w:tcW w:w="60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895" w:type="pct"/>
            <w:gridSpan w:val="2"/>
            <w:tcBorders>
              <w:top w:val="nil"/>
              <w:left w:val="nil"/>
              <w:bottom w:val="single" w:sz="4" w:space="0" w:color="000000"/>
              <w:right w:val="single" w:sz="4" w:space="0" w:color="000000"/>
            </w:tcBorders>
            <w:noWrap/>
            <w:vAlign w:val="center"/>
          </w:tcPr>
          <w:p w:rsidR="0081201E" w:rsidRDefault="0081201E">
            <w:pPr>
              <w:jc w:val="left"/>
              <w:rPr>
                <w:rFonts w:ascii="方正仿宋_GB2312" w:eastAsia="方正仿宋_GB2312" w:hAnsi="方正仿宋_GB2312" w:cs="方正仿宋_GB2312"/>
                <w:color w:val="000000"/>
                <w:sz w:val="20"/>
                <w:szCs w:val="20"/>
              </w:rPr>
            </w:pPr>
          </w:p>
        </w:tc>
        <w:tc>
          <w:tcPr>
            <w:tcW w:w="2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63</w:t>
            </w:r>
          </w:p>
        </w:tc>
        <w:tc>
          <w:tcPr>
            <w:tcW w:w="552"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4" w:space="0" w:color="000000"/>
              <w:right w:val="single" w:sz="8" w:space="0" w:color="000000"/>
            </w:tcBorders>
            <w:noWrap/>
            <w:vAlign w:val="center"/>
          </w:tcPr>
          <w:p w:rsidR="0081201E" w:rsidRDefault="0081201E">
            <w:pPr>
              <w:jc w:val="left"/>
              <w:rPr>
                <w:rFonts w:ascii="Times New Roman" w:eastAsia="宋体" w:hAnsi="Times New Roman" w:cs="Times New Roman"/>
                <w:color w:val="000000"/>
                <w:sz w:val="20"/>
                <w:szCs w:val="20"/>
              </w:rPr>
            </w:pPr>
          </w:p>
        </w:tc>
      </w:tr>
      <w:tr w:rsidR="0081201E">
        <w:trPr>
          <w:trHeight w:val="308"/>
        </w:trPr>
        <w:tc>
          <w:tcPr>
            <w:tcW w:w="847" w:type="pct"/>
            <w:tcBorders>
              <w:top w:val="nil"/>
              <w:left w:val="single" w:sz="4" w:space="0" w:color="000000"/>
              <w:bottom w:val="single" w:sz="8"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b/>
                <w:bCs/>
                <w:color w:val="000000"/>
                <w:sz w:val="20"/>
                <w:szCs w:val="20"/>
              </w:rPr>
            </w:pPr>
            <w:r>
              <w:rPr>
                <w:rFonts w:ascii="方正仿宋_GB2312" w:eastAsia="方正仿宋_GB2312" w:hAnsi="方正仿宋_GB2312" w:cs="方正仿宋_GB2312" w:hint="eastAsia"/>
                <w:b/>
                <w:bCs/>
                <w:color w:val="000000"/>
                <w:sz w:val="20"/>
                <w:szCs w:val="20"/>
              </w:rPr>
              <w:t>总计</w:t>
            </w:r>
          </w:p>
        </w:tc>
        <w:tc>
          <w:tcPr>
            <w:tcW w:w="266" w:type="pct"/>
            <w:tcBorders>
              <w:top w:val="nil"/>
              <w:left w:val="nil"/>
              <w:bottom w:val="single" w:sz="8"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32</w:t>
            </w:r>
          </w:p>
        </w:tc>
        <w:tc>
          <w:tcPr>
            <w:tcW w:w="609" w:type="pct"/>
            <w:tcBorders>
              <w:top w:val="nil"/>
              <w:left w:val="nil"/>
              <w:bottom w:val="single" w:sz="8"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2,573.10</w:t>
            </w:r>
          </w:p>
        </w:tc>
        <w:tc>
          <w:tcPr>
            <w:tcW w:w="895" w:type="pct"/>
            <w:gridSpan w:val="2"/>
            <w:tcBorders>
              <w:top w:val="nil"/>
              <w:left w:val="nil"/>
              <w:bottom w:val="single" w:sz="8"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b/>
                <w:bCs/>
                <w:color w:val="000000"/>
                <w:sz w:val="20"/>
                <w:szCs w:val="20"/>
              </w:rPr>
            </w:pPr>
            <w:r>
              <w:rPr>
                <w:rFonts w:ascii="方正仿宋_GB2312" w:eastAsia="方正仿宋_GB2312" w:hAnsi="方正仿宋_GB2312" w:cs="方正仿宋_GB2312" w:hint="eastAsia"/>
                <w:b/>
                <w:bCs/>
                <w:color w:val="000000"/>
                <w:sz w:val="20"/>
                <w:szCs w:val="20"/>
              </w:rPr>
              <w:t>总计</w:t>
            </w:r>
          </w:p>
        </w:tc>
        <w:tc>
          <w:tcPr>
            <w:tcW w:w="266" w:type="pct"/>
            <w:tcBorders>
              <w:top w:val="nil"/>
              <w:left w:val="nil"/>
              <w:bottom w:val="single" w:sz="8" w:space="0" w:color="000000"/>
              <w:right w:val="single" w:sz="4" w:space="0" w:color="000000"/>
            </w:tcBorders>
            <w:noWrap/>
            <w:vAlign w:val="center"/>
          </w:tcPr>
          <w:p w:rsidR="0081201E" w:rsidRDefault="006E23F4">
            <w:pPr>
              <w:widowControl/>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64</w:t>
            </w:r>
          </w:p>
        </w:tc>
        <w:tc>
          <w:tcPr>
            <w:tcW w:w="552" w:type="pct"/>
            <w:gridSpan w:val="2"/>
            <w:tcBorders>
              <w:top w:val="nil"/>
              <w:left w:val="nil"/>
              <w:bottom w:val="single" w:sz="8"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2,573.10</w:t>
            </w:r>
          </w:p>
        </w:tc>
        <w:tc>
          <w:tcPr>
            <w:tcW w:w="520" w:type="pct"/>
            <w:tcBorders>
              <w:top w:val="nil"/>
              <w:left w:val="nil"/>
              <w:bottom w:val="single" w:sz="8" w:space="0" w:color="000000"/>
              <w:right w:val="single" w:sz="4" w:space="0" w:color="000000"/>
            </w:tcBorders>
            <w:noWrap/>
            <w:vAlign w:val="center"/>
          </w:tcPr>
          <w:p w:rsidR="0081201E" w:rsidRDefault="0081201E">
            <w:pPr>
              <w:jc w:val="right"/>
              <w:rPr>
                <w:rFonts w:ascii="Times New Roman" w:hAnsi="Times New Roman" w:cs="Times New Roman"/>
                <w:sz w:val="20"/>
                <w:szCs w:val="20"/>
              </w:rPr>
            </w:pPr>
          </w:p>
          <w:p w:rsidR="0081201E" w:rsidRDefault="006E23F4">
            <w:pPr>
              <w:jc w:val="right"/>
              <w:rPr>
                <w:rFonts w:ascii="Times New Roman" w:hAnsi="Times New Roman" w:cs="Times New Roman"/>
                <w:sz w:val="20"/>
                <w:szCs w:val="20"/>
              </w:rPr>
            </w:pPr>
            <w:r>
              <w:rPr>
                <w:rFonts w:ascii="Times New Roman" w:hAnsi="Times New Roman" w:cs="Times New Roman"/>
                <w:sz w:val="20"/>
                <w:szCs w:val="20"/>
              </w:rPr>
              <w:t>2,571.57</w:t>
            </w:r>
          </w:p>
          <w:p w:rsidR="0081201E" w:rsidRDefault="0081201E">
            <w:pPr>
              <w:jc w:val="right"/>
              <w:rPr>
                <w:rFonts w:ascii="Times New Roman" w:eastAsia="宋体" w:hAnsi="Times New Roman" w:cs="Times New Roman"/>
                <w:color w:val="000000"/>
                <w:sz w:val="20"/>
                <w:szCs w:val="20"/>
              </w:rPr>
            </w:pPr>
          </w:p>
        </w:tc>
        <w:tc>
          <w:tcPr>
            <w:tcW w:w="520" w:type="pct"/>
            <w:tcBorders>
              <w:top w:val="nil"/>
              <w:left w:val="nil"/>
              <w:bottom w:val="single" w:sz="8"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1.53</w:t>
            </w:r>
          </w:p>
        </w:tc>
        <w:tc>
          <w:tcPr>
            <w:tcW w:w="520" w:type="pct"/>
            <w:tcBorders>
              <w:top w:val="nil"/>
              <w:left w:val="nil"/>
              <w:bottom w:val="single" w:sz="8" w:space="0" w:color="000000"/>
              <w:right w:val="single" w:sz="8"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5000" w:type="pct"/>
            <w:gridSpan w:val="11"/>
            <w:tcBorders>
              <w:top w:val="nil"/>
              <w:left w:val="nil"/>
              <w:bottom w:val="nil"/>
              <w:right w:val="nil"/>
            </w:tcBorders>
            <w:noWrap/>
            <w:vAlign w:val="center"/>
          </w:tcPr>
          <w:p w:rsidR="0081201E" w:rsidRDefault="006E23F4">
            <w:pPr>
              <w:widowControl/>
              <w:jc w:val="left"/>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注：本表反映部门本年度一般公共预算财政拨款、政府性基金预算财政拨款和国有资本经营预算财政拨款的总收支和年末结转结余情况。</w:t>
            </w:r>
          </w:p>
        </w:tc>
      </w:tr>
    </w:tbl>
    <w:p w:rsidR="0081201E" w:rsidRDefault="0081201E">
      <w:pPr>
        <w:rPr>
          <w:rFonts w:ascii="仿宋_GB2312" w:eastAsia="仿宋_GB2312" w:hAnsi="宋体"/>
          <w:b/>
          <w:sz w:val="32"/>
          <w:szCs w:val="32"/>
        </w:rPr>
      </w:pPr>
    </w:p>
    <w:p w:rsidR="0081201E" w:rsidRDefault="006E23F4">
      <w:pPr>
        <w:rPr>
          <w:rFonts w:ascii="仿宋_GB2312" w:eastAsia="仿宋_GB2312" w:hAnsi="宋体"/>
          <w:b/>
          <w:sz w:val="32"/>
          <w:szCs w:val="32"/>
        </w:rPr>
      </w:pPr>
      <w:r>
        <w:rPr>
          <w:rFonts w:ascii="仿宋_GB2312" w:eastAsia="仿宋_GB2312" w:hAnsi="宋体" w:hint="eastAsia"/>
          <w:b/>
          <w:sz w:val="32"/>
          <w:szCs w:val="32"/>
        </w:rPr>
        <w:br w:type="page"/>
      </w:r>
    </w:p>
    <w:tbl>
      <w:tblPr>
        <w:tblW w:w="5348" w:type="pct"/>
        <w:tblInd w:w="-657" w:type="dxa"/>
        <w:tblLook w:val="04A0"/>
      </w:tblPr>
      <w:tblGrid>
        <w:gridCol w:w="1759"/>
        <w:gridCol w:w="3302"/>
        <w:gridCol w:w="1019"/>
        <w:gridCol w:w="510"/>
        <w:gridCol w:w="533"/>
        <w:gridCol w:w="372"/>
        <w:gridCol w:w="1202"/>
      </w:tblGrid>
      <w:tr w:rsidR="0081201E">
        <w:trPr>
          <w:trHeight w:val="657"/>
        </w:trPr>
        <w:tc>
          <w:tcPr>
            <w:tcW w:w="5000" w:type="pct"/>
            <w:gridSpan w:val="7"/>
            <w:tcBorders>
              <w:top w:val="nil"/>
              <w:left w:val="nil"/>
              <w:bottom w:val="nil"/>
              <w:right w:val="nil"/>
            </w:tcBorders>
            <w:noWrap/>
            <w:vAlign w:val="bottom"/>
          </w:tcPr>
          <w:p w:rsidR="0081201E" w:rsidRDefault="006E23F4">
            <w:pPr>
              <w:widowControl/>
              <w:jc w:val="center"/>
              <w:textAlignment w:val="bottom"/>
              <w:rPr>
                <w:rFonts w:ascii="宋体" w:eastAsia="宋体" w:hAnsi="宋体"/>
                <w:color w:val="000000"/>
                <w:sz w:val="20"/>
                <w:szCs w:val="20"/>
              </w:rPr>
            </w:pPr>
            <w:r>
              <w:rPr>
                <w:rFonts w:ascii="方正仿宋_GB2312" w:eastAsia="方正仿宋_GB2312" w:hAnsi="方正仿宋_GB2312" w:cs="方正仿宋_GB2312" w:hint="eastAsia"/>
                <w:bCs/>
                <w:sz w:val="32"/>
                <w:szCs w:val="32"/>
              </w:rPr>
              <w:lastRenderedPageBreak/>
              <w:t>一般公共预算财政拨款支出决算表</w:t>
            </w:r>
          </w:p>
        </w:tc>
      </w:tr>
      <w:tr w:rsidR="0081201E">
        <w:trPr>
          <w:trHeight w:val="329"/>
        </w:trPr>
        <w:tc>
          <w:tcPr>
            <w:tcW w:w="5000" w:type="pct"/>
            <w:gridSpan w:val="7"/>
            <w:tcBorders>
              <w:top w:val="nil"/>
              <w:left w:val="nil"/>
              <w:bottom w:val="nil"/>
              <w:right w:val="nil"/>
            </w:tcBorders>
            <w:noWrap/>
            <w:vAlign w:val="bottom"/>
          </w:tcPr>
          <w:p w:rsidR="0081201E" w:rsidRDefault="006E23F4">
            <w:pPr>
              <w:widowControl/>
              <w:jc w:val="righ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公开</w:t>
            </w:r>
            <w:r>
              <w:rPr>
                <w:rFonts w:ascii="Times New Roman" w:eastAsia="方正仿宋_GB2312" w:hAnsi="Times New Roman" w:cs="Times New Roman"/>
                <w:color w:val="000000"/>
                <w:sz w:val="20"/>
                <w:szCs w:val="20"/>
              </w:rPr>
              <w:t>05</w:t>
            </w:r>
            <w:r>
              <w:rPr>
                <w:rFonts w:ascii="方正仿宋_GB2312" w:eastAsia="方正仿宋_GB2312" w:hAnsi="方正仿宋_GB2312" w:cs="方正仿宋_GB2312" w:hint="eastAsia"/>
                <w:color w:val="000000"/>
                <w:sz w:val="20"/>
                <w:szCs w:val="20"/>
              </w:rPr>
              <w:t>表</w:t>
            </w:r>
          </w:p>
        </w:tc>
      </w:tr>
      <w:tr w:rsidR="0081201E">
        <w:trPr>
          <w:trHeight w:val="329"/>
        </w:trPr>
        <w:tc>
          <w:tcPr>
            <w:tcW w:w="1868" w:type="pct"/>
            <w:gridSpan w:val="3"/>
            <w:tcBorders>
              <w:top w:val="nil"/>
              <w:left w:val="nil"/>
              <w:bottom w:val="single" w:sz="4" w:space="0" w:color="auto"/>
              <w:right w:val="nil"/>
            </w:tcBorders>
            <w:noWrap/>
            <w:vAlign w:val="bottom"/>
          </w:tcPr>
          <w:p w:rsidR="0081201E" w:rsidRDefault="006E23F4">
            <w:pPr>
              <w:widowControl/>
              <w:jc w:val="lef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编制部门（单位）：滦州市古马镇人民政府(本级)</w:t>
            </w:r>
          </w:p>
        </w:tc>
        <w:tc>
          <w:tcPr>
            <w:tcW w:w="1541" w:type="pct"/>
            <w:gridSpan w:val="2"/>
            <w:tcBorders>
              <w:top w:val="nil"/>
              <w:left w:val="nil"/>
              <w:bottom w:val="single" w:sz="4" w:space="0" w:color="auto"/>
              <w:right w:val="nil"/>
            </w:tcBorders>
            <w:noWrap/>
            <w:vAlign w:val="bottom"/>
          </w:tcPr>
          <w:p w:rsidR="0081201E" w:rsidRDefault="006E23F4">
            <w:pPr>
              <w:widowControl/>
              <w:jc w:val="center"/>
              <w:textAlignment w:val="bottom"/>
              <w:rPr>
                <w:rFonts w:asciiTheme="minorEastAsia" w:hAnsiTheme="minorEastAsia" w:cstheme="minorEastAsia"/>
                <w:color w:val="000000"/>
                <w:sz w:val="20"/>
                <w:szCs w:val="20"/>
              </w:rPr>
            </w:pPr>
            <w:r>
              <w:rPr>
                <w:rFonts w:ascii="Times New Roman" w:hAnsi="Times New Roman" w:cs="Times New Roman"/>
                <w:color w:val="000000"/>
                <w:sz w:val="20"/>
                <w:szCs w:val="20"/>
              </w:rPr>
              <w:t>202</w:t>
            </w:r>
            <w:r>
              <w:rPr>
                <w:rFonts w:ascii="Times New Roman" w:hAnsi="Times New Roman" w:cs="Times New Roman" w:hint="eastAsia"/>
                <w:color w:val="000000"/>
                <w:sz w:val="20"/>
                <w:szCs w:val="20"/>
              </w:rPr>
              <w:t>4</w:t>
            </w:r>
            <w:r>
              <w:rPr>
                <w:rFonts w:ascii="方正仿宋_GB2312" w:eastAsia="方正仿宋_GB2312" w:hAnsi="方正仿宋_GB2312" w:cs="方正仿宋_GB2312" w:hint="eastAsia"/>
                <w:color w:val="000000"/>
                <w:sz w:val="20"/>
                <w:szCs w:val="20"/>
              </w:rPr>
              <w:t>年度</w:t>
            </w:r>
          </w:p>
        </w:tc>
        <w:tc>
          <w:tcPr>
            <w:tcW w:w="1590" w:type="pct"/>
            <w:gridSpan w:val="2"/>
            <w:tcBorders>
              <w:top w:val="nil"/>
              <w:left w:val="nil"/>
              <w:bottom w:val="single" w:sz="4" w:space="0" w:color="auto"/>
              <w:right w:val="nil"/>
            </w:tcBorders>
            <w:noWrap/>
            <w:vAlign w:val="bottom"/>
          </w:tcPr>
          <w:p w:rsidR="0081201E" w:rsidRDefault="006E23F4">
            <w:pPr>
              <w:widowControl/>
              <w:jc w:val="right"/>
              <w:textAlignment w:val="bottom"/>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金额单位：万元</w:t>
            </w:r>
          </w:p>
        </w:tc>
      </w:tr>
      <w:tr w:rsidR="0081201E">
        <w:trPr>
          <w:trHeight w:val="510"/>
        </w:trPr>
        <w:tc>
          <w:tcPr>
            <w:tcW w:w="1461" w:type="pct"/>
            <w:gridSpan w:val="2"/>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项目</w:t>
            </w:r>
          </w:p>
        </w:tc>
        <w:tc>
          <w:tcPr>
            <w:tcW w:w="3538" w:type="pct"/>
            <w:gridSpan w:val="5"/>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本年支出</w:t>
            </w:r>
          </w:p>
        </w:tc>
      </w:tr>
      <w:tr w:rsidR="0081201E">
        <w:trPr>
          <w:trHeight w:val="369"/>
        </w:trPr>
        <w:tc>
          <w:tcPr>
            <w:tcW w:w="704" w:type="pct"/>
            <w:vMerge w:val="restart"/>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科目代码</w:t>
            </w:r>
          </w:p>
        </w:tc>
        <w:tc>
          <w:tcPr>
            <w:tcW w:w="756" w:type="pct"/>
            <w:vMerge w:val="restart"/>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科目名称</w:t>
            </w:r>
          </w:p>
        </w:tc>
        <w:tc>
          <w:tcPr>
            <w:tcW w:w="1160" w:type="pct"/>
            <w:gridSpan w:val="2"/>
            <w:vMerge w:val="restart"/>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小计</w:t>
            </w:r>
          </w:p>
        </w:tc>
        <w:tc>
          <w:tcPr>
            <w:tcW w:w="1160" w:type="pct"/>
            <w:gridSpan w:val="2"/>
            <w:vMerge w:val="restart"/>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基本支出</w:t>
            </w:r>
          </w:p>
        </w:tc>
        <w:tc>
          <w:tcPr>
            <w:tcW w:w="1218" w:type="pct"/>
            <w:vMerge w:val="restart"/>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项目支出</w:t>
            </w:r>
          </w:p>
        </w:tc>
      </w:tr>
      <w:tr w:rsidR="0081201E">
        <w:trPr>
          <w:trHeight w:val="346"/>
        </w:trPr>
        <w:tc>
          <w:tcPr>
            <w:tcW w:w="704" w:type="pct"/>
            <w:vMerge/>
            <w:tcBorders>
              <w:top w:val="single" w:sz="4" w:space="0" w:color="auto"/>
              <w:left w:val="single" w:sz="4" w:space="0" w:color="auto"/>
              <w:bottom w:val="single" w:sz="4" w:space="0" w:color="auto"/>
              <w:right w:val="single" w:sz="4" w:space="0" w:color="auto"/>
            </w:tcBorders>
            <w:vAlign w:val="center"/>
          </w:tcPr>
          <w:p w:rsidR="0081201E" w:rsidRDefault="0081201E">
            <w:pPr>
              <w:jc w:val="center"/>
              <w:rPr>
                <w:rFonts w:ascii="宋体" w:eastAsia="宋体" w:hAnsi="宋体"/>
                <w:color w:val="000000"/>
                <w:sz w:val="20"/>
                <w:szCs w:val="20"/>
              </w:rPr>
            </w:pPr>
          </w:p>
        </w:tc>
        <w:tc>
          <w:tcPr>
            <w:tcW w:w="756" w:type="pct"/>
            <w:vMerge/>
            <w:tcBorders>
              <w:top w:val="single" w:sz="4" w:space="0" w:color="auto"/>
              <w:left w:val="single" w:sz="4" w:space="0" w:color="auto"/>
              <w:bottom w:val="single" w:sz="4" w:space="0" w:color="auto"/>
              <w:right w:val="single" w:sz="4" w:space="0" w:color="auto"/>
            </w:tcBorders>
            <w:vAlign w:val="center"/>
          </w:tcPr>
          <w:p w:rsidR="0081201E" w:rsidRDefault="0081201E">
            <w:pPr>
              <w:jc w:val="center"/>
              <w:rPr>
                <w:rFonts w:ascii="宋体" w:eastAsia="宋体" w:hAnsi="宋体"/>
                <w:color w:val="000000"/>
                <w:sz w:val="20"/>
                <w:szCs w:val="20"/>
              </w:rPr>
            </w:pPr>
          </w:p>
        </w:tc>
        <w:tc>
          <w:tcPr>
            <w:tcW w:w="1160" w:type="pct"/>
            <w:gridSpan w:val="2"/>
            <w:vMerge/>
            <w:tcBorders>
              <w:top w:val="single" w:sz="4" w:space="0" w:color="auto"/>
              <w:left w:val="single" w:sz="4" w:space="0" w:color="auto"/>
              <w:bottom w:val="single" w:sz="4" w:space="0" w:color="auto"/>
              <w:right w:val="single" w:sz="4" w:space="0" w:color="auto"/>
            </w:tcBorders>
            <w:vAlign w:val="center"/>
          </w:tcPr>
          <w:p w:rsidR="0081201E" w:rsidRDefault="0081201E">
            <w:pPr>
              <w:jc w:val="center"/>
              <w:rPr>
                <w:rFonts w:ascii="宋体" w:eastAsia="宋体" w:hAnsi="宋体"/>
                <w:color w:val="000000"/>
                <w:sz w:val="20"/>
                <w:szCs w:val="20"/>
              </w:rPr>
            </w:pPr>
          </w:p>
        </w:tc>
        <w:tc>
          <w:tcPr>
            <w:tcW w:w="1160" w:type="pct"/>
            <w:gridSpan w:val="2"/>
            <w:vMerge/>
            <w:tcBorders>
              <w:top w:val="single" w:sz="4" w:space="0" w:color="auto"/>
              <w:left w:val="single" w:sz="4" w:space="0" w:color="auto"/>
              <w:bottom w:val="single" w:sz="4" w:space="0" w:color="auto"/>
              <w:right w:val="single" w:sz="4" w:space="0" w:color="auto"/>
            </w:tcBorders>
            <w:vAlign w:val="center"/>
          </w:tcPr>
          <w:p w:rsidR="0081201E" w:rsidRDefault="0081201E">
            <w:pPr>
              <w:jc w:val="center"/>
              <w:rPr>
                <w:rFonts w:ascii="宋体" w:eastAsia="宋体" w:hAnsi="宋体"/>
                <w:color w:val="000000"/>
                <w:sz w:val="20"/>
                <w:szCs w:val="20"/>
              </w:rPr>
            </w:pPr>
          </w:p>
        </w:tc>
        <w:tc>
          <w:tcPr>
            <w:tcW w:w="1218" w:type="pct"/>
            <w:vMerge/>
            <w:tcBorders>
              <w:top w:val="single" w:sz="4" w:space="0" w:color="auto"/>
              <w:left w:val="single" w:sz="4" w:space="0" w:color="auto"/>
              <w:bottom w:val="single" w:sz="4" w:space="0" w:color="auto"/>
              <w:right w:val="single" w:sz="4" w:space="0" w:color="auto"/>
            </w:tcBorders>
            <w:vAlign w:val="center"/>
          </w:tcPr>
          <w:p w:rsidR="0081201E" w:rsidRDefault="0081201E">
            <w:pPr>
              <w:jc w:val="center"/>
              <w:rPr>
                <w:rFonts w:ascii="宋体" w:eastAsia="宋体" w:hAnsi="宋体"/>
                <w:color w:val="000000"/>
                <w:sz w:val="20"/>
                <w:szCs w:val="20"/>
              </w:rPr>
            </w:pPr>
          </w:p>
        </w:tc>
      </w:tr>
      <w:tr w:rsidR="0081201E">
        <w:trPr>
          <w:trHeight w:val="369"/>
        </w:trPr>
        <w:tc>
          <w:tcPr>
            <w:tcW w:w="704" w:type="pct"/>
            <w:vMerge/>
            <w:tcBorders>
              <w:top w:val="single" w:sz="4" w:space="0" w:color="auto"/>
              <w:left w:val="single" w:sz="4" w:space="0" w:color="auto"/>
              <w:bottom w:val="single" w:sz="4" w:space="0" w:color="auto"/>
              <w:right w:val="single" w:sz="4" w:space="0" w:color="auto"/>
            </w:tcBorders>
            <w:vAlign w:val="center"/>
          </w:tcPr>
          <w:p w:rsidR="0081201E" w:rsidRDefault="0081201E">
            <w:pPr>
              <w:jc w:val="center"/>
              <w:rPr>
                <w:rFonts w:ascii="宋体" w:eastAsia="宋体" w:hAnsi="宋体"/>
                <w:color w:val="000000"/>
                <w:sz w:val="20"/>
                <w:szCs w:val="20"/>
              </w:rPr>
            </w:pPr>
          </w:p>
        </w:tc>
        <w:tc>
          <w:tcPr>
            <w:tcW w:w="756" w:type="pct"/>
            <w:vMerge/>
            <w:tcBorders>
              <w:top w:val="single" w:sz="4" w:space="0" w:color="auto"/>
              <w:left w:val="single" w:sz="4" w:space="0" w:color="auto"/>
              <w:bottom w:val="single" w:sz="4" w:space="0" w:color="auto"/>
              <w:right w:val="single" w:sz="4" w:space="0" w:color="auto"/>
            </w:tcBorders>
            <w:vAlign w:val="center"/>
          </w:tcPr>
          <w:p w:rsidR="0081201E" w:rsidRDefault="0081201E">
            <w:pPr>
              <w:jc w:val="center"/>
              <w:rPr>
                <w:rFonts w:ascii="宋体" w:eastAsia="宋体" w:hAnsi="宋体"/>
                <w:color w:val="000000"/>
                <w:sz w:val="20"/>
                <w:szCs w:val="20"/>
              </w:rPr>
            </w:pPr>
          </w:p>
        </w:tc>
        <w:tc>
          <w:tcPr>
            <w:tcW w:w="1160" w:type="pct"/>
            <w:gridSpan w:val="2"/>
            <w:vMerge/>
            <w:tcBorders>
              <w:top w:val="single" w:sz="4" w:space="0" w:color="auto"/>
              <w:left w:val="single" w:sz="4" w:space="0" w:color="auto"/>
              <w:bottom w:val="single" w:sz="4" w:space="0" w:color="auto"/>
              <w:right w:val="single" w:sz="4" w:space="0" w:color="auto"/>
            </w:tcBorders>
            <w:vAlign w:val="center"/>
          </w:tcPr>
          <w:p w:rsidR="0081201E" w:rsidRDefault="0081201E">
            <w:pPr>
              <w:jc w:val="center"/>
              <w:rPr>
                <w:rFonts w:ascii="宋体" w:eastAsia="宋体" w:hAnsi="宋体"/>
                <w:color w:val="000000"/>
                <w:sz w:val="20"/>
                <w:szCs w:val="20"/>
              </w:rPr>
            </w:pPr>
          </w:p>
        </w:tc>
        <w:tc>
          <w:tcPr>
            <w:tcW w:w="1160" w:type="pct"/>
            <w:gridSpan w:val="2"/>
            <w:vMerge/>
            <w:tcBorders>
              <w:top w:val="single" w:sz="4" w:space="0" w:color="auto"/>
              <w:left w:val="single" w:sz="4" w:space="0" w:color="auto"/>
              <w:bottom w:val="single" w:sz="4" w:space="0" w:color="auto"/>
              <w:right w:val="single" w:sz="4" w:space="0" w:color="auto"/>
            </w:tcBorders>
            <w:vAlign w:val="center"/>
          </w:tcPr>
          <w:p w:rsidR="0081201E" w:rsidRDefault="0081201E">
            <w:pPr>
              <w:jc w:val="center"/>
              <w:rPr>
                <w:rFonts w:ascii="宋体" w:eastAsia="宋体" w:hAnsi="宋体"/>
                <w:color w:val="000000"/>
                <w:sz w:val="20"/>
                <w:szCs w:val="20"/>
              </w:rPr>
            </w:pPr>
          </w:p>
        </w:tc>
        <w:tc>
          <w:tcPr>
            <w:tcW w:w="1218" w:type="pct"/>
            <w:vMerge/>
            <w:tcBorders>
              <w:top w:val="single" w:sz="4" w:space="0" w:color="auto"/>
              <w:left w:val="single" w:sz="4" w:space="0" w:color="auto"/>
              <w:bottom w:val="single" w:sz="4" w:space="0" w:color="auto"/>
              <w:right w:val="single" w:sz="4" w:space="0" w:color="auto"/>
            </w:tcBorders>
            <w:vAlign w:val="center"/>
          </w:tcPr>
          <w:p w:rsidR="0081201E" w:rsidRDefault="0081201E">
            <w:pPr>
              <w:jc w:val="center"/>
              <w:rPr>
                <w:rFonts w:ascii="宋体" w:eastAsia="宋体" w:hAnsi="宋体"/>
                <w:color w:val="000000"/>
                <w:sz w:val="20"/>
                <w:szCs w:val="20"/>
              </w:rPr>
            </w:pPr>
          </w:p>
        </w:tc>
      </w:tr>
      <w:tr w:rsidR="0081201E">
        <w:trPr>
          <w:trHeight w:val="369"/>
        </w:trPr>
        <w:tc>
          <w:tcPr>
            <w:tcW w:w="1461" w:type="pct"/>
            <w:gridSpan w:val="2"/>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栏次</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1</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2</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宋体" w:eastAsia="宋体" w:hAnsi="宋体"/>
                <w:color w:val="000000"/>
                <w:sz w:val="20"/>
                <w:szCs w:val="20"/>
              </w:rPr>
            </w:pPr>
            <w:r>
              <w:rPr>
                <w:rFonts w:ascii="宋体" w:eastAsia="宋体" w:hAnsi="宋体" w:hint="eastAsia"/>
                <w:color w:val="000000"/>
                <w:sz w:val="20"/>
                <w:szCs w:val="20"/>
              </w:rPr>
              <w:t>3</w:t>
            </w:r>
          </w:p>
        </w:tc>
      </w:tr>
      <w:tr w:rsidR="0081201E">
        <w:trPr>
          <w:trHeight w:val="369"/>
        </w:trPr>
        <w:tc>
          <w:tcPr>
            <w:tcW w:w="1461" w:type="pct"/>
            <w:gridSpan w:val="2"/>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合计</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2,562.71</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1,338.95</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hAnsi="Times New Roman" w:cs="Times New Roman"/>
                <w:sz w:val="20"/>
                <w:szCs w:val="20"/>
              </w:rPr>
              <w:t>1,223.76</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201</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一般公共服务支出</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1,481.30</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1,005.08</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476.22</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20103</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政府办公厅（室）及相关机构事务</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1,481.30</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1,005.08</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476.22</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2010301</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行政运行</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1,005.08</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1,005.08</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2010302</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一般行政管理事务</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476.22</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476.22</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社会保障和就业支出</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150.37</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103.75</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46.62</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20805</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行政事业单位养老支出</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107.77</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103.75</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4.02</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2080501</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行政单位离退休</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4.02</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4.02</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2080505</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机关事业单位基本养老保险缴费支出</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103.75</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103.75</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20809</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退役安置</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42.60</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42.60</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2080901</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退役士兵安置</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42.60</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42.60</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210</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卫生健康支出</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151.96</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145.86</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6.10</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21007</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计划生育事务</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5.66</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5.66</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2100717</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计划生育服务</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5.66</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5.66</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21011</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行政事业单位医疗</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146.29</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145.86</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0.44</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lastRenderedPageBreak/>
              <w:t>2101101</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行政单位医疗</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146.29</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145.86</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0.44</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213</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农林水支出</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694.82</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694.82</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21307</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农村综合改革</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694.82</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694.82</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2130701</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对村级公益事业建设的补助</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303.00</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303.00</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2130705</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对村民委员会和村党支部的补助</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91.82</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91.82</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2130799</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其他农村综合改革支出</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30</w:t>
            </w:r>
            <w:r w:rsidR="000C5FCE">
              <w:rPr>
                <w:rFonts w:ascii="Times New Roman" w:eastAsia="宋体" w:hAnsi="Times New Roman" w:cs="Times New Roman"/>
                <w:color w:val="000000"/>
                <w:sz w:val="20"/>
                <w:szCs w:val="20"/>
              </w:rPr>
              <w:t>0</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30</w:t>
            </w:r>
            <w:r w:rsidR="000C5FCE">
              <w:rPr>
                <w:rFonts w:ascii="Times New Roman" w:eastAsia="宋体" w:hAnsi="Times New Roman" w:cs="Times New Roman"/>
                <w:color w:val="000000"/>
                <w:sz w:val="20"/>
                <w:szCs w:val="20"/>
              </w:rPr>
              <w:t>0</w:t>
            </w: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221</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住房保障支出</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22102</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住房改革支出</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661"/>
        </w:trPr>
        <w:tc>
          <w:tcPr>
            <w:tcW w:w="704"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2210201</w:t>
            </w:r>
          </w:p>
        </w:tc>
        <w:tc>
          <w:tcPr>
            <w:tcW w:w="756"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住房公积金</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1160"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84.27</w:t>
            </w:r>
          </w:p>
        </w:tc>
        <w:tc>
          <w:tcPr>
            <w:tcW w:w="1218"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661"/>
        </w:trPr>
        <w:tc>
          <w:tcPr>
            <w:tcW w:w="5000" w:type="pct"/>
            <w:gridSpan w:val="7"/>
            <w:tcBorders>
              <w:top w:val="single" w:sz="4" w:space="0" w:color="auto"/>
              <w:left w:val="nil"/>
              <w:bottom w:val="nil"/>
              <w:right w:val="nil"/>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注：本表反映部门本年度一般公共预算财政拨款支出情况。</w:t>
            </w:r>
          </w:p>
        </w:tc>
      </w:tr>
    </w:tbl>
    <w:p w:rsidR="0081201E" w:rsidRDefault="0081201E">
      <w:pPr>
        <w:rPr>
          <w:rFonts w:ascii="仿宋_GB2312" w:eastAsia="仿宋_GB2312" w:hAnsi="宋体"/>
          <w:b/>
          <w:sz w:val="32"/>
          <w:szCs w:val="32"/>
        </w:rPr>
      </w:pPr>
    </w:p>
    <w:p w:rsidR="0081201E" w:rsidRDefault="006E23F4">
      <w:pPr>
        <w:rPr>
          <w:rFonts w:ascii="仿宋_GB2312" w:eastAsia="仿宋_GB2312" w:hAnsi="宋体"/>
          <w:b/>
          <w:sz w:val="32"/>
          <w:szCs w:val="32"/>
        </w:rPr>
      </w:pPr>
      <w:r>
        <w:rPr>
          <w:rFonts w:ascii="仿宋_GB2312" w:eastAsia="仿宋_GB2312" w:hAnsi="宋体" w:hint="eastAsia"/>
          <w:b/>
          <w:sz w:val="32"/>
          <w:szCs w:val="32"/>
        </w:rPr>
        <w:br w:type="page"/>
      </w:r>
    </w:p>
    <w:tbl>
      <w:tblPr>
        <w:tblW w:w="7050" w:type="pct"/>
        <w:tblInd w:w="-1617" w:type="dxa"/>
        <w:tblLayout w:type="fixed"/>
        <w:tblLook w:val="04A0"/>
      </w:tblPr>
      <w:tblGrid>
        <w:gridCol w:w="963"/>
        <w:gridCol w:w="1813"/>
        <w:gridCol w:w="1018"/>
        <w:gridCol w:w="964"/>
        <w:gridCol w:w="440"/>
        <w:gridCol w:w="1372"/>
        <w:gridCol w:w="589"/>
        <w:gridCol w:w="374"/>
        <w:gridCol w:w="964"/>
        <w:gridCol w:w="1816"/>
        <w:gridCol w:w="1023"/>
      </w:tblGrid>
      <w:tr w:rsidR="0081201E">
        <w:trPr>
          <w:trHeight w:val="624"/>
        </w:trPr>
        <w:tc>
          <w:tcPr>
            <w:tcW w:w="5000" w:type="pct"/>
            <w:gridSpan w:val="11"/>
            <w:tcBorders>
              <w:top w:val="nil"/>
              <w:left w:val="nil"/>
              <w:bottom w:val="nil"/>
              <w:right w:val="nil"/>
            </w:tcBorders>
            <w:noWrap/>
            <w:vAlign w:val="bottom"/>
          </w:tcPr>
          <w:p w:rsidR="0081201E" w:rsidRDefault="006E23F4">
            <w:pPr>
              <w:widowControl/>
              <w:jc w:val="center"/>
              <w:textAlignment w:val="bottom"/>
              <w:rPr>
                <w:rFonts w:asciiTheme="minorEastAsia" w:hAnsiTheme="minorEastAsia" w:cstheme="minorEastAsia"/>
                <w:color w:val="000000"/>
                <w:sz w:val="18"/>
                <w:szCs w:val="18"/>
              </w:rPr>
            </w:pPr>
            <w:r>
              <w:rPr>
                <w:rFonts w:ascii="方正仿宋_GB2312" w:eastAsia="方正仿宋_GB2312" w:hAnsi="方正仿宋_GB2312" w:cs="方正仿宋_GB2312" w:hint="eastAsia"/>
                <w:bCs/>
                <w:sz w:val="32"/>
                <w:szCs w:val="32"/>
              </w:rPr>
              <w:lastRenderedPageBreak/>
              <w:t>一般公共预算财政拨款基本支出决算明细表</w:t>
            </w:r>
          </w:p>
        </w:tc>
      </w:tr>
      <w:tr w:rsidR="0081201E">
        <w:trPr>
          <w:trHeight w:val="300"/>
        </w:trPr>
        <w:tc>
          <w:tcPr>
            <w:tcW w:w="5000" w:type="pct"/>
            <w:gridSpan w:val="11"/>
            <w:tcBorders>
              <w:top w:val="nil"/>
              <w:left w:val="nil"/>
              <w:bottom w:val="nil"/>
              <w:right w:val="nil"/>
            </w:tcBorders>
            <w:noWrap/>
            <w:vAlign w:val="bottom"/>
          </w:tcPr>
          <w:p w:rsidR="0081201E" w:rsidRDefault="006E23F4">
            <w:pPr>
              <w:widowControl/>
              <w:jc w:val="right"/>
              <w:textAlignment w:val="bottom"/>
              <w:rPr>
                <w:rFonts w:asciiTheme="minorEastAsia" w:hAnsiTheme="minorEastAsia" w:cstheme="minorEastAsia"/>
                <w:color w:val="000000"/>
                <w:sz w:val="18"/>
                <w:szCs w:val="18"/>
              </w:rPr>
            </w:pPr>
            <w:r>
              <w:rPr>
                <w:rFonts w:ascii="方正仿宋_GB2312" w:eastAsia="方正仿宋_GB2312" w:hAnsi="方正仿宋_GB2312" w:cs="方正仿宋_GB2312" w:hint="eastAsia"/>
                <w:color w:val="000000"/>
                <w:sz w:val="18"/>
                <w:szCs w:val="18"/>
              </w:rPr>
              <w:t>公开</w:t>
            </w:r>
            <w:r>
              <w:rPr>
                <w:rFonts w:ascii="Times New Roman" w:eastAsia="方正仿宋_GB2312" w:hAnsi="Times New Roman" w:cs="Times New Roman"/>
                <w:color w:val="000000"/>
                <w:sz w:val="18"/>
                <w:szCs w:val="18"/>
              </w:rPr>
              <w:t>06</w:t>
            </w:r>
            <w:r>
              <w:rPr>
                <w:rFonts w:ascii="方正仿宋_GB2312" w:eastAsia="方正仿宋_GB2312" w:hAnsi="方正仿宋_GB2312" w:cs="方正仿宋_GB2312" w:hint="eastAsia"/>
                <w:color w:val="000000"/>
                <w:sz w:val="18"/>
                <w:szCs w:val="18"/>
              </w:rPr>
              <w:t>表</w:t>
            </w:r>
          </w:p>
        </w:tc>
      </w:tr>
      <w:tr w:rsidR="0081201E">
        <w:trPr>
          <w:trHeight w:val="90"/>
        </w:trPr>
        <w:tc>
          <w:tcPr>
            <w:tcW w:w="2293" w:type="pct"/>
            <w:gridSpan w:val="5"/>
            <w:tcBorders>
              <w:top w:val="nil"/>
              <w:left w:val="nil"/>
              <w:bottom w:val="single" w:sz="4" w:space="0" w:color="auto"/>
              <w:right w:val="nil"/>
            </w:tcBorders>
            <w:noWrap/>
            <w:vAlign w:val="bottom"/>
          </w:tcPr>
          <w:p w:rsidR="0081201E" w:rsidRDefault="006E23F4">
            <w:pPr>
              <w:rPr>
                <w:rFonts w:asciiTheme="minorEastAsia" w:hAnsiTheme="minorEastAsia" w:cstheme="minorEastAsia"/>
                <w:color w:val="000000"/>
                <w:sz w:val="18"/>
                <w:szCs w:val="18"/>
              </w:rPr>
            </w:pPr>
            <w:r>
              <w:rPr>
                <w:rFonts w:ascii="方正仿宋_GB2312" w:eastAsia="方正仿宋_GB2312" w:hAnsi="方正仿宋_GB2312" w:cs="方正仿宋_GB2312" w:hint="eastAsia"/>
                <w:color w:val="000000"/>
                <w:sz w:val="18"/>
                <w:szCs w:val="18"/>
              </w:rPr>
              <w:t xml:space="preserve">部门（单位）：滦州市古马镇人民政府(本级) </w:t>
            </w:r>
            <w:r>
              <w:rPr>
                <w:rFonts w:asciiTheme="minorEastAsia" w:hAnsiTheme="minorEastAsia" w:cstheme="minorEastAsia" w:hint="eastAsia"/>
                <w:color w:val="000000"/>
                <w:sz w:val="18"/>
                <w:szCs w:val="18"/>
              </w:rPr>
              <w:t xml:space="preserve">                                                                   </w:t>
            </w:r>
          </w:p>
        </w:tc>
        <w:tc>
          <w:tcPr>
            <w:tcW w:w="865" w:type="pct"/>
            <w:gridSpan w:val="2"/>
            <w:tcBorders>
              <w:top w:val="nil"/>
              <w:left w:val="nil"/>
              <w:bottom w:val="single" w:sz="4" w:space="0" w:color="auto"/>
              <w:right w:val="nil"/>
            </w:tcBorders>
            <w:noWrap/>
            <w:vAlign w:val="bottom"/>
          </w:tcPr>
          <w:p w:rsidR="0081201E" w:rsidRDefault="006E23F4">
            <w:pPr>
              <w:jc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rPr>
              <w:t>2024</w:t>
            </w:r>
            <w:r>
              <w:rPr>
                <w:rFonts w:ascii="方正仿宋_GB2312" w:eastAsia="方正仿宋_GB2312" w:hAnsi="方正仿宋_GB2312" w:cs="方正仿宋_GB2312" w:hint="eastAsia"/>
                <w:color w:val="000000"/>
                <w:sz w:val="18"/>
                <w:szCs w:val="18"/>
              </w:rPr>
              <w:t>年度</w:t>
            </w:r>
          </w:p>
        </w:tc>
        <w:tc>
          <w:tcPr>
            <w:tcW w:w="1841" w:type="pct"/>
            <w:gridSpan w:val="4"/>
            <w:tcBorders>
              <w:top w:val="nil"/>
              <w:left w:val="nil"/>
              <w:bottom w:val="single" w:sz="4" w:space="0" w:color="auto"/>
              <w:right w:val="nil"/>
            </w:tcBorders>
            <w:noWrap/>
            <w:vAlign w:val="bottom"/>
          </w:tcPr>
          <w:p w:rsidR="0081201E" w:rsidRDefault="006E23F4">
            <w:pPr>
              <w:jc w:val="right"/>
              <w:rPr>
                <w:rFonts w:asciiTheme="minorEastAsia" w:hAnsiTheme="minorEastAsia" w:cstheme="minorEastAsia"/>
                <w:color w:val="000000"/>
                <w:sz w:val="18"/>
                <w:szCs w:val="18"/>
              </w:rPr>
            </w:pPr>
            <w:r>
              <w:rPr>
                <w:rFonts w:ascii="方正仿宋_GB2312" w:eastAsia="方正仿宋_GB2312" w:hAnsi="方正仿宋_GB2312" w:cs="方正仿宋_GB2312" w:hint="eastAsia"/>
                <w:color w:val="000000"/>
                <w:sz w:val="18"/>
                <w:szCs w:val="18"/>
              </w:rPr>
              <w:t>金额单位：万元</w:t>
            </w:r>
          </w:p>
        </w:tc>
      </w:tr>
      <w:tr w:rsidR="0081201E">
        <w:trPr>
          <w:trHeight w:val="510"/>
        </w:trPr>
        <w:tc>
          <w:tcPr>
            <w:tcW w:w="1674" w:type="pct"/>
            <w:gridSpan w:val="3"/>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人员经费</w:t>
            </w:r>
          </w:p>
        </w:tc>
        <w:tc>
          <w:tcPr>
            <w:tcW w:w="3325" w:type="pct"/>
            <w:gridSpan w:val="8"/>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公用经费</w:t>
            </w: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科目代码</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科目名称</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金额</w:t>
            </w:r>
          </w:p>
        </w:tc>
        <w:tc>
          <w:tcPr>
            <w:tcW w:w="425" w:type="pct"/>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科目代码</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科目名称</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金额</w:t>
            </w:r>
          </w:p>
        </w:tc>
        <w:tc>
          <w:tcPr>
            <w:tcW w:w="425" w:type="pct"/>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科目代码</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科目名称</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金额</w:t>
            </w: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工资福利支出</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heme="minorEastAsia" w:hAnsiTheme="minorEastAsia" w:cstheme="minorEastAsia"/>
                <w:color w:val="000000"/>
                <w:sz w:val="18"/>
                <w:szCs w:val="18"/>
              </w:rPr>
            </w:pPr>
            <w:r>
              <w:rPr>
                <w:rFonts w:ascii="Times New Roman" w:hAnsi="Times New Roman" w:cs="Times New Roman" w:hint="eastAsia"/>
                <w:sz w:val="18"/>
                <w:szCs w:val="18"/>
              </w:rPr>
              <w:t>1,185.33</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商品和服务支出</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heme="minorEastAsia" w:hAnsiTheme="minorEastAsia" w:cstheme="minorEastAsia"/>
                <w:color w:val="000000"/>
                <w:sz w:val="18"/>
                <w:szCs w:val="18"/>
              </w:rPr>
            </w:pPr>
            <w:r>
              <w:rPr>
                <w:rFonts w:ascii="Times New Roman" w:hAnsi="Times New Roman" w:cs="Times New Roman" w:hint="eastAsia"/>
                <w:sz w:val="18"/>
                <w:szCs w:val="18"/>
              </w:rPr>
              <w:t>102.82</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307</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债务利息及费用支出</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30101</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 xml:space="preserve">  基本工资</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heme="minorEastAsia" w:hAnsiTheme="minorEastAsia" w:cstheme="minorEastAsia"/>
                <w:color w:val="000000"/>
                <w:sz w:val="18"/>
                <w:szCs w:val="18"/>
              </w:rPr>
            </w:pPr>
            <w:r>
              <w:rPr>
                <w:rFonts w:ascii="Times New Roman" w:hAnsi="Times New Roman" w:cs="Times New Roman" w:hint="eastAsia"/>
                <w:sz w:val="18"/>
                <w:szCs w:val="18"/>
              </w:rPr>
              <w:t>357.50</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30201</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办公费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sz w:val="18"/>
                <w:szCs w:val="18"/>
              </w:rPr>
            </w:pPr>
            <w:r>
              <w:rPr>
                <w:rFonts w:ascii="Times New Roman" w:hAnsi="Times New Roman" w:cs="Times New Roman" w:hint="eastAsia"/>
                <w:sz w:val="18"/>
                <w:szCs w:val="18"/>
              </w:rPr>
              <w:t>17.40</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30701</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国内债务付息</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30102</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 xml:space="preserve">  津贴补贴</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heme="minorEastAsia" w:hAnsiTheme="minorEastAsia" w:cstheme="minorEastAsia"/>
                <w:color w:val="000000"/>
                <w:sz w:val="18"/>
                <w:szCs w:val="18"/>
              </w:rPr>
            </w:pPr>
            <w:r>
              <w:rPr>
                <w:rFonts w:ascii="Times New Roman" w:hAnsi="Times New Roman" w:cs="Times New Roman" w:hint="eastAsia"/>
                <w:sz w:val="18"/>
                <w:szCs w:val="18"/>
              </w:rPr>
              <w:t>265.27</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30202</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印刷费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sz w:val="18"/>
                <w:szCs w:val="18"/>
              </w:rPr>
            </w:pPr>
            <w:r>
              <w:rPr>
                <w:rFonts w:ascii="Times New Roman" w:hAnsi="Times New Roman" w:cs="Times New Roman" w:hint="eastAsia"/>
                <w:sz w:val="18"/>
                <w:szCs w:val="18"/>
              </w:rPr>
              <w:t>1.99</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30702</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国外债务付息</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30103</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 xml:space="preserve">  奖金</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heme="minorEastAsia" w:hAnsiTheme="minorEastAsia" w:cstheme="minorEastAsia"/>
                <w:color w:val="000000"/>
                <w:sz w:val="18"/>
                <w:szCs w:val="18"/>
              </w:rPr>
            </w:pPr>
            <w:r>
              <w:rPr>
                <w:rFonts w:ascii="Times New Roman" w:hAnsi="Times New Roman" w:cs="Times New Roman" w:hint="eastAsia"/>
                <w:sz w:val="18"/>
                <w:szCs w:val="18"/>
              </w:rPr>
              <w:t>58.25</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30203</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咨询费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资本性支出</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30106</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 xml:space="preserve">  伙食补助费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heme="minorEastAsia" w:hAnsiTheme="minorEastAsia" w:cstheme="minorEastAsia"/>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30204</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手续费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31001</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房屋建筑物购建</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30107</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 xml:space="preserve">  绩效工资</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heme="minorEastAsia" w:hAnsiTheme="minorEastAsia" w:cstheme="minorEastAsia"/>
                <w:color w:val="000000"/>
                <w:sz w:val="18"/>
                <w:szCs w:val="18"/>
              </w:rPr>
            </w:pPr>
            <w:r>
              <w:rPr>
                <w:rFonts w:ascii="Times New Roman" w:hAnsi="Times New Roman" w:cs="Times New Roman" w:hint="eastAsia"/>
                <w:sz w:val="18"/>
                <w:szCs w:val="18"/>
              </w:rPr>
              <w:t>165.09</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30205</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水费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31002</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办公设备购置</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30108</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机关事业单位基本养老保险缴费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sz w:val="18"/>
                <w:szCs w:val="18"/>
              </w:rPr>
            </w:pPr>
            <w:r>
              <w:rPr>
                <w:rFonts w:ascii="Times New Roman" w:hAnsi="Times New Roman" w:cs="Times New Roman" w:hint="eastAsia"/>
                <w:sz w:val="18"/>
                <w:szCs w:val="18"/>
              </w:rPr>
              <w:t>103.75</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30206</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电费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sz w:val="18"/>
                <w:szCs w:val="18"/>
              </w:rPr>
            </w:pPr>
            <w:r>
              <w:rPr>
                <w:rFonts w:ascii="Times New Roman" w:hAnsi="Times New Roman" w:cs="Times New Roman" w:hint="eastAsia"/>
                <w:sz w:val="18"/>
                <w:szCs w:val="18"/>
              </w:rPr>
              <w:t>6.00</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31003</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专用设备购置</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heme="minorEastAsia" w:hAnsiTheme="minorEastAsia" w:cstheme="minorEastAsia"/>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30109</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职业年金缴费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30207</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邮电费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sz w:val="18"/>
                <w:szCs w:val="18"/>
              </w:rPr>
            </w:pPr>
            <w:r>
              <w:rPr>
                <w:rFonts w:ascii="Times New Roman" w:hAnsi="Times New Roman" w:cs="Times New Roman" w:hint="eastAsia"/>
                <w:sz w:val="18"/>
                <w:szCs w:val="18"/>
              </w:rPr>
              <w:t>15.06</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31005</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基础设施建设</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heme="minorEastAsia" w:hAnsiTheme="minorEastAsia" w:cstheme="minorEastAsia"/>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30110</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职工基本医疗保险缴费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color w:val="000000"/>
                <w:sz w:val="18"/>
                <w:szCs w:val="18"/>
              </w:rPr>
            </w:pPr>
            <w:r>
              <w:rPr>
                <w:rFonts w:ascii="Times New Roman" w:hAnsi="Times New Roman" w:cs="Times New Roman"/>
                <w:sz w:val="18"/>
                <w:szCs w:val="18"/>
              </w:rPr>
              <w:t>145.86</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30208</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取暖费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color w:val="000000"/>
                <w:sz w:val="18"/>
                <w:szCs w:val="18"/>
              </w:rPr>
            </w:pPr>
            <w:r>
              <w:rPr>
                <w:rFonts w:ascii="Times New Roman" w:hAnsi="Times New Roman" w:cs="Times New Roman"/>
                <w:sz w:val="18"/>
                <w:szCs w:val="18"/>
              </w:rPr>
              <w:t>6.80</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31006</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大型修缮</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30111</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公务员医疗补助缴费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30209</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物业管理费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31007</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信息网络及软件购置更新</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30112</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其他社会保障缴费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color w:val="000000"/>
                <w:sz w:val="18"/>
                <w:szCs w:val="18"/>
              </w:rPr>
            </w:pPr>
            <w:r>
              <w:rPr>
                <w:rFonts w:ascii="Times New Roman" w:hAnsi="Times New Roman" w:cs="Times New Roman"/>
                <w:sz w:val="18"/>
                <w:szCs w:val="18"/>
              </w:rPr>
              <w:t>5.36</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30211</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差旅费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color w:val="000000"/>
                <w:sz w:val="18"/>
                <w:szCs w:val="18"/>
              </w:rPr>
            </w:pPr>
            <w:r>
              <w:rPr>
                <w:rFonts w:ascii="Times New Roman" w:hAnsi="Times New Roman" w:cs="Times New Roman"/>
                <w:sz w:val="18"/>
                <w:szCs w:val="18"/>
              </w:rPr>
              <w:t>3.00</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31008</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物资储备</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30113</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住房公积金</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color w:val="000000"/>
                <w:sz w:val="18"/>
                <w:szCs w:val="18"/>
              </w:rPr>
            </w:pPr>
            <w:r>
              <w:rPr>
                <w:rFonts w:ascii="Times New Roman" w:hAnsi="Times New Roman" w:cs="Times New Roman"/>
                <w:sz w:val="18"/>
                <w:szCs w:val="18"/>
              </w:rPr>
              <w:t>84.27</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30212</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因公出国（境）费用</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31009</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土地补偿</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30114</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医疗费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30213</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维修（护）费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31010</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安置补助</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30199</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其他工资福利支出</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30214</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 xml:space="preserve">  租赁费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31011</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地上附着物和青苗补偿</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对个人和家庭的补助</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color w:val="000000"/>
                <w:sz w:val="18"/>
                <w:szCs w:val="18"/>
              </w:rPr>
            </w:pPr>
            <w:r>
              <w:rPr>
                <w:rFonts w:ascii="Times New Roman" w:hAnsi="Times New Roman" w:cs="Times New Roman"/>
                <w:sz w:val="18"/>
                <w:szCs w:val="18"/>
              </w:rPr>
              <w:t>50.80</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30215</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会议费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31012</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拆迁补偿</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30301</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离休费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30216</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培训费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31013</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公务用车购置</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30302</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退休费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color w:val="000000"/>
                <w:sz w:val="18"/>
                <w:szCs w:val="18"/>
              </w:rPr>
            </w:pPr>
            <w:r>
              <w:rPr>
                <w:rFonts w:ascii="Times New Roman" w:hAnsi="Times New Roman" w:cs="Times New Roman"/>
                <w:sz w:val="18"/>
                <w:szCs w:val="18"/>
              </w:rPr>
              <w:t>49.00</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30217</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公务接待费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31019</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其他交通工具购置</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30303</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退职（役）费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30218</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专用材料费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31021</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文物和陈列品购置</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30304</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抚恤金</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30224</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被装购置费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31022</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无形资产购置</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30305</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生活补助</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30225</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专用燃料费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31099</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其他资本性支出</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lastRenderedPageBreak/>
              <w:t>30306</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救济费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30226</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劳务费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312</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对企业补助</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30307</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医疗费补助</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30227</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委托业务费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31201</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资本金注入</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30308</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助学金</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30228</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工会经费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color w:val="000000"/>
                <w:sz w:val="18"/>
                <w:szCs w:val="18"/>
              </w:rPr>
            </w:pPr>
            <w:r>
              <w:rPr>
                <w:rFonts w:ascii="Times New Roman" w:hAnsi="Times New Roman" w:cs="Times New Roman"/>
                <w:sz w:val="18"/>
                <w:szCs w:val="18"/>
              </w:rPr>
              <w:t>7.56</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31203</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政府投资基金股权投资</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30309</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奖励金</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color w:val="000000"/>
                <w:sz w:val="18"/>
                <w:szCs w:val="18"/>
              </w:rPr>
            </w:pPr>
            <w:r>
              <w:rPr>
                <w:rFonts w:ascii="Times New Roman" w:hAnsi="Times New Roman" w:cs="Times New Roman"/>
                <w:sz w:val="18"/>
                <w:szCs w:val="18"/>
              </w:rPr>
              <w:t>1.80</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30229</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福利费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31204</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费用补贴</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30310</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个人农业生产补贴</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30231</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公务用车运行维护费</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color w:val="000000"/>
                <w:sz w:val="18"/>
                <w:szCs w:val="18"/>
              </w:rPr>
            </w:pPr>
            <w:r>
              <w:rPr>
                <w:rFonts w:ascii="Times New Roman" w:hAnsi="Times New Roman" w:cs="Times New Roman"/>
                <w:sz w:val="18"/>
                <w:szCs w:val="18"/>
              </w:rPr>
              <w:t>2.00</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31205</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利息补贴</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30311</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代缴社会保险费</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30239</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其他交通费用</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color w:val="000000"/>
                <w:sz w:val="18"/>
                <w:szCs w:val="18"/>
              </w:rPr>
            </w:pPr>
            <w:r>
              <w:rPr>
                <w:rFonts w:ascii="Times New Roman" w:hAnsi="Times New Roman" w:cs="Times New Roman"/>
                <w:sz w:val="18"/>
                <w:szCs w:val="18"/>
              </w:rPr>
              <w:t>43.02</w:t>
            </w: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31299</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其他对企业补助</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30399</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其他对个人和家庭的补助</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30240</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税金及附加费用</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399</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其他支出</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center"/>
              <w:rPr>
                <w:rFonts w:asciiTheme="minorEastAsia" w:hAnsiTheme="minorEastAsia" w:cstheme="minorEastAsia"/>
                <w:color w:val="000000"/>
                <w:sz w:val="18"/>
                <w:szCs w:val="18"/>
              </w:rPr>
            </w:pP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30299</w:t>
            </w: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其他商品和服务支出</w:t>
            </w: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39907</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国家赔偿费用支出</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center"/>
              <w:rPr>
                <w:rFonts w:asciiTheme="minorEastAsia" w:hAnsiTheme="minorEastAsia" w:cstheme="minorEastAsia"/>
                <w:color w:val="000000"/>
                <w:sz w:val="18"/>
                <w:szCs w:val="18"/>
              </w:rPr>
            </w:pP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39908</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对民间非营利组织和群众性自治组织补贴</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center"/>
              <w:rPr>
                <w:rFonts w:asciiTheme="minorEastAsia" w:hAnsiTheme="minorEastAsia" w:cstheme="minorEastAsia"/>
                <w:color w:val="000000"/>
                <w:sz w:val="18"/>
                <w:szCs w:val="18"/>
              </w:rPr>
            </w:pP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39909</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经常性赠与</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center"/>
              <w:rPr>
                <w:rFonts w:asciiTheme="minorEastAsia" w:hAnsiTheme="minorEastAsia" w:cstheme="minorEastAsia"/>
                <w:color w:val="000000"/>
                <w:sz w:val="18"/>
                <w:szCs w:val="18"/>
              </w:rPr>
            </w:pP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39910</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资本性赠与</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center"/>
              <w:rPr>
                <w:rFonts w:asciiTheme="minorEastAsia" w:hAnsiTheme="minorEastAsia" w:cstheme="minorEastAsia"/>
                <w:color w:val="000000"/>
                <w:sz w:val="18"/>
                <w:szCs w:val="18"/>
              </w:rPr>
            </w:pP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799"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heme="minorEastAsia" w:hAnsiTheme="minorEastAsia" w:cstheme="minorEastAsia"/>
                <w:color w:val="000000"/>
                <w:sz w:val="18"/>
                <w:szCs w:val="18"/>
              </w:rPr>
            </w:pPr>
          </w:p>
        </w:tc>
        <w:tc>
          <w:tcPr>
            <w:tcW w:w="4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81201E">
            <w:pPr>
              <w:jc w:val="left"/>
              <w:rPr>
                <w:rFonts w:ascii="Times New Roman" w:hAnsi="Times New Roman" w:cs="Times New Roman"/>
                <w:color w:val="000000"/>
                <w:sz w:val="18"/>
                <w:szCs w:val="18"/>
              </w:rPr>
            </w:pPr>
          </w:p>
        </w:tc>
        <w:tc>
          <w:tcPr>
            <w:tcW w:w="425"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39999</w:t>
            </w:r>
          </w:p>
        </w:tc>
        <w:tc>
          <w:tcPr>
            <w:tcW w:w="799" w:type="pct"/>
            <w:tcBorders>
              <w:top w:val="single" w:sz="4" w:space="0" w:color="auto"/>
              <w:left w:val="single" w:sz="4" w:space="0" w:color="auto"/>
              <w:bottom w:val="single" w:sz="4" w:space="0" w:color="auto"/>
              <w:right w:val="single" w:sz="4" w:space="0" w:color="auto"/>
            </w:tcBorders>
            <w:noWrap/>
            <w:vAlign w:val="center"/>
          </w:tcPr>
          <w:p w:rsidR="0081201E" w:rsidRDefault="006E23F4">
            <w:pPr>
              <w:widowControl/>
              <w:jc w:val="left"/>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其他支出</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81201E">
            <w:pPr>
              <w:jc w:val="right"/>
              <w:rPr>
                <w:rFonts w:ascii="Times New Roman" w:hAnsi="Times New Roman" w:cs="Times New Roman"/>
                <w:color w:val="000000"/>
                <w:sz w:val="18"/>
                <w:szCs w:val="18"/>
              </w:rPr>
            </w:pPr>
          </w:p>
        </w:tc>
      </w:tr>
      <w:tr w:rsidR="0081201E">
        <w:trPr>
          <w:trHeight w:val="510"/>
        </w:trPr>
        <w:tc>
          <w:tcPr>
            <w:tcW w:w="1225" w:type="pct"/>
            <w:gridSpan w:val="2"/>
            <w:tcBorders>
              <w:top w:val="single" w:sz="4" w:space="0" w:color="auto"/>
              <w:left w:val="single" w:sz="4" w:space="0" w:color="auto"/>
              <w:bottom w:val="single" w:sz="4" w:space="0" w:color="auto"/>
              <w:right w:val="single" w:sz="4" w:space="0" w:color="auto"/>
            </w:tcBorders>
            <w:noWrap/>
            <w:vAlign w:val="center"/>
          </w:tcPr>
          <w:p w:rsidR="0081201E" w:rsidRDefault="006E23F4">
            <w:pPr>
              <w:jc w:val="center"/>
              <w:rPr>
                <w:rFonts w:ascii="Times New Roman" w:hAnsi="Times New Roman" w:cs="Times New Roman"/>
                <w:sz w:val="18"/>
                <w:szCs w:val="18"/>
              </w:rPr>
            </w:pPr>
            <w:r>
              <w:rPr>
                <w:rFonts w:ascii="方正仿宋_GB2312" w:eastAsia="方正仿宋_GB2312" w:hAnsi="方正仿宋_GB2312" w:cs="方正仿宋_GB2312" w:hint="eastAsia"/>
                <w:color w:val="000000"/>
                <w:sz w:val="18"/>
                <w:szCs w:val="18"/>
              </w:rPr>
              <w:t>人员经费合计</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imes New Roman" w:hAnsi="Times New Roman" w:cs="Times New Roman"/>
                <w:sz w:val="18"/>
                <w:szCs w:val="18"/>
              </w:rPr>
            </w:pPr>
            <w:r>
              <w:rPr>
                <w:rFonts w:ascii="Times New Roman" w:hAnsi="Times New Roman" w:cs="Times New Roman"/>
                <w:sz w:val="18"/>
                <w:szCs w:val="18"/>
              </w:rPr>
              <w:t>1,236.13</w:t>
            </w:r>
          </w:p>
        </w:tc>
        <w:tc>
          <w:tcPr>
            <w:tcW w:w="2875" w:type="pct"/>
            <w:gridSpan w:val="7"/>
            <w:tcBorders>
              <w:top w:val="single" w:sz="4" w:space="0" w:color="auto"/>
              <w:left w:val="single" w:sz="4" w:space="0" w:color="auto"/>
              <w:bottom w:val="single" w:sz="4" w:space="0" w:color="auto"/>
              <w:right w:val="single" w:sz="4" w:space="0" w:color="auto"/>
            </w:tcBorders>
            <w:noWrap/>
            <w:vAlign w:val="center"/>
          </w:tcPr>
          <w:p w:rsidR="0081201E" w:rsidRDefault="006E23F4">
            <w:pPr>
              <w:jc w:val="center"/>
              <w:rPr>
                <w:rFonts w:asciiTheme="minorEastAsia" w:hAnsiTheme="minorEastAsia" w:cstheme="minorEastAsia"/>
                <w:color w:val="000000"/>
                <w:sz w:val="18"/>
                <w:szCs w:val="18"/>
              </w:rPr>
            </w:pPr>
            <w:r>
              <w:rPr>
                <w:rFonts w:ascii="方正仿宋_GB2312" w:eastAsia="方正仿宋_GB2312" w:hAnsi="方正仿宋_GB2312" w:cs="方正仿宋_GB2312" w:hint="eastAsia"/>
                <w:color w:val="000000"/>
                <w:sz w:val="18"/>
                <w:szCs w:val="18"/>
              </w:rPr>
              <w:t>公用经费合计</w:t>
            </w:r>
          </w:p>
        </w:tc>
        <w:tc>
          <w:tcPr>
            <w:tcW w:w="449" w:type="pct"/>
            <w:tcBorders>
              <w:top w:val="single" w:sz="4" w:space="0" w:color="auto"/>
              <w:left w:val="single" w:sz="4" w:space="0" w:color="auto"/>
              <w:bottom w:val="single" w:sz="4" w:space="0" w:color="auto"/>
              <w:right w:val="single" w:sz="4" w:space="0" w:color="auto"/>
            </w:tcBorders>
            <w:noWrap/>
            <w:vAlign w:val="center"/>
          </w:tcPr>
          <w:p w:rsidR="0081201E" w:rsidRDefault="006E23F4">
            <w:pPr>
              <w:jc w:val="right"/>
              <w:rPr>
                <w:rFonts w:asciiTheme="minorEastAsia" w:hAnsiTheme="minorEastAsia" w:cstheme="minorEastAsia"/>
                <w:color w:val="000000"/>
                <w:sz w:val="18"/>
                <w:szCs w:val="18"/>
              </w:rPr>
            </w:pPr>
            <w:r>
              <w:rPr>
                <w:rFonts w:ascii="Times New Roman" w:hAnsi="Times New Roman" w:cs="Times New Roman"/>
                <w:sz w:val="18"/>
                <w:szCs w:val="18"/>
              </w:rPr>
              <w:t>102.82</w:t>
            </w:r>
          </w:p>
        </w:tc>
      </w:tr>
      <w:tr w:rsidR="0081201E">
        <w:trPr>
          <w:trHeight w:val="510"/>
        </w:trPr>
        <w:tc>
          <w:tcPr>
            <w:tcW w:w="5000" w:type="pct"/>
            <w:gridSpan w:val="11"/>
            <w:tcBorders>
              <w:top w:val="single" w:sz="4" w:space="0" w:color="auto"/>
              <w:left w:val="nil"/>
              <w:bottom w:val="nil"/>
              <w:right w:val="nil"/>
            </w:tcBorders>
            <w:noWrap/>
            <w:vAlign w:val="center"/>
          </w:tcPr>
          <w:p w:rsidR="0081201E" w:rsidRDefault="006E23F4">
            <w:pPr>
              <w:widowControl/>
              <w:jc w:val="left"/>
              <w:textAlignment w:val="center"/>
              <w:rPr>
                <w:rFonts w:asciiTheme="minorEastAsia" w:hAnsiTheme="minorEastAsia" w:cstheme="minorEastAsia"/>
                <w:color w:val="000000"/>
                <w:sz w:val="18"/>
                <w:szCs w:val="18"/>
              </w:rPr>
            </w:pPr>
            <w:r>
              <w:rPr>
                <w:rFonts w:ascii="方正仿宋_GB2312" w:eastAsia="方正仿宋_GB2312" w:hAnsi="方正仿宋_GB2312" w:cs="方正仿宋_GB2312" w:hint="eastAsia"/>
                <w:color w:val="000000"/>
                <w:sz w:val="18"/>
                <w:szCs w:val="18"/>
              </w:rPr>
              <w:t>注：本表反映部门本年度一般公共预算财政拨款基本支出明细情况。</w:t>
            </w:r>
          </w:p>
        </w:tc>
      </w:tr>
    </w:tbl>
    <w:p w:rsidR="0081201E" w:rsidRDefault="0081201E">
      <w:pPr>
        <w:rPr>
          <w:rFonts w:ascii="仿宋_GB2312" w:eastAsia="仿宋_GB2312" w:hAnsi="宋体"/>
          <w:b/>
          <w:sz w:val="32"/>
          <w:szCs w:val="32"/>
        </w:rPr>
      </w:pPr>
    </w:p>
    <w:p w:rsidR="0081201E" w:rsidRDefault="006E23F4">
      <w:pPr>
        <w:rPr>
          <w:rFonts w:ascii="仿宋_GB2312" w:eastAsia="仿宋_GB2312" w:hAnsi="宋体"/>
          <w:b/>
          <w:sz w:val="32"/>
          <w:szCs w:val="32"/>
        </w:rPr>
      </w:pPr>
      <w:r>
        <w:rPr>
          <w:rFonts w:ascii="仿宋_GB2312" w:eastAsia="仿宋_GB2312" w:hAnsi="宋体" w:hint="eastAsia"/>
          <w:b/>
          <w:sz w:val="32"/>
          <w:szCs w:val="32"/>
        </w:rPr>
        <w:br w:type="page"/>
      </w:r>
    </w:p>
    <w:tbl>
      <w:tblPr>
        <w:tblW w:w="6517" w:type="pct"/>
        <w:tblInd w:w="-1404" w:type="dxa"/>
        <w:tblLayout w:type="fixed"/>
        <w:tblLook w:val="04A0"/>
      </w:tblPr>
      <w:tblGrid>
        <w:gridCol w:w="1260"/>
        <w:gridCol w:w="1473"/>
        <w:gridCol w:w="1306"/>
        <w:gridCol w:w="1025"/>
        <w:gridCol w:w="1107"/>
        <w:gridCol w:w="419"/>
        <w:gridCol w:w="700"/>
        <w:gridCol w:w="1146"/>
        <w:gridCol w:w="2043"/>
      </w:tblGrid>
      <w:tr w:rsidR="0081201E">
        <w:trPr>
          <w:trHeight w:val="550"/>
        </w:trPr>
        <w:tc>
          <w:tcPr>
            <w:tcW w:w="5000" w:type="pct"/>
            <w:gridSpan w:val="9"/>
            <w:tcBorders>
              <w:top w:val="nil"/>
              <w:left w:val="nil"/>
              <w:bottom w:val="nil"/>
              <w:right w:val="nil"/>
            </w:tcBorders>
            <w:noWrap/>
            <w:vAlign w:val="bottom"/>
          </w:tcPr>
          <w:p w:rsidR="0081201E" w:rsidRDefault="006E23F4">
            <w:pPr>
              <w:widowControl/>
              <w:jc w:val="center"/>
              <w:textAlignment w:val="bottom"/>
              <w:rPr>
                <w:rFonts w:ascii="宋体" w:eastAsia="宋体" w:hAnsi="宋体"/>
                <w:color w:val="000000"/>
                <w:sz w:val="20"/>
                <w:szCs w:val="20"/>
              </w:rPr>
            </w:pPr>
            <w:r>
              <w:rPr>
                <w:rFonts w:ascii="方正仿宋_GB2312" w:eastAsia="方正仿宋_GB2312" w:hAnsi="方正仿宋_GB2312" w:cs="方正仿宋_GB2312" w:hint="eastAsia"/>
                <w:bCs/>
                <w:sz w:val="32"/>
                <w:szCs w:val="32"/>
              </w:rPr>
              <w:lastRenderedPageBreak/>
              <w:t>政府性基金预算财政拨款收入支出决算表</w:t>
            </w:r>
          </w:p>
        </w:tc>
      </w:tr>
      <w:tr w:rsidR="0081201E">
        <w:trPr>
          <w:trHeight w:val="90"/>
        </w:trPr>
        <w:tc>
          <w:tcPr>
            <w:tcW w:w="5000" w:type="pct"/>
            <w:gridSpan w:val="9"/>
            <w:tcBorders>
              <w:top w:val="nil"/>
              <w:left w:val="nil"/>
              <w:bottom w:val="nil"/>
              <w:right w:val="nil"/>
            </w:tcBorders>
            <w:noWrap/>
            <w:vAlign w:val="bottom"/>
          </w:tcPr>
          <w:p w:rsidR="0081201E" w:rsidRDefault="006E23F4">
            <w:pPr>
              <w:widowControl/>
              <w:jc w:val="righ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公开</w:t>
            </w:r>
            <w:r>
              <w:rPr>
                <w:rFonts w:ascii="Times New Roman" w:eastAsia="宋体" w:hAnsi="Times New Roman" w:cs="Times New Roman"/>
                <w:color w:val="000000"/>
                <w:sz w:val="20"/>
                <w:szCs w:val="20"/>
              </w:rPr>
              <w:t>07</w:t>
            </w:r>
            <w:r>
              <w:rPr>
                <w:rFonts w:ascii="方正仿宋_GB2312" w:eastAsia="方正仿宋_GB2312" w:hAnsi="方正仿宋_GB2312" w:cs="方正仿宋_GB2312" w:hint="eastAsia"/>
                <w:color w:val="000000"/>
                <w:sz w:val="20"/>
                <w:szCs w:val="20"/>
              </w:rPr>
              <w:t>表</w:t>
            </w:r>
          </w:p>
        </w:tc>
      </w:tr>
      <w:tr w:rsidR="0081201E">
        <w:trPr>
          <w:trHeight w:val="300"/>
        </w:trPr>
        <w:tc>
          <w:tcPr>
            <w:tcW w:w="1927" w:type="pct"/>
            <w:gridSpan w:val="3"/>
            <w:tcBorders>
              <w:top w:val="nil"/>
              <w:left w:val="nil"/>
              <w:bottom w:val="single" w:sz="4" w:space="0" w:color="auto"/>
              <w:right w:val="nil"/>
            </w:tcBorders>
            <w:noWrap/>
            <w:vAlign w:val="bottom"/>
          </w:tcPr>
          <w:p w:rsidR="0081201E" w:rsidRDefault="006E23F4">
            <w:pPr>
              <w:widowControl/>
              <w:jc w:val="lef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 xml:space="preserve">部门（单位）：滦州市古马镇人民政府(本级) </w:t>
            </w:r>
            <w:r>
              <w:rPr>
                <w:rFonts w:ascii="宋体" w:eastAsia="宋体" w:hAnsi="宋体" w:hint="eastAsia"/>
                <w:color w:val="000000"/>
                <w:sz w:val="20"/>
                <w:szCs w:val="20"/>
              </w:rPr>
              <w:t xml:space="preserve">                                                                                     </w:t>
            </w:r>
          </w:p>
        </w:tc>
        <w:tc>
          <w:tcPr>
            <w:tcW w:w="1217" w:type="pct"/>
            <w:gridSpan w:val="3"/>
            <w:tcBorders>
              <w:top w:val="nil"/>
              <w:left w:val="nil"/>
              <w:bottom w:val="single" w:sz="4" w:space="0" w:color="auto"/>
              <w:right w:val="nil"/>
            </w:tcBorders>
            <w:noWrap/>
            <w:vAlign w:val="bottom"/>
          </w:tcPr>
          <w:p w:rsidR="0081201E" w:rsidRDefault="006E23F4">
            <w:pPr>
              <w:widowControl/>
              <w:jc w:val="center"/>
              <w:textAlignment w:val="bottom"/>
              <w:rPr>
                <w:rFonts w:ascii="宋体" w:eastAsia="宋体" w:hAnsi="宋体"/>
                <w:color w:val="000000"/>
                <w:sz w:val="20"/>
                <w:szCs w:val="20"/>
              </w:rPr>
            </w:pPr>
            <w:r>
              <w:rPr>
                <w:rFonts w:ascii="Times New Roman" w:eastAsia="宋体" w:hAnsi="Times New Roman" w:cs="Times New Roman"/>
                <w:color w:val="000000"/>
                <w:sz w:val="20"/>
                <w:szCs w:val="20"/>
              </w:rPr>
              <w:t>202</w:t>
            </w:r>
            <w:r>
              <w:rPr>
                <w:rFonts w:ascii="Times New Roman" w:eastAsia="宋体" w:hAnsi="Times New Roman" w:cs="Times New Roman" w:hint="eastAsia"/>
                <w:color w:val="000000"/>
                <w:sz w:val="20"/>
                <w:szCs w:val="20"/>
              </w:rPr>
              <w:t>4</w:t>
            </w:r>
            <w:r>
              <w:rPr>
                <w:rFonts w:ascii="方正仿宋_GB2312" w:eastAsia="方正仿宋_GB2312" w:hAnsi="方正仿宋_GB2312" w:cs="方正仿宋_GB2312" w:hint="eastAsia"/>
                <w:color w:val="000000"/>
                <w:sz w:val="20"/>
                <w:szCs w:val="20"/>
              </w:rPr>
              <w:t>年度</w:t>
            </w:r>
          </w:p>
        </w:tc>
        <w:tc>
          <w:tcPr>
            <w:tcW w:w="1854" w:type="pct"/>
            <w:gridSpan w:val="3"/>
            <w:tcBorders>
              <w:top w:val="nil"/>
              <w:left w:val="nil"/>
              <w:bottom w:val="single" w:sz="4" w:space="0" w:color="auto"/>
              <w:right w:val="nil"/>
            </w:tcBorders>
            <w:noWrap/>
            <w:vAlign w:val="bottom"/>
          </w:tcPr>
          <w:p w:rsidR="0081201E" w:rsidRDefault="006E23F4">
            <w:pPr>
              <w:widowControl/>
              <w:jc w:val="righ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金额单位：万元</w:t>
            </w:r>
          </w:p>
        </w:tc>
      </w:tr>
      <w:tr w:rsidR="0081201E">
        <w:trPr>
          <w:trHeight w:val="308"/>
        </w:trPr>
        <w:tc>
          <w:tcPr>
            <w:tcW w:w="1304" w:type="pct"/>
            <w:gridSpan w:val="2"/>
            <w:tcBorders>
              <w:top w:val="single" w:sz="4" w:space="0" w:color="auto"/>
              <w:left w:val="single" w:sz="4" w:space="0" w:color="000000"/>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项目</w:t>
            </w:r>
          </w:p>
        </w:tc>
        <w:tc>
          <w:tcPr>
            <w:tcW w:w="623" w:type="pct"/>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年初结转和结余</w:t>
            </w:r>
          </w:p>
        </w:tc>
        <w:tc>
          <w:tcPr>
            <w:tcW w:w="489" w:type="pct"/>
            <w:vMerge w:val="restart"/>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本年收入</w:t>
            </w:r>
          </w:p>
        </w:tc>
        <w:tc>
          <w:tcPr>
            <w:tcW w:w="1609" w:type="pct"/>
            <w:gridSpan w:val="4"/>
            <w:tcBorders>
              <w:top w:val="single" w:sz="4" w:space="0" w:color="auto"/>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本年支出</w:t>
            </w:r>
          </w:p>
        </w:tc>
        <w:tc>
          <w:tcPr>
            <w:tcW w:w="973" w:type="pct"/>
            <w:vMerge w:val="restart"/>
            <w:tcBorders>
              <w:top w:val="single" w:sz="4" w:space="0" w:color="auto"/>
              <w:left w:val="nil"/>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年末结转和结余</w:t>
            </w:r>
          </w:p>
        </w:tc>
      </w:tr>
      <w:tr w:rsidR="0081201E">
        <w:trPr>
          <w:trHeight w:val="312"/>
        </w:trPr>
        <w:tc>
          <w:tcPr>
            <w:tcW w:w="601" w:type="pct"/>
            <w:vMerge w:val="restart"/>
            <w:tcBorders>
              <w:top w:val="nil"/>
              <w:left w:val="single" w:sz="4" w:space="0" w:color="000000"/>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科目代码</w:t>
            </w:r>
          </w:p>
        </w:tc>
        <w:tc>
          <w:tcPr>
            <w:tcW w:w="703" w:type="pct"/>
            <w:vMerge w:val="restar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科目名称</w:t>
            </w:r>
          </w:p>
        </w:tc>
        <w:tc>
          <w:tcPr>
            <w:tcW w:w="623"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489"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528" w:type="pct"/>
            <w:vMerge w:val="restar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小计</w:t>
            </w:r>
          </w:p>
        </w:tc>
        <w:tc>
          <w:tcPr>
            <w:tcW w:w="534" w:type="pct"/>
            <w:gridSpan w:val="2"/>
            <w:vMerge w:val="restar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基本支出</w:t>
            </w:r>
          </w:p>
        </w:tc>
        <w:tc>
          <w:tcPr>
            <w:tcW w:w="546" w:type="pct"/>
            <w:vMerge w:val="restart"/>
            <w:tcBorders>
              <w:top w:val="nil"/>
              <w:left w:val="nil"/>
              <w:bottom w:val="single" w:sz="4" w:space="0" w:color="000000"/>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项目支出</w:t>
            </w:r>
          </w:p>
        </w:tc>
        <w:tc>
          <w:tcPr>
            <w:tcW w:w="973" w:type="pct"/>
            <w:vMerge/>
            <w:tcBorders>
              <w:left w:val="nil"/>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合计</w:t>
            </w:r>
          </w:p>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结转</w:t>
            </w:r>
          </w:p>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结余</w:t>
            </w:r>
          </w:p>
        </w:tc>
      </w:tr>
      <w:tr w:rsidR="0081201E">
        <w:trPr>
          <w:trHeight w:val="312"/>
        </w:trPr>
        <w:tc>
          <w:tcPr>
            <w:tcW w:w="601" w:type="pct"/>
            <w:vMerge/>
            <w:tcBorders>
              <w:top w:val="nil"/>
              <w:left w:val="single" w:sz="4" w:space="0" w:color="000000"/>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703" w:type="pct"/>
            <w:vMerge/>
            <w:tcBorders>
              <w:top w:val="nil"/>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623"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489"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528" w:type="pct"/>
            <w:vMerge/>
            <w:tcBorders>
              <w:top w:val="nil"/>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534" w:type="pct"/>
            <w:gridSpan w:val="2"/>
            <w:vMerge/>
            <w:tcBorders>
              <w:top w:val="nil"/>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546" w:type="pct"/>
            <w:vMerge/>
            <w:tcBorders>
              <w:top w:val="nil"/>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973" w:type="pct"/>
            <w:vMerge/>
            <w:tcBorders>
              <w:left w:val="nil"/>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r>
      <w:tr w:rsidR="0081201E">
        <w:trPr>
          <w:trHeight w:val="312"/>
        </w:trPr>
        <w:tc>
          <w:tcPr>
            <w:tcW w:w="601" w:type="pct"/>
            <w:vMerge/>
            <w:tcBorders>
              <w:top w:val="nil"/>
              <w:left w:val="single" w:sz="4" w:space="0" w:color="000000"/>
              <w:bottom w:val="single" w:sz="4" w:space="0" w:color="auto"/>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703" w:type="pct"/>
            <w:vMerge/>
            <w:tcBorders>
              <w:top w:val="nil"/>
              <w:left w:val="nil"/>
              <w:bottom w:val="single" w:sz="4" w:space="0" w:color="auto"/>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623"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489" w:type="pct"/>
            <w:vMerge/>
            <w:tcBorders>
              <w:top w:val="single" w:sz="4" w:space="0" w:color="000000"/>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528" w:type="pct"/>
            <w:vMerge/>
            <w:tcBorders>
              <w:top w:val="nil"/>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534" w:type="pct"/>
            <w:gridSpan w:val="2"/>
            <w:vMerge/>
            <w:tcBorders>
              <w:top w:val="nil"/>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546" w:type="pct"/>
            <w:vMerge/>
            <w:tcBorders>
              <w:top w:val="nil"/>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973" w:type="pct"/>
            <w:vMerge/>
            <w:tcBorders>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r>
      <w:tr w:rsidR="0081201E">
        <w:trPr>
          <w:trHeight w:val="308"/>
        </w:trPr>
        <w:tc>
          <w:tcPr>
            <w:tcW w:w="1304" w:type="pct"/>
            <w:gridSpan w:val="2"/>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栏次</w:t>
            </w:r>
          </w:p>
        </w:tc>
        <w:tc>
          <w:tcPr>
            <w:tcW w:w="623" w:type="pct"/>
            <w:tcBorders>
              <w:top w:val="nil"/>
              <w:left w:val="single" w:sz="4" w:space="0" w:color="auto"/>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20"/>
                <w:szCs w:val="20"/>
              </w:rPr>
            </w:pPr>
            <w:r>
              <w:rPr>
                <w:rFonts w:ascii="Times New Roman" w:eastAsia="方正仿宋_GB2312" w:hAnsi="Times New Roman" w:cs="Times New Roman"/>
                <w:color w:val="000000"/>
                <w:sz w:val="20"/>
                <w:szCs w:val="20"/>
              </w:rPr>
              <w:t>1</w:t>
            </w:r>
          </w:p>
        </w:tc>
        <w:tc>
          <w:tcPr>
            <w:tcW w:w="489"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20"/>
                <w:szCs w:val="20"/>
              </w:rPr>
            </w:pPr>
            <w:r>
              <w:rPr>
                <w:rFonts w:ascii="Times New Roman" w:eastAsia="方正仿宋_GB2312" w:hAnsi="Times New Roman" w:cs="Times New Roman"/>
                <w:color w:val="000000"/>
                <w:sz w:val="20"/>
                <w:szCs w:val="20"/>
              </w:rPr>
              <w:t>2</w:t>
            </w:r>
          </w:p>
        </w:tc>
        <w:tc>
          <w:tcPr>
            <w:tcW w:w="528"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20"/>
                <w:szCs w:val="20"/>
              </w:rPr>
            </w:pPr>
            <w:r>
              <w:rPr>
                <w:rFonts w:ascii="Times New Roman" w:eastAsia="方正仿宋_GB2312" w:hAnsi="Times New Roman" w:cs="Times New Roman"/>
                <w:color w:val="000000"/>
                <w:sz w:val="20"/>
                <w:szCs w:val="20"/>
              </w:rPr>
              <w:t>3</w:t>
            </w:r>
          </w:p>
        </w:tc>
        <w:tc>
          <w:tcPr>
            <w:tcW w:w="534"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20"/>
                <w:szCs w:val="20"/>
              </w:rPr>
            </w:pPr>
            <w:r>
              <w:rPr>
                <w:rFonts w:ascii="Times New Roman" w:eastAsia="方正仿宋_GB2312" w:hAnsi="Times New Roman" w:cs="Times New Roman"/>
                <w:color w:val="000000"/>
                <w:sz w:val="20"/>
                <w:szCs w:val="20"/>
              </w:rPr>
              <w:t>4</w:t>
            </w:r>
          </w:p>
        </w:tc>
        <w:tc>
          <w:tcPr>
            <w:tcW w:w="54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20"/>
                <w:szCs w:val="20"/>
              </w:rPr>
            </w:pPr>
            <w:r>
              <w:rPr>
                <w:rFonts w:ascii="Times New Roman" w:eastAsia="方正仿宋_GB2312" w:hAnsi="Times New Roman" w:cs="Times New Roman"/>
                <w:color w:val="000000"/>
                <w:sz w:val="20"/>
                <w:szCs w:val="20"/>
              </w:rPr>
              <w:t>5</w:t>
            </w:r>
          </w:p>
        </w:tc>
        <w:tc>
          <w:tcPr>
            <w:tcW w:w="973"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20"/>
                <w:szCs w:val="20"/>
              </w:rPr>
            </w:pPr>
            <w:r>
              <w:rPr>
                <w:rFonts w:ascii="Times New Roman" w:eastAsia="方正仿宋_GB2312" w:hAnsi="Times New Roman" w:cs="Times New Roman"/>
                <w:color w:val="000000"/>
                <w:sz w:val="20"/>
                <w:szCs w:val="20"/>
              </w:rPr>
              <w:t>6</w:t>
            </w:r>
          </w:p>
        </w:tc>
      </w:tr>
      <w:tr w:rsidR="0081201E">
        <w:trPr>
          <w:trHeight w:val="869"/>
        </w:trPr>
        <w:tc>
          <w:tcPr>
            <w:tcW w:w="1304" w:type="pct"/>
            <w:gridSpan w:val="2"/>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合计</w:t>
            </w:r>
          </w:p>
        </w:tc>
        <w:tc>
          <w:tcPr>
            <w:tcW w:w="623" w:type="pct"/>
            <w:tcBorders>
              <w:top w:val="nil"/>
              <w:left w:val="single" w:sz="4" w:space="0" w:color="auto"/>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1.53</w:t>
            </w:r>
          </w:p>
        </w:tc>
        <w:tc>
          <w:tcPr>
            <w:tcW w:w="48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8"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34"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4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7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1.53</w:t>
            </w:r>
          </w:p>
        </w:tc>
      </w:tr>
      <w:tr w:rsidR="0081201E">
        <w:trPr>
          <w:trHeight w:val="308"/>
        </w:trPr>
        <w:tc>
          <w:tcPr>
            <w:tcW w:w="601"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212</w:t>
            </w:r>
          </w:p>
        </w:tc>
        <w:tc>
          <w:tcPr>
            <w:tcW w:w="703"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城乡社区支出</w:t>
            </w:r>
          </w:p>
        </w:tc>
        <w:tc>
          <w:tcPr>
            <w:tcW w:w="62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1.53</w:t>
            </w:r>
          </w:p>
        </w:tc>
        <w:tc>
          <w:tcPr>
            <w:tcW w:w="48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8"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34"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4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7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1.53</w:t>
            </w:r>
          </w:p>
        </w:tc>
      </w:tr>
      <w:tr w:rsidR="0081201E">
        <w:trPr>
          <w:trHeight w:val="308"/>
        </w:trPr>
        <w:tc>
          <w:tcPr>
            <w:tcW w:w="601"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21208</w:t>
            </w:r>
          </w:p>
        </w:tc>
        <w:tc>
          <w:tcPr>
            <w:tcW w:w="703"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国有土地使用权出让收入安排的支出</w:t>
            </w:r>
          </w:p>
        </w:tc>
        <w:tc>
          <w:tcPr>
            <w:tcW w:w="62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1.53</w:t>
            </w:r>
          </w:p>
        </w:tc>
        <w:tc>
          <w:tcPr>
            <w:tcW w:w="48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8"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34"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4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7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1.53</w:t>
            </w:r>
          </w:p>
        </w:tc>
      </w:tr>
      <w:tr w:rsidR="0081201E">
        <w:trPr>
          <w:trHeight w:val="308"/>
        </w:trPr>
        <w:tc>
          <w:tcPr>
            <w:tcW w:w="601" w:type="pct"/>
            <w:tcBorders>
              <w:top w:val="nil"/>
              <w:left w:val="single" w:sz="4" w:space="0" w:color="000000"/>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2120801</w:t>
            </w:r>
          </w:p>
        </w:tc>
        <w:tc>
          <w:tcPr>
            <w:tcW w:w="703" w:type="pct"/>
            <w:tcBorders>
              <w:top w:val="nil"/>
              <w:left w:val="nil"/>
              <w:bottom w:val="single" w:sz="4" w:space="0" w:color="000000"/>
              <w:right w:val="single" w:sz="4" w:space="0" w:color="000000"/>
            </w:tcBorders>
            <w:noWrap/>
            <w:vAlign w:val="center"/>
          </w:tcPr>
          <w:p w:rsidR="0081201E" w:rsidRDefault="006E23F4">
            <w:pPr>
              <w:jc w:val="left"/>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征地和拆迁补偿支出</w:t>
            </w:r>
          </w:p>
        </w:tc>
        <w:tc>
          <w:tcPr>
            <w:tcW w:w="62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1.53</w:t>
            </w:r>
          </w:p>
        </w:tc>
        <w:tc>
          <w:tcPr>
            <w:tcW w:w="489"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28"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34" w:type="pct"/>
            <w:gridSpan w:val="2"/>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546"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73"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宋体" w:hAnsi="Times New Roman" w:cs="Times New Roman"/>
                <w:color w:val="000000"/>
                <w:sz w:val="20"/>
                <w:szCs w:val="20"/>
              </w:rPr>
            </w:pPr>
            <w:r>
              <w:rPr>
                <w:rFonts w:ascii="Times New Roman" w:eastAsia="宋体" w:hAnsi="Times New Roman" w:cs="Times New Roman"/>
                <w:spacing w:val="-2"/>
                <w:sz w:val="20"/>
                <w:szCs w:val="20"/>
              </w:rPr>
              <w:t>1.53</w:t>
            </w:r>
          </w:p>
        </w:tc>
      </w:tr>
      <w:tr w:rsidR="0081201E">
        <w:trPr>
          <w:trHeight w:val="308"/>
        </w:trPr>
        <w:tc>
          <w:tcPr>
            <w:tcW w:w="5000" w:type="pct"/>
            <w:gridSpan w:val="9"/>
            <w:tcBorders>
              <w:top w:val="nil"/>
              <w:left w:val="nil"/>
              <w:bottom w:val="nil"/>
              <w:right w:val="nil"/>
            </w:tcBorders>
            <w:noWrap/>
            <w:vAlign w:val="center"/>
          </w:tcPr>
          <w:p w:rsidR="0081201E" w:rsidRDefault="006E23F4">
            <w:pP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注：本表反映部门本年度政府性基金预算财政拨款收入、支出及结转和结余情况。</w:t>
            </w:r>
            <w:r>
              <w:rPr>
                <w:rFonts w:ascii="方正仿宋_GB2312" w:eastAsia="方正仿宋_GB2312" w:hAnsi="方正仿宋_GB2312" w:cs="方正仿宋_GB2312" w:hint="eastAsia"/>
                <w:color w:val="000000"/>
                <w:sz w:val="20"/>
                <w:szCs w:val="20"/>
              </w:rPr>
              <w:br w:type="page"/>
            </w:r>
          </w:p>
        </w:tc>
      </w:tr>
    </w:tbl>
    <w:p w:rsidR="0081201E" w:rsidRDefault="0081201E">
      <w:pPr>
        <w:rPr>
          <w:rFonts w:ascii="仿宋_GB2312" w:eastAsia="仿宋_GB2312" w:hAnsi="宋体"/>
          <w:b/>
          <w:sz w:val="32"/>
          <w:szCs w:val="32"/>
        </w:rPr>
      </w:pPr>
    </w:p>
    <w:p w:rsidR="0081201E" w:rsidRDefault="006E23F4">
      <w:pPr>
        <w:rPr>
          <w:rFonts w:ascii="仿宋_GB2312" w:eastAsia="仿宋_GB2312" w:hAnsi="宋体"/>
          <w:b/>
          <w:sz w:val="32"/>
          <w:szCs w:val="32"/>
        </w:rPr>
      </w:pPr>
      <w:r>
        <w:rPr>
          <w:rFonts w:ascii="仿宋_GB2312" w:eastAsia="仿宋_GB2312" w:hAnsi="宋体" w:hint="eastAsia"/>
          <w:b/>
          <w:sz w:val="32"/>
          <w:szCs w:val="32"/>
        </w:rPr>
        <w:br w:type="page"/>
      </w:r>
    </w:p>
    <w:tbl>
      <w:tblPr>
        <w:tblW w:w="5863" w:type="pct"/>
        <w:tblInd w:w="-976" w:type="dxa"/>
        <w:tblLayout w:type="fixed"/>
        <w:tblLook w:val="04A0"/>
      </w:tblPr>
      <w:tblGrid>
        <w:gridCol w:w="2992"/>
        <w:gridCol w:w="730"/>
        <w:gridCol w:w="1297"/>
        <w:gridCol w:w="1337"/>
        <w:gridCol w:w="45"/>
        <w:gridCol w:w="1286"/>
        <w:gridCol w:w="6"/>
        <w:gridCol w:w="1735"/>
      </w:tblGrid>
      <w:tr w:rsidR="0081201E">
        <w:trPr>
          <w:trHeight w:val="550"/>
        </w:trPr>
        <w:tc>
          <w:tcPr>
            <w:tcW w:w="5000" w:type="pct"/>
            <w:gridSpan w:val="8"/>
            <w:tcBorders>
              <w:top w:val="nil"/>
              <w:left w:val="nil"/>
              <w:bottom w:val="nil"/>
              <w:right w:val="nil"/>
            </w:tcBorders>
            <w:noWrap/>
            <w:vAlign w:val="bottom"/>
          </w:tcPr>
          <w:p w:rsidR="0081201E" w:rsidRDefault="006E23F4">
            <w:pPr>
              <w:widowControl/>
              <w:jc w:val="center"/>
              <w:textAlignment w:val="bottom"/>
              <w:rPr>
                <w:rFonts w:ascii="宋体" w:eastAsia="宋体" w:hAnsi="宋体"/>
                <w:color w:val="000000"/>
                <w:sz w:val="20"/>
                <w:szCs w:val="20"/>
              </w:rPr>
            </w:pPr>
            <w:r>
              <w:rPr>
                <w:rFonts w:ascii="方正仿宋_GB2312" w:eastAsia="方正仿宋_GB2312" w:hAnsi="方正仿宋_GB2312" w:cs="方正仿宋_GB2312" w:hint="eastAsia"/>
                <w:bCs/>
                <w:sz w:val="32"/>
                <w:szCs w:val="32"/>
              </w:rPr>
              <w:lastRenderedPageBreak/>
              <w:t>国有资本经营预算财政拨款支出决算表</w:t>
            </w:r>
          </w:p>
        </w:tc>
      </w:tr>
      <w:tr w:rsidR="0081201E">
        <w:trPr>
          <w:trHeight w:val="300"/>
        </w:trPr>
        <w:tc>
          <w:tcPr>
            <w:tcW w:w="5000" w:type="pct"/>
            <w:gridSpan w:val="8"/>
            <w:tcBorders>
              <w:top w:val="nil"/>
              <w:left w:val="nil"/>
              <w:bottom w:val="nil"/>
              <w:right w:val="nil"/>
            </w:tcBorders>
            <w:noWrap/>
            <w:vAlign w:val="bottom"/>
          </w:tcPr>
          <w:p w:rsidR="0081201E" w:rsidRDefault="006E23F4">
            <w:pPr>
              <w:widowControl/>
              <w:jc w:val="righ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公开</w:t>
            </w:r>
            <w:r>
              <w:rPr>
                <w:rFonts w:ascii="Times New Roman" w:eastAsia="方正仿宋_GB2312" w:hAnsi="Times New Roman" w:cs="Times New Roman"/>
                <w:color w:val="000000"/>
                <w:sz w:val="20"/>
                <w:szCs w:val="20"/>
              </w:rPr>
              <w:t>08</w:t>
            </w:r>
            <w:r>
              <w:rPr>
                <w:rFonts w:ascii="方正仿宋_GB2312" w:eastAsia="方正仿宋_GB2312" w:hAnsi="方正仿宋_GB2312" w:cs="方正仿宋_GB2312" w:hint="eastAsia"/>
                <w:color w:val="000000"/>
                <w:sz w:val="20"/>
                <w:szCs w:val="20"/>
              </w:rPr>
              <w:t>表</w:t>
            </w:r>
          </w:p>
        </w:tc>
      </w:tr>
      <w:tr w:rsidR="0081201E">
        <w:trPr>
          <w:trHeight w:val="300"/>
        </w:trPr>
        <w:tc>
          <w:tcPr>
            <w:tcW w:w="1974" w:type="pct"/>
            <w:gridSpan w:val="2"/>
            <w:tcBorders>
              <w:top w:val="nil"/>
              <w:left w:val="nil"/>
              <w:bottom w:val="single" w:sz="4" w:space="0" w:color="auto"/>
              <w:right w:val="nil"/>
            </w:tcBorders>
            <w:noWrap/>
            <w:vAlign w:val="bottom"/>
          </w:tcPr>
          <w:p w:rsidR="0081201E" w:rsidRDefault="006E23F4">
            <w:pPr>
              <w:widowControl/>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部门（单位）：滦州市古马镇人民政府(本级)</w:t>
            </w:r>
          </w:p>
        </w:tc>
        <w:tc>
          <w:tcPr>
            <w:tcW w:w="1421" w:type="pct"/>
            <w:gridSpan w:val="3"/>
            <w:tcBorders>
              <w:top w:val="nil"/>
              <w:left w:val="nil"/>
              <w:bottom w:val="single" w:sz="4" w:space="0" w:color="auto"/>
              <w:right w:val="nil"/>
            </w:tcBorders>
            <w:noWrap/>
            <w:vAlign w:val="bottom"/>
          </w:tcPr>
          <w:p w:rsidR="0081201E" w:rsidRDefault="006E23F4">
            <w:pPr>
              <w:widowControl/>
              <w:jc w:val="center"/>
              <w:textAlignment w:val="bottom"/>
              <w:rPr>
                <w:rFonts w:ascii="宋体" w:eastAsia="宋体" w:hAnsi="宋体"/>
                <w:color w:val="000000"/>
                <w:sz w:val="20"/>
                <w:szCs w:val="20"/>
              </w:rPr>
            </w:pPr>
            <w:r>
              <w:rPr>
                <w:rFonts w:ascii="Times New Roman" w:eastAsia="宋体" w:hAnsi="Times New Roman" w:cs="Times New Roman"/>
                <w:color w:val="000000"/>
                <w:sz w:val="20"/>
                <w:szCs w:val="20"/>
              </w:rPr>
              <w:t>202</w:t>
            </w:r>
            <w:r>
              <w:rPr>
                <w:rFonts w:ascii="Times New Roman" w:eastAsia="宋体" w:hAnsi="Times New Roman" w:cs="Times New Roman" w:hint="eastAsia"/>
                <w:color w:val="000000"/>
                <w:sz w:val="20"/>
                <w:szCs w:val="20"/>
              </w:rPr>
              <w:t>4</w:t>
            </w:r>
            <w:r>
              <w:rPr>
                <w:rFonts w:ascii="方正仿宋_GB2312" w:eastAsia="方正仿宋_GB2312" w:hAnsi="方正仿宋_GB2312" w:cs="方正仿宋_GB2312" w:hint="eastAsia"/>
                <w:color w:val="000000"/>
                <w:sz w:val="20"/>
                <w:szCs w:val="20"/>
              </w:rPr>
              <w:t>年度</w:t>
            </w:r>
          </w:p>
        </w:tc>
        <w:tc>
          <w:tcPr>
            <w:tcW w:w="1603" w:type="pct"/>
            <w:gridSpan w:val="3"/>
            <w:tcBorders>
              <w:top w:val="nil"/>
              <w:left w:val="nil"/>
              <w:bottom w:val="single" w:sz="4" w:space="0" w:color="auto"/>
              <w:right w:val="nil"/>
            </w:tcBorders>
            <w:noWrap/>
            <w:vAlign w:val="bottom"/>
          </w:tcPr>
          <w:p w:rsidR="0081201E" w:rsidRDefault="006E23F4">
            <w:pPr>
              <w:widowControl/>
              <w:jc w:val="right"/>
              <w:textAlignment w:val="bottom"/>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金额单位：万元</w:t>
            </w:r>
          </w:p>
        </w:tc>
      </w:tr>
      <w:tr w:rsidR="0081201E">
        <w:trPr>
          <w:trHeight w:val="312"/>
        </w:trPr>
        <w:tc>
          <w:tcPr>
            <w:tcW w:w="2662" w:type="pct"/>
            <w:gridSpan w:val="3"/>
            <w:vMerge w:val="restart"/>
            <w:tcBorders>
              <w:top w:val="single" w:sz="4" w:space="0" w:color="auto"/>
              <w:left w:val="single" w:sz="4" w:space="0" w:color="auto"/>
              <w:bottom w:val="single" w:sz="4" w:space="0" w:color="auto"/>
              <w:right w:val="single" w:sz="4" w:space="0" w:color="auto"/>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 xml:space="preserve"> 项目</w:t>
            </w:r>
          </w:p>
        </w:tc>
        <w:tc>
          <w:tcPr>
            <w:tcW w:w="2337" w:type="pct"/>
            <w:gridSpan w:val="5"/>
            <w:vMerge w:val="restart"/>
            <w:tcBorders>
              <w:top w:val="single" w:sz="4" w:space="0" w:color="auto"/>
              <w:left w:val="single" w:sz="4" w:space="0" w:color="auto"/>
              <w:right w:val="single" w:sz="4" w:space="0" w:color="000000"/>
            </w:tcBorders>
            <w:vAlign w:val="center"/>
          </w:tcPr>
          <w:p w:rsidR="0081201E" w:rsidRDefault="006E23F4">
            <w:pPr>
              <w:widowControl/>
              <w:jc w:val="center"/>
              <w:textAlignment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本年支出</w:t>
            </w:r>
          </w:p>
        </w:tc>
      </w:tr>
      <w:tr w:rsidR="0081201E">
        <w:trPr>
          <w:trHeight w:val="312"/>
        </w:trPr>
        <w:tc>
          <w:tcPr>
            <w:tcW w:w="2662" w:type="pct"/>
            <w:gridSpan w:val="3"/>
            <w:vMerge/>
            <w:tcBorders>
              <w:top w:val="single" w:sz="4" w:space="0" w:color="auto"/>
              <w:left w:val="single" w:sz="4" w:space="0" w:color="auto"/>
              <w:bottom w:val="single" w:sz="4" w:space="0" w:color="auto"/>
              <w:right w:val="single" w:sz="4" w:space="0" w:color="auto"/>
            </w:tcBorders>
            <w:vAlign w:val="center"/>
          </w:tcPr>
          <w:p w:rsidR="0081201E" w:rsidRDefault="0081201E">
            <w:pPr>
              <w:widowControl/>
              <w:jc w:val="center"/>
              <w:textAlignment w:val="center"/>
              <w:rPr>
                <w:rFonts w:ascii="方正仿宋_GB2312" w:eastAsia="方正仿宋_GB2312" w:hAnsi="方正仿宋_GB2312" w:cs="方正仿宋_GB2312"/>
                <w:color w:val="000000"/>
                <w:sz w:val="20"/>
                <w:szCs w:val="20"/>
              </w:rPr>
            </w:pPr>
          </w:p>
        </w:tc>
        <w:tc>
          <w:tcPr>
            <w:tcW w:w="2337" w:type="pct"/>
            <w:gridSpan w:val="5"/>
            <w:vMerge/>
            <w:tcBorders>
              <w:left w:val="single" w:sz="4" w:space="0" w:color="auto"/>
              <w:bottom w:val="single" w:sz="4" w:space="0" w:color="000000"/>
              <w:right w:val="single" w:sz="4" w:space="0" w:color="000000"/>
            </w:tcBorders>
            <w:vAlign w:val="center"/>
          </w:tcPr>
          <w:p w:rsidR="0081201E" w:rsidRDefault="0081201E">
            <w:pPr>
              <w:widowControl/>
              <w:jc w:val="center"/>
              <w:textAlignment w:val="center"/>
              <w:rPr>
                <w:rFonts w:ascii="方正仿宋_GB2312" w:eastAsia="方正仿宋_GB2312" w:hAnsi="方正仿宋_GB2312" w:cs="方正仿宋_GB2312"/>
                <w:color w:val="000000"/>
                <w:sz w:val="20"/>
                <w:szCs w:val="20"/>
              </w:rPr>
            </w:pPr>
          </w:p>
        </w:tc>
      </w:tr>
      <w:tr w:rsidR="0081201E">
        <w:trPr>
          <w:trHeight w:val="312"/>
        </w:trPr>
        <w:tc>
          <w:tcPr>
            <w:tcW w:w="1587" w:type="pct"/>
            <w:vMerge w:val="restart"/>
            <w:tcBorders>
              <w:top w:val="single" w:sz="4" w:space="0" w:color="auto"/>
              <w:left w:val="single" w:sz="4" w:space="0" w:color="auto"/>
              <w:bottom w:val="single" w:sz="4" w:space="0" w:color="auto"/>
              <w:right w:val="single" w:sz="4" w:space="0" w:color="auto"/>
            </w:tcBorders>
            <w:vAlign w:val="center"/>
          </w:tcPr>
          <w:p w:rsidR="0081201E" w:rsidRDefault="006E23F4">
            <w:pPr>
              <w:jc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科目代码</w:t>
            </w:r>
          </w:p>
        </w:tc>
        <w:tc>
          <w:tcPr>
            <w:tcW w:w="1074" w:type="pct"/>
            <w:gridSpan w:val="2"/>
            <w:vMerge w:val="restart"/>
            <w:tcBorders>
              <w:top w:val="single" w:sz="4" w:space="0" w:color="auto"/>
              <w:left w:val="single" w:sz="4" w:space="0" w:color="auto"/>
              <w:bottom w:val="single" w:sz="4" w:space="0" w:color="auto"/>
              <w:right w:val="single" w:sz="4" w:space="0" w:color="auto"/>
            </w:tcBorders>
            <w:vAlign w:val="center"/>
          </w:tcPr>
          <w:p w:rsidR="0081201E" w:rsidRDefault="006E23F4">
            <w:pPr>
              <w:jc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科目名称</w:t>
            </w:r>
          </w:p>
        </w:tc>
        <w:tc>
          <w:tcPr>
            <w:tcW w:w="709" w:type="pct"/>
            <w:vMerge w:val="restart"/>
            <w:tcBorders>
              <w:top w:val="nil"/>
              <w:left w:val="single" w:sz="4" w:space="0" w:color="auto"/>
              <w:right w:val="single" w:sz="4" w:space="0" w:color="000000"/>
            </w:tcBorders>
            <w:vAlign w:val="center"/>
          </w:tcPr>
          <w:p w:rsidR="0081201E" w:rsidRDefault="006E23F4">
            <w:pPr>
              <w:jc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合计</w:t>
            </w:r>
          </w:p>
        </w:tc>
        <w:tc>
          <w:tcPr>
            <w:tcW w:w="709" w:type="pct"/>
            <w:gridSpan w:val="3"/>
            <w:vMerge w:val="restart"/>
            <w:tcBorders>
              <w:top w:val="nil"/>
              <w:left w:val="nil"/>
              <w:right w:val="single" w:sz="4" w:space="0" w:color="000000"/>
            </w:tcBorders>
            <w:vAlign w:val="center"/>
          </w:tcPr>
          <w:p w:rsidR="0081201E" w:rsidRDefault="006E23F4">
            <w:pPr>
              <w:jc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基本支出</w:t>
            </w:r>
          </w:p>
        </w:tc>
        <w:tc>
          <w:tcPr>
            <w:tcW w:w="919" w:type="pct"/>
            <w:vMerge w:val="restart"/>
            <w:tcBorders>
              <w:top w:val="nil"/>
              <w:left w:val="nil"/>
              <w:right w:val="single" w:sz="4" w:space="0" w:color="000000"/>
            </w:tcBorders>
            <w:vAlign w:val="center"/>
          </w:tcPr>
          <w:p w:rsidR="0081201E" w:rsidRDefault="006E23F4">
            <w:pPr>
              <w:jc w:val="center"/>
              <w:rPr>
                <w:rFonts w:ascii="方正仿宋_GB2312" w:eastAsia="方正仿宋_GB2312" w:hAnsi="方正仿宋_GB2312" w:cs="方正仿宋_GB2312"/>
                <w:color w:val="000000"/>
                <w:sz w:val="20"/>
                <w:szCs w:val="20"/>
              </w:rPr>
            </w:pPr>
            <w:r>
              <w:rPr>
                <w:rFonts w:ascii="方正仿宋_GB2312" w:eastAsia="方正仿宋_GB2312" w:hAnsi="方正仿宋_GB2312" w:cs="方正仿宋_GB2312" w:hint="eastAsia"/>
                <w:color w:val="000000"/>
                <w:sz w:val="20"/>
                <w:szCs w:val="20"/>
              </w:rPr>
              <w:t>项目支出</w:t>
            </w:r>
          </w:p>
        </w:tc>
      </w:tr>
      <w:tr w:rsidR="0081201E">
        <w:trPr>
          <w:trHeight w:val="312"/>
        </w:trPr>
        <w:tc>
          <w:tcPr>
            <w:tcW w:w="1587" w:type="pct"/>
            <w:vMerge/>
            <w:tcBorders>
              <w:top w:val="single" w:sz="4" w:space="0" w:color="auto"/>
              <w:left w:val="single" w:sz="4" w:space="0" w:color="auto"/>
              <w:bottom w:val="single" w:sz="4" w:space="0" w:color="auto"/>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1074" w:type="pct"/>
            <w:gridSpan w:val="2"/>
            <w:vMerge/>
            <w:tcBorders>
              <w:top w:val="single" w:sz="4" w:space="0" w:color="auto"/>
              <w:left w:val="nil"/>
              <w:bottom w:val="single" w:sz="4" w:space="0" w:color="auto"/>
              <w:right w:val="single" w:sz="4" w:space="0" w:color="auto"/>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709" w:type="pct"/>
            <w:vMerge/>
            <w:tcBorders>
              <w:left w:val="single" w:sz="4" w:space="0" w:color="auto"/>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709" w:type="pct"/>
            <w:gridSpan w:val="3"/>
            <w:vMerge/>
            <w:tcBorders>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c>
          <w:tcPr>
            <w:tcW w:w="919" w:type="pct"/>
            <w:vMerge/>
            <w:tcBorders>
              <w:left w:val="nil"/>
              <w:bottom w:val="single" w:sz="4" w:space="0" w:color="000000"/>
              <w:right w:val="single" w:sz="4" w:space="0" w:color="000000"/>
            </w:tcBorders>
            <w:vAlign w:val="center"/>
          </w:tcPr>
          <w:p w:rsidR="0081201E" w:rsidRDefault="0081201E">
            <w:pPr>
              <w:jc w:val="center"/>
              <w:rPr>
                <w:rFonts w:ascii="方正仿宋_GB2312" w:eastAsia="方正仿宋_GB2312" w:hAnsi="方正仿宋_GB2312" w:cs="方正仿宋_GB2312"/>
                <w:color w:val="000000"/>
                <w:sz w:val="20"/>
                <w:szCs w:val="20"/>
              </w:rPr>
            </w:pPr>
          </w:p>
        </w:tc>
      </w:tr>
      <w:tr w:rsidR="0081201E">
        <w:trPr>
          <w:trHeight w:val="308"/>
        </w:trPr>
        <w:tc>
          <w:tcPr>
            <w:tcW w:w="2662" w:type="pct"/>
            <w:gridSpan w:val="3"/>
            <w:tcBorders>
              <w:top w:val="single" w:sz="4" w:space="0" w:color="auto"/>
              <w:left w:val="single" w:sz="4" w:space="0" w:color="auto"/>
              <w:bottom w:val="single" w:sz="4" w:space="0" w:color="000000"/>
              <w:right w:val="single" w:sz="4" w:space="0" w:color="auto"/>
            </w:tcBorders>
            <w:noWrap/>
            <w:vAlign w:val="center"/>
          </w:tcPr>
          <w:p w:rsidR="0081201E" w:rsidRDefault="006E23F4">
            <w:pPr>
              <w:widowControl/>
              <w:jc w:val="center"/>
              <w:textAlignment w:val="center"/>
              <w:rPr>
                <w:rFonts w:ascii="Times New Roman" w:eastAsia="方正仿宋_GB2312" w:hAnsi="Times New Roman" w:cs="Times New Roman"/>
                <w:color w:val="000000"/>
                <w:sz w:val="20"/>
                <w:szCs w:val="20"/>
              </w:rPr>
            </w:pPr>
            <w:r>
              <w:rPr>
                <w:rFonts w:ascii="Times New Roman" w:eastAsia="方正仿宋_GB2312" w:hAnsi="Times New Roman" w:cs="Times New Roman" w:hint="eastAsia"/>
                <w:color w:val="000000"/>
                <w:sz w:val="20"/>
                <w:szCs w:val="20"/>
              </w:rPr>
              <w:t>栏次</w:t>
            </w:r>
          </w:p>
        </w:tc>
        <w:tc>
          <w:tcPr>
            <w:tcW w:w="706" w:type="pct"/>
            <w:tcBorders>
              <w:top w:val="nil"/>
              <w:left w:val="single" w:sz="4" w:space="0" w:color="auto"/>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20"/>
                <w:szCs w:val="20"/>
              </w:rPr>
            </w:pPr>
            <w:r>
              <w:rPr>
                <w:rFonts w:ascii="Times New Roman" w:eastAsia="方正仿宋_GB2312" w:hAnsi="Times New Roman" w:cs="Times New Roman" w:hint="eastAsia"/>
                <w:color w:val="000000"/>
                <w:sz w:val="20"/>
                <w:szCs w:val="20"/>
              </w:rPr>
              <w:t>1</w:t>
            </w:r>
          </w:p>
        </w:tc>
        <w:tc>
          <w:tcPr>
            <w:tcW w:w="706"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20"/>
                <w:szCs w:val="20"/>
              </w:rPr>
            </w:pPr>
            <w:r>
              <w:rPr>
                <w:rFonts w:ascii="Times New Roman" w:eastAsia="方正仿宋_GB2312" w:hAnsi="Times New Roman" w:cs="Times New Roman" w:hint="eastAsia"/>
                <w:color w:val="000000"/>
                <w:sz w:val="20"/>
                <w:szCs w:val="20"/>
              </w:rPr>
              <w:t>2</w:t>
            </w:r>
          </w:p>
        </w:tc>
        <w:tc>
          <w:tcPr>
            <w:tcW w:w="924"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20"/>
                <w:szCs w:val="20"/>
              </w:rPr>
            </w:pPr>
            <w:r>
              <w:rPr>
                <w:rFonts w:ascii="Times New Roman" w:eastAsia="方正仿宋_GB2312" w:hAnsi="Times New Roman" w:cs="Times New Roman" w:hint="eastAsia"/>
                <w:color w:val="000000"/>
                <w:sz w:val="20"/>
                <w:szCs w:val="20"/>
              </w:rPr>
              <w:t>3</w:t>
            </w:r>
          </w:p>
        </w:tc>
      </w:tr>
      <w:tr w:rsidR="0081201E">
        <w:trPr>
          <w:trHeight w:val="308"/>
        </w:trPr>
        <w:tc>
          <w:tcPr>
            <w:tcW w:w="2662" w:type="pct"/>
            <w:gridSpan w:val="3"/>
            <w:tcBorders>
              <w:top w:val="single" w:sz="4" w:space="0" w:color="000000"/>
              <w:left w:val="single" w:sz="4" w:space="0" w:color="000000"/>
              <w:bottom w:val="single" w:sz="4" w:space="0" w:color="000000"/>
              <w:right w:val="single" w:sz="4" w:space="0" w:color="000000"/>
            </w:tcBorders>
            <w:noWrap/>
            <w:vAlign w:val="center"/>
          </w:tcPr>
          <w:p w:rsidR="0081201E" w:rsidRDefault="006E23F4">
            <w:pPr>
              <w:jc w:val="center"/>
              <w:rPr>
                <w:rFonts w:ascii="Times New Roman" w:eastAsia="宋体" w:hAnsi="Times New Roman" w:cs="Times New Roman"/>
                <w:color w:val="000000"/>
                <w:sz w:val="20"/>
                <w:szCs w:val="20"/>
              </w:rPr>
            </w:pPr>
            <w:r>
              <w:rPr>
                <w:rFonts w:ascii="Times New Roman" w:eastAsia="方正仿宋_GB2312" w:hAnsi="Times New Roman" w:cs="Times New Roman" w:hint="eastAsia"/>
                <w:color w:val="000000"/>
                <w:sz w:val="20"/>
                <w:szCs w:val="20"/>
              </w:rPr>
              <w:t>合计</w:t>
            </w:r>
          </w:p>
        </w:tc>
        <w:tc>
          <w:tcPr>
            <w:tcW w:w="706" w:type="pct"/>
            <w:tcBorders>
              <w:top w:val="single" w:sz="4" w:space="0" w:color="000000"/>
              <w:left w:val="single" w:sz="4" w:space="0" w:color="000000"/>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706" w:type="pct"/>
            <w:gridSpan w:val="2"/>
            <w:tcBorders>
              <w:top w:val="single" w:sz="4" w:space="0" w:color="000000"/>
              <w:left w:val="single" w:sz="4" w:space="0" w:color="000000"/>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c>
          <w:tcPr>
            <w:tcW w:w="924" w:type="pct"/>
            <w:gridSpan w:val="2"/>
            <w:tcBorders>
              <w:top w:val="single" w:sz="4" w:space="0" w:color="000000"/>
              <w:left w:val="single" w:sz="4" w:space="0" w:color="000000"/>
              <w:bottom w:val="single" w:sz="4" w:space="0" w:color="000000"/>
              <w:right w:val="single" w:sz="4" w:space="0" w:color="000000"/>
            </w:tcBorders>
            <w:noWrap/>
            <w:vAlign w:val="center"/>
          </w:tcPr>
          <w:p w:rsidR="0081201E" w:rsidRDefault="0081201E">
            <w:pPr>
              <w:jc w:val="right"/>
              <w:rPr>
                <w:rFonts w:ascii="Times New Roman" w:eastAsia="宋体" w:hAnsi="Times New Roman" w:cs="Times New Roman"/>
                <w:color w:val="000000"/>
                <w:sz w:val="20"/>
                <w:szCs w:val="20"/>
              </w:rPr>
            </w:pPr>
          </w:p>
        </w:tc>
      </w:tr>
      <w:tr w:rsidR="0081201E">
        <w:trPr>
          <w:trHeight w:val="308"/>
        </w:trPr>
        <w:tc>
          <w:tcPr>
            <w:tcW w:w="5000" w:type="pct"/>
            <w:gridSpan w:val="8"/>
            <w:tcBorders>
              <w:top w:val="nil"/>
              <w:left w:val="nil"/>
              <w:bottom w:val="nil"/>
              <w:right w:val="nil"/>
            </w:tcBorders>
            <w:noWrap/>
            <w:vAlign w:val="center"/>
          </w:tcPr>
          <w:p w:rsidR="0081201E" w:rsidRDefault="006E23F4">
            <w:pPr>
              <w:widowControl/>
              <w:jc w:val="left"/>
              <w:textAlignment w:val="center"/>
              <w:rPr>
                <w:rFonts w:ascii="宋体" w:eastAsia="宋体" w:hAnsi="宋体"/>
                <w:color w:val="000000"/>
                <w:sz w:val="20"/>
                <w:szCs w:val="20"/>
              </w:rPr>
            </w:pPr>
            <w:r>
              <w:rPr>
                <w:rFonts w:ascii="方正仿宋_GB2312" w:eastAsia="方正仿宋_GB2312" w:hAnsi="方正仿宋_GB2312" w:cs="方正仿宋_GB2312" w:hint="eastAsia"/>
                <w:color w:val="000000"/>
                <w:sz w:val="20"/>
                <w:szCs w:val="20"/>
              </w:rPr>
              <w:t>注：本表反映部门本年度国有资本经营预算财政拨款支出情况。（</w:t>
            </w:r>
            <w:r w:rsidR="00535C9B">
              <w:rPr>
                <w:rFonts w:ascii="方正仿宋_GB2312" w:eastAsia="方正仿宋_GB2312" w:hAnsi="方正仿宋_GB2312" w:cs="方正仿宋_GB2312" w:hint="eastAsia"/>
                <w:color w:val="000000"/>
                <w:sz w:val="20"/>
                <w:szCs w:val="20"/>
              </w:rPr>
              <w:t>2024</w:t>
            </w:r>
            <w:r w:rsidR="00535C9B">
              <w:rPr>
                <w:rFonts w:ascii="宋体" w:eastAsia="宋体" w:hAnsi="宋体" w:hint="eastAsia"/>
                <w:color w:val="000000"/>
                <w:sz w:val="20"/>
                <w:szCs w:val="20"/>
              </w:rPr>
              <w:t>年度本部门无相关数据收支情况，以</w:t>
            </w:r>
            <w:r>
              <w:rPr>
                <w:rFonts w:ascii="方正仿宋_GB2312" w:eastAsia="方正仿宋_GB2312" w:hAnsi="方正仿宋_GB2312" w:cs="方正仿宋_GB2312" w:hint="eastAsia"/>
                <w:color w:val="000000"/>
                <w:sz w:val="20"/>
                <w:szCs w:val="20"/>
              </w:rPr>
              <w:t>空表列示）</w:t>
            </w:r>
          </w:p>
        </w:tc>
      </w:tr>
    </w:tbl>
    <w:p w:rsidR="0081201E" w:rsidRDefault="0081201E">
      <w:pPr>
        <w:rPr>
          <w:rFonts w:ascii="仿宋_GB2312" w:eastAsia="仿宋_GB2312" w:hAnsi="宋体"/>
          <w:b/>
          <w:sz w:val="32"/>
          <w:szCs w:val="32"/>
        </w:rPr>
      </w:pPr>
    </w:p>
    <w:p w:rsidR="0081201E" w:rsidRDefault="006E23F4">
      <w:pPr>
        <w:rPr>
          <w:rFonts w:ascii="仿宋_GB2312" w:eastAsia="仿宋_GB2312" w:hAnsi="宋体"/>
          <w:b/>
          <w:sz w:val="32"/>
          <w:szCs w:val="32"/>
        </w:rPr>
      </w:pPr>
      <w:r>
        <w:rPr>
          <w:rFonts w:ascii="仿宋_GB2312" w:eastAsia="仿宋_GB2312" w:hAnsi="宋体" w:hint="eastAsia"/>
          <w:b/>
          <w:sz w:val="32"/>
          <w:szCs w:val="32"/>
        </w:rPr>
        <w:br w:type="page"/>
      </w:r>
    </w:p>
    <w:tbl>
      <w:tblPr>
        <w:tblpPr w:leftFromText="180" w:rightFromText="180" w:vertAnchor="text" w:horzAnchor="page" w:tblpX="282" w:tblpY="39"/>
        <w:tblOverlap w:val="never"/>
        <w:tblW w:w="7211" w:type="pct"/>
        <w:tblLayout w:type="fixed"/>
        <w:tblLook w:val="04A0"/>
      </w:tblPr>
      <w:tblGrid>
        <w:gridCol w:w="985"/>
        <w:gridCol w:w="1224"/>
        <w:gridCol w:w="812"/>
        <w:gridCol w:w="944"/>
        <w:gridCol w:w="524"/>
        <w:gridCol w:w="543"/>
        <w:gridCol w:w="779"/>
        <w:gridCol w:w="849"/>
        <w:gridCol w:w="1132"/>
        <w:gridCol w:w="638"/>
        <w:gridCol w:w="1025"/>
        <w:gridCol w:w="948"/>
        <w:gridCol w:w="1192"/>
      </w:tblGrid>
      <w:tr w:rsidR="0081201E">
        <w:trPr>
          <w:trHeight w:val="550"/>
        </w:trPr>
        <w:tc>
          <w:tcPr>
            <w:tcW w:w="5000" w:type="pct"/>
            <w:gridSpan w:val="13"/>
            <w:tcBorders>
              <w:top w:val="nil"/>
              <w:left w:val="nil"/>
              <w:bottom w:val="nil"/>
              <w:right w:val="nil"/>
            </w:tcBorders>
            <w:noWrap/>
            <w:vAlign w:val="bottom"/>
          </w:tcPr>
          <w:p w:rsidR="0081201E" w:rsidRDefault="006E23F4">
            <w:pPr>
              <w:widowControl/>
              <w:jc w:val="center"/>
              <w:textAlignment w:val="bottom"/>
              <w:rPr>
                <w:rFonts w:ascii="宋体" w:eastAsia="宋体" w:hAnsi="宋体"/>
                <w:color w:val="000000"/>
                <w:sz w:val="18"/>
                <w:szCs w:val="18"/>
              </w:rPr>
            </w:pPr>
            <w:r>
              <w:rPr>
                <w:rFonts w:ascii="方正仿宋_GB2312" w:eastAsia="方正仿宋_GB2312" w:hAnsi="方正仿宋_GB2312" w:cs="方正仿宋_GB2312" w:hint="eastAsia"/>
                <w:bCs/>
                <w:sz w:val="32"/>
                <w:szCs w:val="32"/>
              </w:rPr>
              <w:lastRenderedPageBreak/>
              <w:t>财政拨款“三公”经费支出决算表</w:t>
            </w:r>
          </w:p>
        </w:tc>
      </w:tr>
      <w:tr w:rsidR="0081201E">
        <w:trPr>
          <w:trHeight w:val="260"/>
        </w:trPr>
        <w:tc>
          <w:tcPr>
            <w:tcW w:w="5000" w:type="pct"/>
            <w:gridSpan w:val="13"/>
            <w:tcBorders>
              <w:top w:val="nil"/>
              <w:left w:val="nil"/>
              <w:bottom w:val="nil"/>
              <w:right w:val="nil"/>
            </w:tcBorders>
            <w:noWrap/>
            <w:vAlign w:val="bottom"/>
          </w:tcPr>
          <w:p w:rsidR="0081201E" w:rsidRDefault="006E23F4">
            <w:pPr>
              <w:widowControl/>
              <w:jc w:val="right"/>
              <w:textAlignment w:val="bottom"/>
              <w:rPr>
                <w:rFonts w:ascii="宋体" w:eastAsia="宋体" w:hAnsi="宋体"/>
                <w:color w:val="000000"/>
                <w:sz w:val="18"/>
                <w:szCs w:val="18"/>
              </w:rPr>
            </w:pPr>
            <w:r>
              <w:rPr>
                <w:rFonts w:ascii="方正仿宋_GB2312" w:eastAsia="方正仿宋_GB2312" w:hAnsi="方正仿宋_GB2312" w:cs="方正仿宋_GB2312" w:hint="eastAsia"/>
                <w:color w:val="000000"/>
                <w:sz w:val="18"/>
                <w:szCs w:val="18"/>
              </w:rPr>
              <w:t>公开</w:t>
            </w:r>
            <w:r>
              <w:rPr>
                <w:rFonts w:ascii="Times New Roman" w:eastAsia="方正仿宋_GB2312" w:hAnsi="Times New Roman" w:cs="Times New Roman"/>
                <w:color w:val="000000"/>
                <w:sz w:val="18"/>
                <w:szCs w:val="18"/>
              </w:rPr>
              <w:t>09</w:t>
            </w:r>
            <w:r>
              <w:rPr>
                <w:rFonts w:ascii="方正仿宋_GB2312" w:eastAsia="方正仿宋_GB2312" w:hAnsi="方正仿宋_GB2312" w:cs="方正仿宋_GB2312" w:hint="eastAsia"/>
                <w:color w:val="000000"/>
                <w:sz w:val="18"/>
                <w:szCs w:val="18"/>
              </w:rPr>
              <w:t>表</w:t>
            </w:r>
          </w:p>
        </w:tc>
      </w:tr>
      <w:tr w:rsidR="0081201E">
        <w:trPr>
          <w:trHeight w:val="260"/>
        </w:trPr>
        <w:tc>
          <w:tcPr>
            <w:tcW w:w="1936" w:type="pct"/>
            <w:gridSpan w:val="5"/>
            <w:tcBorders>
              <w:top w:val="nil"/>
              <w:left w:val="nil"/>
              <w:bottom w:val="single" w:sz="4" w:space="0" w:color="auto"/>
              <w:right w:val="nil"/>
            </w:tcBorders>
            <w:noWrap/>
            <w:vAlign w:val="bottom"/>
          </w:tcPr>
          <w:p w:rsidR="0081201E" w:rsidRDefault="006E23F4">
            <w:pPr>
              <w:widowControl/>
              <w:jc w:val="left"/>
              <w:textAlignment w:val="bottom"/>
              <w:rPr>
                <w:rFonts w:ascii="宋体" w:eastAsia="宋体" w:hAnsi="宋体"/>
                <w:color w:val="000000"/>
                <w:sz w:val="18"/>
                <w:szCs w:val="18"/>
              </w:rPr>
            </w:pPr>
            <w:r>
              <w:rPr>
                <w:rFonts w:ascii="方正仿宋_GB2312" w:eastAsia="方正仿宋_GB2312" w:hAnsi="方正仿宋_GB2312" w:cs="方正仿宋_GB2312" w:hint="eastAsia"/>
                <w:color w:val="000000"/>
                <w:sz w:val="18"/>
                <w:szCs w:val="18"/>
              </w:rPr>
              <w:t>部门（单位）：滦州市古马镇人民政府(本级)</w:t>
            </w:r>
          </w:p>
        </w:tc>
        <w:tc>
          <w:tcPr>
            <w:tcW w:w="933" w:type="pct"/>
            <w:gridSpan w:val="3"/>
            <w:tcBorders>
              <w:top w:val="nil"/>
              <w:left w:val="nil"/>
              <w:bottom w:val="single" w:sz="4" w:space="0" w:color="auto"/>
              <w:right w:val="nil"/>
            </w:tcBorders>
            <w:noWrap/>
            <w:vAlign w:val="bottom"/>
          </w:tcPr>
          <w:p w:rsidR="0081201E" w:rsidRDefault="006E23F4">
            <w:pPr>
              <w:widowControl/>
              <w:jc w:val="center"/>
              <w:textAlignment w:val="bottom"/>
              <w:rPr>
                <w:rFonts w:ascii="宋体" w:eastAsia="宋体" w:hAnsi="宋体"/>
                <w:color w:val="000000"/>
                <w:sz w:val="18"/>
                <w:szCs w:val="18"/>
              </w:rPr>
            </w:pPr>
            <w:r>
              <w:rPr>
                <w:rFonts w:ascii="Times New Roman" w:eastAsia="宋体" w:hAnsi="Times New Roman" w:cs="Times New Roman"/>
                <w:color w:val="000000"/>
                <w:sz w:val="18"/>
                <w:szCs w:val="18"/>
              </w:rPr>
              <w:t>202</w:t>
            </w:r>
            <w:r>
              <w:rPr>
                <w:rFonts w:ascii="Times New Roman" w:eastAsia="宋体" w:hAnsi="Times New Roman" w:cs="Times New Roman" w:hint="eastAsia"/>
                <w:color w:val="000000"/>
                <w:sz w:val="18"/>
                <w:szCs w:val="18"/>
              </w:rPr>
              <w:t>4</w:t>
            </w:r>
            <w:r>
              <w:rPr>
                <w:rFonts w:ascii="方正仿宋_GB2312" w:eastAsia="方正仿宋_GB2312" w:hAnsi="方正仿宋_GB2312" w:cs="方正仿宋_GB2312" w:hint="eastAsia"/>
                <w:color w:val="000000"/>
                <w:sz w:val="18"/>
                <w:szCs w:val="18"/>
              </w:rPr>
              <w:t>年度</w:t>
            </w:r>
          </w:p>
        </w:tc>
        <w:tc>
          <w:tcPr>
            <w:tcW w:w="2129" w:type="pct"/>
            <w:gridSpan w:val="5"/>
            <w:tcBorders>
              <w:top w:val="nil"/>
              <w:left w:val="nil"/>
              <w:bottom w:val="single" w:sz="4" w:space="0" w:color="auto"/>
              <w:right w:val="nil"/>
            </w:tcBorders>
            <w:noWrap/>
            <w:vAlign w:val="bottom"/>
          </w:tcPr>
          <w:p w:rsidR="0081201E" w:rsidRDefault="006E23F4">
            <w:pPr>
              <w:widowControl/>
              <w:jc w:val="right"/>
              <w:textAlignment w:val="bottom"/>
              <w:rPr>
                <w:rFonts w:ascii="宋体" w:eastAsia="宋体" w:hAnsi="宋体"/>
                <w:color w:val="000000"/>
                <w:sz w:val="18"/>
                <w:szCs w:val="18"/>
              </w:rPr>
            </w:pPr>
            <w:r>
              <w:rPr>
                <w:rFonts w:ascii="方正仿宋_GB2312" w:eastAsia="方正仿宋_GB2312" w:hAnsi="方正仿宋_GB2312" w:cs="方正仿宋_GB2312" w:hint="eastAsia"/>
                <w:color w:val="000000"/>
                <w:sz w:val="18"/>
                <w:szCs w:val="18"/>
              </w:rPr>
              <w:t>金额单位：万元</w:t>
            </w:r>
          </w:p>
        </w:tc>
      </w:tr>
      <w:tr w:rsidR="0081201E">
        <w:trPr>
          <w:trHeight w:val="431"/>
        </w:trPr>
        <w:tc>
          <w:tcPr>
            <w:tcW w:w="2506" w:type="pct"/>
            <w:gridSpan w:val="7"/>
            <w:tcBorders>
              <w:top w:val="single" w:sz="4" w:space="0" w:color="auto"/>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预算数</w:t>
            </w:r>
          </w:p>
        </w:tc>
        <w:tc>
          <w:tcPr>
            <w:tcW w:w="2493" w:type="pct"/>
            <w:gridSpan w:val="6"/>
            <w:tcBorders>
              <w:top w:val="single" w:sz="4" w:space="0" w:color="auto"/>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决算数</w:t>
            </w:r>
          </w:p>
        </w:tc>
      </w:tr>
      <w:tr w:rsidR="0081201E">
        <w:trPr>
          <w:trHeight w:val="431"/>
        </w:trPr>
        <w:tc>
          <w:tcPr>
            <w:tcW w:w="425" w:type="pct"/>
            <w:vMerge w:val="restart"/>
            <w:tcBorders>
              <w:top w:val="nil"/>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合计</w:t>
            </w:r>
          </w:p>
        </w:tc>
        <w:tc>
          <w:tcPr>
            <w:tcW w:w="528" w:type="pct"/>
            <w:vMerge w:val="restar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因公出国（境）费</w:t>
            </w:r>
          </w:p>
        </w:tc>
        <w:tc>
          <w:tcPr>
            <w:tcW w:w="1217" w:type="pct"/>
            <w:gridSpan w:val="4"/>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公务用车购置及运行维护费</w:t>
            </w:r>
          </w:p>
        </w:tc>
        <w:tc>
          <w:tcPr>
            <w:tcW w:w="335" w:type="pct"/>
            <w:vMerge w:val="restar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公务接待费</w:t>
            </w:r>
          </w:p>
        </w:tc>
        <w:tc>
          <w:tcPr>
            <w:tcW w:w="366" w:type="pct"/>
            <w:vMerge w:val="restar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合计</w:t>
            </w:r>
          </w:p>
        </w:tc>
        <w:tc>
          <w:tcPr>
            <w:tcW w:w="488" w:type="pct"/>
            <w:vMerge w:val="restar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因公出国（境）费</w:t>
            </w:r>
          </w:p>
        </w:tc>
        <w:tc>
          <w:tcPr>
            <w:tcW w:w="1126" w:type="pct"/>
            <w:gridSpan w:val="3"/>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公务用车购置及运行维护费</w:t>
            </w:r>
          </w:p>
        </w:tc>
        <w:tc>
          <w:tcPr>
            <w:tcW w:w="511" w:type="pct"/>
            <w:vMerge w:val="restar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公务接待费</w:t>
            </w:r>
          </w:p>
        </w:tc>
      </w:tr>
      <w:tr w:rsidR="0081201E">
        <w:trPr>
          <w:trHeight w:val="431"/>
        </w:trPr>
        <w:tc>
          <w:tcPr>
            <w:tcW w:w="425" w:type="pct"/>
            <w:vMerge/>
            <w:tcBorders>
              <w:top w:val="nil"/>
              <w:left w:val="single" w:sz="4" w:space="0" w:color="000000"/>
              <w:bottom w:val="single" w:sz="4" w:space="0" w:color="000000"/>
              <w:right w:val="single" w:sz="4" w:space="0" w:color="000000"/>
            </w:tcBorders>
            <w:noWrap/>
            <w:vAlign w:val="center"/>
          </w:tcPr>
          <w:p w:rsidR="0081201E" w:rsidRDefault="0081201E">
            <w:pPr>
              <w:jc w:val="center"/>
              <w:rPr>
                <w:rFonts w:ascii="方正仿宋_GB2312" w:eastAsia="方正仿宋_GB2312" w:hAnsi="方正仿宋_GB2312" w:cs="方正仿宋_GB2312"/>
                <w:color w:val="000000"/>
                <w:sz w:val="18"/>
                <w:szCs w:val="18"/>
              </w:rPr>
            </w:pPr>
          </w:p>
        </w:tc>
        <w:tc>
          <w:tcPr>
            <w:tcW w:w="528" w:type="pct"/>
            <w:vMerge/>
            <w:tcBorders>
              <w:top w:val="nil"/>
              <w:left w:val="nil"/>
              <w:bottom w:val="single" w:sz="4" w:space="0" w:color="000000"/>
              <w:right w:val="single" w:sz="4" w:space="0" w:color="000000"/>
            </w:tcBorders>
            <w:noWrap/>
            <w:vAlign w:val="center"/>
          </w:tcPr>
          <w:p w:rsidR="0081201E" w:rsidRDefault="0081201E">
            <w:pPr>
              <w:jc w:val="center"/>
              <w:rPr>
                <w:rFonts w:ascii="方正仿宋_GB2312" w:eastAsia="方正仿宋_GB2312" w:hAnsi="方正仿宋_GB2312" w:cs="方正仿宋_GB2312"/>
                <w:color w:val="000000"/>
                <w:sz w:val="18"/>
                <w:szCs w:val="18"/>
              </w:rPr>
            </w:pPr>
          </w:p>
        </w:tc>
        <w:tc>
          <w:tcPr>
            <w:tcW w:w="350"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小计</w:t>
            </w:r>
          </w:p>
        </w:tc>
        <w:tc>
          <w:tcPr>
            <w:tcW w:w="40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公务用车购置费</w:t>
            </w:r>
          </w:p>
        </w:tc>
        <w:tc>
          <w:tcPr>
            <w:tcW w:w="458"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公务用车运行维护费</w:t>
            </w:r>
          </w:p>
        </w:tc>
        <w:tc>
          <w:tcPr>
            <w:tcW w:w="335" w:type="pct"/>
            <w:vMerge/>
            <w:tcBorders>
              <w:top w:val="nil"/>
              <w:left w:val="nil"/>
              <w:bottom w:val="single" w:sz="4" w:space="0" w:color="000000"/>
              <w:right w:val="single" w:sz="4" w:space="0" w:color="000000"/>
            </w:tcBorders>
            <w:noWrap/>
            <w:vAlign w:val="center"/>
          </w:tcPr>
          <w:p w:rsidR="0081201E" w:rsidRDefault="0081201E">
            <w:pPr>
              <w:jc w:val="center"/>
              <w:rPr>
                <w:rFonts w:ascii="方正仿宋_GB2312" w:eastAsia="方正仿宋_GB2312" w:hAnsi="方正仿宋_GB2312" w:cs="方正仿宋_GB2312"/>
                <w:color w:val="000000"/>
                <w:sz w:val="18"/>
                <w:szCs w:val="18"/>
              </w:rPr>
            </w:pPr>
          </w:p>
        </w:tc>
        <w:tc>
          <w:tcPr>
            <w:tcW w:w="366" w:type="pct"/>
            <w:vMerge/>
            <w:tcBorders>
              <w:top w:val="nil"/>
              <w:left w:val="nil"/>
              <w:bottom w:val="single" w:sz="4" w:space="0" w:color="000000"/>
              <w:right w:val="single" w:sz="4" w:space="0" w:color="000000"/>
            </w:tcBorders>
            <w:noWrap/>
            <w:vAlign w:val="center"/>
          </w:tcPr>
          <w:p w:rsidR="0081201E" w:rsidRDefault="0081201E">
            <w:pPr>
              <w:jc w:val="center"/>
              <w:rPr>
                <w:rFonts w:ascii="方正仿宋_GB2312" w:eastAsia="方正仿宋_GB2312" w:hAnsi="方正仿宋_GB2312" w:cs="方正仿宋_GB2312"/>
                <w:color w:val="000000"/>
                <w:sz w:val="18"/>
                <w:szCs w:val="18"/>
              </w:rPr>
            </w:pPr>
          </w:p>
        </w:tc>
        <w:tc>
          <w:tcPr>
            <w:tcW w:w="488" w:type="pct"/>
            <w:vMerge/>
            <w:tcBorders>
              <w:top w:val="nil"/>
              <w:left w:val="nil"/>
              <w:bottom w:val="single" w:sz="4" w:space="0" w:color="000000"/>
              <w:right w:val="single" w:sz="4" w:space="0" w:color="000000"/>
            </w:tcBorders>
            <w:noWrap/>
            <w:vAlign w:val="center"/>
          </w:tcPr>
          <w:p w:rsidR="0081201E" w:rsidRDefault="0081201E">
            <w:pPr>
              <w:jc w:val="center"/>
              <w:rPr>
                <w:rFonts w:ascii="方正仿宋_GB2312" w:eastAsia="方正仿宋_GB2312" w:hAnsi="方正仿宋_GB2312" w:cs="方正仿宋_GB2312"/>
                <w:color w:val="000000"/>
                <w:sz w:val="18"/>
                <w:szCs w:val="18"/>
              </w:rPr>
            </w:pPr>
          </w:p>
        </w:tc>
        <w:tc>
          <w:tcPr>
            <w:tcW w:w="275"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小计</w:t>
            </w:r>
          </w:p>
        </w:tc>
        <w:tc>
          <w:tcPr>
            <w:tcW w:w="442"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公务用车购置费</w:t>
            </w:r>
          </w:p>
        </w:tc>
        <w:tc>
          <w:tcPr>
            <w:tcW w:w="40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方正仿宋_GB2312" w:eastAsia="方正仿宋_GB2312" w:hAnsi="方正仿宋_GB2312" w:cs="方正仿宋_GB2312"/>
                <w:color w:val="000000"/>
                <w:sz w:val="18"/>
                <w:szCs w:val="18"/>
              </w:rPr>
            </w:pPr>
            <w:r>
              <w:rPr>
                <w:rFonts w:ascii="方正仿宋_GB2312" w:eastAsia="方正仿宋_GB2312" w:hAnsi="方正仿宋_GB2312" w:cs="方正仿宋_GB2312" w:hint="eastAsia"/>
                <w:color w:val="000000"/>
                <w:sz w:val="18"/>
                <w:szCs w:val="18"/>
              </w:rPr>
              <w:t>公务用车运行维护费</w:t>
            </w:r>
          </w:p>
        </w:tc>
        <w:tc>
          <w:tcPr>
            <w:tcW w:w="511" w:type="pct"/>
            <w:vMerge/>
            <w:tcBorders>
              <w:top w:val="nil"/>
              <w:left w:val="nil"/>
              <w:bottom w:val="single" w:sz="4" w:space="0" w:color="000000"/>
              <w:right w:val="single" w:sz="4" w:space="0" w:color="000000"/>
            </w:tcBorders>
            <w:noWrap/>
            <w:vAlign w:val="center"/>
          </w:tcPr>
          <w:p w:rsidR="0081201E" w:rsidRDefault="0081201E">
            <w:pPr>
              <w:jc w:val="center"/>
              <w:rPr>
                <w:rFonts w:ascii="方正仿宋_GB2312" w:eastAsia="方正仿宋_GB2312" w:hAnsi="方正仿宋_GB2312" w:cs="方正仿宋_GB2312"/>
                <w:color w:val="000000"/>
                <w:sz w:val="18"/>
                <w:szCs w:val="18"/>
              </w:rPr>
            </w:pPr>
          </w:p>
        </w:tc>
      </w:tr>
      <w:tr w:rsidR="0081201E">
        <w:trPr>
          <w:trHeight w:val="431"/>
        </w:trPr>
        <w:tc>
          <w:tcPr>
            <w:tcW w:w="425" w:type="pct"/>
            <w:tcBorders>
              <w:top w:val="nil"/>
              <w:left w:val="single" w:sz="4" w:space="0" w:color="000000"/>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1</w:t>
            </w:r>
          </w:p>
        </w:tc>
        <w:tc>
          <w:tcPr>
            <w:tcW w:w="528"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2</w:t>
            </w:r>
          </w:p>
        </w:tc>
        <w:tc>
          <w:tcPr>
            <w:tcW w:w="350"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3</w:t>
            </w:r>
          </w:p>
        </w:tc>
        <w:tc>
          <w:tcPr>
            <w:tcW w:w="40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4</w:t>
            </w:r>
          </w:p>
        </w:tc>
        <w:tc>
          <w:tcPr>
            <w:tcW w:w="458" w:type="pct"/>
            <w:gridSpan w:val="2"/>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5</w:t>
            </w:r>
          </w:p>
        </w:tc>
        <w:tc>
          <w:tcPr>
            <w:tcW w:w="335"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6</w:t>
            </w:r>
          </w:p>
        </w:tc>
        <w:tc>
          <w:tcPr>
            <w:tcW w:w="366"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7</w:t>
            </w:r>
          </w:p>
        </w:tc>
        <w:tc>
          <w:tcPr>
            <w:tcW w:w="488"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8</w:t>
            </w:r>
          </w:p>
        </w:tc>
        <w:tc>
          <w:tcPr>
            <w:tcW w:w="275"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9</w:t>
            </w:r>
          </w:p>
        </w:tc>
        <w:tc>
          <w:tcPr>
            <w:tcW w:w="442"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10</w:t>
            </w:r>
          </w:p>
        </w:tc>
        <w:tc>
          <w:tcPr>
            <w:tcW w:w="407"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11</w:t>
            </w:r>
          </w:p>
        </w:tc>
        <w:tc>
          <w:tcPr>
            <w:tcW w:w="511" w:type="pct"/>
            <w:tcBorders>
              <w:top w:val="nil"/>
              <w:left w:val="nil"/>
              <w:bottom w:val="single" w:sz="4" w:space="0" w:color="000000"/>
              <w:right w:val="single" w:sz="4" w:space="0" w:color="000000"/>
            </w:tcBorders>
            <w:noWrap/>
            <w:vAlign w:val="center"/>
          </w:tcPr>
          <w:p w:rsidR="0081201E" w:rsidRDefault="006E23F4">
            <w:pPr>
              <w:widowControl/>
              <w:jc w:val="center"/>
              <w:textAlignment w:val="center"/>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12</w:t>
            </w:r>
          </w:p>
        </w:tc>
      </w:tr>
      <w:tr w:rsidR="0081201E">
        <w:trPr>
          <w:trHeight w:val="431"/>
        </w:trPr>
        <w:tc>
          <w:tcPr>
            <w:tcW w:w="425" w:type="pct"/>
            <w:tcBorders>
              <w:top w:val="nil"/>
              <w:left w:val="single" w:sz="4" w:space="0" w:color="000000"/>
              <w:bottom w:val="single" w:sz="4" w:space="0" w:color="000000"/>
              <w:right w:val="single" w:sz="4" w:space="0" w:color="000000"/>
            </w:tcBorders>
            <w:noWrap/>
            <w:vAlign w:val="center"/>
          </w:tcPr>
          <w:p w:rsidR="0081201E" w:rsidRDefault="006E23F4">
            <w:pPr>
              <w:jc w:val="right"/>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2.00</w:t>
            </w:r>
          </w:p>
        </w:tc>
        <w:tc>
          <w:tcPr>
            <w:tcW w:w="528"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方正仿宋_GB2312" w:hAnsi="Times New Roman" w:cs="Times New Roman"/>
                <w:color w:val="000000"/>
                <w:sz w:val="18"/>
                <w:szCs w:val="18"/>
              </w:rPr>
            </w:pPr>
          </w:p>
        </w:tc>
        <w:tc>
          <w:tcPr>
            <w:tcW w:w="350"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2.00</w:t>
            </w:r>
          </w:p>
        </w:tc>
        <w:tc>
          <w:tcPr>
            <w:tcW w:w="407"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方正仿宋_GB2312" w:hAnsi="Times New Roman" w:cs="Times New Roman"/>
                <w:color w:val="000000"/>
                <w:sz w:val="18"/>
                <w:szCs w:val="18"/>
              </w:rPr>
            </w:pPr>
          </w:p>
        </w:tc>
        <w:tc>
          <w:tcPr>
            <w:tcW w:w="458" w:type="pct"/>
            <w:gridSpan w:val="2"/>
            <w:tcBorders>
              <w:top w:val="nil"/>
              <w:left w:val="nil"/>
              <w:bottom w:val="single" w:sz="4" w:space="0" w:color="000000"/>
              <w:right w:val="single" w:sz="4" w:space="0" w:color="000000"/>
            </w:tcBorders>
            <w:noWrap/>
            <w:vAlign w:val="center"/>
          </w:tcPr>
          <w:p w:rsidR="0081201E" w:rsidRDefault="006E23F4">
            <w:pPr>
              <w:jc w:val="right"/>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2.00</w:t>
            </w:r>
          </w:p>
        </w:tc>
        <w:tc>
          <w:tcPr>
            <w:tcW w:w="335"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方正仿宋_GB2312" w:hAnsi="Times New Roman" w:cs="Times New Roman"/>
                <w:color w:val="000000"/>
                <w:sz w:val="18"/>
                <w:szCs w:val="18"/>
              </w:rPr>
            </w:pPr>
          </w:p>
        </w:tc>
        <w:tc>
          <w:tcPr>
            <w:tcW w:w="366"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2.00</w:t>
            </w:r>
          </w:p>
        </w:tc>
        <w:tc>
          <w:tcPr>
            <w:tcW w:w="488"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方正仿宋_GB2312" w:hAnsi="Times New Roman" w:cs="Times New Roman"/>
                <w:color w:val="000000"/>
                <w:sz w:val="18"/>
                <w:szCs w:val="18"/>
              </w:rPr>
            </w:pPr>
          </w:p>
        </w:tc>
        <w:tc>
          <w:tcPr>
            <w:tcW w:w="275"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2.00</w:t>
            </w:r>
          </w:p>
        </w:tc>
        <w:tc>
          <w:tcPr>
            <w:tcW w:w="442"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方正仿宋_GB2312" w:hAnsi="Times New Roman" w:cs="Times New Roman"/>
                <w:color w:val="000000"/>
                <w:sz w:val="18"/>
                <w:szCs w:val="18"/>
              </w:rPr>
            </w:pPr>
          </w:p>
        </w:tc>
        <w:tc>
          <w:tcPr>
            <w:tcW w:w="407" w:type="pct"/>
            <w:tcBorders>
              <w:top w:val="nil"/>
              <w:left w:val="nil"/>
              <w:bottom w:val="single" w:sz="4" w:space="0" w:color="000000"/>
              <w:right w:val="single" w:sz="4" w:space="0" w:color="000000"/>
            </w:tcBorders>
            <w:noWrap/>
            <w:vAlign w:val="center"/>
          </w:tcPr>
          <w:p w:rsidR="0081201E" w:rsidRDefault="006E23F4">
            <w:pPr>
              <w:jc w:val="right"/>
              <w:rPr>
                <w:rFonts w:ascii="Times New Roman" w:eastAsia="方正仿宋_GB2312" w:hAnsi="Times New Roman" w:cs="Times New Roman"/>
                <w:color w:val="000000"/>
                <w:sz w:val="18"/>
                <w:szCs w:val="18"/>
              </w:rPr>
            </w:pPr>
            <w:r>
              <w:rPr>
                <w:rFonts w:ascii="Times New Roman" w:eastAsia="方正仿宋_GB2312" w:hAnsi="Times New Roman" w:cs="Times New Roman"/>
                <w:color w:val="000000"/>
                <w:sz w:val="18"/>
                <w:szCs w:val="18"/>
              </w:rPr>
              <w:t>2.00</w:t>
            </w:r>
          </w:p>
        </w:tc>
        <w:tc>
          <w:tcPr>
            <w:tcW w:w="511" w:type="pct"/>
            <w:tcBorders>
              <w:top w:val="nil"/>
              <w:left w:val="nil"/>
              <w:bottom w:val="single" w:sz="4" w:space="0" w:color="000000"/>
              <w:right w:val="single" w:sz="4" w:space="0" w:color="000000"/>
            </w:tcBorders>
            <w:noWrap/>
            <w:vAlign w:val="center"/>
          </w:tcPr>
          <w:p w:rsidR="0081201E" w:rsidRDefault="0081201E">
            <w:pPr>
              <w:jc w:val="right"/>
              <w:rPr>
                <w:rFonts w:ascii="Times New Roman" w:eastAsia="方正仿宋_GB2312" w:hAnsi="Times New Roman" w:cs="Times New Roman"/>
                <w:color w:val="000000"/>
                <w:sz w:val="18"/>
                <w:szCs w:val="18"/>
              </w:rPr>
            </w:pPr>
          </w:p>
        </w:tc>
      </w:tr>
      <w:tr w:rsidR="0081201E">
        <w:trPr>
          <w:trHeight w:val="431"/>
        </w:trPr>
        <w:tc>
          <w:tcPr>
            <w:tcW w:w="5000" w:type="pct"/>
            <w:gridSpan w:val="13"/>
            <w:tcBorders>
              <w:top w:val="nil"/>
              <w:left w:val="nil"/>
              <w:bottom w:val="nil"/>
              <w:right w:val="nil"/>
            </w:tcBorders>
            <w:noWrap/>
            <w:vAlign w:val="center"/>
          </w:tcPr>
          <w:p w:rsidR="0081201E" w:rsidRDefault="006E23F4">
            <w:pPr>
              <w:widowControl/>
              <w:jc w:val="left"/>
              <w:textAlignment w:val="center"/>
              <w:rPr>
                <w:rFonts w:ascii="宋体" w:eastAsia="宋体" w:hAnsi="宋体"/>
                <w:color w:val="000000"/>
                <w:sz w:val="18"/>
                <w:szCs w:val="18"/>
              </w:rPr>
            </w:pPr>
            <w:r>
              <w:rPr>
                <w:rFonts w:ascii="方正仿宋_GB2312" w:eastAsia="方正仿宋_GB2312" w:hAnsi="方正仿宋_GB2312" w:cs="方正仿宋_GB2312" w:hint="eastAsia"/>
                <w:color w:val="000000"/>
                <w:sz w:val="18"/>
                <w:szCs w:val="18"/>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rsidR="0081201E" w:rsidRDefault="0081201E">
      <w:pPr>
        <w:rPr>
          <w:rFonts w:ascii="仿宋_GB2312" w:eastAsia="仿宋_GB2312" w:hAnsi="宋体"/>
          <w:b/>
          <w:sz w:val="32"/>
          <w:szCs w:val="32"/>
        </w:rPr>
      </w:pPr>
    </w:p>
    <w:p w:rsidR="0081201E" w:rsidRDefault="006E23F4">
      <w:pPr>
        <w:rPr>
          <w:rFonts w:ascii="仿宋_GB2312" w:eastAsia="仿宋_GB2312" w:hAnsi="宋体"/>
          <w:b/>
          <w:sz w:val="32"/>
          <w:szCs w:val="32"/>
        </w:rPr>
      </w:pPr>
      <w:r>
        <w:rPr>
          <w:rFonts w:ascii="仿宋_GB2312" w:eastAsia="仿宋_GB2312" w:hAnsi="宋体" w:hint="eastAsia"/>
          <w:b/>
          <w:sz w:val="32"/>
          <w:szCs w:val="32"/>
        </w:rPr>
        <w:br w:type="page"/>
      </w:r>
    </w:p>
    <w:p w:rsidR="0081201E" w:rsidRDefault="0081201E">
      <w:pPr>
        <w:rPr>
          <w:rFonts w:ascii="仿宋_GB2312" w:eastAsia="仿宋_GB2312" w:hAnsi="宋体"/>
          <w:b/>
          <w:sz w:val="32"/>
          <w:szCs w:val="32"/>
        </w:rPr>
        <w:sectPr w:rsidR="0081201E">
          <w:headerReference w:type="default" r:id="rId14"/>
          <w:pgSz w:w="11906" w:h="16838"/>
          <w:pgMar w:top="1531" w:right="1984" w:bottom="1531" w:left="2098" w:header="851" w:footer="992" w:gutter="0"/>
          <w:cols w:space="720"/>
          <w:docGrid w:type="lines" w:linePitch="312"/>
        </w:sectPr>
      </w:pPr>
    </w:p>
    <w:p w:rsidR="0081201E" w:rsidRDefault="006E23F4">
      <w:pPr>
        <w:widowControl/>
        <w:spacing w:line="360" w:lineRule="auto"/>
        <w:jc w:val="center"/>
        <w:outlineLvl w:val="0"/>
        <w:rPr>
          <w:rFonts w:ascii="Times New Roman" w:eastAsia="黑体"/>
          <w:sz w:val="44"/>
          <w:szCs w:val="44"/>
        </w:rPr>
      </w:pPr>
      <w:r>
        <w:rPr>
          <w:rFonts w:ascii="Times New Roman" w:eastAsia="黑体"/>
          <w:sz w:val="44"/>
          <w:szCs w:val="44"/>
        </w:rPr>
        <w:lastRenderedPageBreak/>
        <w:t>第三部分</w:t>
      </w:r>
      <w:r>
        <w:rPr>
          <w:rFonts w:ascii="Times New Roman" w:eastAsia="仿宋_GB2312"/>
          <w:sz w:val="44"/>
          <w:szCs w:val="44"/>
        </w:rPr>
        <w:t>2024</w:t>
      </w:r>
      <w:r>
        <w:rPr>
          <w:rFonts w:ascii="Times New Roman" w:eastAsia="黑体"/>
          <w:sz w:val="44"/>
          <w:szCs w:val="44"/>
        </w:rPr>
        <w:t>年度部门决算情况说明</w:t>
      </w:r>
    </w:p>
    <w:p w:rsidR="0081201E" w:rsidRDefault="006E23F4">
      <w:pPr>
        <w:widowControl/>
        <w:spacing w:line="360" w:lineRule="auto"/>
        <w:jc w:val="left"/>
        <w:outlineLvl w:val="1"/>
        <w:rPr>
          <w:rFonts w:ascii="Times New Roman" w:eastAsia="黑体"/>
          <w:sz w:val="32"/>
          <w:szCs w:val="32"/>
        </w:rPr>
      </w:pPr>
      <w:r>
        <w:rPr>
          <w:rFonts w:ascii="Times New Roman" w:eastAsia="黑体"/>
          <w:sz w:val="32"/>
          <w:szCs w:val="32"/>
        </w:rPr>
        <w:t>一、收入支出决算总体情况说明</w:t>
      </w:r>
    </w:p>
    <w:p w:rsidR="0081201E" w:rsidRPr="00535C9B" w:rsidRDefault="00E11EAE" w:rsidP="006E23F4">
      <w:pPr>
        <w:widowControl/>
        <w:spacing w:line="360" w:lineRule="auto"/>
        <w:ind w:firstLineChars="200" w:firstLine="640"/>
        <w:jc w:val="left"/>
        <w:rPr>
          <w:rFonts w:ascii="仿宋" w:eastAsia="仿宋" w:hAnsi="仿宋"/>
          <w:sz w:val="32"/>
          <w:szCs w:val="32"/>
        </w:rPr>
      </w:pPr>
      <w:r>
        <w:rPr>
          <w:rFonts w:ascii="仿宋" w:eastAsia="仿宋" w:hAnsi="仿宋"/>
          <w:sz w:val="32"/>
          <w:szCs w:val="32"/>
        </w:rPr>
        <w:t>本部门</w:t>
      </w:r>
      <w:r w:rsidR="006E23F4" w:rsidRPr="00535C9B">
        <w:rPr>
          <w:rFonts w:ascii="仿宋" w:eastAsia="仿宋" w:hAnsi="仿宋"/>
          <w:sz w:val="32"/>
          <w:szCs w:val="32"/>
        </w:rPr>
        <w:t>2024年度收、支总计（含结转和结余）均为2,573.10万元。与2023年度决算相比，收支各减少707.23万元，下降21.6%，主要原因是业务量减少，支出减少。</w:t>
      </w:r>
    </w:p>
    <w:p w:rsidR="0081201E" w:rsidRDefault="006E23F4">
      <w:pPr>
        <w:pStyle w:val="a7"/>
        <w:widowControl/>
        <w:spacing w:beforeAutospacing="0" w:afterAutospacing="0"/>
        <w:jc w:val="center"/>
        <w:rPr>
          <w:rFonts w:ascii="Times New Roman" w:eastAsia="Arial" w:hAnsi="Times New Roman"/>
        </w:rPr>
      </w:pPr>
      <w:r>
        <w:rPr>
          <w:rFonts w:ascii="Times New Roman" w:eastAsia="宋体" w:hAnsi="Times New Roman" w:hint="eastAsia"/>
          <w:noProof/>
        </w:rPr>
        <w:drawing>
          <wp:inline distT="0" distB="0" distL="114300" distR="114300">
            <wp:extent cx="5256530" cy="2988310"/>
            <wp:effectExtent l="5080" t="4445" r="8890"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Pr>
          <w:rFonts w:ascii="Times New Roman" w:eastAsia="Arial" w:hAnsi="Times New Roman"/>
          <w:color w:val="000000"/>
          <w:sz w:val="18"/>
          <w:szCs w:val="18"/>
          <w:shd w:val="clear" w:color="auto" w:fill="FFFFFF"/>
        </w:rPr>
        <w:t> </w:t>
      </w:r>
    </w:p>
    <w:p w:rsidR="0081201E" w:rsidRDefault="006E23F4">
      <w:pPr>
        <w:widowControl/>
        <w:spacing w:line="360" w:lineRule="auto"/>
        <w:jc w:val="left"/>
        <w:outlineLvl w:val="1"/>
        <w:rPr>
          <w:rFonts w:ascii="Times New Roman" w:eastAsia="黑体"/>
          <w:sz w:val="32"/>
          <w:szCs w:val="32"/>
        </w:rPr>
      </w:pPr>
      <w:r>
        <w:rPr>
          <w:rFonts w:ascii="Times New Roman" w:eastAsia="黑体"/>
          <w:sz w:val="32"/>
          <w:szCs w:val="32"/>
        </w:rPr>
        <w:t>二、收入决算情况说明</w:t>
      </w:r>
    </w:p>
    <w:p w:rsidR="0081201E" w:rsidRPr="00535C9B" w:rsidRDefault="00E11EAE" w:rsidP="006E23F4">
      <w:pPr>
        <w:widowControl/>
        <w:spacing w:line="360" w:lineRule="auto"/>
        <w:ind w:firstLineChars="200" w:firstLine="640"/>
        <w:jc w:val="left"/>
        <w:rPr>
          <w:rFonts w:ascii="仿宋" w:eastAsia="仿宋" w:hAnsi="仿宋"/>
          <w:sz w:val="32"/>
          <w:szCs w:val="32"/>
        </w:rPr>
      </w:pPr>
      <w:r>
        <w:rPr>
          <w:rFonts w:ascii="仿宋" w:eastAsia="仿宋" w:hAnsi="仿宋"/>
          <w:sz w:val="32"/>
          <w:szCs w:val="32"/>
        </w:rPr>
        <w:t>本部门</w:t>
      </w:r>
      <w:r w:rsidR="006E23F4" w:rsidRPr="00535C9B">
        <w:rPr>
          <w:rFonts w:ascii="仿宋" w:eastAsia="仿宋" w:hAnsi="仿宋"/>
          <w:sz w:val="32"/>
          <w:szCs w:val="32"/>
        </w:rPr>
        <w:t>2024年度本年收入合计2,562.54万元，其中：财政拨款收入2,562.54万元，占10</w:t>
      </w:r>
      <w:r w:rsidR="000C5FCE">
        <w:rPr>
          <w:rFonts w:ascii="仿宋" w:eastAsia="仿宋" w:hAnsi="仿宋"/>
          <w:sz w:val="32"/>
          <w:szCs w:val="32"/>
        </w:rPr>
        <w:t>0</w:t>
      </w:r>
      <w:r w:rsidR="006E23F4" w:rsidRPr="00535C9B">
        <w:rPr>
          <w:rFonts w:ascii="仿宋" w:eastAsia="仿宋" w:hAnsi="仿宋"/>
          <w:sz w:val="32"/>
          <w:szCs w:val="32"/>
        </w:rPr>
        <w:t>%；上级补助收入</w:t>
      </w:r>
      <w:r w:rsidR="000C5FCE">
        <w:rPr>
          <w:rFonts w:ascii="仿宋" w:eastAsia="仿宋" w:hAnsi="仿宋"/>
          <w:sz w:val="32"/>
          <w:szCs w:val="32"/>
        </w:rPr>
        <w:t>0</w:t>
      </w:r>
      <w:r w:rsidR="006E23F4" w:rsidRPr="00535C9B">
        <w:rPr>
          <w:rFonts w:ascii="仿宋" w:eastAsia="仿宋" w:hAnsi="仿宋"/>
          <w:sz w:val="32"/>
          <w:szCs w:val="32"/>
        </w:rPr>
        <w:t>万元，占</w:t>
      </w:r>
      <w:r w:rsidR="000C5FCE">
        <w:rPr>
          <w:rFonts w:ascii="仿宋" w:eastAsia="仿宋" w:hAnsi="仿宋"/>
          <w:sz w:val="32"/>
          <w:szCs w:val="32"/>
        </w:rPr>
        <w:t>0</w:t>
      </w:r>
      <w:r w:rsidR="006E23F4" w:rsidRPr="00535C9B">
        <w:rPr>
          <w:rFonts w:ascii="仿宋" w:eastAsia="仿宋" w:hAnsi="仿宋"/>
          <w:sz w:val="32"/>
          <w:szCs w:val="32"/>
        </w:rPr>
        <w:t>%；事业收入</w:t>
      </w:r>
      <w:r w:rsidR="000C5FCE">
        <w:rPr>
          <w:rFonts w:ascii="仿宋" w:eastAsia="仿宋" w:hAnsi="仿宋"/>
          <w:sz w:val="32"/>
          <w:szCs w:val="32"/>
        </w:rPr>
        <w:t>0</w:t>
      </w:r>
      <w:r w:rsidR="006E23F4" w:rsidRPr="00535C9B">
        <w:rPr>
          <w:rFonts w:ascii="仿宋" w:eastAsia="仿宋" w:hAnsi="仿宋"/>
          <w:sz w:val="32"/>
          <w:szCs w:val="32"/>
        </w:rPr>
        <w:t>万元，占</w:t>
      </w:r>
      <w:r w:rsidR="00535C9B">
        <w:rPr>
          <w:rFonts w:ascii="仿宋" w:eastAsia="仿宋" w:hAnsi="仿宋"/>
          <w:sz w:val="32"/>
          <w:szCs w:val="32"/>
        </w:rPr>
        <w:t>0</w:t>
      </w:r>
      <w:r w:rsidR="006E23F4" w:rsidRPr="00535C9B">
        <w:rPr>
          <w:rFonts w:ascii="仿宋" w:eastAsia="仿宋" w:hAnsi="仿宋"/>
          <w:sz w:val="32"/>
          <w:szCs w:val="32"/>
        </w:rPr>
        <w:t>%；经营收入</w:t>
      </w:r>
      <w:r w:rsidR="000C5FCE">
        <w:rPr>
          <w:rFonts w:ascii="仿宋" w:eastAsia="仿宋" w:hAnsi="仿宋"/>
          <w:sz w:val="32"/>
          <w:szCs w:val="32"/>
        </w:rPr>
        <w:t>0</w:t>
      </w:r>
      <w:r w:rsidR="006E23F4" w:rsidRPr="00535C9B">
        <w:rPr>
          <w:rFonts w:ascii="仿宋" w:eastAsia="仿宋" w:hAnsi="仿宋"/>
          <w:sz w:val="32"/>
          <w:szCs w:val="32"/>
        </w:rPr>
        <w:t>万元，占</w:t>
      </w:r>
      <w:r w:rsidR="00535C9B">
        <w:rPr>
          <w:rFonts w:ascii="仿宋" w:eastAsia="仿宋" w:hAnsi="仿宋"/>
          <w:sz w:val="32"/>
          <w:szCs w:val="32"/>
        </w:rPr>
        <w:t>0</w:t>
      </w:r>
      <w:r w:rsidR="006E23F4" w:rsidRPr="00535C9B">
        <w:rPr>
          <w:rFonts w:ascii="仿宋" w:eastAsia="仿宋" w:hAnsi="仿宋"/>
          <w:sz w:val="32"/>
          <w:szCs w:val="32"/>
        </w:rPr>
        <w:t>%；附属单位上缴收入</w:t>
      </w:r>
      <w:r w:rsidR="000C5FCE">
        <w:rPr>
          <w:rFonts w:ascii="仿宋" w:eastAsia="仿宋" w:hAnsi="仿宋"/>
          <w:sz w:val="32"/>
          <w:szCs w:val="32"/>
        </w:rPr>
        <w:t>0</w:t>
      </w:r>
      <w:r w:rsidR="006E23F4" w:rsidRPr="00535C9B">
        <w:rPr>
          <w:rFonts w:ascii="仿宋" w:eastAsia="仿宋" w:hAnsi="仿宋"/>
          <w:sz w:val="32"/>
          <w:szCs w:val="32"/>
        </w:rPr>
        <w:t>万元，占</w:t>
      </w:r>
      <w:r w:rsidR="00535C9B">
        <w:rPr>
          <w:rFonts w:ascii="仿宋" w:eastAsia="仿宋" w:hAnsi="仿宋"/>
          <w:sz w:val="32"/>
          <w:szCs w:val="32"/>
        </w:rPr>
        <w:t>0</w:t>
      </w:r>
      <w:r w:rsidR="006E23F4" w:rsidRPr="00535C9B">
        <w:rPr>
          <w:rFonts w:ascii="仿宋" w:eastAsia="仿宋" w:hAnsi="仿宋"/>
          <w:sz w:val="32"/>
          <w:szCs w:val="32"/>
        </w:rPr>
        <w:t>%；其他收入</w:t>
      </w:r>
      <w:r w:rsidR="000C5FCE">
        <w:rPr>
          <w:rFonts w:ascii="仿宋" w:eastAsia="仿宋" w:hAnsi="仿宋"/>
          <w:sz w:val="32"/>
          <w:szCs w:val="32"/>
        </w:rPr>
        <w:t>0</w:t>
      </w:r>
      <w:r w:rsidR="006E23F4" w:rsidRPr="00535C9B">
        <w:rPr>
          <w:rFonts w:ascii="仿宋" w:eastAsia="仿宋" w:hAnsi="仿宋"/>
          <w:sz w:val="32"/>
          <w:szCs w:val="32"/>
        </w:rPr>
        <w:t>万元，占</w:t>
      </w:r>
      <w:r w:rsidR="00535C9B">
        <w:rPr>
          <w:rFonts w:ascii="仿宋" w:eastAsia="仿宋" w:hAnsi="仿宋"/>
          <w:sz w:val="32"/>
          <w:szCs w:val="32"/>
        </w:rPr>
        <w:t>0</w:t>
      </w:r>
      <w:r w:rsidR="006E23F4" w:rsidRPr="00535C9B">
        <w:rPr>
          <w:rFonts w:ascii="仿宋" w:eastAsia="仿宋" w:hAnsi="仿宋"/>
          <w:sz w:val="32"/>
          <w:szCs w:val="32"/>
        </w:rPr>
        <w:t>%。</w:t>
      </w:r>
    </w:p>
    <w:p w:rsidR="0081201E" w:rsidRDefault="0081201E">
      <w:pPr>
        <w:adjustRightInd w:val="0"/>
        <w:snapToGrid w:val="0"/>
        <w:spacing w:line="580" w:lineRule="exact"/>
        <w:rPr>
          <w:rFonts w:ascii="Times New Roman" w:eastAsia="仿宋_GB2312" w:hAnsi="Times New Roman" w:cs="Times New Roman"/>
          <w:kern w:val="2"/>
          <w:sz w:val="32"/>
          <w:szCs w:val="32"/>
          <w:highlight w:val="yellow"/>
          <w:lang w:val="zh-CN"/>
        </w:rPr>
      </w:pPr>
    </w:p>
    <w:p w:rsidR="0081201E" w:rsidRDefault="006E23F4">
      <w:pPr>
        <w:widowControl/>
        <w:spacing w:line="360" w:lineRule="auto"/>
        <w:jc w:val="left"/>
        <w:outlineLvl w:val="1"/>
        <w:rPr>
          <w:rFonts w:ascii="Times New Roman" w:eastAsia="黑体"/>
          <w:sz w:val="32"/>
          <w:szCs w:val="32"/>
        </w:rPr>
      </w:pPr>
      <w:r>
        <w:rPr>
          <w:rFonts w:ascii="Times New Roman" w:eastAsia="黑体"/>
          <w:sz w:val="32"/>
          <w:szCs w:val="32"/>
        </w:rPr>
        <w:t>三、支出决算情况说明</w:t>
      </w:r>
    </w:p>
    <w:p w:rsidR="0081201E" w:rsidRPr="00535C9B" w:rsidRDefault="00E11EAE" w:rsidP="006E23F4">
      <w:pPr>
        <w:widowControl/>
        <w:spacing w:line="360" w:lineRule="auto"/>
        <w:ind w:firstLineChars="200" w:firstLine="640"/>
        <w:jc w:val="left"/>
        <w:rPr>
          <w:rFonts w:ascii="仿宋" w:eastAsia="仿宋" w:hAnsi="仿宋"/>
          <w:sz w:val="32"/>
          <w:szCs w:val="32"/>
        </w:rPr>
      </w:pPr>
      <w:r>
        <w:rPr>
          <w:rFonts w:ascii="仿宋" w:eastAsia="仿宋" w:hAnsi="仿宋"/>
          <w:sz w:val="32"/>
          <w:szCs w:val="32"/>
        </w:rPr>
        <w:lastRenderedPageBreak/>
        <w:t>本部门</w:t>
      </w:r>
      <w:r w:rsidR="006E23F4" w:rsidRPr="00535C9B">
        <w:rPr>
          <w:rFonts w:ascii="仿宋" w:eastAsia="仿宋" w:hAnsi="仿宋"/>
          <w:sz w:val="32"/>
          <w:szCs w:val="32"/>
        </w:rPr>
        <w:t>2024年度本年支出合计2,562.71万元，其中：基本支出1,338.95万元，占52.2%；项目支出1,223.76万元，占47.8%；上缴上级支出</w:t>
      </w:r>
      <w:r w:rsidR="000C5FCE">
        <w:rPr>
          <w:rFonts w:ascii="仿宋" w:eastAsia="仿宋" w:hAnsi="仿宋"/>
          <w:sz w:val="32"/>
          <w:szCs w:val="32"/>
        </w:rPr>
        <w:t>0</w:t>
      </w:r>
      <w:r w:rsidR="006E23F4" w:rsidRPr="00535C9B">
        <w:rPr>
          <w:rFonts w:ascii="仿宋" w:eastAsia="仿宋" w:hAnsi="仿宋"/>
          <w:sz w:val="32"/>
          <w:szCs w:val="32"/>
        </w:rPr>
        <w:t>万元，占</w:t>
      </w:r>
      <w:r w:rsidR="00535C9B" w:rsidRPr="00535C9B">
        <w:rPr>
          <w:rFonts w:ascii="仿宋" w:eastAsia="仿宋" w:hAnsi="仿宋"/>
          <w:sz w:val="32"/>
          <w:szCs w:val="32"/>
        </w:rPr>
        <w:t>0</w:t>
      </w:r>
      <w:r w:rsidR="006E23F4" w:rsidRPr="00535C9B">
        <w:rPr>
          <w:rFonts w:ascii="仿宋" w:eastAsia="仿宋" w:hAnsi="仿宋"/>
          <w:sz w:val="32"/>
          <w:szCs w:val="32"/>
        </w:rPr>
        <w:t>%；经营支出</w:t>
      </w:r>
      <w:r w:rsidR="000C5FCE">
        <w:rPr>
          <w:rFonts w:ascii="仿宋" w:eastAsia="仿宋" w:hAnsi="仿宋"/>
          <w:sz w:val="32"/>
          <w:szCs w:val="32"/>
        </w:rPr>
        <w:t>0</w:t>
      </w:r>
      <w:r w:rsidR="006E23F4" w:rsidRPr="00535C9B">
        <w:rPr>
          <w:rFonts w:ascii="仿宋" w:eastAsia="仿宋" w:hAnsi="仿宋"/>
          <w:sz w:val="32"/>
          <w:szCs w:val="32"/>
        </w:rPr>
        <w:t>万元，占</w:t>
      </w:r>
      <w:r w:rsidR="00535C9B" w:rsidRPr="00535C9B">
        <w:rPr>
          <w:rFonts w:ascii="仿宋" w:eastAsia="仿宋" w:hAnsi="仿宋"/>
          <w:sz w:val="32"/>
          <w:szCs w:val="32"/>
        </w:rPr>
        <w:t>0</w:t>
      </w:r>
      <w:r w:rsidR="006E23F4" w:rsidRPr="00535C9B">
        <w:rPr>
          <w:rFonts w:ascii="仿宋" w:eastAsia="仿宋" w:hAnsi="仿宋"/>
          <w:sz w:val="32"/>
          <w:szCs w:val="32"/>
        </w:rPr>
        <w:t>%；对附属单位补助支出</w:t>
      </w:r>
      <w:r w:rsidR="000C5FCE">
        <w:rPr>
          <w:rFonts w:ascii="仿宋" w:eastAsia="仿宋" w:hAnsi="仿宋"/>
          <w:sz w:val="32"/>
          <w:szCs w:val="32"/>
        </w:rPr>
        <w:t>0</w:t>
      </w:r>
      <w:r w:rsidR="006E23F4" w:rsidRPr="00535C9B">
        <w:rPr>
          <w:rFonts w:ascii="仿宋" w:eastAsia="仿宋" w:hAnsi="仿宋"/>
          <w:sz w:val="32"/>
          <w:szCs w:val="32"/>
        </w:rPr>
        <w:t>万元，占</w:t>
      </w:r>
      <w:r w:rsidR="00535C9B" w:rsidRPr="00535C9B">
        <w:rPr>
          <w:rFonts w:ascii="仿宋" w:eastAsia="仿宋" w:hAnsi="仿宋"/>
          <w:sz w:val="32"/>
          <w:szCs w:val="32"/>
        </w:rPr>
        <w:t>0</w:t>
      </w:r>
      <w:r w:rsidR="006E23F4" w:rsidRPr="00535C9B">
        <w:rPr>
          <w:rFonts w:ascii="仿宋" w:eastAsia="仿宋" w:hAnsi="仿宋"/>
          <w:sz w:val="32"/>
          <w:szCs w:val="32"/>
        </w:rPr>
        <w:t>%。</w:t>
      </w:r>
    </w:p>
    <w:p w:rsidR="0081201E" w:rsidRDefault="006E23F4">
      <w:pPr>
        <w:autoSpaceDE w:val="0"/>
        <w:autoSpaceDN w:val="0"/>
        <w:adjustRightInd w:val="0"/>
        <w:jc w:val="center"/>
        <w:rPr>
          <w:rFonts w:ascii="Times New Roman" w:eastAsia="仿宋_GB2312" w:hAnsi="Times New Roman" w:cs="Times New Roman"/>
          <w:sz w:val="32"/>
          <w:szCs w:val="32"/>
        </w:rPr>
      </w:pPr>
      <w:r>
        <w:rPr>
          <w:rFonts w:ascii="Times New Roman" w:eastAsia="仿宋_GB2312" w:hAnsi="Times New Roman" w:cs="Times New Roman"/>
          <w:noProof/>
          <w:sz w:val="32"/>
          <w:szCs w:val="32"/>
        </w:rPr>
        <w:drawing>
          <wp:inline distT="0" distB="0" distL="114300" distR="114300">
            <wp:extent cx="5256530" cy="2988310"/>
            <wp:effectExtent l="5080" t="4445" r="1143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1201E" w:rsidRDefault="006E23F4" w:rsidP="006E23F4">
      <w:pPr>
        <w:widowControl/>
        <w:spacing w:line="360" w:lineRule="auto"/>
        <w:ind w:firstLineChars="200" w:firstLine="640"/>
        <w:jc w:val="left"/>
        <w:outlineLvl w:val="1"/>
        <w:rPr>
          <w:rFonts w:ascii="Times New Roman" w:eastAsia="黑体"/>
          <w:sz w:val="32"/>
          <w:szCs w:val="32"/>
        </w:rPr>
      </w:pPr>
      <w:r>
        <w:rPr>
          <w:rFonts w:ascii="Times New Roman" w:eastAsia="黑体"/>
          <w:sz w:val="32"/>
          <w:szCs w:val="32"/>
        </w:rPr>
        <w:t>四、财政拨款收入支出决算总体情况说明</w:t>
      </w:r>
    </w:p>
    <w:p w:rsidR="0081201E" w:rsidRDefault="006E23F4" w:rsidP="006E23F4">
      <w:pPr>
        <w:widowControl/>
        <w:spacing w:line="360" w:lineRule="auto"/>
        <w:ind w:firstLineChars="200" w:firstLine="641"/>
        <w:jc w:val="left"/>
        <w:rPr>
          <w:rFonts w:ascii="Times New Roman" w:eastAsia="楷体_GB2312"/>
          <w:sz w:val="32"/>
          <w:szCs w:val="32"/>
        </w:rPr>
      </w:pPr>
      <w:r>
        <w:rPr>
          <w:rFonts w:ascii="Times New Roman" w:eastAsia="楷体_GB2312"/>
          <w:b/>
          <w:sz w:val="32"/>
          <w:szCs w:val="32"/>
        </w:rPr>
        <w:t>（一）</w:t>
      </w:r>
      <w:r w:rsidRPr="00535C9B">
        <w:rPr>
          <w:rFonts w:ascii="楷体" w:eastAsia="楷体" w:hAnsi="楷体"/>
          <w:b/>
          <w:sz w:val="32"/>
          <w:szCs w:val="32"/>
        </w:rPr>
        <w:t>财政拨款收支与2023年度决算对比情况</w:t>
      </w:r>
    </w:p>
    <w:p w:rsidR="0081201E" w:rsidRPr="00535C9B" w:rsidRDefault="00E11EAE" w:rsidP="006E23F4">
      <w:pPr>
        <w:widowControl/>
        <w:spacing w:line="360" w:lineRule="auto"/>
        <w:ind w:firstLineChars="200" w:firstLine="640"/>
        <w:jc w:val="left"/>
        <w:rPr>
          <w:rFonts w:ascii="仿宋" w:eastAsia="仿宋" w:hAnsi="仿宋"/>
          <w:sz w:val="32"/>
          <w:szCs w:val="32"/>
        </w:rPr>
      </w:pPr>
      <w:r>
        <w:rPr>
          <w:rFonts w:ascii="仿宋" w:eastAsia="仿宋" w:hAnsi="仿宋"/>
          <w:sz w:val="32"/>
          <w:szCs w:val="32"/>
        </w:rPr>
        <w:t>本部门</w:t>
      </w:r>
      <w:r w:rsidR="006E23F4" w:rsidRPr="00535C9B">
        <w:rPr>
          <w:rFonts w:ascii="仿宋" w:eastAsia="仿宋" w:hAnsi="仿宋"/>
          <w:sz w:val="32"/>
          <w:szCs w:val="32"/>
        </w:rPr>
        <w:t>2024年度财政拨款收、支总计（含结转和结余）均为2,573.10万元。与2023年度相比，财政拨款收支各减少707.23万元，降低21.6%，主要原因是业务量减少，相关支出减少。</w:t>
      </w:r>
    </w:p>
    <w:p w:rsidR="0081201E" w:rsidRPr="00535C9B" w:rsidRDefault="00E11EAE" w:rsidP="006E23F4">
      <w:pPr>
        <w:widowControl/>
        <w:spacing w:line="360" w:lineRule="auto"/>
        <w:ind w:firstLineChars="200" w:firstLine="640"/>
        <w:jc w:val="left"/>
        <w:rPr>
          <w:rFonts w:ascii="仿宋" w:eastAsia="仿宋" w:hAnsi="仿宋"/>
          <w:sz w:val="32"/>
          <w:szCs w:val="32"/>
        </w:rPr>
      </w:pPr>
      <w:r>
        <w:rPr>
          <w:rFonts w:ascii="仿宋" w:eastAsia="仿宋" w:hAnsi="仿宋"/>
          <w:sz w:val="32"/>
          <w:szCs w:val="32"/>
        </w:rPr>
        <w:t>本部门</w:t>
      </w:r>
      <w:r w:rsidR="006E23F4" w:rsidRPr="00535C9B">
        <w:rPr>
          <w:rFonts w:ascii="仿宋" w:eastAsia="仿宋" w:hAnsi="仿宋"/>
          <w:sz w:val="32"/>
          <w:szCs w:val="32"/>
        </w:rPr>
        <w:t>2024年度财政拨款本年收入2,562.54万元,比上年减少675.14万元，降低20.9%，主要原因是业务量减少，相关支出</w:t>
      </w:r>
      <w:r w:rsidR="006E23F4" w:rsidRPr="00535C9B">
        <w:rPr>
          <w:rFonts w:ascii="仿宋" w:eastAsia="仿宋" w:hAnsi="仿宋"/>
          <w:sz w:val="32"/>
          <w:szCs w:val="32"/>
        </w:rPr>
        <w:lastRenderedPageBreak/>
        <w:t>减少；本年支出2,562.71万元，比上年减少707.06万元，降低21.6%，主要原因是业务量减少，支出减少。具体情况如下：</w:t>
      </w:r>
    </w:p>
    <w:p w:rsidR="0081201E" w:rsidRPr="00535C9B" w:rsidRDefault="006E23F4" w:rsidP="006E23F4">
      <w:pPr>
        <w:widowControl/>
        <w:spacing w:line="360" w:lineRule="auto"/>
        <w:ind w:firstLineChars="200" w:firstLine="640"/>
        <w:jc w:val="left"/>
        <w:outlineLvl w:val="1"/>
        <w:rPr>
          <w:rFonts w:ascii="仿宋" w:eastAsia="仿宋" w:hAnsi="仿宋"/>
          <w:sz w:val="32"/>
          <w:szCs w:val="32"/>
        </w:rPr>
      </w:pPr>
      <w:r w:rsidRPr="00535C9B">
        <w:rPr>
          <w:rFonts w:ascii="仿宋" w:eastAsia="仿宋" w:hAnsi="仿宋"/>
          <w:sz w:val="32"/>
          <w:szCs w:val="32"/>
        </w:rPr>
        <w:t>1.一般公共预算财政拨款本年收入2,562.54万元,比上年增加363.98万元，增长16.6%，主要原因是人员经费增加</w:t>
      </w:r>
      <w:r w:rsidRPr="00535C9B">
        <w:rPr>
          <w:rFonts w:ascii="仿宋" w:eastAsia="仿宋"/>
          <w:sz w:val="32"/>
          <w:szCs w:val="32"/>
        </w:rPr>
        <w:t> </w:t>
      </w:r>
      <w:r w:rsidRPr="00535C9B">
        <w:rPr>
          <w:rFonts w:ascii="仿宋" w:eastAsia="仿宋" w:hAnsi="仿宋"/>
          <w:sz w:val="32"/>
          <w:szCs w:val="32"/>
        </w:rPr>
        <w:t>；本年支出2,562.71万元，比上年增加332.06万元，增长14.9%，主要原因是人员经费增加。</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2.政府性基金预算财政拨款本年收入</w:t>
      </w:r>
      <w:r w:rsidR="000C5FCE">
        <w:rPr>
          <w:rFonts w:ascii="仿宋" w:eastAsia="仿宋" w:hAnsi="仿宋"/>
          <w:sz w:val="32"/>
          <w:szCs w:val="32"/>
        </w:rPr>
        <w:t>0</w:t>
      </w:r>
      <w:r w:rsidRPr="00535C9B">
        <w:rPr>
          <w:rFonts w:ascii="仿宋" w:eastAsia="仿宋" w:hAnsi="仿宋"/>
          <w:sz w:val="32"/>
          <w:szCs w:val="32"/>
        </w:rPr>
        <w:t>万元，比上年减少1,039.12万元，降低10</w:t>
      </w:r>
      <w:r w:rsidR="000C5FCE">
        <w:rPr>
          <w:rFonts w:ascii="仿宋" w:eastAsia="仿宋" w:hAnsi="仿宋"/>
          <w:sz w:val="32"/>
          <w:szCs w:val="32"/>
        </w:rPr>
        <w:t>0</w:t>
      </w:r>
      <w:r w:rsidRPr="00535C9B">
        <w:rPr>
          <w:rFonts w:ascii="仿宋" w:eastAsia="仿宋" w:hAnsi="仿宋"/>
          <w:sz w:val="32"/>
          <w:szCs w:val="32"/>
        </w:rPr>
        <w:t>%，主要原因是业务量减少；本年支出</w:t>
      </w:r>
      <w:r w:rsidR="000C5FCE">
        <w:rPr>
          <w:rFonts w:ascii="仿宋" w:eastAsia="仿宋" w:hAnsi="仿宋"/>
          <w:sz w:val="32"/>
          <w:szCs w:val="32"/>
        </w:rPr>
        <w:t>0</w:t>
      </w:r>
      <w:r w:rsidRPr="00535C9B">
        <w:rPr>
          <w:rFonts w:ascii="仿宋" w:eastAsia="仿宋" w:hAnsi="仿宋"/>
          <w:sz w:val="32"/>
          <w:szCs w:val="32"/>
        </w:rPr>
        <w:t>万元，比上年减少1,039.12万元，降低10</w:t>
      </w:r>
      <w:r w:rsidR="000C5FCE">
        <w:rPr>
          <w:rFonts w:ascii="仿宋" w:eastAsia="仿宋" w:hAnsi="仿宋"/>
          <w:sz w:val="32"/>
          <w:szCs w:val="32"/>
        </w:rPr>
        <w:t>0</w:t>
      </w:r>
      <w:r w:rsidRPr="00535C9B">
        <w:rPr>
          <w:rFonts w:ascii="仿宋" w:eastAsia="仿宋" w:hAnsi="仿宋"/>
          <w:sz w:val="32"/>
          <w:szCs w:val="32"/>
        </w:rPr>
        <w:t>%，主要原因是业务量减少。</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3.国有资本经营预算财政拨款本年收入</w:t>
      </w:r>
      <w:r w:rsidR="000C5FCE">
        <w:rPr>
          <w:rFonts w:ascii="仿宋" w:eastAsia="仿宋" w:hAnsi="仿宋"/>
          <w:sz w:val="32"/>
          <w:szCs w:val="32"/>
        </w:rPr>
        <w:t>0</w:t>
      </w:r>
      <w:r w:rsidRPr="00535C9B">
        <w:rPr>
          <w:rFonts w:ascii="仿宋" w:eastAsia="仿宋" w:hAnsi="仿宋"/>
          <w:sz w:val="32"/>
          <w:szCs w:val="32"/>
        </w:rPr>
        <w:t>万元，比上年增加</w:t>
      </w:r>
      <w:r w:rsidR="000C5FCE">
        <w:rPr>
          <w:rFonts w:ascii="仿宋" w:eastAsia="仿宋" w:hAnsi="仿宋"/>
          <w:sz w:val="32"/>
          <w:szCs w:val="32"/>
        </w:rPr>
        <w:t>0</w:t>
      </w:r>
      <w:r w:rsidRPr="00535C9B">
        <w:rPr>
          <w:rFonts w:ascii="仿宋" w:eastAsia="仿宋" w:hAnsi="仿宋"/>
          <w:sz w:val="32"/>
          <w:szCs w:val="32"/>
        </w:rPr>
        <w:t>万元，增长</w:t>
      </w:r>
      <w:r w:rsidR="00535C9B">
        <w:rPr>
          <w:rFonts w:ascii="仿宋" w:eastAsia="仿宋" w:hAnsi="仿宋"/>
          <w:sz w:val="32"/>
          <w:szCs w:val="32"/>
        </w:rPr>
        <w:t>0</w:t>
      </w:r>
      <w:r w:rsidRPr="00535C9B">
        <w:rPr>
          <w:rFonts w:ascii="仿宋" w:eastAsia="仿宋" w:hAnsi="仿宋"/>
          <w:sz w:val="32"/>
          <w:szCs w:val="32"/>
        </w:rPr>
        <w:t>%，主要原因是本年及上年无相关预算及支出；本年支出</w:t>
      </w:r>
      <w:r w:rsidR="000C5FCE">
        <w:rPr>
          <w:rFonts w:ascii="仿宋" w:eastAsia="仿宋" w:hAnsi="仿宋"/>
          <w:sz w:val="32"/>
          <w:szCs w:val="32"/>
        </w:rPr>
        <w:t>0</w:t>
      </w:r>
      <w:r w:rsidRPr="00535C9B">
        <w:rPr>
          <w:rFonts w:ascii="仿宋" w:eastAsia="仿宋" w:hAnsi="仿宋"/>
          <w:sz w:val="32"/>
          <w:szCs w:val="32"/>
        </w:rPr>
        <w:t>万元，比上年增加</w:t>
      </w:r>
      <w:r w:rsidR="000C5FCE">
        <w:rPr>
          <w:rFonts w:ascii="仿宋" w:eastAsia="仿宋" w:hAnsi="仿宋"/>
          <w:sz w:val="32"/>
          <w:szCs w:val="32"/>
        </w:rPr>
        <w:t>0</w:t>
      </w:r>
      <w:r w:rsidRPr="00535C9B">
        <w:rPr>
          <w:rFonts w:ascii="仿宋" w:eastAsia="仿宋" w:hAnsi="仿宋"/>
          <w:sz w:val="32"/>
          <w:szCs w:val="32"/>
        </w:rPr>
        <w:t>万元，增长</w:t>
      </w:r>
      <w:r w:rsidR="00535C9B">
        <w:rPr>
          <w:rFonts w:ascii="仿宋" w:eastAsia="仿宋" w:hAnsi="仿宋"/>
          <w:sz w:val="32"/>
          <w:szCs w:val="32"/>
        </w:rPr>
        <w:t>0</w:t>
      </w:r>
      <w:r w:rsidRPr="00535C9B">
        <w:rPr>
          <w:rFonts w:ascii="仿宋" w:eastAsia="仿宋" w:hAnsi="仿宋"/>
          <w:sz w:val="32"/>
          <w:szCs w:val="32"/>
        </w:rPr>
        <w:t>%，主要原因是本年及上年无相关预算及支出。</w:t>
      </w:r>
    </w:p>
    <w:p w:rsidR="0081201E" w:rsidRDefault="006E23F4">
      <w:pPr>
        <w:pStyle w:val="a7"/>
        <w:widowControl/>
        <w:spacing w:beforeAutospacing="0" w:afterAutospacing="0"/>
        <w:jc w:val="center"/>
        <w:rPr>
          <w:rFonts w:ascii="Times New Roman" w:eastAsia="仿宋_GB2312" w:hAnsi="Times New Roman"/>
          <w:sz w:val="32"/>
          <w:szCs w:val="32"/>
        </w:rPr>
      </w:pPr>
      <w:r>
        <w:rPr>
          <w:rFonts w:ascii="Times New Roman" w:eastAsia="仿宋_GB2312" w:hAnsi="Times New Roman"/>
          <w:noProof/>
          <w:sz w:val="32"/>
          <w:szCs w:val="32"/>
        </w:rPr>
        <w:lastRenderedPageBreak/>
        <w:drawing>
          <wp:inline distT="0" distB="0" distL="114300" distR="114300">
            <wp:extent cx="5256530" cy="2988310"/>
            <wp:effectExtent l="19050" t="0" r="20320" b="254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81201E" w:rsidRPr="00535C9B" w:rsidRDefault="006E23F4" w:rsidP="00535C9B">
      <w:pPr>
        <w:widowControl/>
        <w:spacing w:line="360" w:lineRule="auto"/>
        <w:ind w:firstLineChars="200" w:firstLine="643"/>
        <w:jc w:val="left"/>
        <w:rPr>
          <w:rFonts w:ascii="楷体" w:eastAsia="楷体" w:hAnsi="楷体"/>
          <w:sz w:val="32"/>
          <w:szCs w:val="32"/>
        </w:rPr>
      </w:pPr>
      <w:r w:rsidRPr="00535C9B">
        <w:rPr>
          <w:rFonts w:ascii="楷体" w:eastAsia="楷体" w:hAnsi="楷体"/>
          <w:b/>
          <w:sz w:val="32"/>
          <w:szCs w:val="32"/>
        </w:rPr>
        <w:t>（二）财政拨款收支与年初预算数对比情况</w:t>
      </w:r>
    </w:p>
    <w:p w:rsidR="0081201E" w:rsidRPr="00535C9B" w:rsidRDefault="00E11EAE" w:rsidP="006E23F4">
      <w:pPr>
        <w:widowControl/>
        <w:spacing w:line="360" w:lineRule="auto"/>
        <w:ind w:firstLineChars="200" w:firstLine="640"/>
        <w:jc w:val="left"/>
        <w:rPr>
          <w:rFonts w:ascii="仿宋" w:eastAsia="仿宋" w:hAnsi="仿宋"/>
          <w:sz w:val="32"/>
          <w:szCs w:val="32"/>
        </w:rPr>
      </w:pPr>
      <w:r>
        <w:rPr>
          <w:rFonts w:ascii="仿宋" w:eastAsia="仿宋" w:hAnsi="仿宋"/>
          <w:sz w:val="32"/>
          <w:szCs w:val="32"/>
        </w:rPr>
        <w:t>本部门</w:t>
      </w:r>
      <w:r w:rsidR="006E23F4" w:rsidRPr="00535C9B">
        <w:rPr>
          <w:rFonts w:ascii="仿宋" w:eastAsia="仿宋" w:hAnsi="仿宋"/>
          <w:sz w:val="32"/>
          <w:szCs w:val="32"/>
        </w:rPr>
        <w:t>2024年度财政拨款本年收入2,562.54万元，完成年初预算的91.3%，比年初预算减少245.47万元，决算数小于预算数主要原因是业务量减少；本年支出2,562.71万元，完成年初预算的91.3%，比年初预算减少245.30万元，决算数小于预算数主要原因是业务量减少。具体情况如下：</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1.一般公共预算财政拨款本年收入完成年初预算的143.3%，比年初预算增加774.33万元，主要原因是人员经费增加；支出完成年初预算的143.3%，比年初预算增加774.50万元，主要原因是人员经费增加。</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2.政府性基金预算财政拨款本年收入完成年初预算的</w:t>
      </w:r>
      <w:r w:rsidR="000C5FCE">
        <w:rPr>
          <w:rFonts w:ascii="仿宋" w:eastAsia="仿宋" w:hAnsi="仿宋"/>
          <w:sz w:val="32"/>
          <w:szCs w:val="32"/>
        </w:rPr>
        <w:t>0</w:t>
      </w:r>
      <w:r w:rsidRPr="00535C9B">
        <w:rPr>
          <w:rFonts w:ascii="仿宋" w:eastAsia="仿宋" w:hAnsi="仿宋"/>
          <w:sz w:val="32"/>
          <w:szCs w:val="32"/>
        </w:rPr>
        <w:t>%，比年初预算减少1,019.80万元，主要原因是业务量减少；支出完成</w:t>
      </w:r>
      <w:r w:rsidRPr="00535C9B">
        <w:rPr>
          <w:rFonts w:ascii="仿宋" w:eastAsia="仿宋" w:hAnsi="仿宋"/>
          <w:sz w:val="32"/>
          <w:szCs w:val="32"/>
        </w:rPr>
        <w:lastRenderedPageBreak/>
        <w:t>年初预算的</w:t>
      </w:r>
      <w:r w:rsidR="000C5FCE">
        <w:rPr>
          <w:rFonts w:ascii="仿宋" w:eastAsia="仿宋" w:hAnsi="仿宋"/>
          <w:sz w:val="32"/>
          <w:szCs w:val="32"/>
        </w:rPr>
        <w:t>0</w:t>
      </w:r>
      <w:r w:rsidRPr="00535C9B">
        <w:rPr>
          <w:rFonts w:ascii="仿宋" w:eastAsia="仿宋" w:hAnsi="仿宋"/>
          <w:sz w:val="32"/>
          <w:szCs w:val="32"/>
        </w:rPr>
        <w:t>%，比年初预算减少1,019.80万元，主要原因是业务量减少。</w:t>
      </w:r>
    </w:p>
    <w:p w:rsidR="0081201E" w:rsidRPr="00535C9B" w:rsidRDefault="006E23F4" w:rsidP="006E23F4">
      <w:pPr>
        <w:widowControl/>
        <w:spacing w:line="360" w:lineRule="auto"/>
        <w:ind w:firstLineChars="200" w:firstLine="640"/>
        <w:jc w:val="left"/>
        <w:rPr>
          <w:rFonts w:ascii="仿宋" w:eastAsia="仿宋" w:hAnsi="仿宋"/>
          <w:sz w:val="32"/>
          <w:szCs w:val="32"/>
        </w:rPr>
      </w:pPr>
      <w:r w:rsidRPr="00535C9B">
        <w:rPr>
          <w:rFonts w:ascii="仿宋" w:eastAsia="仿宋" w:hAnsi="仿宋"/>
          <w:sz w:val="32"/>
          <w:szCs w:val="32"/>
        </w:rPr>
        <w:t>3.国有资本经营预算财政拨款本年收入完成年初预算的</w:t>
      </w:r>
      <w:r w:rsidR="000C5FCE">
        <w:rPr>
          <w:rFonts w:ascii="仿宋" w:eastAsia="仿宋" w:hAnsi="仿宋"/>
          <w:sz w:val="32"/>
          <w:szCs w:val="32"/>
        </w:rPr>
        <w:t>0</w:t>
      </w:r>
      <w:r w:rsidRPr="00535C9B">
        <w:rPr>
          <w:rFonts w:ascii="仿宋" w:eastAsia="仿宋" w:hAnsi="仿宋"/>
          <w:sz w:val="32"/>
          <w:szCs w:val="32"/>
        </w:rPr>
        <w:t>%，比年初预算增加</w:t>
      </w:r>
      <w:r w:rsidR="000C5FCE">
        <w:rPr>
          <w:rFonts w:ascii="仿宋" w:eastAsia="仿宋" w:hAnsi="仿宋"/>
          <w:sz w:val="32"/>
          <w:szCs w:val="32"/>
        </w:rPr>
        <w:t>0</w:t>
      </w:r>
      <w:r w:rsidRPr="00535C9B">
        <w:rPr>
          <w:rFonts w:ascii="仿宋" w:eastAsia="仿宋" w:hAnsi="仿宋"/>
          <w:sz w:val="32"/>
          <w:szCs w:val="32"/>
        </w:rPr>
        <w:t>万元，主要原因是本年及上年无相关预算及支出；支出完成年初预算的</w:t>
      </w:r>
      <w:r w:rsidR="000C5FCE">
        <w:rPr>
          <w:rFonts w:ascii="仿宋" w:eastAsia="仿宋" w:hAnsi="仿宋"/>
          <w:sz w:val="32"/>
          <w:szCs w:val="32"/>
        </w:rPr>
        <w:t>0</w:t>
      </w:r>
      <w:r w:rsidRPr="00535C9B">
        <w:rPr>
          <w:rFonts w:ascii="仿宋" w:eastAsia="仿宋" w:hAnsi="仿宋"/>
          <w:sz w:val="32"/>
          <w:szCs w:val="32"/>
        </w:rPr>
        <w:t>%，比年初预算增加</w:t>
      </w:r>
      <w:r w:rsidR="000C5FCE">
        <w:rPr>
          <w:rFonts w:ascii="仿宋" w:eastAsia="仿宋" w:hAnsi="仿宋"/>
          <w:sz w:val="32"/>
          <w:szCs w:val="32"/>
        </w:rPr>
        <w:t>0</w:t>
      </w:r>
      <w:r w:rsidRPr="00535C9B">
        <w:rPr>
          <w:rFonts w:ascii="仿宋" w:eastAsia="仿宋" w:hAnsi="仿宋"/>
          <w:sz w:val="32"/>
          <w:szCs w:val="32"/>
        </w:rPr>
        <w:t>万元，主要原因是本年及上年无相关预算及支出。</w:t>
      </w:r>
    </w:p>
    <w:p w:rsidR="0081201E" w:rsidRDefault="0081201E">
      <w:pPr>
        <w:pStyle w:val="a7"/>
        <w:widowControl/>
        <w:spacing w:beforeAutospacing="0" w:afterAutospacing="0"/>
        <w:rPr>
          <w:rFonts w:ascii="Times New Roman" w:eastAsia="Arial" w:hAnsi="Times New Roman"/>
        </w:rPr>
      </w:pPr>
    </w:p>
    <w:p w:rsidR="0081201E" w:rsidRDefault="006E23F4">
      <w:pPr>
        <w:pStyle w:val="a7"/>
        <w:widowControl/>
        <w:spacing w:beforeAutospacing="0" w:afterAutospacing="0"/>
        <w:jc w:val="center"/>
        <w:rPr>
          <w:rFonts w:ascii="Times New Roman" w:eastAsia="仿宋_GB2312" w:hAnsi="Times New Roman"/>
          <w:sz w:val="32"/>
          <w:szCs w:val="32"/>
        </w:rPr>
      </w:pPr>
      <w:r>
        <w:rPr>
          <w:rFonts w:ascii="Times New Roman" w:eastAsia="仿宋_GB2312" w:hAnsi="Times New Roman"/>
          <w:noProof/>
          <w:sz w:val="32"/>
          <w:szCs w:val="32"/>
        </w:rPr>
        <w:drawing>
          <wp:inline distT="0" distB="0" distL="114300" distR="114300">
            <wp:extent cx="5256530" cy="2988310"/>
            <wp:effectExtent l="19050" t="0" r="20320" b="254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81201E" w:rsidRPr="00676592" w:rsidRDefault="006E23F4" w:rsidP="00676592">
      <w:pPr>
        <w:widowControl/>
        <w:spacing w:line="360" w:lineRule="auto"/>
        <w:ind w:firstLineChars="200" w:firstLine="643"/>
        <w:jc w:val="left"/>
        <w:rPr>
          <w:rFonts w:ascii="楷体" w:eastAsia="楷体" w:hAnsi="楷体"/>
          <w:sz w:val="32"/>
          <w:szCs w:val="32"/>
        </w:rPr>
      </w:pPr>
      <w:r w:rsidRPr="00676592">
        <w:rPr>
          <w:rFonts w:ascii="楷体" w:eastAsia="楷体" w:hAnsi="楷体"/>
          <w:b/>
          <w:sz w:val="32"/>
          <w:szCs w:val="32"/>
        </w:rPr>
        <w:t>（三）财政拨款支出决算结构情况</w:t>
      </w:r>
    </w:p>
    <w:p w:rsidR="0081201E" w:rsidRDefault="006E23F4" w:rsidP="006E23F4">
      <w:pPr>
        <w:widowControl/>
        <w:spacing w:line="360" w:lineRule="auto"/>
        <w:ind w:firstLineChars="200" w:firstLine="640"/>
        <w:jc w:val="left"/>
        <w:rPr>
          <w:rFonts w:ascii="Times New Roman" w:eastAsia="仿宋_GB2312"/>
          <w:sz w:val="32"/>
          <w:szCs w:val="32"/>
        </w:rPr>
      </w:pPr>
      <w:r>
        <w:rPr>
          <w:rFonts w:ascii="Times New Roman" w:eastAsia="仿宋_GB2312"/>
          <w:sz w:val="32"/>
          <w:szCs w:val="32"/>
        </w:rPr>
        <w:t>2024</w:t>
      </w:r>
      <w:r>
        <w:rPr>
          <w:rFonts w:ascii="Times New Roman" w:eastAsia="仿宋_GB2312"/>
          <w:sz w:val="32"/>
          <w:szCs w:val="32"/>
        </w:rPr>
        <w:t>年度财政拨款支出</w:t>
      </w:r>
      <w:r>
        <w:rPr>
          <w:rFonts w:ascii="Times New Roman" w:eastAsia="仿宋_GB2312"/>
          <w:sz w:val="32"/>
          <w:szCs w:val="32"/>
        </w:rPr>
        <w:t>2,562.71</w:t>
      </w:r>
      <w:r>
        <w:rPr>
          <w:rFonts w:ascii="Times New Roman" w:eastAsia="仿宋_GB2312"/>
          <w:sz w:val="32"/>
          <w:szCs w:val="32"/>
        </w:rPr>
        <w:t>万元，主要用于以下方面：</w:t>
      </w:r>
    </w:p>
    <w:p w:rsidR="0081201E" w:rsidRDefault="006E23F4" w:rsidP="006E23F4">
      <w:pPr>
        <w:widowControl/>
        <w:spacing w:line="360" w:lineRule="auto"/>
        <w:ind w:firstLineChars="200" w:firstLine="641"/>
        <w:jc w:val="left"/>
        <w:rPr>
          <w:rFonts w:ascii="Times New Roman" w:eastAsia="仿宋_GB2312"/>
          <w:sz w:val="32"/>
          <w:szCs w:val="32"/>
        </w:rPr>
      </w:pPr>
      <w:r>
        <w:rPr>
          <w:rFonts w:ascii="Times New Roman" w:eastAsia="仿宋_GB2312"/>
          <w:b/>
          <w:sz w:val="32"/>
          <w:szCs w:val="32"/>
        </w:rPr>
        <w:t>一般公共预算财政拨款支出：</w:t>
      </w:r>
    </w:p>
    <w:p w:rsidR="0081201E" w:rsidRPr="00676592" w:rsidRDefault="006E23F4" w:rsidP="006E23F4">
      <w:pPr>
        <w:widowControl/>
        <w:spacing w:line="360" w:lineRule="auto"/>
        <w:ind w:firstLineChars="200" w:firstLine="640"/>
        <w:jc w:val="left"/>
        <w:rPr>
          <w:rFonts w:ascii="仿宋" w:eastAsia="仿宋" w:hAnsi="仿宋"/>
          <w:sz w:val="32"/>
          <w:szCs w:val="32"/>
        </w:rPr>
      </w:pPr>
      <w:r w:rsidRPr="00676592">
        <w:rPr>
          <w:rFonts w:ascii="仿宋" w:eastAsia="仿宋" w:hAnsi="仿宋"/>
          <w:sz w:val="32"/>
          <w:szCs w:val="32"/>
        </w:rPr>
        <w:t>一般公共服务（类）支出1,481.30万元，占57.8%，主要用于</w:t>
      </w:r>
      <w:r w:rsidR="00676592" w:rsidRPr="00676592">
        <w:rPr>
          <w:rFonts w:ascii="仿宋" w:eastAsia="仿宋" w:hAnsi="仿宋" w:hint="eastAsia"/>
          <w:sz w:val="32"/>
          <w:szCs w:val="32"/>
        </w:rPr>
        <w:t>人员经费类</w:t>
      </w:r>
      <w:r w:rsidRPr="00676592">
        <w:rPr>
          <w:rFonts w:ascii="仿宋" w:eastAsia="仿宋" w:hAnsi="仿宋"/>
          <w:sz w:val="32"/>
          <w:szCs w:val="32"/>
        </w:rPr>
        <w:t>等支出；社会保障和就业（类）支出150.37万元，</w:t>
      </w:r>
      <w:r w:rsidRPr="00676592">
        <w:rPr>
          <w:rFonts w:ascii="仿宋" w:eastAsia="仿宋" w:hAnsi="仿宋"/>
          <w:sz w:val="32"/>
          <w:szCs w:val="32"/>
        </w:rPr>
        <w:lastRenderedPageBreak/>
        <w:t>占5.9%，主要用于</w:t>
      </w:r>
      <w:r w:rsidR="00676592" w:rsidRPr="00676592">
        <w:rPr>
          <w:rFonts w:ascii="仿宋" w:eastAsia="仿宋" w:hAnsi="仿宋" w:hint="eastAsia"/>
          <w:sz w:val="32"/>
          <w:szCs w:val="32"/>
        </w:rPr>
        <w:t>在职人员保险</w:t>
      </w:r>
      <w:r w:rsidRPr="00676592">
        <w:rPr>
          <w:rFonts w:ascii="仿宋" w:eastAsia="仿宋" w:hAnsi="仿宋"/>
          <w:sz w:val="32"/>
          <w:szCs w:val="32"/>
        </w:rPr>
        <w:t>等支出；卫生健康（类）支出151.96万元，占5.9%，主要用于</w:t>
      </w:r>
      <w:r w:rsidR="00676592" w:rsidRPr="00676592">
        <w:rPr>
          <w:rFonts w:ascii="仿宋" w:eastAsia="仿宋" w:hAnsi="仿宋" w:hint="eastAsia"/>
          <w:sz w:val="32"/>
          <w:szCs w:val="32"/>
        </w:rPr>
        <w:t>在职人员医疗保险</w:t>
      </w:r>
      <w:r w:rsidRPr="00676592">
        <w:rPr>
          <w:rFonts w:ascii="仿宋" w:eastAsia="仿宋" w:hAnsi="仿宋"/>
          <w:sz w:val="32"/>
          <w:szCs w:val="32"/>
        </w:rPr>
        <w:t>等支出</w:t>
      </w:r>
      <w:r w:rsidR="00676592" w:rsidRPr="00676592">
        <w:rPr>
          <w:rFonts w:ascii="仿宋" w:eastAsia="仿宋" w:hAnsi="仿宋" w:hint="eastAsia"/>
          <w:sz w:val="32"/>
          <w:szCs w:val="32"/>
        </w:rPr>
        <w:t>；</w:t>
      </w:r>
      <w:r w:rsidRPr="00676592">
        <w:rPr>
          <w:rFonts w:ascii="仿宋" w:eastAsia="仿宋" w:hAnsi="仿宋"/>
          <w:sz w:val="32"/>
          <w:szCs w:val="32"/>
        </w:rPr>
        <w:t>农林水（类）支出694.82万元，占27.1%，主要用于</w:t>
      </w:r>
      <w:r w:rsidR="00676592" w:rsidRPr="00676592">
        <w:rPr>
          <w:rFonts w:ascii="仿宋" w:eastAsia="仿宋" w:hAnsi="仿宋" w:hint="eastAsia"/>
          <w:sz w:val="32"/>
          <w:szCs w:val="32"/>
        </w:rPr>
        <w:t>支持农村基本建设</w:t>
      </w:r>
      <w:r w:rsidRPr="00676592">
        <w:rPr>
          <w:rFonts w:ascii="仿宋" w:eastAsia="仿宋" w:hAnsi="仿宋"/>
          <w:sz w:val="32"/>
          <w:szCs w:val="32"/>
        </w:rPr>
        <w:t>等支出；住房保障（类）支出84.27万元，占3.3%，主要用于</w:t>
      </w:r>
      <w:r w:rsidR="00676592" w:rsidRPr="00676592">
        <w:rPr>
          <w:rFonts w:ascii="仿宋" w:eastAsia="仿宋" w:hAnsi="仿宋" w:hint="eastAsia"/>
          <w:sz w:val="32"/>
          <w:szCs w:val="32"/>
        </w:rPr>
        <w:t>在职人员住房公积金</w:t>
      </w:r>
      <w:r w:rsidR="00676592" w:rsidRPr="00676592">
        <w:rPr>
          <w:rFonts w:ascii="仿宋" w:eastAsia="仿宋" w:hAnsi="仿宋"/>
          <w:sz w:val="32"/>
          <w:szCs w:val="32"/>
        </w:rPr>
        <w:t>等支出</w:t>
      </w:r>
      <w:r w:rsidRPr="00676592">
        <w:rPr>
          <w:rFonts w:ascii="仿宋" w:eastAsia="仿宋" w:hAnsi="仿宋"/>
          <w:sz w:val="32"/>
          <w:szCs w:val="32"/>
        </w:rPr>
        <w:t>。</w:t>
      </w:r>
    </w:p>
    <w:p w:rsidR="0081201E" w:rsidRDefault="006E23F4" w:rsidP="006E23F4">
      <w:pPr>
        <w:widowControl/>
        <w:spacing w:line="360" w:lineRule="auto"/>
        <w:ind w:firstLineChars="200" w:firstLine="641"/>
        <w:jc w:val="left"/>
        <w:rPr>
          <w:rFonts w:ascii="Times New Roman" w:eastAsia="仿宋_GB2312"/>
          <w:sz w:val="32"/>
          <w:szCs w:val="32"/>
        </w:rPr>
      </w:pPr>
      <w:r>
        <w:rPr>
          <w:rFonts w:ascii="Times New Roman" w:eastAsia="仿宋_GB2312"/>
          <w:b/>
          <w:sz w:val="32"/>
          <w:szCs w:val="32"/>
        </w:rPr>
        <w:t>政府性基金预算财政拨款支出：</w:t>
      </w:r>
    </w:p>
    <w:p w:rsidR="0081201E" w:rsidRPr="00676592" w:rsidRDefault="00676592" w:rsidP="006E23F4">
      <w:pPr>
        <w:widowControl/>
        <w:spacing w:line="360" w:lineRule="auto"/>
        <w:ind w:firstLineChars="200" w:firstLine="640"/>
        <w:jc w:val="left"/>
        <w:rPr>
          <w:rFonts w:ascii="仿宋" w:eastAsia="仿宋" w:hAnsi="仿宋"/>
          <w:sz w:val="32"/>
          <w:szCs w:val="32"/>
        </w:rPr>
      </w:pPr>
      <w:r w:rsidRPr="00676592">
        <w:rPr>
          <w:rFonts w:ascii="仿宋" w:eastAsia="仿宋" w:hAnsi="仿宋" w:hint="eastAsia"/>
          <w:sz w:val="32"/>
          <w:szCs w:val="32"/>
        </w:rPr>
        <w:t>2024年度我部门无政府基金预算财政拨款支出。</w:t>
      </w:r>
    </w:p>
    <w:p w:rsidR="0081201E" w:rsidRDefault="006E23F4" w:rsidP="006E23F4">
      <w:pPr>
        <w:widowControl/>
        <w:spacing w:line="360" w:lineRule="auto"/>
        <w:ind w:firstLineChars="200" w:firstLine="641"/>
        <w:jc w:val="left"/>
        <w:rPr>
          <w:rFonts w:ascii="Times New Roman" w:eastAsia="仿宋_GB2312"/>
          <w:sz w:val="32"/>
          <w:szCs w:val="32"/>
        </w:rPr>
      </w:pPr>
      <w:r>
        <w:rPr>
          <w:rFonts w:ascii="Times New Roman" w:eastAsia="仿宋_GB2312"/>
          <w:b/>
          <w:sz w:val="32"/>
          <w:szCs w:val="32"/>
        </w:rPr>
        <w:t>国有资本经营预算财政拨款支出：</w:t>
      </w:r>
    </w:p>
    <w:p w:rsidR="00676592" w:rsidRPr="00676592" w:rsidRDefault="00676592" w:rsidP="00676592">
      <w:pPr>
        <w:widowControl/>
        <w:spacing w:line="360" w:lineRule="auto"/>
        <w:ind w:firstLineChars="200" w:firstLine="640"/>
        <w:jc w:val="left"/>
        <w:rPr>
          <w:rFonts w:ascii="仿宋" w:eastAsia="仿宋" w:hAnsi="仿宋"/>
          <w:sz w:val="32"/>
          <w:szCs w:val="32"/>
        </w:rPr>
      </w:pPr>
      <w:bookmarkStart w:id="0" w:name="_GoBack"/>
      <w:r w:rsidRPr="00676592">
        <w:rPr>
          <w:rFonts w:ascii="仿宋" w:eastAsia="仿宋" w:hAnsi="仿宋" w:hint="eastAsia"/>
          <w:sz w:val="32"/>
          <w:szCs w:val="32"/>
        </w:rPr>
        <w:t>2024年度我部门无</w:t>
      </w:r>
      <w:r>
        <w:rPr>
          <w:rFonts w:ascii="仿宋" w:eastAsia="仿宋" w:hAnsi="仿宋" w:hint="eastAsia"/>
          <w:sz w:val="32"/>
          <w:szCs w:val="32"/>
        </w:rPr>
        <w:t>国有资本经营</w:t>
      </w:r>
      <w:r w:rsidRPr="00676592">
        <w:rPr>
          <w:rFonts w:ascii="仿宋" w:eastAsia="仿宋" w:hAnsi="仿宋" w:hint="eastAsia"/>
          <w:sz w:val="32"/>
          <w:szCs w:val="32"/>
        </w:rPr>
        <w:t>预算财政拨款支出。</w:t>
      </w:r>
    </w:p>
    <w:p w:rsidR="0081201E" w:rsidRDefault="006E23F4">
      <w:pPr>
        <w:pStyle w:val="a7"/>
        <w:widowControl/>
        <w:spacing w:beforeAutospacing="0" w:afterAutospacing="0"/>
        <w:rPr>
          <w:rFonts w:ascii="Times New Roman" w:eastAsia="仿宋_GB2312" w:hAnsi="Times New Roman"/>
          <w:kern w:val="2"/>
          <w:sz w:val="32"/>
          <w:szCs w:val="32"/>
          <w:lang w:val="zh-CN"/>
        </w:rPr>
      </w:pPr>
      <w:r>
        <w:rPr>
          <w:rFonts w:ascii="Times New Roman" w:eastAsia="仿宋_GB2312" w:hAnsi="Times New Roman"/>
          <w:noProof/>
          <w:kern w:val="2"/>
          <w:sz w:val="32"/>
          <w:szCs w:val="32"/>
        </w:rPr>
        <w:drawing>
          <wp:inline distT="0" distB="0" distL="114300" distR="114300">
            <wp:extent cx="5859145" cy="2988310"/>
            <wp:effectExtent l="5080" t="4445" r="15875" b="1714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bookmarkEnd w:id="0"/>
    </w:p>
    <w:p w:rsidR="0081201E" w:rsidRPr="00676592" w:rsidRDefault="006E23F4" w:rsidP="00676592">
      <w:pPr>
        <w:widowControl/>
        <w:spacing w:line="360" w:lineRule="auto"/>
        <w:ind w:firstLineChars="200" w:firstLine="643"/>
        <w:jc w:val="left"/>
        <w:rPr>
          <w:rFonts w:ascii="楷体" w:eastAsia="楷体" w:hAnsi="楷体"/>
          <w:sz w:val="32"/>
          <w:szCs w:val="32"/>
        </w:rPr>
      </w:pPr>
      <w:r w:rsidRPr="00676592">
        <w:rPr>
          <w:rFonts w:ascii="楷体" w:eastAsia="楷体" w:hAnsi="楷体"/>
          <w:b/>
          <w:sz w:val="32"/>
          <w:szCs w:val="32"/>
        </w:rPr>
        <w:t>（四）一般公共预算基本支出决算情况说明</w:t>
      </w:r>
    </w:p>
    <w:p w:rsidR="0081201E" w:rsidRPr="00676592" w:rsidRDefault="006E23F4" w:rsidP="006E23F4">
      <w:pPr>
        <w:widowControl/>
        <w:spacing w:line="360" w:lineRule="auto"/>
        <w:ind w:firstLineChars="200" w:firstLine="640"/>
        <w:jc w:val="left"/>
        <w:rPr>
          <w:rFonts w:ascii="仿宋" w:eastAsia="仿宋" w:hAnsi="仿宋"/>
          <w:sz w:val="32"/>
          <w:szCs w:val="32"/>
        </w:rPr>
      </w:pPr>
      <w:r w:rsidRPr="00676592">
        <w:rPr>
          <w:rFonts w:ascii="仿宋" w:eastAsia="仿宋" w:hAnsi="仿宋"/>
          <w:sz w:val="32"/>
          <w:szCs w:val="32"/>
        </w:rPr>
        <w:t>2024年度财政拨款基本支出1,338.95万元，其中：</w:t>
      </w:r>
    </w:p>
    <w:p w:rsidR="0081201E" w:rsidRPr="00676592" w:rsidRDefault="006E23F4" w:rsidP="006E23F4">
      <w:pPr>
        <w:widowControl/>
        <w:spacing w:line="360" w:lineRule="auto"/>
        <w:ind w:firstLineChars="200" w:firstLine="640"/>
        <w:jc w:val="left"/>
        <w:rPr>
          <w:rFonts w:ascii="仿宋" w:eastAsia="仿宋" w:hAnsi="仿宋"/>
          <w:sz w:val="32"/>
          <w:szCs w:val="32"/>
        </w:rPr>
      </w:pPr>
      <w:r w:rsidRPr="00676592">
        <w:rPr>
          <w:rFonts w:ascii="仿宋" w:eastAsia="仿宋" w:hAnsi="仿宋"/>
          <w:sz w:val="32"/>
          <w:szCs w:val="32"/>
        </w:rPr>
        <w:lastRenderedPageBreak/>
        <w:t>人员经费1,236.13</w:t>
      </w:r>
      <w:r w:rsidR="000C5FCE">
        <w:rPr>
          <w:rFonts w:ascii="仿宋" w:eastAsia="仿宋" w:hAnsi="仿宋"/>
          <w:sz w:val="32"/>
          <w:szCs w:val="32"/>
        </w:rPr>
        <w:t>万元，主要包括基本工资、津贴补贴、奖金、绩效工资、机关事业部门基本养老保险缴费、职工基本医疗保险缴费、住房公积金</w:t>
      </w:r>
      <w:r w:rsidR="000C5FCE">
        <w:rPr>
          <w:rFonts w:ascii="仿宋" w:eastAsia="仿宋" w:hAnsi="仿宋" w:hint="eastAsia"/>
          <w:sz w:val="32"/>
          <w:szCs w:val="32"/>
        </w:rPr>
        <w:t>、</w:t>
      </w:r>
      <w:r w:rsidRPr="00676592">
        <w:rPr>
          <w:rFonts w:ascii="仿宋" w:eastAsia="仿宋" w:hAnsi="仿宋"/>
          <w:sz w:val="32"/>
          <w:szCs w:val="32"/>
        </w:rPr>
        <w:t>其他社会保障缴费、</w:t>
      </w:r>
      <w:r w:rsidR="000C5FCE">
        <w:rPr>
          <w:rFonts w:ascii="仿宋" w:eastAsia="仿宋" w:hAnsi="仿宋"/>
          <w:sz w:val="32"/>
          <w:szCs w:val="32"/>
        </w:rPr>
        <w:t>退休费、</w:t>
      </w:r>
      <w:r w:rsidRPr="00676592">
        <w:rPr>
          <w:rFonts w:ascii="仿宋" w:eastAsia="仿宋" w:hAnsi="仿宋"/>
          <w:sz w:val="32"/>
          <w:szCs w:val="32"/>
        </w:rPr>
        <w:t>奖励金。</w:t>
      </w:r>
    </w:p>
    <w:p w:rsidR="0081201E" w:rsidRDefault="006E23F4" w:rsidP="006E23F4">
      <w:pPr>
        <w:widowControl/>
        <w:spacing w:line="360" w:lineRule="auto"/>
        <w:ind w:firstLineChars="200" w:firstLine="640"/>
        <w:jc w:val="left"/>
        <w:rPr>
          <w:rFonts w:ascii="Times New Roman" w:eastAsia="仿宋_GB2312"/>
          <w:sz w:val="32"/>
          <w:szCs w:val="32"/>
        </w:rPr>
      </w:pPr>
      <w:r w:rsidRPr="00676592">
        <w:rPr>
          <w:rFonts w:ascii="仿宋" w:eastAsia="仿宋" w:hAnsi="仿宋"/>
          <w:sz w:val="32"/>
          <w:szCs w:val="32"/>
        </w:rPr>
        <w:t>公用经费102.82万元，主要包括办公费、印刷费、电费、邮电费、取暖费、差旅费、工会经费、公务用车运行维护费、其他交通费用</w:t>
      </w:r>
      <w:r>
        <w:rPr>
          <w:rFonts w:ascii="Times New Roman" w:eastAsia="仿宋_GB2312"/>
          <w:sz w:val="32"/>
          <w:szCs w:val="32"/>
        </w:rPr>
        <w:t>。</w:t>
      </w:r>
    </w:p>
    <w:p w:rsidR="0081201E" w:rsidRDefault="006E23F4" w:rsidP="006E23F4">
      <w:pPr>
        <w:widowControl/>
        <w:spacing w:line="360" w:lineRule="auto"/>
        <w:ind w:firstLineChars="200" w:firstLine="640"/>
        <w:jc w:val="left"/>
        <w:outlineLvl w:val="1"/>
        <w:rPr>
          <w:rFonts w:ascii="Times New Roman" w:eastAsia="黑体"/>
          <w:sz w:val="32"/>
          <w:szCs w:val="32"/>
        </w:rPr>
      </w:pPr>
      <w:r>
        <w:rPr>
          <w:rFonts w:ascii="Times New Roman" w:eastAsia="黑体"/>
          <w:sz w:val="32"/>
          <w:szCs w:val="32"/>
        </w:rPr>
        <w:t>五、财政拨款</w:t>
      </w:r>
      <w:r>
        <w:rPr>
          <w:rFonts w:ascii="Times New Roman" w:eastAsia="黑体"/>
          <w:sz w:val="32"/>
          <w:szCs w:val="32"/>
        </w:rPr>
        <w:t>“</w:t>
      </w:r>
      <w:r>
        <w:rPr>
          <w:rFonts w:ascii="Times New Roman" w:eastAsia="黑体"/>
          <w:sz w:val="32"/>
          <w:szCs w:val="32"/>
        </w:rPr>
        <w:t>三公</w:t>
      </w:r>
      <w:r>
        <w:rPr>
          <w:rFonts w:ascii="Times New Roman" w:eastAsia="黑体"/>
          <w:sz w:val="32"/>
          <w:szCs w:val="32"/>
        </w:rPr>
        <w:t>”</w:t>
      </w:r>
      <w:r>
        <w:rPr>
          <w:rFonts w:ascii="Times New Roman" w:eastAsia="黑体"/>
          <w:sz w:val="32"/>
          <w:szCs w:val="32"/>
        </w:rPr>
        <w:t>经费支出决算情况说明</w:t>
      </w:r>
    </w:p>
    <w:p w:rsidR="0081201E" w:rsidRPr="00676592" w:rsidRDefault="006E23F4" w:rsidP="00676592">
      <w:pPr>
        <w:widowControl/>
        <w:spacing w:line="360" w:lineRule="auto"/>
        <w:ind w:firstLineChars="200" w:firstLine="643"/>
        <w:jc w:val="left"/>
        <w:rPr>
          <w:rFonts w:ascii="楷体" w:eastAsia="楷体" w:hAnsi="楷体"/>
          <w:sz w:val="32"/>
          <w:szCs w:val="32"/>
        </w:rPr>
      </w:pPr>
      <w:r w:rsidRPr="00676592">
        <w:rPr>
          <w:rFonts w:ascii="楷体" w:eastAsia="楷体" w:hAnsi="楷体"/>
          <w:b/>
          <w:sz w:val="32"/>
          <w:szCs w:val="32"/>
        </w:rPr>
        <w:t>（一）“三公”经费财政拨款支出决算总体情况说明</w:t>
      </w:r>
    </w:p>
    <w:p w:rsidR="0081201E" w:rsidRPr="000C5FCE" w:rsidRDefault="00E11EAE" w:rsidP="006E23F4">
      <w:pPr>
        <w:widowControl/>
        <w:spacing w:line="360" w:lineRule="auto"/>
        <w:ind w:firstLineChars="200" w:firstLine="640"/>
        <w:jc w:val="left"/>
        <w:rPr>
          <w:rFonts w:ascii="仿宋" w:eastAsia="仿宋" w:hAnsi="仿宋"/>
          <w:sz w:val="32"/>
          <w:szCs w:val="32"/>
        </w:rPr>
      </w:pPr>
      <w:r>
        <w:rPr>
          <w:rFonts w:ascii="仿宋" w:eastAsia="仿宋" w:hAnsi="仿宋"/>
          <w:sz w:val="32"/>
          <w:szCs w:val="32"/>
        </w:rPr>
        <w:t>本部门</w:t>
      </w:r>
      <w:r w:rsidR="006E23F4" w:rsidRPr="000C5FCE">
        <w:rPr>
          <w:rFonts w:ascii="仿宋" w:eastAsia="仿宋" w:hAnsi="仿宋"/>
          <w:sz w:val="32"/>
          <w:szCs w:val="32"/>
        </w:rPr>
        <w:t>2024年度“三公”经费财政拨款支出预算为2.00万元，支出决算为2.00万元，完成预算的10</w:t>
      </w:r>
      <w:r w:rsidR="000C5FCE">
        <w:rPr>
          <w:rFonts w:ascii="仿宋" w:eastAsia="仿宋" w:hAnsi="仿宋"/>
          <w:sz w:val="32"/>
          <w:szCs w:val="32"/>
        </w:rPr>
        <w:t>0</w:t>
      </w:r>
      <w:r w:rsidR="006E23F4" w:rsidRPr="000C5FCE">
        <w:rPr>
          <w:rFonts w:ascii="仿宋" w:eastAsia="仿宋" w:hAnsi="仿宋"/>
          <w:sz w:val="32"/>
          <w:szCs w:val="32"/>
        </w:rPr>
        <w:t>%，较预算增加</w:t>
      </w:r>
      <w:r w:rsidR="000C5FCE">
        <w:rPr>
          <w:rFonts w:ascii="仿宋" w:eastAsia="仿宋" w:hAnsi="仿宋"/>
          <w:sz w:val="32"/>
          <w:szCs w:val="32"/>
        </w:rPr>
        <w:t>0</w:t>
      </w:r>
      <w:r w:rsidR="006E23F4" w:rsidRPr="000C5FCE">
        <w:rPr>
          <w:rFonts w:ascii="仿宋" w:eastAsia="仿宋" w:hAnsi="仿宋"/>
          <w:sz w:val="32"/>
          <w:szCs w:val="32"/>
        </w:rPr>
        <w:t>万元，增长</w:t>
      </w:r>
      <w:r w:rsidR="000C5FCE">
        <w:rPr>
          <w:rFonts w:ascii="仿宋" w:eastAsia="仿宋" w:hAnsi="仿宋"/>
          <w:sz w:val="32"/>
          <w:szCs w:val="32"/>
        </w:rPr>
        <w:t>0</w:t>
      </w:r>
      <w:r w:rsidR="006E23F4" w:rsidRPr="000C5FCE">
        <w:rPr>
          <w:rFonts w:ascii="仿宋" w:eastAsia="仿宋" w:hAnsi="仿宋"/>
          <w:sz w:val="32"/>
          <w:szCs w:val="32"/>
        </w:rPr>
        <w:t>%，主要原因是</w:t>
      </w:r>
      <w:r w:rsidR="000C5FCE">
        <w:rPr>
          <w:rFonts w:ascii="仿宋" w:eastAsia="仿宋" w:hAnsi="仿宋" w:hint="eastAsia"/>
          <w:sz w:val="32"/>
          <w:szCs w:val="32"/>
        </w:rPr>
        <w:t>维持总体不变</w:t>
      </w:r>
      <w:r w:rsidR="006E23F4" w:rsidRPr="000C5FCE">
        <w:rPr>
          <w:rFonts w:ascii="仿宋" w:eastAsia="仿宋" w:hAnsi="仿宋"/>
          <w:sz w:val="32"/>
          <w:szCs w:val="32"/>
        </w:rPr>
        <w:t>；较2023年度决算增加0.39万元，增长24.2%，主要原因是</w:t>
      </w:r>
      <w:r w:rsidR="000C5FCE">
        <w:rPr>
          <w:rFonts w:ascii="仿宋" w:eastAsia="仿宋" w:hAnsi="仿宋" w:hint="eastAsia"/>
          <w:sz w:val="32"/>
          <w:szCs w:val="32"/>
        </w:rPr>
        <w:t>车辆维护费用增加</w:t>
      </w:r>
      <w:r w:rsidR="006E23F4" w:rsidRPr="000C5FCE">
        <w:rPr>
          <w:rFonts w:ascii="仿宋" w:eastAsia="仿宋" w:hAnsi="仿宋"/>
          <w:sz w:val="32"/>
          <w:szCs w:val="32"/>
        </w:rPr>
        <w:t>。</w:t>
      </w:r>
    </w:p>
    <w:p w:rsidR="0081201E" w:rsidRPr="000C5FCE" w:rsidRDefault="006E23F4" w:rsidP="000C5FCE">
      <w:pPr>
        <w:widowControl/>
        <w:spacing w:line="360" w:lineRule="auto"/>
        <w:ind w:firstLineChars="200" w:firstLine="643"/>
        <w:jc w:val="left"/>
        <w:rPr>
          <w:rFonts w:ascii="楷体" w:eastAsia="楷体" w:hAnsi="楷体"/>
          <w:sz w:val="32"/>
          <w:szCs w:val="32"/>
        </w:rPr>
      </w:pPr>
      <w:r w:rsidRPr="000C5FCE">
        <w:rPr>
          <w:rFonts w:ascii="楷体" w:eastAsia="楷体" w:hAnsi="楷体"/>
          <w:b/>
          <w:sz w:val="32"/>
          <w:szCs w:val="32"/>
        </w:rPr>
        <w:t>（二）“三公”经费财政拨款支出决算具体情况说明</w:t>
      </w:r>
    </w:p>
    <w:p w:rsidR="0081201E" w:rsidRDefault="006E23F4" w:rsidP="000C5FCE">
      <w:pPr>
        <w:widowControl/>
        <w:spacing w:line="360" w:lineRule="auto"/>
        <w:ind w:firstLineChars="200" w:firstLine="643"/>
        <w:jc w:val="left"/>
        <w:rPr>
          <w:rFonts w:ascii="Times New Roman" w:eastAsia="仿宋_GB2312"/>
          <w:sz w:val="32"/>
          <w:szCs w:val="32"/>
        </w:rPr>
      </w:pPr>
      <w:r w:rsidRPr="000C5FCE">
        <w:rPr>
          <w:rFonts w:ascii="楷体" w:eastAsia="楷体" w:hAnsi="楷体"/>
          <w:b/>
          <w:sz w:val="32"/>
          <w:szCs w:val="32"/>
        </w:rPr>
        <w:t>1.因公出国（境）费支出情况。</w:t>
      </w:r>
      <w:r w:rsidR="00E11EAE">
        <w:rPr>
          <w:rFonts w:ascii="仿宋" w:eastAsia="仿宋" w:hAnsi="仿宋"/>
          <w:sz w:val="32"/>
          <w:szCs w:val="32"/>
        </w:rPr>
        <w:t>本部门</w:t>
      </w:r>
      <w:r w:rsidRPr="000C5FCE">
        <w:rPr>
          <w:rFonts w:ascii="仿宋" w:eastAsia="仿宋" w:hAnsi="仿宋"/>
          <w:sz w:val="32"/>
          <w:szCs w:val="32"/>
        </w:rPr>
        <w:t>2024年度因公出国（境）费支出预算为</w:t>
      </w:r>
      <w:r w:rsidR="000C5FCE">
        <w:rPr>
          <w:rFonts w:ascii="仿宋" w:eastAsia="仿宋" w:hAnsi="仿宋"/>
          <w:sz w:val="32"/>
          <w:szCs w:val="32"/>
        </w:rPr>
        <w:t>0</w:t>
      </w:r>
      <w:r w:rsidRPr="000C5FCE">
        <w:rPr>
          <w:rFonts w:ascii="仿宋" w:eastAsia="仿宋" w:hAnsi="仿宋"/>
          <w:sz w:val="32"/>
          <w:szCs w:val="32"/>
        </w:rPr>
        <w:t>万元,支出决算</w:t>
      </w:r>
      <w:r w:rsidR="000C5FCE">
        <w:rPr>
          <w:rFonts w:ascii="仿宋" w:eastAsia="仿宋" w:hAnsi="仿宋"/>
          <w:sz w:val="32"/>
          <w:szCs w:val="32"/>
        </w:rPr>
        <w:t>0</w:t>
      </w:r>
      <w:r w:rsidRPr="000C5FCE">
        <w:rPr>
          <w:rFonts w:ascii="仿宋" w:eastAsia="仿宋" w:hAnsi="仿宋"/>
          <w:sz w:val="32"/>
          <w:szCs w:val="32"/>
        </w:rPr>
        <w:t>万元。完成预算的0%。因公出国（境）费支出较预算增加</w:t>
      </w:r>
      <w:r w:rsidR="000C5FCE">
        <w:rPr>
          <w:rFonts w:ascii="仿宋" w:eastAsia="仿宋" w:hAnsi="仿宋"/>
          <w:sz w:val="32"/>
          <w:szCs w:val="32"/>
        </w:rPr>
        <w:t>0</w:t>
      </w:r>
      <w:r w:rsidRPr="000C5FCE">
        <w:rPr>
          <w:rFonts w:ascii="仿宋" w:eastAsia="仿宋" w:hAnsi="仿宋"/>
          <w:sz w:val="32"/>
          <w:szCs w:val="32"/>
        </w:rPr>
        <w:t>万元，增长</w:t>
      </w:r>
      <w:r w:rsidR="000C5FCE">
        <w:rPr>
          <w:rFonts w:ascii="仿宋" w:eastAsia="仿宋" w:hAnsi="仿宋"/>
          <w:sz w:val="32"/>
          <w:szCs w:val="32"/>
        </w:rPr>
        <w:t>0</w:t>
      </w:r>
      <w:r w:rsidRPr="000C5FCE">
        <w:rPr>
          <w:rFonts w:ascii="仿宋" w:eastAsia="仿宋" w:hAnsi="仿宋"/>
          <w:sz w:val="32"/>
          <w:szCs w:val="32"/>
        </w:rPr>
        <w:t>%,主要原因是</w:t>
      </w:r>
      <w:r w:rsidR="000C5FCE">
        <w:rPr>
          <w:rFonts w:ascii="仿宋" w:eastAsia="仿宋" w:hAnsi="仿宋" w:hint="eastAsia"/>
          <w:sz w:val="32"/>
          <w:szCs w:val="32"/>
        </w:rPr>
        <w:t>无</w:t>
      </w:r>
      <w:r w:rsidR="000C5FCE" w:rsidRPr="000C5FCE">
        <w:rPr>
          <w:rFonts w:ascii="仿宋" w:eastAsia="仿宋" w:hAnsi="仿宋"/>
          <w:sz w:val="32"/>
          <w:szCs w:val="32"/>
        </w:rPr>
        <w:t>因公出国（境）费</w:t>
      </w:r>
      <w:r w:rsidR="000C5FCE">
        <w:rPr>
          <w:rFonts w:ascii="仿宋" w:eastAsia="仿宋" w:hAnsi="仿宋" w:hint="eastAsia"/>
          <w:sz w:val="32"/>
          <w:szCs w:val="32"/>
        </w:rPr>
        <w:t>预算及</w:t>
      </w:r>
      <w:r w:rsidR="000C5FCE" w:rsidRPr="000C5FCE">
        <w:rPr>
          <w:rFonts w:ascii="仿宋" w:eastAsia="仿宋" w:hAnsi="仿宋"/>
          <w:sz w:val="32"/>
          <w:szCs w:val="32"/>
        </w:rPr>
        <w:t>支出</w:t>
      </w:r>
      <w:r w:rsidRPr="000C5FCE">
        <w:rPr>
          <w:rFonts w:ascii="仿宋" w:eastAsia="仿宋" w:hAnsi="仿宋"/>
          <w:sz w:val="32"/>
          <w:szCs w:val="32"/>
        </w:rPr>
        <w:t>；较上年增加</w:t>
      </w:r>
      <w:r w:rsidR="000C5FCE">
        <w:rPr>
          <w:rFonts w:ascii="仿宋" w:eastAsia="仿宋" w:hAnsi="仿宋"/>
          <w:sz w:val="32"/>
          <w:szCs w:val="32"/>
        </w:rPr>
        <w:t>0</w:t>
      </w:r>
      <w:r w:rsidRPr="000C5FCE">
        <w:rPr>
          <w:rFonts w:ascii="仿宋" w:eastAsia="仿宋" w:hAnsi="仿宋"/>
          <w:sz w:val="32"/>
          <w:szCs w:val="32"/>
        </w:rPr>
        <w:t>万元，增长</w:t>
      </w:r>
      <w:r w:rsidR="000C5FCE">
        <w:rPr>
          <w:rFonts w:ascii="仿宋" w:eastAsia="仿宋" w:hAnsi="仿宋"/>
          <w:sz w:val="32"/>
          <w:szCs w:val="32"/>
        </w:rPr>
        <w:t>0</w:t>
      </w:r>
      <w:r w:rsidRPr="000C5FCE">
        <w:rPr>
          <w:rFonts w:ascii="仿宋" w:eastAsia="仿宋" w:hAnsi="仿宋"/>
          <w:sz w:val="32"/>
          <w:szCs w:val="32"/>
        </w:rPr>
        <w:t>%,主要原因是</w:t>
      </w:r>
      <w:r w:rsidR="000C5FCE">
        <w:rPr>
          <w:rFonts w:ascii="仿宋" w:eastAsia="仿宋" w:hAnsi="仿宋" w:hint="eastAsia"/>
          <w:sz w:val="32"/>
          <w:szCs w:val="32"/>
        </w:rPr>
        <w:t>本年无</w:t>
      </w:r>
      <w:r w:rsidR="000C5FCE" w:rsidRPr="000C5FCE">
        <w:rPr>
          <w:rFonts w:ascii="仿宋" w:eastAsia="仿宋" w:hAnsi="仿宋"/>
          <w:sz w:val="32"/>
          <w:szCs w:val="32"/>
        </w:rPr>
        <w:t>因公出国（境）费</w:t>
      </w:r>
      <w:r w:rsidR="000C5FCE">
        <w:rPr>
          <w:rFonts w:ascii="仿宋" w:eastAsia="仿宋" w:hAnsi="仿宋" w:hint="eastAsia"/>
          <w:sz w:val="32"/>
          <w:szCs w:val="32"/>
        </w:rPr>
        <w:t>预算及</w:t>
      </w:r>
      <w:r w:rsidR="000C5FCE" w:rsidRPr="000C5FCE">
        <w:rPr>
          <w:rFonts w:ascii="仿宋" w:eastAsia="仿宋" w:hAnsi="仿宋"/>
          <w:sz w:val="32"/>
          <w:szCs w:val="32"/>
        </w:rPr>
        <w:t>支出</w:t>
      </w:r>
      <w:r w:rsidRPr="000C5FCE">
        <w:rPr>
          <w:rFonts w:ascii="仿宋" w:eastAsia="仿宋" w:hAnsi="仿宋"/>
          <w:sz w:val="32"/>
          <w:szCs w:val="32"/>
        </w:rPr>
        <w:t>。</w:t>
      </w:r>
    </w:p>
    <w:p w:rsidR="0081201E" w:rsidRDefault="006E23F4" w:rsidP="000C5FCE">
      <w:pPr>
        <w:widowControl/>
        <w:spacing w:line="360" w:lineRule="auto"/>
        <w:ind w:firstLineChars="200" w:firstLine="643"/>
        <w:jc w:val="left"/>
        <w:rPr>
          <w:rFonts w:ascii="Times New Roman" w:eastAsia="仿宋_GB2312"/>
          <w:sz w:val="32"/>
          <w:szCs w:val="32"/>
        </w:rPr>
      </w:pPr>
      <w:r w:rsidRPr="000C5FCE">
        <w:rPr>
          <w:rFonts w:ascii="楷体" w:eastAsia="楷体" w:hAnsi="楷体"/>
          <w:b/>
          <w:sz w:val="32"/>
          <w:szCs w:val="32"/>
        </w:rPr>
        <w:lastRenderedPageBreak/>
        <w:t>2.公务用车购置及运行维护费支出情况。</w:t>
      </w:r>
      <w:r w:rsidR="00E11EAE">
        <w:rPr>
          <w:rFonts w:ascii="仿宋" w:eastAsia="仿宋" w:hAnsi="仿宋"/>
          <w:sz w:val="32"/>
          <w:szCs w:val="32"/>
        </w:rPr>
        <w:t>本部门</w:t>
      </w:r>
      <w:r w:rsidRPr="000C5FCE">
        <w:rPr>
          <w:rFonts w:ascii="仿宋" w:eastAsia="仿宋" w:hAnsi="仿宋"/>
          <w:sz w:val="32"/>
          <w:szCs w:val="32"/>
        </w:rPr>
        <w:t>2024年度公务用车购置及运行维护费预算为2.00万元，支出决算2.00万元，完成预算的10</w:t>
      </w:r>
      <w:r w:rsidR="000C5FCE" w:rsidRPr="000C5FCE">
        <w:rPr>
          <w:rFonts w:ascii="仿宋" w:eastAsia="仿宋" w:hAnsi="仿宋"/>
          <w:sz w:val="32"/>
          <w:szCs w:val="32"/>
        </w:rPr>
        <w:t>0</w:t>
      </w:r>
      <w:r w:rsidRPr="000C5FCE">
        <w:rPr>
          <w:rFonts w:ascii="仿宋" w:eastAsia="仿宋" w:hAnsi="仿宋"/>
          <w:sz w:val="32"/>
          <w:szCs w:val="32"/>
        </w:rPr>
        <w:t>%,较预算增加</w:t>
      </w:r>
      <w:r w:rsidR="000C5FCE" w:rsidRPr="000C5FCE">
        <w:rPr>
          <w:rFonts w:ascii="仿宋" w:eastAsia="仿宋" w:hAnsi="仿宋"/>
          <w:sz w:val="32"/>
          <w:szCs w:val="32"/>
        </w:rPr>
        <w:t>0</w:t>
      </w:r>
      <w:r w:rsidRPr="000C5FCE">
        <w:rPr>
          <w:rFonts w:ascii="仿宋" w:eastAsia="仿宋" w:hAnsi="仿宋"/>
          <w:sz w:val="32"/>
          <w:szCs w:val="32"/>
        </w:rPr>
        <w:t>万元，增长</w:t>
      </w:r>
      <w:r w:rsidR="000C5FCE" w:rsidRPr="000C5FCE">
        <w:rPr>
          <w:rFonts w:ascii="仿宋" w:eastAsia="仿宋" w:hAnsi="仿宋"/>
          <w:sz w:val="32"/>
          <w:szCs w:val="32"/>
        </w:rPr>
        <w:t>0</w:t>
      </w:r>
      <w:r w:rsidRPr="000C5FCE">
        <w:rPr>
          <w:rFonts w:ascii="仿宋" w:eastAsia="仿宋" w:hAnsi="仿宋"/>
          <w:sz w:val="32"/>
          <w:szCs w:val="32"/>
        </w:rPr>
        <w:t>%,主要原因是</w:t>
      </w:r>
      <w:r w:rsidR="000C5FCE">
        <w:rPr>
          <w:rFonts w:ascii="仿宋" w:eastAsia="仿宋" w:hAnsi="仿宋" w:hint="eastAsia"/>
          <w:sz w:val="32"/>
          <w:szCs w:val="32"/>
        </w:rPr>
        <w:t>维持总体不变</w:t>
      </w:r>
      <w:r w:rsidRPr="000C5FCE">
        <w:rPr>
          <w:rFonts w:ascii="仿宋" w:eastAsia="仿宋" w:hAnsi="仿宋"/>
          <w:sz w:val="32"/>
          <w:szCs w:val="32"/>
        </w:rPr>
        <w:t>；较上年增加0.39万元，增长24.2%,主要原因是</w:t>
      </w:r>
      <w:r w:rsidR="000C5FCE">
        <w:rPr>
          <w:rFonts w:ascii="仿宋" w:eastAsia="仿宋" w:hAnsi="仿宋" w:hint="eastAsia"/>
          <w:sz w:val="32"/>
          <w:szCs w:val="32"/>
        </w:rPr>
        <w:t>车辆维护费用增加</w:t>
      </w:r>
      <w:r w:rsidRPr="000C5FCE">
        <w:rPr>
          <w:rFonts w:ascii="仿宋" w:eastAsia="仿宋" w:hAnsi="仿宋"/>
          <w:sz w:val="32"/>
          <w:szCs w:val="32"/>
        </w:rPr>
        <w:t>。其中：</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公务用车购置费支出</w:t>
      </w:r>
      <w:r w:rsidR="000C5FCE" w:rsidRPr="000416AE">
        <w:rPr>
          <w:rFonts w:ascii="仿宋" w:eastAsia="仿宋" w:hAnsi="仿宋"/>
          <w:b/>
          <w:sz w:val="32"/>
          <w:szCs w:val="32"/>
        </w:rPr>
        <w:t>0</w:t>
      </w:r>
      <w:r w:rsidRPr="000416AE">
        <w:rPr>
          <w:rFonts w:ascii="仿宋" w:eastAsia="仿宋" w:hAnsi="仿宋"/>
          <w:b/>
          <w:sz w:val="32"/>
          <w:szCs w:val="32"/>
        </w:rPr>
        <w:t>万元：</w:t>
      </w:r>
      <w:r w:rsidR="00E11EAE">
        <w:rPr>
          <w:rFonts w:ascii="仿宋" w:eastAsia="仿宋" w:hAnsi="仿宋"/>
          <w:sz w:val="32"/>
          <w:szCs w:val="32"/>
        </w:rPr>
        <w:t>本部门</w:t>
      </w:r>
      <w:r w:rsidRPr="000416AE">
        <w:rPr>
          <w:rFonts w:ascii="仿宋" w:eastAsia="仿宋" w:hAnsi="仿宋"/>
          <w:sz w:val="32"/>
          <w:szCs w:val="32"/>
        </w:rPr>
        <w:t>2024年度公务用车购置量0辆，发生“公务用车购置”经费支出</w:t>
      </w:r>
      <w:r w:rsidR="000C5FCE" w:rsidRPr="000416AE">
        <w:rPr>
          <w:rFonts w:ascii="仿宋" w:eastAsia="仿宋" w:hAnsi="仿宋"/>
          <w:sz w:val="32"/>
          <w:szCs w:val="32"/>
        </w:rPr>
        <w:t>0</w:t>
      </w:r>
      <w:r w:rsidRPr="000416AE">
        <w:rPr>
          <w:rFonts w:ascii="仿宋" w:eastAsia="仿宋" w:hAnsi="仿宋"/>
          <w:sz w:val="32"/>
          <w:szCs w:val="32"/>
        </w:rPr>
        <w:t>万元。公务用车购置费支出较预算增加</w:t>
      </w:r>
      <w:r w:rsidR="000C5FCE" w:rsidRPr="000416AE">
        <w:rPr>
          <w:rFonts w:ascii="仿宋" w:eastAsia="仿宋" w:hAnsi="仿宋"/>
          <w:sz w:val="32"/>
          <w:szCs w:val="32"/>
        </w:rPr>
        <w:t>0</w:t>
      </w:r>
      <w:r w:rsidRPr="000416AE">
        <w:rPr>
          <w:rFonts w:ascii="仿宋" w:eastAsia="仿宋" w:hAnsi="仿宋"/>
          <w:sz w:val="32"/>
          <w:szCs w:val="32"/>
        </w:rPr>
        <w:t>万元，增长</w:t>
      </w:r>
      <w:r w:rsidR="000C5FCE" w:rsidRPr="000416AE">
        <w:rPr>
          <w:rFonts w:ascii="仿宋" w:eastAsia="仿宋" w:hAnsi="仿宋"/>
          <w:sz w:val="32"/>
          <w:szCs w:val="32"/>
        </w:rPr>
        <w:t>0</w:t>
      </w:r>
      <w:r w:rsidRPr="000416AE">
        <w:rPr>
          <w:rFonts w:ascii="仿宋" w:eastAsia="仿宋" w:hAnsi="仿宋"/>
          <w:sz w:val="32"/>
          <w:szCs w:val="32"/>
        </w:rPr>
        <w:t>%,主要原因是</w:t>
      </w:r>
      <w:r w:rsidR="000416AE">
        <w:rPr>
          <w:rFonts w:ascii="仿宋" w:eastAsia="仿宋" w:hAnsi="仿宋" w:hint="eastAsia"/>
          <w:sz w:val="32"/>
          <w:szCs w:val="32"/>
        </w:rPr>
        <w:t>本年度无公车购置费用预算及支出</w:t>
      </w:r>
      <w:r w:rsidRPr="000416AE">
        <w:rPr>
          <w:rFonts w:ascii="仿宋" w:eastAsia="仿宋" w:hAnsi="仿宋"/>
          <w:sz w:val="32"/>
          <w:szCs w:val="32"/>
        </w:rPr>
        <w:t>；较上年增加</w:t>
      </w:r>
      <w:r w:rsidR="000C5FCE" w:rsidRPr="000416AE">
        <w:rPr>
          <w:rFonts w:ascii="仿宋" w:eastAsia="仿宋" w:hAnsi="仿宋"/>
          <w:sz w:val="32"/>
          <w:szCs w:val="32"/>
        </w:rPr>
        <w:t>0</w:t>
      </w:r>
      <w:r w:rsidRPr="000416AE">
        <w:rPr>
          <w:rFonts w:ascii="仿宋" w:eastAsia="仿宋" w:hAnsi="仿宋"/>
          <w:sz w:val="32"/>
          <w:szCs w:val="32"/>
        </w:rPr>
        <w:t>万元，增长</w:t>
      </w:r>
      <w:r w:rsidR="000C5FCE" w:rsidRPr="000416AE">
        <w:rPr>
          <w:rFonts w:ascii="仿宋" w:eastAsia="仿宋" w:hAnsi="仿宋"/>
          <w:sz w:val="32"/>
          <w:szCs w:val="32"/>
        </w:rPr>
        <w:t>0</w:t>
      </w:r>
      <w:r w:rsidRPr="000416AE">
        <w:rPr>
          <w:rFonts w:ascii="仿宋" w:eastAsia="仿宋" w:hAnsi="仿宋"/>
          <w:sz w:val="32"/>
          <w:szCs w:val="32"/>
        </w:rPr>
        <w:t>%,主要原因是</w:t>
      </w:r>
      <w:r w:rsidR="000416AE">
        <w:rPr>
          <w:rFonts w:ascii="仿宋" w:eastAsia="仿宋" w:hAnsi="仿宋" w:hint="eastAsia"/>
          <w:sz w:val="32"/>
          <w:szCs w:val="32"/>
        </w:rPr>
        <w:t>本年度无公车购置费用预算及支出</w:t>
      </w:r>
      <w:r w:rsidRPr="000416AE">
        <w:rPr>
          <w:rFonts w:ascii="仿宋" w:eastAsia="仿宋" w:hAnsi="仿宋"/>
          <w:sz w:val="32"/>
          <w:szCs w:val="32"/>
        </w:rPr>
        <w:t>。</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公务用车运行维护费支出2.00万元：</w:t>
      </w:r>
      <w:r w:rsidR="00E11EAE">
        <w:rPr>
          <w:rFonts w:ascii="仿宋" w:eastAsia="仿宋" w:hAnsi="仿宋"/>
          <w:sz w:val="32"/>
          <w:szCs w:val="32"/>
        </w:rPr>
        <w:t>本部门</w:t>
      </w:r>
      <w:r w:rsidRPr="000416AE">
        <w:rPr>
          <w:rFonts w:ascii="仿宋" w:eastAsia="仿宋" w:hAnsi="仿宋"/>
          <w:sz w:val="32"/>
          <w:szCs w:val="32"/>
        </w:rPr>
        <w:t>2024年度单位公务用车保有量2辆，发生运行维护费支出2.00万元。公车运行维护费支出较预算增加</w:t>
      </w:r>
      <w:r w:rsidR="000C5FCE" w:rsidRPr="000416AE">
        <w:rPr>
          <w:rFonts w:ascii="仿宋" w:eastAsia="仿宋" w:hAnsi="仿宋"/>
          <w:sz w:val="32"/>
          <w:szCs w:val="32"/>
        </w:rPr>
        <w:t>0</w:t>
      </w:r>
      <w:r w:rsidRPr="000416AE">
        <w:rPr>
          <w:rFonts w:ascii="仿宋" w:eastAsia="仿宋" w:hAnsi="仿宋"/>
          <w:sz w:val="32"/>
          <w:szCs w:val="32"/>
        </w:rPr>
        <w:t>万元，增长</w:t>
      </w:r>
      <w:r w:rsidR="000C5FCE" w:rsidRPr="000416AE">
        <w:rPr>
          <w:rFonts w:ascii="仿宋" w:eastAsia="仿宋" w:hAnsi="仿宋"/>
          <w:sz w:val="32"/>
          <w:szCs w:val="32"/>
        </w:rPr>
        <w:t>0</w:t>
      </w:r>
      <w:r w:rsidRPr="000416AE">
        <w:rPr>
          <w:rFonts w:ascii="仿宋" w:eastAsia="仿宋" w:hAnsi="仿宋"/>
          <w:sz w:val="32"/>
          <w:szCs w:val="32"/>
        </w:rPr>
        <w:t>%,主要原因是</w:t>
      </w:r>
      <w:r w:rsidR="000416AE">
        <w:rPr>
          <w:rFonts w:ascii="仿宋" w:eastAsia="仿宋" w:hAnsi="仿宋" w:hint="eastAsia"/>
          <w:sz w:val="32"/>
          <w:szCs w:val="32"/>
        </w:rPr>
        <w:t>维持总体不变</w:t>
      </w:r>
      <w:r w:rsidRPr="000416AE">
        <w:rPr>
          <w:rFonts w:ascii="仿宋" w:eastAsia="仿宋" w:hAnsi="仿宋"/>
          <w:sz w:val="32"/>
          <w:szCs w:val="32"/>
        </w:rPr>
        <w:t>；较上年增加0.39万元，增长24.2%，主要原因是</w:t>
      </w:r>
      <w:r w:rsidR="000416AE">
        <w:rPr>
          <w:rFonts w:ascii="仿宋" w:eastAsia="仿宋" w:hAnsi="仿宋" w:hint="eastAsia"/>
          <w:sz w:val="32"/>
          <w:szCs w:val="32"/>
        </w:rPr>
        <w:t>车辆维护费用增加</w:t>
      </w:r>
      <w:r w:rsidRPr="000416AE">
        <w:rPr>
          <w:rFonts w:ascii="仿宋" w:eastAsia="仿宋" w:hAnsi="仿宋"/>
          <w:sz w:val="32"/>
          <w:szCs w:val="32"/>
        </w:rPr>
        <w:t>。</w:t>
      </w:r>
    </w:p>
    <w:p w:rsidR="0081201E" w:rsidRDefault="006E23F4" w:rsidP="000416AE">
      <w:pPr>
        <w:widowControl/>
        <w:spacing w:line="360" w:lineRule="auto"/>
        <w:ind w:firstLineChars="200" w:firstLine="643"/>
        <w:jc w:val="left"/>
        <w:rPr>
          <w:rFonts w:ascii="Times New Roman" w:eastAsia="仿宋_GB2312"/>
          <w:sz w:val="32"/>
          <w:szCs w:val="32"/>
        </w:rPr>
      </w:pPr>
      <w:r w:rsidRPr="000416AE">
        <w:rPr>
          <w:rFonts w:ascii="仿宋" w:eastAsia="仿宋" w:hAnsi="仿宋"/>
          <w:b/>
          <w:sz w:val="32"/>
          <w:szCs w:val="32"/>
        </w:rPr>
        <w:t>3.公务接待费支出情况。</w:t>
      </w:r>
      <w:r w:rsidR="00E11EAE">
        <w:rPr>
          <w:rFonts w:ascii="仿宋" w:eastAsia="仿宋" w:hAnsi="仿宋"/>
          <w:sz w:val="32"/>
          <w:szCs w:val="32"/>
        </w:rPr>
        <w:t>本部门</w:t>
      </w:r>
      <w:r w:rsidRPr="000416AE">
        <w:rPr>
          <w:rFonts w:ascii="仿宋" w:eastAsia="仿宋" w:hAnsi="仿宋"/>
          <w:sz w:val="32"/>
          <w:szCs w:val="32"/>
        </w:rPr>
        <w:t>2024年度公务接待费支出预算为</w:t>
      </w:r>
      <w:r w:rsidR="000C5FCE" w:rsidRPr="000416AE">
        <w:rPr>
          <w:rFonts w:ascii="仿宋" w:eastAsia="仿宋" w:hAnsi="仿宋"/>
          <w:sz w:val="32"/>
          <w:szCs w:val="32"/>
        </w:rPr>
        <w:t>0</w:t>
      </w:r>
      <w:r w:rsidRPr="000416AE">
        <w:rPr>
          <w:rFonts w:ascii="仿宋" w:eastAsia="仿宋" w:hAnsi="仿宋"/>
          <w:sz w:val="32"/>
          <w:szCs w:val="32"/>
        </w:rPr>
        <w:t>万元，支出决算</w:t>
      </w:r>
      <w:r w:rsidR="000C5FCE" w:rsidRPr="000416AE">
        <w:rPr>
          <w:rFonts w:ascii="仿宋" w:eastAsia="仿宋" w:hAnsi="仿宋"/>
          <w:sz w:val="32"/>
          <w:szCs w:val="32"/>
        </w:rPr>
        <w:t>0</w:t>
      </w:r>
      <w:r w:rsidRPr="000416AE">
        <w:rPr>
          <w:rFonts w:ascii="仿宋" w:eastAsia="仿宋" w:hAnsi="仿宋"/>
          <w:sz w:val="32"/>
          <w:szCs w:val="32"/>
        </w:rPr>
        <w:t>万元，完成预算的</w:t>
      </w:r>
      <w:r w:rsidR="000C5FCE" w:rsidRPr="000416AE">
        <w:rPr>
          <w:rFonts w:ascii="仿宋" w:eastAsia="仿宋" w:hAnsi="仿宋"/>
          <w:sz w:val="32"/>
          <w:szCs w:val="32"/>
        </w:rPr>
        <w:t>0</w:t>
      </w:r>
      <w:r w:rsidRPr="000416AE">
        <w:rPr>
          <w:rFonts w:ascii="仿宋" w:eastAsia="仿宋" w:hAnsi="仿宋"/>
          <w:sz w:val="32"/>
          <w:szCs w:val="32"/>
        </w:rPr>
        <w:t>%。公务接待费支出较预算增加</w:t>
      </w:r>
      <w:r w:rsidR="000C5FCE" w:rsidRPr="000416AE">
        <w:rPr>
          <w:rFonts w:ascii="仿宋" w:eastAsia="仿宋" w:hAnsi="仿宋"/>
          <w:sz w:val="32"/>
          <w:szCs w:val="32"/>
        </w:rPr>
        <w:t>0</w:t>
      </w:r>
      <w:r w:rsidRPr="000416AE">
        <w:rPr>
          <w:rFonts w:ascii="仿宋" w:eastAsia="仿宋" w:hAnsi="仿宋"/>
          <w:sz w:val="32"/>
          <w:szCs w:val="32"/>
        </w:rPr>
        <w:t>万元，增长</w:t>
      </w:r>
      <w:r w:rsidR="000C5FCE" w:rsidRPr="000416AE">
        <w:rPr>
          <w:rFonts w:ascii="仿宋" w:eastAsia="仿宋" w:hAnsi="仿宋"/>
          <w:sz w:val="32"/>
          <w:szCs w:val="32"/>
        </w:rPr>
        <w:t>0</w:t>
      </w:r>
      <w:r w:rsidRPr="000416AE">
        <w:rPr>
          <w:rFonts w:ascii="仿宋" w:eastAsia="仿宋" w:hAnsi="仿宋"/>
          <w:sz w:val="32"/>
          <w:szCs w:val="32"/>
        </w:rPr>
        <w:t>%,主要原因是</w:t>
      </w:r>
      <w:r w:rsidR="000416AE">
        <w:rPr>
          <w:rFonts w:ascii="仿宋" w:eastAsia="仿宋" w:hAnsi="仿宋" w:hint="eastAsia"/>
          <w:sz w:val="32"/>
          <w:szCs w:val="32"/>
        </w:rPr>
        <w:t>本年度无公务接待费用预</w:t>
      </w:r>
      <w:r w:rsidR="000416AE">
        <w:rPr>
          <w:rFonts w:ascii="仿宋" w:eastAsia="仿宋" w:hAnsi="仿宋" w:hint="eastAsia"/>
          <w:sz w:val="32"/>
          <w:szCs w:val="32"/>
        </w:rPr>
        <w:lastRenderedPageBreak/>
        <w:t>算及支出</w:t>
      </w:r>
      <w:r w:rsidRPr="000416AE">
        <w:rPr>
          <w:rFonts w:ascii="仿宋" w:eastAsia="仿宋" w:hAnsi="仿宋"/>
          <w:sz w:val="32"/>
          <w:szCs w:val="32"/>
        </w:rPr>
        <w:t>；较上年度增加</w:t>
      </w:r>
      <w:r w:rsidR="000C5FCE" w:rsidRPr="000416AE">
        <w:rPr>
          <w:rFonts w:ascii="仿宋" w:eastAsia="仿宋" w:hAnsi="仿宋"/>
          <w:sz w:val="32"/>
          <w:szCs w:val="32"/>
        </w:rPr>
        <w:t>0</w:t>
      </w:r>
      <w:r w:rsidRPr="000416AE">
        <w:rPr>
          <w:rFonts w:ascii="仿宋" w:eastAsia="仿宋" w:hAnsi="仿宋"/>
          <w:sz w:val="32"/>
          <w:szCs w:val="32"/>
        </w:rPr>
        <w:t>万元，增长</w:t>
      </w:r>
      <w:r w:rsidR="000C5FCE" w:rsidRPr="000416AE">
        <w:rPr>
          <w:rFonts w:ascii="仿宋" w:eastAsia="仿宋" w:hAnsi="仿宋"/>
          <w:sz w:val="32"/>
          <w:szCs w:val="32"/>
        </w:rPr>
        <w:t>0</w:t>
      </w:r>
      <w:r w:rsidRPr="000416AE">
        <w:rPr>
          <w:rFonts w:ascii="仿宋" w:eastAsia="仿宋" w:hAnsi="仿宋"/>
          <w:sz w:val="32"/>
          <w:szCs w:val="32"/>
        </w:rPr>
        <w:t>%,主要原因是</w:t>
      </w:r>
      <w:r w:rsidR="000416AE">
        <w:rPr>
          <w:rFonts w:ascii="仿宋" w:eastAsia="仿宋" w:hAnsi="仿宋" w:hint="eastAsia"/>
          <w:sz w:val="32"/>
          <w:szCs w:val="32"/>
        </w:rPr>
        <w:t>本年度无公务接待费用预算及支出</w:t>
      </w:r>
      <w:r w:rsidRPr="000416AE">
        <w:rPr>
          <w:rFonts w:ascii="仿宋" w:eastAsia="仿宋" w:hAnsi="仿宋"/>
          <w:sz w:val="32"/>
          <w:szCs w:val="32"/>
        </w:rPr>
        <w:t>。本年度共发生公务接待0批次、0人次。</w:t>
      </w:r>
    </w:p>
    <w:p w:rsidR="0081201E" w:rsidRDefault="006E23F4" w:rsidP="006E23F4">
      <w:pPr>
        <w:widowControl/>
        <w:spacing w:line="360" w:lineRule="auto"/>
        <w:ind w:firstLineChars="200" w:firstLine="640"/>
        <w:jc w:val="left"/>
        <w:outlineLvl w:val="1"/>
        <w:rPr>
          <w:rFonts w:ascii="Times New Roman" w:eastAsia="黑体"/>
          <w:sz w:val="32"/>
          <w:szCs w:val="32"/>
        </w:rPr>
      </w:pPr>
      <w:r>
        <w:rPr>
          <w:rFonts w:ascii="Times New Roman" w:eastAsia="黑体"/>
          <w:sz w:val="32"/>
          <w:szCs w:val="32"/>
        </w:rPr>
        <w:t>六、机关运行经费支出说明</w:t>
      </w:r>
    </w:p>
    <w:p w:rsidR="0081201E" w:rsidRPr="000416AE" w:rsidRDefault="00E11EAE" w:rsidP="006E23F4">
      <w:pPr>
        <w:widowControl/>
        <w:spacing w:line="360" w:lineRule="auto"/>
        <w:ind w:firstLineChars="200" w:firstLine="640"/>
        <w:jc w:val="left"/>
        <w:rPr>
          <w:rFonts w:ascii="仿宋" w:eastAsia="仿宋" w:hAnsi="仿宋"/>
          <w:sz w:val="32"/>
          <w:szCs w:val="32"/>
        </w:rPr>
      </w:pPr>
      <w:r>
        <w:rPr>
          <w:rFonts w:ascii="仿宋" w:eastAsia="仿宋" w:hAnsi="仿宋"/>
          <w:sz w:val="32"/>
          <w:szCs w:val="32"/>
        </w:rPr>
        <w:t>本部门</w:t>
      </w:r>
      <w:r w:rsidR="006E23F4" w:rsidRPr="000416AE">
        <w:rPr>
          <w:rFonts w:ascii="仿宋" w:eastAsia="仿宋" w:hAnsi="仿宋"/>
          <w:sz w:val="32"/>
          <w:szCs w:val="32"/>
        </w:rPr>
        <w:t>2024年度机关运行经费支出102.82万元，较2023年度增加18.88万元，增长22.5%。主要原因是</w:t>
      </w:r>
      <w:r w:rsidR="000416AE">
        <w:rPr>
          <w:rFonts w:ascii="仿宋" w:eastAsia="仿宋" w:hAnsi="仿宋" w:hint="eastAsia"/>
          <w:sz w:val="32"/>
          <w:szCs w:val="32"/>
        </w:rPr>
        <w:t>人员变动</w:t>
      </w:r>
      <w:r w:rsidR="006E23F4" w:rsidRPr="000416AE">
        <w:rPr>
          <w:rFonts w:ascii="仿宋" w:eastAsia="仿宋" w:hAnsi="仿宋"/>
          <w:sz w:val="32"/>
          <w:szCs w:val="32"/>
        </w:rPr>
        <w:t>。</w:t>
      </w:r>
    </w:p>
    <w:p w:rsidR="0081201E" w:rsidRDefault="006E23F4" w:rsidP="006E23F4">
      <w:pPr>
        <w:widowControl/>
        <w:spacing w:line="360" w:lineRule="auto"/>
        <w:ind w:firstLineChars="200" w:firstLine="640"/>
        <w:jc w:val="left"/>
        <w:outlineLvl w:val="1"/>
        <w:rPr>
          <w:rFonts w:ascii="Times New Roman" w:eastAsia="黑体"/>
          <w:sz w:val="32"/>
          <w:szCs w:val="32"/>
        </w:rPr>
      </w:pPr>
      <w:r>
        <w:rPr>
          <w:rFonts w:ascii="Times New Roman" w:eastAsia="黑体"/>
          <w:sz w:val="32"/>
          <w:szCs w:val="32"/>
        </w:rPr>
        <w:t>七、政府采购支出说明</w:t>
      </w:r>
    </w:p>
    <w:p w:rsidR="0081201E" w:rsidRPr="000416AE" w:rsidRDefault="00E11EAE" w:rsidP="006E23F4">
      <w:pPr>
        <w:widowControl/>
        <w:spacing w:line="360" w:lineRule="auto"/>
        <w:ind w:firstLineChars="200" w:firstLine="640"/>
        <w:jc w:val="left"/>
        <w:rPr>
          <w:rFonts w:ascii="仿宋" w:eastAsia="仿宋" w:hAnsi="仿宋"/>
          <w:sz w:val="32"/>
          <w:szCs w:val="32"/>
        </w:rPr>
      </w:pPr>
      <w:r>
        <w:rPr>
          <w:rFonts w:ascii="仿宋" w:eastAsia="仿宋" w:hAnsi="仿宋"/>
          <w:sz w:val="32"/>
          <w:szCs w:val="32"/>
        </w:rPr>
        <w:t>本部门</w:t>
      </w:r>
      <w:r w:rsidR="006E23F4" w:rsidRPr="000416AE">
        <w:rPr>
          <w:rFonts w:ascii="仿宋" w:eastAsia="仿宋" w:hAnsi="仿宋"/>
          <w:sz w:val="32"/>
          <w:szCs w:val="32"/>
        </w:rPr>
        <w:t>2024年度政府采购支出总额</w:t>
      </w:r>
      <w:r w:rsidR="000C5FCE" w:rsidRPr="000416AE">
        <w:rPr>
          <w:rFonts w:ascii="仿宋" w:eastAsia="仿宋" w:hAnsi="仿宋"/>
          <w:sz w:val="32"/>
          <w:szCs w:val="32"/>
        </w:rPr>
        <w:t>0</w:t>
      </w:r>
      <w:r w:rsidR="006E23F4" w:rsidRPr="000416AE">
        <w:rPr>
          <w:rFonts w:ascii="仿宋" w:eastAsia="仿宋" w:hAnsi="仿宋"/>
          <w:sz w:val="32"/>
          <w:szCs w:val="32"/>
        </w:rPr>
        <w:t>万元，从采购类型来看，政府采购货物支出</w:t>
      </w:r>
      <w:r w:rsidR="000C5FCE" w:rsidRPr="000416AE">
        <w:rPr>
          <w:rFonts w:ascii="仿宋" w:eastAsia="仿宋" w:hAnsi="仿宋"/>
          <w:sz w:val="32"/>
          <w:szCs w:val="32"/>
        </w:rPr>
        <w:t>0</w:t>
      </w:r>
      <w:r w:rsidR="006E23F4" w:rsidRPr="000416AE">
        <w:rPr>
          <w:rFonts w:ascii="仿宋" w:eastAsia="仿宋" w:hAnsi="仿宋"/>
          <w:sz w:val="32"/>
          <w:szCs w:val="32"/>
        </w:rPr>
        <w:t>万元、政府采购工程支出</w:t>
      </w:r>
      <w:r w:rsidR="000C5FCE" w:rsidRPr="000416AE">
        <w:rPr>
          <w:rFonts w:ascii="仿宋" w:eastAsia="仿宋" w:hAnsi="仿宋"/>
          <w:sz w:val="32"/>
          <w:szCs w:val="32"/>
        </w:rPr>
        <w:t>0</w:t>
      </w:r>
      <w:r w:rsidR="006E23F4" w:rsidRPr="000416AE">
        <w:rPr>
          <w:rFonts w:ascii="仿宋" w:eastAsia="仿宋" w:hAnsi="仿宋"/>
          <w:sz w:val="32"/>
          <w:szCs w:val="32"/>
        </w:rPr>
        <w:t>万元、政府采购服务支出</w:t>
      </w:r>
      <w:r w:rsidR="000C5FCE" w:rsidRPr="000416AE">
        <w:rPr>
          <w:rFonts w:ascii="仿宋" w:eastAsia="仿宋" w:hAnsi="仿宋"/>
          <w:sz w:val="32"/>
          <w:szCs w:val="32"/>
        </w:rPr>
        <w:t>0</w:t>
      </w:r>
      <w:r w:rsidR="006E23F4" w:rsidRPr="000416AE">
        <w:rPr>
          <w:rFonts w:ascii="仿宋" w:eastAsia="仿宋" w:hAnsi="仿宋"/>
          <w:sz w:val="32"/>
          <w:szCs w:val="32"/>
        </w:rPr>
        <w:t>万元。授予中小企业合同金额</w:t>
      </w:r>
      <w:r w:rsidR="000C5FCE" w:rsidRPr="000416AE">
        <w:rPr>
          <w:rFonts w:ascii="仿宋" w:eastAsia="仿宋" w:hAnsi="仿宋"/>
          <w:sz w:val="32"/>
          <w:szCs w:val="32"/>
        </w:rPr>
        <w:t>0</w:t>
      </w:r>
      <w:r w:rsidR="006E23F4" w:rsidRPr="000416AE">
        <w:rPr>
          <w:rFonts w:ascii="仿宋" w:eastAsia="仿宋" w:hAnsi="仿宋"/>
          <w:sz w:val="32"/>
          <w:szCs w:val="32"/>
        </w:rPr>
        <w:t>万元，占政府采购支出总额的</w:t>
      </w:r>
      <w:r w:rsidR="000C5FCE" w:rsidRPr="000416AE">
        <w:rPr>
          <w:rFonts w:ascii="仿宋" w:eastAsia="仿宋" w:hAnsi="仿宋"/>
          <w:sz w:val="32"/>
          <w:szCs w:val="32"/>
        </w:rPr>
        <w:t>0</w:t>
      </w:r>
      <w:r w:rsidR="006E23F4" w:rsidRPr="000416AE">
        <w:rPr>
          <w:rFonts w:ascii="仿宋" w:eastAsia="仿宋" w:hAnsi="仿宋"/>
          <w:sz w:val="32"/>
          <w:szCs w:val="32"/>
        </w:rPr>
        <w:t>%，其中授予小微企业合同金额</w:t>
      </w:r>
      <w:r w:rsidR="000C5FCE" w:rsidRPr="000416AE">
        <w:rPr>
          <w:rFonts w:ascii="仿宋" w:eastAsia="仿宋" w:hAnsi="仿宋"/>
          <w:sz w:val="32"/>
          <w:szCs w:val="32"/>
        </w:rPr>
        <w:t>0</w:t>
      </w:r>
      <w:r w:rsidR="006E23F4" w:rsidRPr="000416AE">
        <w:rPr>
          <w:rFonts w:ascii="仿宋" w:eastAsia="仿宋" w:hAnsi="仿宋"/>
          <w:sz w:val="32"/>
          <w:szCs w:val="32"/>
        </w:rPr>
        <w:t>万元，占政府采购支出总额的</w:t>
      </w:r>
      <w:r w:rsidR="000C5FCE" w:rsidRPr="000416AE">
        <w:rPr>
          <w:rFonts w:ascii="仿宋" w:eastAsia="仿宋" w:hAnsi="仿宋"/>
          <w:sz w:val="32"/>
          <w:szCs w:val="32"/>
        </w:rPr>
        <w:t>0</w:t>
      </w:r>
      <w:r w:rsidR="006E23F4" w:rsidRPr="000416AE">
        <w:rPr>
          <w:rFonts w:ascii="仿宋" w:eastAsia="仿宋" w:hAnsi="仿宋"/>
          <w:sz w:val="32"/>
          <w:szCs w:val="32"/>
        </w:rPr>
        <w:t>%。</w:t>
      </w:r>
    </w:p>
    <w:p w:rsidR="0081201E" w:rsidRDefault="006E23F4" w:rsidP="006E23F4">
      <w:pPr>
        <w:widowControl/>
        <w:spacing w:line="360" w:lineRule="auto"/>
        <w:ind w:firstLineChars="200" w:firstLine="640"/>
        <w:jc w:val="left"/>
        <w:outlineLvl w:val="1"/>
        <w:rPr>
          <w:rFonts w:ascii="Times New Roman" w:eastAsia="黑体"/>
          <w:sz w:val="32"/>
          <w:szCs w:val="32"/>
        </w:rPr>
      </w:pPr>
      <w:r>
        <w:rPr>
          <w:rFonts w:ascii="Times New Roman" w:eastAsia="黑体"/>
          <w:sz w:val="32"/>
          <w:szCs w:val="32"/>
        </w:rPr>
        <w:t>八、国有资产占用情况说明</w:t>
      </w:r>
    </w:p>
    <w:p w:rsidR="0081201E" w:rsidRDefault="006E23F4" w:rsidP="006E23F4">
      <w:pPr>
        <w:widowControl/>
        <w:spacing w:line="360" w:lineRule="auto"/>
        <w:ind w:firstLineChars="200" w:firstLine="640"/>
        <w:jc w:val="left"/>
        <w:rPr>
          <w:rFonts w:ascii="Times New Roman" w:eastAsia="仿宋_GB2312"/>
          <w:sz w:val="32"/>
          <w:szCs w:val="32"/>
        </w:rPr>
      </w:pPr>
      <w:r w:rsidRPr="000416AE">
        <w:rPr>
          <w:rFonts w:ascii="仿宋" w:eastAsia="仿宋" w:hAnsi="仿宋"/>
          <w:sz w:val="32"/>
          <w:szCs w:val="32"/>
        </w:rPr>
        <w:t>截至2024年12月31日，</w:t>
      </w:r>
      <w:r w:rsidR="00E11EAE">
        <w:rPr>
          <w:rFonts w:ascii="仿宋" w:eastAsia="仿宋" w:hAnsi="仿宋"/>
          <w:sz w:val="32"/>
          <w:szCs w:val="32"/>
        </w:rPr>
        <w:t>本部门</w:t>
      </w:r>
      <w:r w:rsidRPr="000416AE">
        <w:rPr>
          <w:rFonts w:ascii="仿宋" w:eastAsia="仿宋" w:hAnsi="仿宋"/>
          <w:sz w:val="32"/>
          <w:szCs w:val="32"/>
        </w:rPr>
        <w:t>共有车辆2辆，比上年增加0辆，主要是。其中，副部（省）级及以上领导用车0辆，主要负责人用车0辆，机要通信用车0辆，应急保障用车2辆，执法执勤用车0辆，特种专业技术用车0辆，离退休干部用车0辆，其他用车0辆。单位价值100万元（含）以上设备（不含车辆）0台（套）</w:t>
      </w:r>
      <w:r>
        <w:rPr>
          <w:rFonts w:ascii="Times New Roman" w:eastAsia="仿宋_GB2312"/>
          <w:sz w:val="32"/>
          <w:szCs w:val="32"/>
        </w:rPr>
        <w:t>。</w:t>
      </w:r>
    </w:p>
    <w:p w:rsidR="0081201E" w:rsidRDefault="006E23F4" w:rsidP="006E23F4">
      <w:pPr>
        <w:widowControl/>
        <w:spacing w:line="360" w:lineRule="auto"/>
        <w:ind w:firstLineChars="200" w:firstLine="640"/>
        <w:jc w:val="left"/>
        <w:outlineLvl w:val="1"/>
        <w:rPr>
          <w:rFonts w:ascii="Times New Roman" w:eastAsia="黑体"/>
          <w:sz w:val="32"/>
          <w:szCs w:val="32"/>
        </w:rPr>
      </w:pPr>
      <w:r>
        <w:rPr>
          <w:rFonts w:ascii="Times New Roman" w:eastAsia="黑体"/>
          <w:sz w:val="32"/>
          <w:szCs w:val="32"/>
        </w:rPr>
        <w:t>九、关于</w:t>
      </w:r>
      <w:r>
        <w:rPr>
          <w:rFonts w:ascii="Times New Roman" w:eastAsia="黑体"/>
          <w:sz w:val="32"/>
          <w:szCs w:val="32"/>
        </w:rPr>
        <w:t>2024</w:t>
      </w:r>
      <w:r>
        <w:rPr>
          <w:rFonts w:ascii="Times New Roman" w:eastAsia="黑体"/>
          <w:sz w:val="32"/>
          <w:szCs w:val="32"/>
        </w:rPr>
        <w:t>年度绩效评价情况的说明</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lastRenderedPageBreak/>
        <w:t>（一）绩效评价工作开展情况</w:t>
      </w:r>
    </w:p>
    <w:p w:rsidR="000416AE" w:rsidRPr="000416AE" w:rsidRDefault="000416AE" w:rsidP="000416AE">
      <w:pPr>
        <w:adjustRightInd w:val="0"/>
        <w:snapToGrid w:val="0"/>
        <w:spacing w:line="580" w:lineRule="exact"/>
        <w:ind w:firstLineChars="200" w:firstLine="640"/>
        <w:rPr>
          <w:rFonts w:ascii="仿宋" w:eastAsia="仿宋" w:hAnsi="仿宋" w:cs="仿宋_GB2312"/>
          <w:sz w:val="32"/>
          <w:szCs w:val="32"/>
        </w:rPr>
      </w:pPr>
      <w:r w:rsidRPr="000416AE">
        <w:rPr>
          <w:rFonts w:ascii="仿宋" w:eastAsia="仿宋" w:hAnsi="仿宋" w:cs="仿宋_GB2312" w:hint="eastAsia"/>
          <w:sz w:val="32"/>
          <w:szCs w:val="32"/>
        </w:rPr>
        <w:t>组织对“</w:t>
      </w:r>
      <w:r>
        <w:rPr>
          <w:rFonts w:ascii="仿宋" w:eastAsia="仿宋" w:hAnsi="仿宋" w:cs="仿宋_GB2312" w:hint="eastAsia"/>
          <w:sz w:val="32"/>
          <w:szCs w:val="32"/>
        </w:rPr>
        <w:t>滦州市古马镇人民政府</w:t>
      </w:r>
      <w:r w:rsidRPr="000416AE">
        <w:rPr>
          <w:rFonts w:ascii="仿宋" w:eastAsia="仿宋" w:hAnsi="仿宋" w:cs="仿宋_GB2312" w:hint="eastAsia"/>
          <w:sz w:val="32"/>
          <w:szCs w:val="32"/>
        </w:rPr>
        <w:t>整体绩效”等项目开展了评价，涉及一般公共预算支</w:t>
      </w:r>
      <w:r w:rsidRPr="001D46DC">
        <w:rPr>
          <w:rFonts w:ascii="仿宋" w:eastAsia="仿宋" w:hAnsi="仿宋" w:cs="仿宋_GB2312" w:hint="eastAsia"/>
          <w:sz w:val="32"/>
          <w:szCs w:val="32"/>
        </w:rPr>
        <w:t>出</w:t>
      </w:r>
      <w:r w:rsidR="001D46DC" w:rsidRPr="001D46DC">
        <w:rPr>
          <w:rFonts w:ascii="仿宋" w:eastAsia="仿宋" w:hAnsi="仿宋" w:cs="仿宋_GB2312" w:hint="eastAsia"/>
          <w:sz w:val="32"/>
          <w:szCs w:val="32"/>
        </w:rPr>
        <w:t>1651.85</w:t>
      </w:r>
      <w:r w:rsidRPr="001D46DC">
        <w:rPr>
          <w:rFonts w:ascii="仿宋" w:eastAsia="仿宋" w:hAnsi="仿宋" w:cs="仿宋_GB2312" w:hint="eastAsia"/>
          <w:sz w:val="32"/>
          <w:szCs w:val="32"/>
        </w:rPr>
        <w:t>万元，政府性基金预算支出</w:t>
      </w:r>
      <w:r w:rsidR="001D46DC" w:rsidRPr="001D46DC">
        <w:rPr>
          <w:rFonts w:ascii="仿宋" w:eastAsia="仿宋" w:hAnsi="仿宋" w:cs="仿宋_GB2312" w:hint="eastAsia"/>
          <w:sz w:val="32"/>
          <w:szCs w:val="32"/>
        </w:rPr>
        <w:t>1019.8</w:t>
      </w:r>
      <w:r w:rsidRPr="001D46DC">
        <w:rPr>
          <w:rFonts w:ascii="仿宋" w:eastAsia="仿宋" w:hAnsi="仿宋" w:cs="仿宋_GB2312" w:hint="eastAsia"/>
          <w:sz w:val="32"/>
          <w:szCs w:val="32"/>
        </w:rPr>
        <w:t>万元，国有资本经营预算支出</w:t>
      </w:r>
      <w:r w:rsidR="001D46DC" w:rsidRPr="001D46DC">
        <w:rPr>
          <w:rFonts w:ascii="仿宋" w:eastAsia="仿宋" w:hAnsi="仿宋" w:cs="仿宋_GB2312" w:hint="eastAsia"/>
          <w:sz w:val="32"/>
          <w:szCs w:val="32"/>
        </w:rPr>
        <w:t>0</w:t>
      </w:r>
      <w:r w:rsidRPr="001D46DC">
        <w:rPr>
          <w:rFonts w:ascii="仿宋" w:eastAsia="仿宋" w:hAnsi="仿宋" w:cs="仿宋_GB2312" w:hint="eastAsia"/>
          <w:sz w:val="32"/>
          <w:szCs w:val="32"/>
        </w:rPr>
        <w:t>万</w:t>
      </w:r>
      <w:r w:rsidRPr="000416AE">
        <w:rPr>
          <w:rFonts w:ascii="仿宋" w:eastAsia="仿宋" w:hAnsi="仿宋" w:cs="仿宋_GB2312" w:hint="eastAsia"/>
          <w:sz w:val="32"/>
          <w:szCs w:val="32"/>
        </w:rPr>
        <w:t>元。从评价情况来看，项目绩效自评指标设置科学合理，指标评分依据恰当、准确，绩效指标值的设置能够比较全面的评价该项目的绩效情况，评价结果能够运用于对该项目资金使用和管理情况的监控，有助于健全项目执行管理制度，完善项目支出责任制度，提高支出执行的及时性、均衡性和有效性。</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（二）部门决算中项目绩效自评结果</w:t>
      </w:r>
    </w:p>
    <w:p w:rsidR="000416AE" w:rsidRDefault="000416AE" w:rsidP="001D46DC">
      <w:pPr>
        <w:adjustRightInd w:val="0"/>
        <w:snapToGrid w:val="0"/>
        <w:spacing w:line="580" w:lineRule="exact"/>
        <w:ind w:firstLine="645"/>
        <w:rPr>
          <w:rFonts w:ascii="仿宋" w:eastAsia="仿宋" w:hAnsi="仿宋" w:cs="仿宋_GB2312"/>
          <w:sz w:val="32"/>
          <w:szCs w:val="32"/>
        </w:rPr>
      </w:pPr>
      <w:r w:rsidRPr="000416AE">
        <w:rPr>
          <w:rFonts w:ascii="仿宋" w:eastAsia="仿宋" w:hAnsi="仿宋" w:cs="仿宋_GB2312" w:hint="eastAsia"/>
          <w:sz w:val="32"/>
          <w:szCs w:val="32"/>
        </w:rPr>
        <w:t>根据年初设定的绩效目标，该项目绩效自评</w:t>
      </w:r>
      <w:r w:rsidRPr="001D46DC">
        <w:rPr>
          <w:rFonts w:ascii="仿宋" w:eastAsia="仿宋" w:hAnsi="仿宋" w:cs="仿宋_GB2312" w:hint="eastAsia"/>
          <w:sz w:val="32"/>
          <w:szCs w:val="32"/>
        </w:rPr>
        <w:t>得分为</w:t>
      </w:r>
      <w:r w:rsidR="001D46DC" w:rsidRPr="001D46DC">
        <w:rPr>
          <w:rFonts w:ascii="仿宋" w:eastAsia="仿宋" w:hAnsi="仿宋" w:cs="仿宋_GB2312" w:hint="eastAsia"/>
          <w:sz w:val="32"/>
          <w:szCs w:val="32"/>
        </w:rPr>
        <w:t>100</w:t>
      </w:r>
      <w:r w:rsidRPr="001D46DC">
        <w:rPr>
          <w:rFonts w:ascii="仿宋" w:eastAsia="仿宋" w:hAnsi="仿宋" w:cs="仿宋_GB2312" w:hint="eastAsia"/>
          <w:sz w:val="32"/>
          <w:szCs w:val="32"/>
        </w:rPr>
        <w:t>分（绩效自评表附后）。全年预算数为</w:t>
      </w:r>
      <w:r w:rsidR="001D46DC" w:rsidRPr="001D46DC">
        <w:rPr>
          <w:rFonts w:ascii="仿宋" w:eastAsia="仿宋" w:hAnsi="仿宋" w:cs="仿宋_GB2312" w:hint="eastAsia"/>
          <w:sz w:val="32"/>
          <w:szCs w:val="32"/>
        </w:rPr>
        <w:t>7.68</w:t>
      </w:r>
      <w:r w:rsidRPr="001D46DC">
        <w:rPr>
          <w:rFonts w:ascii="仿宋" w:eastAsia="仿宋" w:hAnsi="仿宋" w:cs="仿宋_GB2312" w:hint="eastAsia"/>
          <w:sz w:val="32"/>
          <w:szCs w:val="32"/>
        </w:rPr>
        <w:t>万元，执行数为</w:t>
      </w:r>
      <w:r w:rsidR="001D46DC" w:rsidRPr="001D46DC">
        <w:rPr>
          <w:rFonts w:ascii="仿宋" w:eastAsia="仿宋" w:hAnsi="仿宋" w:cs="仿宋_GB2312" w:hint="eastAsia"/>
          <w:sz w:val="32"/>
          <w:szCs w:val="32"/>
        </w:rPr>
        <w:t>7.68</w:t>
      </w:r>
      <w:r w:rsidRPr="001D46DC">
        <w:rPr>
          <w:rFonts w:ascii="仿宋" w:eastAsia="仿宋" w:hAnsi="仿宋" w:cs="仿宋_GB2312" w:hint="eastAsia"/>
          <w:sz w:val="32"/>
          <w:szCs w:val="32"/>
        </w:rPr>
        <w:t>万元，完成预算的</w:t>
      </w:r>
      <w:r w:rsidR="001D46DC" w:rsidRPr="001D46DC">
        <w:rPr>
          <w:rFonts w:ascii="仿宋" w:eastAsia="仿宋" w:hAnsi="仿宋" w:cs="仿宋_GB2312" w:hint="eastAsia"/>
          <w:sz w:val="32"/>
          <w:szCs w:val="32"/>
        </w:rPr>
        <w:t>100</w:t>
      </w:r>
      <w:r w:rsidRPr="001D46DC">
        <w:rPr>
          <w:rFonts w:ascii="仿宋" w:eastAsia="仿宋" w:hAnsi="仿宋" w:cs="仿宋_GB2312" w:hint="eastAsia"/>
          <w:sz w:val="32"/>
          <w:szCs w:val="32"/>
        </w:rPr>
        <w:t>%。通过项目实施，完成了年</w:t>
      </w:r>
      <w:r w:rsidRPr="000416AE">
        <w:rPr>
          <w:rFonts w:ascii="仿宋" w:eastAsia="仿宋" w:hAnsi="仿宋" w:cs="仿宋_GB2312" w:hint="eastAsia"/>
          <w:sz w:val="32"/>
          <w:szCs w:val="32"/>
        </w:rPr>
        <w:t>初设定的各项绩效目标，对于项目的运行实现了全程监控，控制了资金支出的规模，提高了资金支出的效率，产生了较好的社会效益，实现了</w:t>
      </w:r>
      <w:r w:rsidRPr="001D46DC">
        <w:rPr>
          <w:rFonts w:ascii="仿宋" w:eastAsia="仿宋" w:hAnsi="仿宋" w:cs="仿宋_GB2312" w:hint="eastAsia"/>
          <w:sz w:val="32"/>
          <w:szCs w:val="32"/>
        </w:rPr>
        <w:t>预期</w:t>
      </w:r>
      <w:r w:rsidRPr="000416AE">
        <w:rPr>
          <w:rFonts w:ascii="仿宋" w:eastAsia="仿宋" w:hAnsi="仿宋" w:cs="仿宋_GB2312" w:hint="eastAsia"/>
          <w:sz w:val="32"/>
          <w:szCs w:val="32"/>
        </w:rPr>
        <w:t>目标。发现的主要问题是指标设置上尚有可完善的空间，原因为绩效指标设置人员对项目情况了解不透彻。下一步将加强业务人员与绩效指标制定人员之间的沟通，使得绩效指标能够更加准确、全面的评价项目情况。</w:t>
      </w:r>
    </w:p>
    <w:tbl>
      <w:tblPr>
        <w:tblW w:w="8770" w:type="dxa"/>
        <w:tblCellMar>
          <w:left w:w="0" w:type="dxa"/>
          <w:right w:w="0" w:type="dxa"/>
        </w:tblCellMar>
        <w:tblLook w:val="04A0"/>
      </w:tblPr>
      <w:tblGrid>
        <w:gridCol w:w="1220"/>
        <w:gridCol w:w="1360"/>
        <w:gridCol w:w="1080"/>
        <w:gridCol w:w="1480"/>
        <w:gridCol w:w="700"/>
        <w:gridCol w:w="554"/>
        <w:gridCol w:w="166"/>
        <w:gridCol w:w="880"/>
        <w:gridCol w:w="660"/>
        <w:gridCol w:w="620"/>
        <w:gridCol w:w="50"/>
      </w:tblGrid>
      <w:tr w:rsidR="001D46DC" w:rsidTr="00E4743E">
        <w:trPr>
          <w:trHeight w:val="450"/>
        </w:trPr>
        <w:tc>
          <w:tcPr>
            <w:tcW w:w="8720" w:type="dxa"/>
            <w:gridSpan w:val="10"/>
            <w:tcBorders>
              <w:top w:val="nil"/>
              <w:left w:val="nil"/>
              <w:bottom w:val="nil"/>
              <w:right w:val="nil"/>
            </w:tcBorders>
            <w:shd w:val="clear" w:color="auto" w:fill="auto"/>
            <w:noWrap/>
            <w:tcMar>
              <w:top w:w="15" w:type="dxa"/>
              <w:left w:w="15" w:type="dxa"/>
              <w:bottom w:w="0" w:type="dxa"/>
              <w:right w:w="15" w:type="dxa"/>
            </w:tcMar>
            <w:vAlign w:val="center"/>
            <w:hideMark/>
          </w:tcPr>
          <w:p w:rsidR="001D46DC" w:rsidRDefault="001D46DC" w:rsidP="00E4743E">
            <w:pPr>
              <w:jc w:val="center"/>
              <w:rPr>
                <w:rFonts w:ascii="黑体" w:eastAsia="黑体" w:hAnsi="黑体"/>
                <w:color w:val="000000"/>
                <w:sz w:val="36"/>
                <w:szCs w:val="36"/>
              </w:rPr>
            </w:pPr>
            <w:bookmarkStart w:id="1" w:name="RANGE!A1:I19"/>
          </w:p>
          <w:p w:rsidR="001D46DC" w:rsidRDefault="001D46DC" w:rsidP="00E4743E">
            <w:pPr>
              <w:jc w:val="center"/>
              <w:rPr>
                <w:rFonts w:ascii="黑体" w:eastAsia="黑体" w:hAnsi="黑体"/>
                <w:color w:val="000000"/>
                <w:sz w:val="36"/>
                <w:szCs w:val="36"/>
              </w:rPr>
            </w:pPr>
          </w:p>
          <w:p w:rsidR="001D46DC" w:rsidRDefault="001D46DC" w:rsidP="00E4743E">
            <w:pPr>
              <w:jc w:val="center"/>
              <w:rPr>
                <w:rFonts w:ascii="黑体" w:eastAsia="黑体" w:hAnsi="黑体"/>
                <w:color w:val="000000"/>
                <w:sz w:val="36"/>
                <w:szCs w:val="36"/>
              </w:rPr>
            </w:pPr>
            <w:r>
              <w:rPr>
                <w:rFonts w:ascii="黑体" w:eastAsia="黑体" w:hAnsi="黑体" w:hint="eastAsia"/>
                <w:color w:val="000000"/>
                <w:sz w:val="36"/>
                <w:szCs w:val="36"/>
              </w:rPr>
              <w:lastRenderedPageBreak/>
              <w:t>绩效自评表</w:t>
            </w:r>
            <w:bookmarkEnd w:id="1"/>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jc w:val="center"/>
              <w:rPr>
                <w:rFonts w:ascii="宋体" w:hAnsi="宋体"/>
                <w:color w:val="000000"/>
                <w:sz w:val="32"/>
                <w:szCs w:val="32"/>
              </w:rPr>
            </w:pPr>
          </w:p>
        </w:tc>
      </w:tr>
      <w:tr w:rsidR="001D46DC" w:rsidTr="00E4743E">
        <w:trPr>
          <w:trHeight w:val="22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1D46DC" w:rsidRDefault="001D46DC" w:rsidP="00E4743E">
            <w:pPr>
              <w:rPr>
                <w:rFonts w:ascii="宋体" w:hAnsi="宋体"/>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p>
        </w:tc>
        <w:tc>
          <w:tcPr>
            <w:tcW w:w="0" w:type="auto"/>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p>
        </w:tc>
        <w:tc>
          <w:tcPr>
            <w:tcW w:w="1280" w:type="dxa"/>
            <w:gridSpan w:val="2"/>
            <w:tcBorders>
              <w:top w:val="nil"/>
              <w:left w:val="nil"/>
              <w:bottom w:val="nil"/>
              <w:right w:val="nil"/>
            </w:tcBorders>
            <w:shd w:val="clear" w:color="auto" w:fill="auto"/>
            <w:noWrap/>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金额单位：万元</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rPr>
                <w:rFonts w:ascii="宋体" w:hAnsi="宋体"/>
                <w:color w:val="000000"/>
                <w:sz w:val="22"/>
              </w:rPr>
            </w:pPr>
          </w:p>
        </w:tc>
      </w:tr>
      <w:tr w:rsidR="001D46DC" w:rsidTr="00E4743E">
        <w:trPr>
          <w:trHeight w:val="360"/>
        </w:trPr>
        <w:tc>
          <w:tcPr>
            <w:tcW w:w="1220" w:type="dxa"/>
            <w:tcBorders>
              <w:top w:val="single" w:sz="4" w:space="0" w:color="000000"/>
              <w:left w:val="single" w:sz="4" w:space="0" w:color="000000"/>
              <w:bottom w:val="nil"/>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rPr>
                <w:rFonts w:ascii="宋体" w:hAnsi="宋体"/>
                <w:color w:val="000000"/>
                <w:sz w:val="16"/>
                <w:szCs w:val="16"/>
              </w:rPr>
            </w:pPr>
            <w:r>
              <w:rPr>
                <w:rFonts w:hint="eastAsia"/>
                <w:color w:val="000000"/>
                <w:sz w:val="16"/>
                <w:szCs w:val="16"/>
              </w:rPr>
              <w:t>一、</w:t>
            </w:r>
            <w:r>
              <w:rPr>
                <w:color w:val="000000"/>
                <w:sz w:val="16"/>
                <w:szCs w:val="16"/>
              </w:rPr>
              <w:t> </w:t>
            </w:r>
            <w:r>
              <w:rPr>
                <w:rFonts w:hint="eastAsia"/>
                <w:color w:val="000000"/>
                <w:sz w:val="16"/>
                <w:szCs w:val="16"/>
              </w:rPr>
              <w:t>基本情况</w:t>
            </w:r>
          </w:p>
        </w:tc>
        <w:tc>
          <w:tcPr>
            <w:tcW w:w="1360" w:type="dxa"/>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项目名称</w:t>
            </w:r>
          </w:p>
        </w:tc>
        <w:tc>
          <w:tcPr>
            <w:tcW w:w="6140" w:type="dxa"/>
            <w:gridSpan w:val="8"/>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FF0000"/>
                <w:sz w:val="16"/>
                <w:szCs w:val="16"/>
              </w:rPr>
            </w:pPr>
            <w:r w:rsidRPr="00AC6C89">
              <w:rPr>
                <w:rFonts w:ascii="仿宋_GB2312" w:eastAsia="仿宋_GB2312" w:hAnsi="仿宋_GB2312" w:cs="仿宋_GB2312" w:hint="eastAsia"/>
                <w:sz w:val="32"/>
                <w:szCs w:val="32"/>
              </w:rPr>
              <w:t>滦古路</w:t>
            </w:r>
            <w:r>
              <w:rPr>
                <w:rFonts w:ascii="仿宋_GB2312" w:eastAsia="仿宋_GB2312" w:hAnsi="仿宋_GB2312" w:cs="仿宋_GB2312" w:hint="eastAsia"/>
                <w:sz w:val="32"/>
                <w:szCs w:val="32"/>
              </w:rPr>
              <w:t>征</w:t>
            </w:r>
            <w:r w:rsidRPr="00AC6C89">
              <w:rPr>
                <w:rFonts w:ascii="仿宋_GB2312" w:eastAsia="仿宋_GB2312" w:hAnsi="仿宋_GB2312" w:cs="仿宋_GB2312" w:hint="eastAsia"/>
                <w:sz w:val="32"/>
                <w:szCs w:val="32"/>
              </w:rPr>
              <w:t>地补偿款</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rPr>
                <w:rFonts w:ascii="宋体" w:hAnsi="宋体"/>
                <w:color w:val="000000"/>
                <w:sz w:val="22"/>
              </w:rPr>
            </w:pPr>
          </w:p>
        </w:tc>
      </w:tr>
      <w:tr w:rsidR="001D46DC" w:rsidTr="00E4743E">
        <w:trPr>
          <w:trHeight w:val="420"/>
        </w:trPr>
        <w:tc>
          <w:tcPr>
            <w:tcW w:w="1220"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二、预算执行情况</w:t>
            </w:r>
          </w:p>
        </w:tc>
        <w:tc>
          <w:tcPr>
            <w:tcW w:w="136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rPr>
                <w:rFonts w:ascii="宋体" w:hAnsi="宋体"/>
                <w:color w:val="000000"/>
                <w:sz w:val="16"/>
                <w:szCs w:val="16"/>
              </w:rPr>
            </w:pPr>
            <w:r>
              <w:rPr>
                <w:rFonts w:hint="eastAsia"/>
                <w:color w:val="000000"/>
                <w:sz w:val="16"/>
                <w:szCs w:val="16"/>
              </w:rPr>
              <w:t xml:space="preserve">　</w:t>
            </w:r>
          </w:p>
        </w:tc>
        <w:tc>
          <w:tcPr>
            <w:tcW w:w="2560" w:type="dxa"/>
            <w:gridSpan w:val="2"/>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年初预算数</w:t>
            </w:r>
          </w:p>
        </w:tc>
        <w:tc>
          <w:tcPr>
            <w:tcW w:w="1420" w:type="dxa"/>
            <w:gridSpan w:val="3"/>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全年预算数</w:t>
            </w:r>
          </w:p>
        </w:tc>
        <w:tc>
          <w:tcPr>
            <w:tcW w:w="8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全年执行数</w:t>
            </w:r>
          </w:p>
        </w:tc>
        <w:tc>
          <w:tcPr>
            <w:tcW w:w="1280" w:type="dxa"/>
            <w:gridSpan w:val="2"/>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执行率（</w:t>
            </w:r>
            <w:r>
              <w:rPr>
                <w:rFonts w:hint="eastAsia"/>
                <w:color w:val="000000"/>
                <w:sz w:val="16"/>
                <w:szCs w:val="16"/>
              </w:rPr>
              <w:t>%</w:t>
            </w:r>
            <w:r>
              <w:rPr>
                <w:rFonts w:hint="eastAsia"/>
                <w:color w:val="000000"/>
                <w:sz w:val="16"/>
                <w:szCs w:val="16"/>
              </w:rPr>
              <w:t>）</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rPr>
                <w:rFonts w:ascii="宋体" w:hAnsi="宋体"/>
                <w:color w:val="000000"/>
                <w:sz w:val="22"/>
              </w:rPr>
            </w:pPr>
          </w:p>
        </w:tc>
      </w:tr>
      <w:tr w:rsidR="001D46DC" w:rsidTr="00E4743E">
        <w:trPr>
          <w:trHeight w:val="270"/>
        </w:trPr>
        <w:tc>
          <w:tcPr>
            <w:tcW w:w="0" w:type="auto"/>
            <w:vMerge/>
            <w:tcBorders>
              <w:top w:val="single" w:sz="4" w:space="0" w:color="000000"/>
              <w:left w:val="single" w:sz="4" w:space="0" w:color="000000"/>
              <w:bottom w:val="nil"/>
              <w:right w:val="single" w:sz="4" w:space="0" w:color="000000"/>
            </w:tcBorders>
            <w:vAlign w:val="center"/>
            <w:hideMark/>
          </w:tcPr>
          <w:p w:rsidR="001D46DC" w:rsidRDefault="001D46DC" w:rsidP="00E4743E">
            <w:pPr>
              <w:rPr>
                <w:rFonts w:ascii="宋体" w:hAnsi="宋体"/>
                <w:color w:val="000000"/>
                <w:sz w:val="16"/>
                <w:szCs w:val="16"/>
              </w:rPr>
            </w:pPr>
          </w:p>
        </w:tc>
        <w:tc>
          <w:tcPr>
            <w:tcW w:w="136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rPr>
                <w:rFonts w:ascii="宋体" w:hAnsi="宋体"/>
                <w:color w:val="000000"/>
                <w:sz w:val="16"/>
                <w:szCs w:val="16"/>
              </w:rPr>
            </w:pPr>
            <w:r>
              <w:rPr>
                <w:rFonts w:hint="eastAsia"/>
                <w:color w:val="000000"/>
                <w:sz w:val="16"/>
                <w:szCs w:val="16"/>
              </w:rPr>
              <w:t>资金总额</w:t>
            </w:r>
          </w:p>
        </w:tc>
        <w:tc>
          <w:tcPr>
            <w:tcW w:w="2560" w:type="dxa"/>
            <w:gridSpan w:val="2"/>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Pr="00AC6C89" w:rsidRDefault="001D46DC" w:rsidP="00E4743E">
            <w:pPr>
              <w:jc w:val="center"/>
              <w:rPr>
                <w:sz w:val="16"/>
                <w:szCs w:val="16"/>
              </w:rPr>
            </w:pPr>
            <w:r>
              <w:rPr>
                <w:rFonts w:hint="eastAsia"/>
                <w:sz w:val="16"/>
                <w:szCs w:val="16"/>
              </w:rPr>
              <w:t>7.68</w:t>
            </w:r>
          </w:p>
        </w:tc>
        <w:tc>
          <w:tcPr>
            <w:tcW w:w="1420" w:type="dxa"/>
            <w:gridSpan w:val="3"/>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Pr="00AC6C89" w:rsidRDefault="001D46DC" w:rsidP="00E4743E">
            <w:pPr>
              <w:jc w:val="center"/>
              <w:rPr>
                <w:sz w:val="16"/>
                <w:szCs w:val="16"/>
              </w:rPr>
            </w:pPr>
            <w:r>
              <w:rPr>
                <w:rFonts w:hint="eastAsia"/>
                <w:sz w:val="16"/>
                <w:szCs w:val="16"/>
              </w:rPr>
              <w:t>7.68</w:t>
            </w:r>
          </w:p>
        </w:tc>
        <w:tc>
          <w:tcPr>
            <w:tcW w:w="8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Pr="00AC6C89" w:rsidRDefault="001D46DC" w:rsidP="00E4743E">
            <w:pPr>
              <w:rPr>
                <w:sz w:val="16"/>
                <w:szCs w:val="16"/>
              </w:rPr>
            </w:pPr>
            <w:r>
              <w:rPr>
                <w:rFonts w:hint="eastAsia"/>
                <w:sz w:val="16"/>
                <w:szCs w:val="16"/>
              </w:rPr>
              <w:t>7.68</w:t>
            </w:r>
          </w:p>
        </w:tc>
        <w:tc>
          <w:tcPr>
            <w:tcW w:w="1280" w:type="dxa"/>
            <w:gridSpan w:val="2"/>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Pr="00AC6C89" w:rsidRDefault="001D46DC" w:rsidP="00E4743E">
            <w:pPr>
              <w:jc w:val="center"/>
              <w:rPr>
                <w:sz w:val="16"/>
                <w:szCs w:val="16"/>
              </w:rPr>
            </w:pPr>
            <w:r>
              <w:rPr>
                <w:rFonts w:hint="eastAsia"/>
                <w:sz w:val="16"/>
                <w:szCs w:val="16"/>
              </w:rPr>
              <w:t>100</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rPr>
                <w:rFonts w:ascii="宋体" w:hAnsi="宋体"/>
                <w:color w:val="000000"/>
                <w:sz w:val="22"/>
              </w:rPr>
            </w:pPr>
          </w:p>
        </w:tc>
      </w:tr>
      <w:tr w:rsidR="001D46DC" w:rsidTr="00E4743E">
        <w:trPr>
          <w:trHeight w:val="282"/>
        </w:trPr>
        <w:tc>
          <w:tcPr>
            <w:tcW w:w="0" w:type="auto"/>
            <w:vMerge/>
            <w:tcBorders>
              <w:top w:val="single" w:sz="4" w:space="0" w:color="000000"/>
              <w:left w:val="single" w:sz="4" w:space="0" w:color="000000"/>
              <w:bottom w:val="nil"/>
              <w:right w:val="single" w:sz="4" w:space="0" w:color="000000"/>
            </w:tcBorders>
            <w:vAlign w:val="center"/>
            <w:hideMark/>
          </w:tcPr>
          <w:p w:rsidR="001D46DC" w:rsidRDefault="001D46DC" w:rsidP="00E4743E">
            <w:pPr>
              <w:rPr>
                <w:rFonts w:ascii="宋体" w:hAnsi="宋体"/>
                <w:color w:val="000000"/>
                <w:sz w:val="16"/>
                <w:szCs w:val="16"/>
              </w:rPr>
            </w:pPr>
          </w:p>
        </w:tc>
        <w:tc>
          <w:tcPr>
            <w:tcW w:w="136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right"/>
              <w:rPr>
                <w:rFonts w:ascii="宋体" w:hAnsi="宋体"/>
                <w:color w:val="000000"/>
                <w:sz w:val="16"/>
                <w:szCs w:val="16"/>
              </w:rPr>
            </w:pPr>
            <w:r>
              <w:rPr>
                <w:rFonts w:hint="eastAsia"/>
                <w:color w:val="000000"/>
                <w:sz w:val="16"/>
                <w:szCs w:val="16"/>
              </w:rPr>
              <w:t>其中：当年财政拨款</w:t>
            </w:r>
          </w:p>
        </w:tc>
        <w:tc>
          <w:tcPr>
            <w:tcW w:w="2560" w:type="dxa"/>
            <w:gridSpan w:val="2"/>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Pr="00AC6C89" w:rsidRDefault="001D46DC" w:rsidP="00E4743E">
            <w:pPr>
              <w:jc w:val="center"/>
              <w:rPr>
                <w:sz w:val="16"/>
                <w:szCs w:val="16"/>
              </w:rPr>
            </w:pPr>
            <w:r>
              <w:rPr>
                <w:rFonts w:hint="eastAsia"/>
                <w:sz w:val="16"/>
                <w:szCs w:val="16"/>
              </w:rPr>
              <w:t>7.68</w:t>
            </w:r>
          </w:p>
        </w:tc>
        <w:tc>
          <w:tcPr>
            <w:tcW w:w="1420" w:type="dxa"/>
            <w:gridSpan w:val="3"/>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Pr="00AC6C89" w:rsidRDefault="001D46DC" w:rsidP="00E4743E">
            <w:pPr>
              <w:jc w:val="center"/>
              <w:rPr>
                <w:sz w:val="16"/>
                <w:szCs w:val="16"/>
              </w:rPr>
            </w:pPr>
            <w:r>
              <w:rPr>
                <w:rFonts w:hint="eastAsia"/>
                <w:sz w:val="16"/>
                <w:szCs w:val="16"/>
              </w:rPr>
              <w:t>7.68</w:t>
            </w:r>
          </w:p>
        </w:tc>
        <w:tc>
          <w:tcPr>
            <w:tcW w:w="8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Pr="00AC6C89" w:rsidRDefault="001D46DC" w:rsidP="00E4743E">
            <w:pPr>
              <w:rPr>
                <w:sz w:val="16"/>
                <w:szCs w:val="16"/>
              </w:rPr>
            </w:pPr>
            <w:r>
              <w:rPr>
                <w:rFonts w:hint="eastAsia"/>
                <w:sz w:val="16"/>
                <w:szCs w:val="16"/>
              </w:rPr>
              <w:t>7.68</w:t>
            </w:r>
          </w:p>
        </w:tc>
        <w:tc>
          <w:tcPr>
            <w:tcW w:w="1280" w:type="dxa"/>
            <w:gridSpan w:val="2"/>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Pr="00AC6C89" w:rsidRDefault="001D46DC" w:rsidP="00E4743E">
            <w:pPr>
              <w:jc w:val="center"/>
              <w:rPr>
                <w:sz w:val="16"/>
                <w:szCs w:val="16"/>
              </w:rPr>
            </w:pPr>
            <w:r>
              <w:rPr>
                <w:rFonts w:hint="eastAsia"/>
                <w:sz w:val="16"/>
                <w:szCs w:val="16"/>
              </w:rPr>
              <w:t>100</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rPr>
                <w:rFonts w:ascii="宋体" w:hAnsi="宋体"/>
                <w:color w:val="000000"/>
                <w:sz w:val="22"/>
              </w:rPr>
            </w:pPr>
          </w:p>
        </w:tc>
      </w:tr>
      <w:tr w:rsidR="001D46DC" w:rsidTr="00E4743E">
        <w:trPr>
          <w:trHeight w:val="285"/>
        </w:trPr>
        <w:tc>
          <w:tcPr>
            <w:tcW w:w="0" w:type="auto"/>
            <w:vMerge/>
            <w:tcBorders>
              <w:top w:val="single" w:sz="4" w:space="0" w:color="000000"/>
              <w:left w:val="single" w:sz="4" w:space="0" w:color="000000"/>
              <w:bottom w:val="nil"/>
              <w:right w:val="single" w:sz="4" w:space="0" w:color="000000"/>
            </w:tcBorders>
            <w:vAlign w:val="center"/>
            <w:hideMark/>
          </w:tcPr>
          <w:p w:rsidR="001D46DC" w:rsidRDefault="001D46DC" w:rsidP="00E4743E">
            <w:pPr>
              <w:rPr>
                <w:rFonts w:ascii="宋体" w:hAnsi="宋体"/>
                <w:color w:val="000000"/>
                <w:sz w:val="16"/>
                <w:szCs w:val="16"/>
              </w:rPr>
            </w:pPr>
          </w:p>
        </w:tc>
        <w:tc>
          <w:tcPr>
            <w:tcW w:w="136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right"/>
              <w:rPr>
                <w:rFonts w:ascii="宋体" w:hAnsi="宋体"/>
                <w:color w:val="000000"/>
                <w:sz w:val="16"/>
                <w:szCs w:val="16"/>
              </w:rPr>
            </w:pPr>
            <w:r>
              <w:rPr>
                <w:rFonts w:hint="eastAsia"/>
                <w:color w:val="000000"/>
                <w:sz w:val="16"/>
                <w:szCs w:val="16"/>
              </w:rPr>
              <w:t>上年结转资金</w:t>
            </w:r>
          </w:p>
        </w:tc>
        <w:tc>
          <w:tcPr>
            <w:tcW w:w="2560" w:type="dxa"/>
            <w:gridSpan w:val="2"/>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color w:val="000000"/>
                <w:szCs w:val="21"/>
              </w:rPr>
            </w:pPr>
            <w:r>
              <w:rPr>
                <w:color w:val="000000"/>
                <w:szCs w:val="21"/>
              </w:rPr>
              <w:t xml:space="preserve">　</w:t>
            </w:r>
          </w:p>
        </w:tc>
        <w:tc>
          <w:tcPr>
            <w:tcW w:w="1420" w:type="dxa"/>
            <w:gridSpan w:val="3"/>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 xml:space="preserve">　</w:t>
            </w:r>
          </w:p>
        </w:tc>
        <w:tc>
          <w:tcPr>
            <w:tcW w:w="8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rPr>
                <w:rFonts w:ascii="宋体" w:hAnsi="宋体"/>
                <w:color w:val="000000"/>
                <w:sz w:val="16"/>
                <w:szCs w:val="16"/>
              </w:rPr>
            </w:pPr>
            <w:r>
              <w:rPr>
                <w:rFonts w:hint="eastAsia"/>
                <w:color w:val="000000"/>
                <w:sz w:val="16"/>
                <w:szCs w:val="16"/>
              </w:rPr>
              <w:t xml:space="preserve">　</w:t>
            </w:r>
          </w:p>
        </w:tc>
        <w:tc>
          <w:tcPr>
            <w:tcW w:w="1280" w:type="dxa"/>
            <w:gridSpan w:val="2"/>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 xml:space="preserve">　</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rPr>
                <w:rFonts w:ascii="宋体" w:hAnsi="宋体"/>
                <w:color w:val="000000"/>
                <w:sz w:val="22"/>
              </w:rPr>
            </w:pPr>
          </w:p>
        </w:tc>
      </w:tr>
      <w:tr w:rsidR="001D46DC" w:rsidTr="00E4743E">
        <w:trPr>
          <w:trHeight w:val="285"/>
        </w:trPr>
        <w:tc>
          <w:tcPr>
            <w:tcW w:w="0" w:type="auto"/>
            <w:vMerge/>
            <w:tcBorders>
              <w:top w:val="single" w:sz="4" w:space="0" w:color="000000"/>
              <w:left w:val="single" w:sz="4" w:space="0" w:color="000000"/>
              <w:bottom w:val="nil"/>
              <w:right w:val="single" w:sz="4" w:space="0" w:color="000000"/>
            </w:tcBorders>
            <w:vAlign w:val="center"/>
            <w:hideMark/>
          </w:tcPr>
          <w:p w:rsidR="001D46DC" w:rsidRDefault="001D46DC" w:rsidP="00E4743E">
            <w:pPr>
              <w:rPr>
                <w:rFonts w:ascii="宋体" w:hAnsi="宋体"/>
                <w:color w:val="000000"/>
                <w:sz w:val="16"/>
                <w:szCs w:val="16"/>
              </w:rPr>
            </w:pPr>
          </w:p>
        </w:tc>
        <w:tc>
          <w:tcPr>
            <w:tcW w:w="136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rPr>
                <w:rFonts w:ascii="宋体" w:hAnsi="宋体"/>
                <w:color w:val="000000"/>
                <w:sz w:val="16"/>
                <w:szCs w:val="16"/>
              </w:rPr>
            </w:pPr>
            <w:r>
              <w:rPr>
                <w:rFonts w:hint="eastAsia"/>
                <w:color w:val="000000"/>
                <w:sz w:val="16"/>
                <w:szCs w:val="16"/>
              </w:rPr>
              <w:t xml:space="preserve">      </w:t>
            </w:r>
            <w:r>
              <w:rPr>
                <w:rFonts w:hint="eastAsia"/>
                <w:color w:val="000000"/>
                <w:sz w:val="16"/>
                <w:szCs w:val="16"/>
              </w:rPr>
              <w:t>其他资金</w:t>
            </w:r>
          </w:p>
        </w:tc>
        <w:tc>
          <w:tcPr>
            <w:tcW w:w="2560" w:type="dxa"/>
            <w:gridSpan w:val="2"/>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color w:val="000000"/>
                <w:szCs w:val="21"/>
              </w:rPr>
            </w:pPr>
            <w:r>
              <w:rPr>
                <w:color w:val="000000"/>
                <w:szCs w:val="21"/>
              </w:rPr>
              <w:t xml:space="preserve">　</w:t>
            </w:r>
          </w:p>
        </w:tc>
        <w:tc>
          <w:tcPr>
            <w:tcW w:w="1420" w:type="dxa"/>
            <w:gridSpan w:val="3"/>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 xml:space="preserve">　</w:t>
            </w:r>
          </w:p>
        </w:tc>
        <w:tc>
          <w:tcPr>
            <w:tcW w:w="8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rPr>
                <w:rFonts w:ascii="宋体" w:hAnsi="宋体"/>
                <w:color w:val="000000"/>
                <w:sz w:val="16"/>
                <w:szCs w:val="16"/>
              </w:rPr>
            </w:pPr>
            <w:r>
              <w:rPr>
                <w:rFonts w:hint="eastAsia"/>
                <w:color w:val="000000"/>
                <w:sz w:val="16"/>
                <w:szCs w:val="16"/>
              </w:rPr>
              <w:t xml:space="preserve">　</w:t>
            </w:r>
          </w:p>
        </w:tc>
        <w:tc>
          <w:tcPr>
            <w:tcW w:w="1280" w:type="dxa"/>
            <w:gridSpan w:val="2"/>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 xml:space="preserve">　</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rPr>
                <w:rFonts w:ascii="宋体" w:hAnsi="宋体"/>
                <w:color w:val="000000"/>
                <w:sz w:val="22"/>
              </w:rPr>
            </w:pPr>
          </w:p>
        </w:tc>
      </w:tr>
      <w:tr w:rsidR="001D46DC" w:rsidTr="00E4743E">
        <w:trPr>
          <w:trHeight w:val="270"/>
        </w:trPr>
        <w:tc>
          <w:tcPr>
            <w:tcW w:w="1220"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三、目标完成情况</w:t>
            </w:r>
          </w:p>
        </w:tc>
        <w:tc>
          <w:tcPr>
            <w:tcW w:w="3920" w:type="dxa"/>
            <w:gridSpan w:val="3"/>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年度预期目标</w:t>
            </w:r>
          </w:p>
        </w:tc>
        <w:tc>
          <w:tcPr>
            <w:tcW w:w="2300" w:type="dxa"/>
            <w:gridSpan w:val="4"/>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具体完成情况</w:t>
            </w:r>
          </w:p>
        </w:tc>
        <w:tc>
          <w:tcPr>
            <w:tcW w:w="1280" w:type="dxa"/>
            <w:gridSpan w:val="2"/>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总体完成率</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rPr>
                <w:rFonts w:ascii="宋体" w:hAnsi="宋体"/>
                <w:color w:val="000000"/>
                <w:sz w:val="22"/>
              </w:rPr>
            </w:pPr>
          </w:p>
        </w:tc>
      </w:tr>
      <w:tr w:rsidR="001D46DC" w:rsidTr="00E4743E">
        <w:trPr>
          <w:trHeight w:val="762"/>
        </w:trPr>
        <w:tc>
          <w:tcPr>
            <w:tcW w:w="0" w:type="auto"/>
            <w:vMerge/>
            <w:tcBorders>
              <w:top w:val="single" w:sz="4" w:space="0" w:color="000000"/>
              <w:left w:val="single" w:sz="4" w:space="0" w:color="000000"/>
              <w:bottom w:val="nil"/>
              <w:right w:val="single" w:sz="4" w:space="0" w:color="000000"/>
            </w:tcBorders>
            <w:vAlign w:val="center"/>
            <w:hideMark/>
          </w:tcPr>
          <w:p w:rsidR="001D46DC" w:rsidRDefault="001D46DC" w:rsidP="00E4743E">
            <w:pPr>
              <w:rPr>
                <w:rFonts w:ascii="宋体" w:hAnsi="宋体"/>
                <w:color w:val="000000"/>
                <w:sz w:val="16"/>
                <w:szCs w:val="16"/>
              </w:rPr>
            </w:pPr>
          </w:p>
        </w:tc>
        <w:tc>
          <w:tcPr>
            <w:tcW w:w="3920" w:type="dxa"/>
            <w:gridSpan w:val="3"/>
            <w:tcBorders>
              <w:top w:val="nil"/>
              <w:left w:val="nil"/>
              <w:bottom w:val="nil"/>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FF0000"/>
                <w:sz w:val="16"/>
                <w:szCs w:val="16"/>
              </w:rPr>
            </w:pPr>
            <w:r w:rsidRPr="00AC6C89">
              <w:rPr>
                <w:color w:val="000000"/>
                <w:sz w:val="16"/>
                <w:szCs w:val="16"/>
              </w:rPr>
              <w:t>及时发放补偿资金，涉及农户满意度达标</w:t>
            </w:r>
          </w:p>
        </w:tc>
        <w:tc>
          <w:tcPr>
            <w:tcW w:w="2300" w:type="dxa"/>
            <w:gridSpan w:val="4"/>
            <w:tcBorders>
              <w:top w:val="nil"/>
              <w:left w:val="nil"/>
              <w:bottom w:val="nil"/>
              <w:right w:val="single" w:sz="4" w:space="0" w:color="000000"/>
            </w:tcBorders>
            <w:shd w:val="clear" w:color="auto" w:fill="auto"/>
            <w:tcMar>
              <w:top w:w="15" w:type="dxa"/>
              <w:left w:w="15" w:type="dxa"/>
              <w:bottom w:w="0" w:type="dxa"/>
              <w:right w:w="15" w:type="dxa"/>
            </w:tcMar>
            <w:vAlign w:val="center"/>
            <w:hideMark/>
          </w:tcPr>
          <w:p w:rsidR="001D46DC" w:rsidRPr="00AC6C89" w:rsidRDefault="001D46DC" w:rsidP="00E4743E">
            <w:pPr>
              <w:jc w:val="center"/>
              <w:rPr>
                <w:rFonts w:ascii="宋体" w:hAnsi="宋体"/>
                <w:sz w:val="16"/>
                <w:szCs w:val="16"/>
              </w:rPr>
            </w:pPr>
            <w:r w:rsidRPr="00AC6C89">
              <w:rPr>
                <w:sz w:val="16"/>
                <w:szCs w:val="16"/>
              </w:rPr>
              <w:t>及时发放补偿资金，涉及农户满意度达标</w:t>
            </w:r>
          </w:p>
        </w:tc>
        <w:tc>
          <w:tcPr>
            <w:tcW w:w="1280" w:type="dxa"/>
            <w:gridSpan w:val="2"/>
            <w:tcBorders>
              <w:top w:val="nil"/>
              <w:left w:val="nil"/>
              <w:bottom w:val="nil"/>
              <w:right w:val="single" w:sz="4" w:space="0" w:color="000000"/>
            </w:tcBorders>
            <w:shd w:val="clear" w:color="auto" w:fill="auto"/>
            <w:tcMar>
              <w:top w:w="15" w:type="dxa"/>
              <w:left w:w="15" w:type="dxa"/>
              <w:bottom w:w="0" w:type="dxa"/>
              <w:right w:w="15" w:type="dxa"/>
            </w:tcMar>
            <w:vAlign w:val="center"/>
            <w:hideMark/>
          </w:tcPr>
          <w:p w:rsidR="001D46DC" w:rsidRPr="00AC6C89" w:rsidRDefault="001D46DC" w:rsidP="00E4743E">
            <w:pPr>
              <w:jc w:val="center"/>
              <w:rPr>
                <w:rFonts w:ascii="宋体" w:hAnsi="宋体"/>
                <w:sz w:val="16"/>
                <w:szCs w:val="16"/>
              </w:rPr>
            </w:pPr>
            <w:r w:rsidRPr="00AC6C89">
              <w:rPr>
                <w:rFonts w:hint="eastAsia"/>
                <w:sz w:val="16"/>
                <w:szCs w:val="16"/>
              </w:rPr>
              <w:t>100</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rPr>
                <w:rFonts w:ascii="宋体" w:hAnsi="宋体"/>
                <w:color w:val="000000"/>
                <w:sz w:val="22"/>
              </w:rPr>
            </w:pPr>
          </w:p>
        </w:tc>
      </w:tr>
      <w:tr w:rsidR="001D46DC" w:rsidTr="00E4743E">
        <w:trPr>
          <w:trHeight w:val="702"/>
        </w:trPr>
        <w:tc>
          <w:tcPr>
            <w:tcW w:w="1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四、年度绩效指标完成情况</w:t>
            </w:r>
          </w:p>
        </w:tc>
        <w:tc>
          <w:tcPr>
            <w:tcW w:w="136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一级指标</w:t>
            </w:r>
          </w:p>
        </w:tc>
        <w:tc>
          <w:tcPr>
            <w:tcW w:w="108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二级指标</w:t>
            </w:r>
          </w:p>
        </w:tc>
        <w:tc>
          <w:tcPr>
            <w:tcW w:w="218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三级指标</w:t>
            </w:r>
          </w:p>
        </w:tc>
        <w:tc>
          <w:tcPr>
            <w:tcW w:w="554"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预期指标值</w:t>
            </w:r>
          </w:p>
        </w:tc>
        <w:tc>
          <w:tcPr>
            <w:tcW w:w="1046"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实际完成值</w:t>
            </w:r>
          </w:p>
        </w:tc>
        <w:tc>
          <w:tcPr>
            <w:tcW w:w="66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分值</w:t>
            </w:r>
          </w:p>
        </w:tc>
        <w:tc>
          <w:tcPr>
            <w:tcW w:w="620" w:type="dxa"/>
            <w:tcBorders>
              <w:top w:val="single" w:sz="4" w:space="0" w:color="000000"/>
              <w:left w:val="nil"/>
              <w:bottom w:val="nil"/>
              <w:right w:val="single" w:sz="4" w:space="0" w:color="000000"/>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自评得分</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rPr>
                <w:rFonts w:ascii="宋体" w:hAnsi="宋体"/>
                <w:color w:val="000000"/>
                <w:sz w:val="22"/>
              </w:rPr>
            </w:pPr>
          </w:p>
        </w:tc>
      </w:tr>
      <w:tr w:rsidR="001D46DC" w:rsidTr="00E4743E">
        <w:trPr>
          <w:trHeight w:val="7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D46DC" w:rsidRDefault="001D46DC" w:rsidP="00E4743E">
            <w:pPr>
              <w:rPr>
                <w:rFonts w:ascii="宋体" w:hAnsi="宋体"/>
                <w:color w:val="000000"/>
                <w:sz w:val="16"/>
                <w:szCs w:val="16"/>
              </w:rPr>
            </w:pPr>
          </w:p>
        </w:tc>
        <w:tc>
          <w:tcPr>
            <w:tcW w:w="1360"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产出指标（</w:t>
            </w:r>
            <w:r>
              <w:rPr>
                <w:rFonts w:hint="eastAsia"/>
                <w:color w:val="000000"/>
                <w:sz w:val="16"/>
                <w:szCs w:val="16"/>
              </w:rPr>
              <w:t>50</w:t>
            </w:r>
            <w:r>
              <w:rPr>
                <w:rFonts w:hint="eastAsia"/>
                <w:color w:val="000000"/>
                <w:sz w:val="16"/>
                <w:szCs w:val="16"/>
              </w:rPr>
              <w:t>）</w:t>
            </w:r>
          </w:p>
        </w:tc>
        <w:tc>
          <w:tcPr>
            <w:tcW w:w="10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数量指标</w:t>
            </w:r>
          </w:p>
        </w:tc>
        <w:tc>
          <w:tcPr>
            <w:tcW w:w="218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DD77FC" w:rsidRDefault="001D46DC" w:rsidP="00E4743E">
            <w:pPr>
              <w:jc w:val="center"/>
              <w:rPr>
                <w:color w:val="000000"/>
                <w:sz w:val="16"/>
                <w:szCs w:val="16"/>
              </w:rPr>
            </w:pPr>
            <w:r w:rsidRPr="00DD77FC">
              <w:rPr>
                <w:color w:val="000000"/>
                <w:sz w:val="16"/>
                <w:szCs w:val="16"/>
              </w:rPr>
              <w:t>数量完成情况</w:t>
            </w:r>
          </w:p>
        </w:tc>
        <w:tc>
          <w:tcPr>
            <w:tcW w:w="55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95</w:t>
            </w:r>
          </w:p>
        </w:tc>
        <w:tc>
          <w:tcPr>
            <w:tcW w:w="1046"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100</w:t>
            </w:r>
          </w:p>
        </w:tc>
        <w:tc>
          <w:tcPr>
            <w:tcW w:w="6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20</w:t>
            </w:r>
          </w:p>
        </w:tc>
        <w:tc>
          <w:tcPr>
            <w:tcW w:w="62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20</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Pr="00AC6C89" w:rsidRDefault="001D46DC" w:rsidP="00E4743E">
            <w:pPr>
              <w:rPr>
                <w:rFonts w:ascii="仿宋_GB2312" w:eastAsia="仿宋_GB2312" w:hAnsi="仿宋_GB2312" w:cs="仿宋_GB2312"/>
                <w:sz w:val="32"/>
                <w:szCs w:val="32"/>
              </w:rPr>
            </w:pPr>
          </w:p>
        </w:tc>
      </w:tr>
      <w:tr w:rsidR="001D46DC" w:rsidTr="00E4743E">
        <w:trPr>
          <w:trHeight w:val="7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D46DC" w:rsidRDefault="001D46DC" w:rsidP="00E4743E">
            <w:pPr>
              <w:rPr>
                <w:rFonts w:ascii="宋体" w:hAnsi="宋体"/>
                <w:color w:val="000000"/>
                <w:sz w:val="16"/>
                <w:szCs w:val="16"/>
              </w:rPr>
            </w:pPr>
          </w:p>
        </w:tc>
        <w:tc>
          <w:tcPr>
            <w:tcW w:w="0" w:type="auto"/>
            <w:vMerge/>
            <w:tcBorders>
              <w:top w:val="nil"/>
              <w:left w:val="single" w:sz="4" w:space="0" w:color="auto"/>
              <w:bottom w:val="single" w:sz="4" w:space="0" w:color="auto"/>
              <w:right w:val="single" w:sz="4" w:space="0" w:color="auto"/>
            </w:tcBorders>
            <w:vAlign w:val="center"/>
            <w:hideMark/>
          </w:tcPr>
          <w:p w:rsidR="001D46DC" w:rsidRDefault="001D46DC" w:rsidP="00E4743E">
            <w:pPr>
              <w:rPr>
                <w:rFonts w:ascii="宋体" w:hAnsi="宋体"/>
                <w:color w:val="000000"/>
                <w:sz w:val="16"/>
                <w:szCs w:val="16"/>
              </w:rPr>
            </w:pPr>
          </w:p>
        </w:tc>
        <w:tc>
          <w:tcPr>
            <w:tcW w:w="10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质量指标</w:t>
            </w:r>
          </w:p>
        </w:tc>
        <w:tc>
          <w:tcPr>
            <w:tcW w:w="218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DD77FC" w:rsidRDefault="001D46DC" w:rsidP="00E4743E">
            <w:pPr>
              <w:jc w:val="center"/>
              <w:rPr>
                <w:color w:val="000000"/>
                <w:sz w:val="16"/>
                <w:szCs w:val="16"/>
              </w:rPr>
            </w:pPr>
            <w:r w:rsidRPr="00DD77FC">
              <w:rPr>
                <w:color w:val="000000"/>
                <w:sz w:val="16"/>
                <w:szCs w:val="16"/>
              </w:rPr>
              <w:t>验收通过率</w:t>
            </w:r>
          </w:p>
        </w:tc>
        <w:tc>
          <w:tcPr>
            <w:tcW w:w="55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95</w:t>
            </w:r>
          </w:p>
        </w:tc>
        <w:tc>
          <w:tcPr>
            <w:tcW w:w="1046"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100</w:t>
            </w:r>
          </w:p>
        </w:tc>
        <w:tc>
          <w:tcPr>
            <w:tcW w:w="6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20</w:t>
            </w:r>
          </w:p>
        </w:tc>
        <w:tc>
          <w:tcPr>
            <w:tcW w:w="6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20</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Pr="00AC6C89" w:rsidRDefault="001D46DC" w:rsidP="00E4743E">
            <w:pPr>
              <w:rPr>
                <w:rFonts w:ascii="仿宋_GB2312" w:eastAsia="仿宋_GB2312" w:hAnsi="仿宋_GB2312" w:cs="仿宋_GB2312"/>
                <w:sz w:val="32"/>
                <w:szCs w:val="32"/>
              </w:rPr>
            </w:pPr>
          </w:p>
        </w:tc>
      </w:tr>
      <w:tr w:rsidR="001D46DC" w:rsidTr="00E4743E">
        <w:trPr>
          <w:trHeight w:val="7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D46DC" w:rsidRDefault="001D46DC" w:rsidP="00E4743E">
            <w:pPr>
              <w:rPr>
                <w:rFonts w:ascii="宋体" w:hAnsi="宋体"/>
                <w:color w:val="000000"/>
                <w:sz w:val="16"/>
                <w:szCs w:val="16"/>
              </w:rPr>
            </w:pPr>
          </w:p>
        </w:tc>
        <w:tc>
          <w:tcPr>
            <w:tcW w:w="0" w:type="auto"/>
            <w:vMerge/>
            <w:tcBorders>
              <w:top w:val="nil"/>
              <w:left w:val="single" w:sz="4" w:space="0" w:color="auto"/>
              <w:bottom w:val="single" w:sz="4" w:space="0" w:color="auto"/>
              <w:right w:val="single" w:sz="4" w:space="0" w:color="auto"/>
            </w:tcBorders>
            <w:vAlign w:val="center"/>
            <w:hideMark/>
          </w:tcPr>
          <w:p w:rsidR="001D46DC" w:rsidRDefault="001D46DC" w:rsidP="00E4743E">
            <w:pPr>
              <w:rPr>
                <w:rFonts w:ascii="宋体" w:hAnsi="宋体"/>
                <w:color w:val="000000"/>
                <w:sz w:val="16"/>
                <w:szCs w:val="16"/>
              </w:rPr>
            </w:pPr>
          </w:p>
        </w:tc>
        <w:tc>
          <w:tcPr>
            <w:tcW w:w="10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成本指标</w:t>
            </w:r>
          </w:p>
        </w:tc>
        <w:tc>
          <w:tcPr>
            <w:tcW w:w="218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DD77FC" w:rsidRDefault="001D46DC" w:rsidP="00E4743E">
            <w:pPr>
              <w:jc w:val="center"/>
              <w:rPr>
                <w:color w:val="000000"/>
                <w:sz w:val="16"/>
                <w:szCs w:val="16"/>
              </w:rPr>
            </w:pPr>
            <w:r w:rsidRPr="00DD77FC">
              <w:rPr>
                <w:color w:val="000000"/>
                <w:sz w:val="16"/>
                <w:szCs w:val="16"/>
              </w:rPr>
              <w:t>任务完成率</w:t>
            </w:r>
          </w:p>
        </w:tc>
        <w:tc>
          <w:tcPr>
            <w:tcW w:w="55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95</w:t>
            </w:r>
          </w:p>
        </w:tc>
        <w:tc>
          <w:tcPr>
            <w:tcW w:w="1046"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100</w:t>
            </w:r>
          </w:p>
        </w:tc>
        <w:tc>
          <w:tcPr>
            <w:tcW w:w="6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w:t>
            </w:r>
          </w:p>
        </w:tc>
        <w:tc>
          <w:tcPr>
            <w:tcW w:w="6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Pr="00AC6C89" w:rsidRDefault="001D46DC" w:rsidP="00E4743E">
            <w:pPr>
              <w:rPr>
                <w:rFonts w:ascii="仿宋_GB2312" w:eastAsia="仿宋_GB2312" w:hAnsi="仿宋_GB2312" w:cs="仿宋_GB2312"/>
                <w:sz w:val="32"/>
                <w:szCs w:val="32"/>
              </w:rPr>
            </w:pPr>
          </w:p>
        </w:tc>
      </w:tr>
      <w:tr w:rsidR="001D46DC" w:rsidTr="00E4743E">
        <w:trPr>
          <w:trHeight w:val="7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D46DC" w:rsidRDefault="001D46DC" w:rsidP="00E4743E">
            <w:pPr>
              <w:rPr>
                <w:rFonts w:ascii="宋体" w:hAnsi="宋体"/>
                <w:color w:val="000000"/>
                <w:sz w:val="16"/>
                <w:szCs w:val="16"/>
              </w:rPr>
            </w:pPr>
          </w:p>
        </w:tc>
        <w:tc>
          <w:tcPr>
            <w:tcW w:w="1360" w:type="dxa"/>
            <w:vMerge w:val="restar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效益指标（</w:t>
            </w:r>
            <w:r>
              <w:rPr>
                <w:rFonts w:hint="eastAsia"/>
                <w:color w:val="000000"/>
                <w:sz w:val="16"/>
                <w:szCs w:val="16"/>
              </w:rPr>
              <w:t>30</w:t>
            </w:r>
            <w:r>
              <w:rPr>
                <w:rFonts w:hint="eastAsia"/>
                <w:color w:val="000000"/>
                <w:sz w:val="16"/>
                <w:szCs w:val="16"/>
              </w:rPr>
              <w:t>）</w:t>
            </w:r>
          </w:p>
        </w:tc>
        <w:tc>
          <w:tcPr>
            <w:tcW w:w="10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经济效益指标</w:t>
            </w:r>
          </w:p>
        </w:tc>
        <w:tc>
          <w:tcPr>
            <w:tcW w:w="218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DD77FC" w:rsidRDefault="001D46DC" w:rsidP="00E4743E">
            <w:pPr>
              <w:jc w:val="center"/>
              <w:rPr>
                <w:color w:val="000000"/>
                <w:sz w:val="16"/>
                <w:szCs w:val="16"/>
              </w:rPr>
            </w:pPr>
            <w:r w:rsidRPr="00DD77FC">
              <w:rPr>
                <w:color w:val="000000"/>
                <w:sz w:val="16"/>
                <w:szCs w:val="16"/>
              </w:rPr>
              <w:t>经济效益</w:t>
            </w:r>
          </w:p>
        </w:tc>
        <w:tc>
          <w:tcPr>
            <w:tcW w:w="55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95</w:t>
            </w:r>
          </w:p>
        </w:tc>
        <w:tc>
          <w:tcPr>
            <w:tcW w:w="1046"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100</w:t>
            </w:r>
          </w:p>
        </w:tc>
        <w:tc>
          <w:tcPr>
            <w:tcW w:w="6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15</w:t>
            </w:r>
          </w:p>
        </w:tc>
        <w:tc>
          <w:tcPr>
            <w:tcW w:w="6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15</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Pr="00AC6C89" w:rsidRDefault="001D46DC" w:rsidP="00E4743E">
            <w:pPr>
              <w:rPr>
                <w:rFonts w:ascii="仿宋_GB2312" w:eastAsia="仿宋_GB2312" w:hAnsi="仿宋_GB2312" w:cs="仿宋_GB2312"/>
                <w:sz w:val="32"/>
                <w:szCs w:val="32"/>
              </w:rPr>
            </w:pPr>
          </w:p>
        </w:tc>
      </w:tr>
      <w:tr w:rsidR="001D46DC" w:rsidTr="00E4743E">
        <w:trPr>
          <w:trHeight w:val="7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D46DC" w:rsidRDefault="001D46DC" w:rsidP="00E4743E">
            <w:pPr>
              <w:rPr>
                <w:rFonts w:ascii="宋体" w:hAnsi="宋体"/>
                <w:color w:val="000000"/>
                <w:sz w:val="16"/>
                <w:szCs w:val="16"/>
              </w:rPr>
            </w:pPr>
          </w:p>
        </w:tc>
        <w:tc>
          <w:tcPr>
            <w:tcW w:w="0" w:type="auto"/>
            <w:vMerge/>
            <w:tcBorders>
              <w:top w:val="nil"/>
              <w:left w:val="single" w:sz="4" w:space="0" w:color="auto"/>
              <w:bottom w:val="single" w:sz="4" w:space="0" w:color="auto"/>
              <w:right w:val="single" w:sz="4" w:space="0" w:color="auto"/>
            </w:tcBorders>
            <w:vAlign w:val="center"/>
            <w:hideMark/>
          </w:tcPr>
          <w:p w:rsidR="001D46DC" w:rsidRDefault="001D46DC" w:rsidP="00E4743E">
            <w:pPr>
              <w:rPr>
                <w:rFonts w:ascii="宋体" w:hAnsi="宋体"/>
                <w:color w:val="000000"/>
                <w:sz w:val="16"/>
                <w:szCs w:val="16"/>
              </w:rPr>
            </w:pPr>
          </w:p>
        </w:tc>
        <w:tc>
          <w:tcPr>
            <w:tcW w:w="10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社会效益指标</w:t>
            </w:r>
          </w:p>
        </w:tc>
        <w:tc>
          <w:tcPr>
            <w:tcW w:w="218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DD77FC" w:rsidRDefault="001D46DC" w:rsidP="00E4743E">
            <w:pPr>
              <w:jc w:val="center"/>
              <w:rPr>
                <w:color w:val="000000"/>
                <w:sz w:val="16"/>
                <w:szCs w:val="16"/>
              </w:rPr>
            </w:pPr>
            <w:r w:rsidRPr="00DD77FC">
              <w:rPr>
                <w:color w:val="000000"/>
                <w:sz w:val="16"/>
                <w:szCs w:val="16"/>
              </w:rPr>
              <w:t>项目实现功能</w:t>
            </w:r>
          </w:p>
        </w:tc>
        <w:tc>
          <w:tcPr>
            <w:tcW w:w="55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95</w:t>
            </w:r>
          </w:p>
        </w:tc>
        <w:tc>
          <w:tcPr>
            <w:tcW w:w="1046"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100</w:t>
            </w:r>
          </w:p>
        </w:tc>
        <w:tc>
          <w:tcPr>
            <w:tcW w:w="6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15</w:t>
            </w:r>
          </w:p>
        </w:tc>
        <w:tc>
          <w:tcPr>
            <w:tcW w:w="6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15</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Pr="00AC6C89" w:rsidRDefault="001D46DC" w:rsidP="00E4743E">
            <w:pPr>
              <w:rPr>
                <w:rFonts w:ascii="仿宋_GB2312" w:eastAsia="仿宋_GB2312" w:hAnsi="仿宋_GB2312" w:cs="仿宋_GB2312"/>
                <w:sz w:val="32"/>
                <w:szCs w:val="32"/>
              </w:rPr>
            </w:pPr>
          </w:p>
        </w:tc>
      </w:tr>
      <w:tr w:rsidR="001D46DC" w:rsidTr="00E4743E">
        <w:trPr>
          <w:trHeight w:val="7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D46DC" w:rsidRDefault="001D46DC" w:rsidP="00E4743E">
            <w:pPr>
              <w:rPr>
                <w:rFonts w:ascii="宋体" w:hAnsi="宋体"/>
                <w:color w:val="000000"/>
                <w:sz w:val="16"/>
                <w:szCs w:val="16"/>
              </w:rPr>
            </w:pP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满意度指标（</w:t>
            </w:r>
            <w:r>
              <w:rPr>
                <w:rFonts w:hint="eastAsia"/>
                <w:color w:val="000000"/>
                <w:sz w:val="16"/>
                <w:szCs w:val="16"/>
              </w:rPr>
              <w:t>10</w:t>
            </w:r>
            <w:r>
              <w:rPr>
                <w:rFonts w:hint="eastAsia"/>
                <w:color w:val="000000"/>
                <w:sz w:val="16"/>
                <w:szCs w:val="16"/>
              </w:rPr>
              <w:t>）</w:t>
            </w:r>
          </w:p>
        </w:tc>
        <w:tc>
          <w:tcPr>
            <w:tcW w:w="10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满意度指标</w:t>
            </w:r>
          </w:p>
        </w:tc>
        <w:tc>
          <w:tcPr>
            <w:tcW w:w="218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DD77FC" w:rsidRDefault="001D46DC" w:rsidP="00E4743E">
            <w:pPr>
              <w:jc w:val="center"/>
              <w:rPr>
                <w:color w:val="000000"/>
                <w:sz w:val="16"/>
                <w:szCs w:val="16"/>
              </w:rPr>
            </w:pPr>
            <w:r w:rsidRPr="00DD77FC">
              <w:rPr>
                <w:color w:val="000000"/>
                <w:sz w:val="16"/>
                <w:szCs w:val="16"/>
              </w:rPr>
              <w:t>群众满意度</w:t>
            </w:r>
          </w:p>
        </w:tc>
        <w:tc>
          <w:tcPr>
            <w:tcW w:w="55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95</w:t>
            </w:r>
          </w:p>
        </w:tc>
        <w:tc>
          <w:tcPr>
            <w:tcW w:w="1046"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100</w:t>
            </w:r>
          </w:p>
        </w:tc>
        <w:tc>
          <w:tcPr>
            <w:tcW w:w="6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w:t>
            </w:r>
          </w:p>
        </w:tc>
        <w:tc>
          <w:tcPr>
            <w:tcW w:w="6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Pr="00AC6C89" w:rsidRDefault="001D46DC" w:rsidP="00E4743E">
            <w:pPr>
              <w:rPr>
                <w:rFonts w:ascii="仿宋_GB2312" w:eastAsia="仿宋_GB2312" w:hAnsi="仿宋_GB2312" w:cs="仿宋_GB2312"/>
                <w:sz w:val="32"/>
                <w:szCs w:val="32"/>
              </w:rPr>
            </w:pPr>
          </w:p>
        </w:tc>
      </w:tr>
      <w:tr w:rsidR="001D46DC" w:rsidTr="00E4743E">
        <w:trPr>
          <w:trHeight w:val="7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D46DC" w:rsidRDefault="001D46DC" w:rsidP="00E4743E">
            <w:pPr>
              <w:rPr>
                <w:rFonts w:ascii="宋体" w:hAnsi="宋体"/>
                <w:color w:val="000000"/>
                <w:sz w:val="16"/>
                <w:szCs w:val="16"/>
              </w:rPr>
            </w:pPr>
          </w:p>
        </w:tc>
        <w:tc>
          <w:tcPr>
            <w:tcW w:w="13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jc w:val="center"/>
              <w:rPr>
                <w:rFonts w:ascii="宋体" w:hAnsi="宋体"/>
                <w:color w:val="000000"/>
                <w:sz w:val="16"/>
                <w:szCs w:val="16"/>
              </w:rPr>
            </w:pPr>
            <w:r>
              <w:rPr>
                <w:rFonts w:hint="eastAsia"/>
                <w:color w:val="000000"/>
                <w:sz w:val="16"/>
                <w:szCs w:val="16"/>
              </w:rPr>
              <w:t>预算执行率（</w:t>
            </w:r>
            <w:r>
              <w:rPr>
                <w:rFonts w:hint="eastAsia"/>
                <w:color w:val="000000"/>
                <w:sz w:val="16"/>
                <w:szCs w:val="16"/>
              </w:rPr>
              <w:t>10</w:t>
            </w:r>
            <w:r>
              <w:rPr>
                <w:rFonts w:hint="eastAsia"/>
                <w:color w:val="000000"/>
                <w:sz w:val="16"/>
                <w:szCs w:val="16"/>
              </w:rPr>
              <w:t>）</w:t>
            </w:r>
          </w:p>
        </w:tc>
        <w:tc>
          <w:tcPr>
            <w:tcW w:w="10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Default="001D46DC" w:rsidP="00E4743E">
            <w:pPr>
              <w:rPr>
                <w:rFonts w:ascii="宋体" w:hAnsi="宋体"/>
                <w:color w:val="000000"/>
                <w:sz w:val="16"/>
                <w:szCs w:val="16"/>
              </w:rPr>
            </w:pPr>
            <w:r>
              <w:rPr>
                <w:rFonts w:hint="eastAsia"/>
                <w:color w:val="000000"/>
                <w:sz w:val="16"/>
                <w:szCs w:val="16"/>
              </w:rPr>
              <w:t>预算执行率</w:t>
            </w:r>
          </w:p>
        </w:tc>
        <w:tc>
          <w:tcPr>
            <w:tcW w:w="218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DD77FC" w:rsidRDefault="001D46DC" w:rsidP="00E4743E">
            <w:pPr>
              <w:jc w:val="center"/>
              <w:rPr>
                <w:color w:val="000000"/>
                <w:sz w:val="16"/>
                <w:szCs w:val="16"/>
              </w:rPr>
            </w:pPr>
            <w:r w:rsidRPr="00DD77FC">
              <w:rPr>
                <w:color w:val="000000"/>
                <w:sz w:val="16"/>
                <w:szCs w:val="16"/>
              </w:rPr>
              <w:t>预算执行率</w:t>
            </w:r>
          </w:p>
        </w:tc>
        <w:tc>
          <w:tcPr>
            <w:tcW w:w="55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95</w:t>
            </w:r>
          </w:p>
        </w:tc>
        <w:tc>
          <w:tcPr>
            <w:tcW w:w="1046" w:type="dxa"/>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100</w:t>
            </w:r>
          </w:p>
        </w:tc>
        <w:tc>
          <w:tcPr>
            <w:tcW w:w="6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w:t>
            </w:r>
          </w:p>
        </w:tc>
        <w:tc>
          <w:tcPr>
            <w:tcW w:w="6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Pr="00AC6C89" w:rsidRDefault="001D46DC" w:rsidP="00E4743E">
            <w:pPr>
              <w:rPr>
                <w:rFonts w:ascii="仿宋_GB2312" w:eastAsia="仿宋_GB2312" w:hAnsi="仿宋_GB2312" w:cs="仿宋_GB2312"/>
                <w:sz w:val="32"/>
                <w:szCs w:val="32"/>
              </w:rPr>
            </w:pPr>
          </w:p>
        </w:tc>
      </w:tr>
      <w:tr w:rsidR="001D46DC" w:rsidTr="00E4743E">
        <w:trPr>
          <w:trHeight w:val="7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D46DC" w:rsidRDefault="001D46DC" w:rsidP="00E4743E">
            <w:pPr>
              <w:rPr>
                <w:rFonts w:ascii="宋体" w:hAnsi="宋体"/>
                <w:color w:val="000000"/>
                <w:sz w:val="16"/>
                <w:szCs w:val="16"/>
              </w:rPr>
            </w:pPr>
          </w:p>
        </w:tc>
        <w:tc>
          <w:tcPr>
            <w:tcW w:w="6880" w:type="dxa"/>
            <w:gridSpan w:val="8"/>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Pr>
                <w:rFonts w:hint="eastAsia"/>
                <w:color w:val="000000"/>
                <w:sz w:val="16"/>
                <w:szCs w:val="16"/>
              </w:rPr>
              <w:t>总分</w:t>
            </w:r>
          </w:p>
        </w:tc>
        <w:tc>
          <w:tcPr>
            <w:tcW w:w="6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1D46DC" w:rsidRPr="001D46DC" w:rsidRDefault="001D46DC" w:rsidP="00E4743E">
            <w:pPr>
              <w:jc w:val="center"/>
              <w:rPr>
                <w:color w:val="000000"/>
                <w:sz w:val="16"/>
                <w:szCs w:val="16"/>
              </w:rPr>
            </w:pPr>
            <w:r w:rsidRPr="001D46DC">
              <w:rPr>
                <w:rFonts w:hint="eastAsia"/>
                <w:color w:val="000000"/>
                <w:sz w:val="16"/>
                <w:szCs w:val="16"/>
              </w:rPr>
              <w:t>100</w:t>
            </w:r>
          </w:p>
        </w:tc>
        <w:tc>
          <w:tcPr>
            <w:tcW w:w="50" w:type="dxa"/>
            <w:tcBorders>
              <w:top w:val="nil"/>
              <w:left w:val="nil"/>
              <w:bottom w:val="nil"/>
              <w:right w:val="nil"/>
            </w:tcBorders>
            <w:shd w:val="clear" w:color="auto" w:fill="auto"/>
            <w:noWrap/>
            <w:tcMar>
              <w:top w:w="15" w:type="dxa"/>
              <w:left w:w="15" w:type="dxa"/>
              <w:bottom w:w="0" w:type="dxa"/>
              <w:right w:w="15" w:type="dxa"/>
            </w:tcMar>
            <w:vAlign w:val="bottom"/>
            <w:hideMark/>
          </w:tcPr>
          <w:p w:rsidR="001D46DC" w:rsidRDefault="001D46DC" w:rsidP="00E4743E">
            <w:pPr>
              <w:rPr>
                <w:rFonts w:ascii="宋体" w:hAnsi="宋体"/>
                <w:color w:val="000000"/>
                <w:sz w:val="22"/>
              </w:rPr>
            </w:pPr>
          </w:p>
        </w:tc>
      </w:tr>
    </w:tbl>
    <w:p w:rsidR="001D46DC" w:rsidRPr="000416AE" w:rsidRDefault="001D46DC" w:rsidP="001D46DC">
      <w:pPr>
        <w:adjustRightInd w:val="0"/>
        <w:snapToGrid w:val="0"/>
        <w:spacing w:line="580" w:lineRule="exact"/>
        <w:ind w:firstLine="645"/>
        <w:rPr>
          <w:rFonts w:ascii="仿宋" w:eastAsia="仿宋" w:hAnsi="仿宋" w:cs="仿宋_GB2312"/>
          <w:sz w:val="32"/>
          <w:szCs w:val="32"/>
        </w:rPr>
      </w:pPr>
    </w:p>
    <w:p w:rsidR="0081201E" w:rsidRDefault="006E23F4" w:rsidP="000416AE">
      <w:pPr>
        <w:widowControl/>
        <w:spacing w:line="360" w:lineRule="auto"/>
        <w:ind w:firstLineChars="200" w:firstLine="643"/>
        <w:jc w:val="left"/>
        <w:rPr>
          <w:rFonts w:ascii="仿宋" w:eastAsia="仿宋" w:hAnsi="仿宋"/>
          <w:b/>
          <w:sz w:val="32"/>
          <w:szCs w:val="32"/>
        </w:rPr>
      </w:pPr>
      <w:r w:rsidRPr="000416AE">
        <w:rPr>
          <w:rFonts w:ascii="仿宋" w:eastAsia="仿宋" w:hAnsi="仿宋"/>
          <w:b/>
          <w:sz w:val="32"/>
          <w:szCs w:val="32"/>
        </w:rPr>
        <w:t>（三）部门评价项目绩效评价结果</w:t>
      </w:r>
    </w:p>
    <w:p w:rsidR="0081201E" w:rsidRPr="001D46DC" w:rsidRDefault="001D46DC" w:rsidP="001D46DC">
      <w:pPr>
        <w:adjustRightInd w:val="0"/>
        <w:snapToGrid w:val="0"/>
        <w:spacing w:line="580" w:lineRule="exact"/>
        <w:rPr>
          <w:rFonts w:ascii="仿宋" w:eastAsia="仿宋" w:hAnsi="仿宋" w:cs="DengXian-Regular"/>
          <w:sz w:val="32"/>
          <w:szCs w:val="32"/>
        </w:rPr>
      </w:pPr>
      <w:r>
        <w:rPr>
          <w:rFonts w:ascii="仿宋" w:eastAsia="仿宋" w:hAnsi="仿宋" w:cs="DengXian-Regular" w:hint="eastAsia"/>
          <w:sz w:val="32"/>
          <w:szCs w:val="32"/>
        </w:rPr>
        <w:lastRenderedPageBreak/>
        <w:t xml:space="preserve">    </w:t>
      </w:r>
      <w:r w:rsidRPr="001D46DC">
        <w:rPr>
          <w:rFonts w:ascii="仿宋" w:eastAsia="仿宋" w:hAnsi="仿宋" w:cs="DengXian-Regular" w:hint="eastAsia"/>
          <w:sz w:val="32"/>
          <w:szCs w:val="32"/>
        </w:rPr>
        <w:t>从各预算项目自评情况看，2024年本部门预算项目总体进展良好，目标总体完成率达较高，绩效自评得分全部在90分以上。评价结果真实客观地反映了</w:t>
      </w:r>
      <w:r w:rsidR="00E11EAE">
        <w:rPr>
          <w:rFonts w:ascii="仿宋" w:eastAsia="仿宋" w:hAnsi="仿宋" w:cs="DengXian-Regular" w:hint="eastAsia"/>
          <w:sz w:val="32"/>
          <w:szCs w:val="32"/>
        </w:rPr>
        <w:t>本部门</w:t>
      </w:r>
      <w:r w:rsidRPr="001D46DC">
        <w:rPr>
          <w:rFonts w:ascii="仿宋" w:eastAsia="仿宋" w:hAnsi="仿宋" w:cs="DengXian-Regular" w:hint="eastAsia"/>
          <w:sz w:val="32"/>
          <w:szCs w:val="32"/>
        </w:rPr>
        <w:t>资金的使用情况和效果。通过绩效评价，进一步强化了预算绩效管理理念，提高了资金绩效管理的自觉性，有力促进了资金的使用效益不断提高。</w:t>
      </w:r>
    </w:p>
    <w:p w:rsidR="0081201E" w:rsidRDefault="006E23F4" w:rsidP="006E23F4">
      <w:pPr>
        <w:widowControl/>
        <w:spacing w:line="360" w:lineRule="auto"/>
        <w:ind w:firstLineChars="200" w:firstLine="640"/>
        <w:jc w:val="left"/>
        <w:rPr>
          <w:rFonts w:ascii="Times New Roman" w:eastAsia="黑体"/>
          <w:sz w:val="32"/>
          <w:szCs w:val="32"/>
        </w:rPr>
      </w:pPr>
      <w:r>
        <w:rPr>
          <w:rFonts w:ascii="Times New Roman" w:eastAsia="黑体"/>
          <w:sz w:val="32"/>
          <w:szCs w:val="32"/>
        </w:rPr>
        <w:t>十、其他需要说明的情况</w:t>
      </w:r>
    </w:p>
    <w:p w:rsidR="0081201E" w:rsidRPr="000416AE" w:rsidRDefault="006E23F4" w:rsidP="006E23F4">
      <w:pPr>
        <w:widowControl/>
        <w:spacing w:line="360" w:lineRule="auto"/>
        <w:ind w:firstLineChars="200" w:firstLine="640"/>
        <w:jc w:val="left"/>
        <w:rPr>
          <w:rFonts w:ascii="仿宋" w:eastAsia="仿宋" w:hAnsi="仿宋"/>
          <w:sz w:val="32"/>
          <w:szCs w:val="32"/>
        </w:rPr>
      </w:pPr>
      <w:r w:rsidRPr="000416AE">
        <w:rPr>
          <w:rFonts w:ascii="仿宋" w:eastAsia="仿宋" w:hAnsi="仿宋"/>
          <w:sz w:val="32"/>
          <w:szCs w:val="32"/>
        </w:rPr>
        <w:t>1.</w:t>
      </w:r>
      <w:r w:rsidR="00E11EAE">
        <w:rPr>
          <w:rFonts w:ascii="仿宋" w:eastAsia="仿宋" w:hAnsi="仿宋"/>
          <w:sz w:val="32"/>
          <w:szCs w:val="32"/>
        </w:rPr>
        <w:t>本部门</w:t>
      </w:r>
      <w:r w:rsidRPr="000416AE">
        <w:rPr>
          <w:rFonts w:ascii="仿宋" w:eastAsia="仿宋" w:hAnsi="仿宋"/>
          <w:sz w:val="32"/>
          <w:szCs w:val="32"/>
        </w:rPr>
        <w:t>2024年度国有资本经营预算财政拨款支出决算表（公开08表）无相应收支，故空表列示。</w:t>
      </w:r>
    </w:p>
    <w:p w:rsidR="0081201E" w:rsidRPr="000416AE" w:rsidRDefault="006E23F4" w:rsidP="006E23F4">
      <w:pPr>
        <w:widowControl/>
        <w:spacing w:line="360" w:lineRule="auto"/>
        <w:ind w:firstLineChars="200" w:firstLine="640"/>
        <w:jc w:val="left"/>
        <w:rPr>
          <w:rFonts w:ascii="仿宋" w:eastAsia="仿宋" w:hAnsi="仿宋"/>
          <w:sz w:val="32"/>
          <w:szCs w:val="32"/>
        </w:rPr>
      </w:pPr>
      <w:r w:rsidRPr="000416AE">
        <w:rPr>
          <w:rFonts w:ascii="仿宋" w:eastAsia="仿宋" w:hAnsi="仿宋"/>
          <w:sz w:val="32"/>
          <w:szCs w:val="32"/>
        </w:rPr>
        <w:t>2.由于决算公开表格中金额数值应当保留两位小数，公开数据为四舍五入计算结果，个别数据合计项与分项之和存在小数点后差额，特此说明。</w:t>
      </w:r>
    </w:p>
    <w:p w:rsidR="0081201E" w:rsidRDefault="006E23F4">
      <w:pPr>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rsidR="0081201E" w:rsidRDefault="006E23F4">
      <w:pPr>
        <w:widowControl/>
        <w:spacing w:line="360" w:lineRule="auto"/>
        <w:jc w:val="center"/>
        <w:outlineLvl w:val="0"/>
        <w:rPr>
          <w:rFonts w:ascii="Times New Roman" w:eastAsia="黑体"/>
          <w:sz w:val="44"/>
          <w:szCs w:val="44"/>
        </w:rPr>
      </w:pPr>
      <w:r>
        <w:rPr>
          <w:rFonts w:ascii="Times New Roman" w:eastAsia="黑体"/>
          <w:sz w:val="44"/>
          <w:szCs w:val="44"/>
        </w:rPr>
        <w:lastRenderedPageBreak/>
        <w:t>第四部分名词解释</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一、财政拨款收入：</w:t>
      </w:r>
      <w:r w:rsidRPr="000416AE">
        <w:rPr>
          <w:rFonts w:ascii="仿宋" w:eastAsia="仿宋" w:hAnsi="仿宋"/>
          <w:sz w:val="32"/>
          <w:szCs w:val="32"/>
        </w:rPr>
        <w:t>指单位从同级财政部门取得的财政预算资金。</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二、事业收入：</w:t>
      </w:r>
      <w:r w:rsidRPr="000416AE">
        <w:rPr>
          <w:rFonts w:ascii="仿宋" w:eastAsia="仿宋" w:hAnsi="仿宋"/>
          <w:sz w:val="32"/>
          <w:szCs w:val="32"/>
        </w:rPr>
        <w:t>指事业单位开展专业业务活动及辅助活动取得的收入。</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三、经营收入：</w:t>
      </w:r>
      <w:r w:rsidRPr="000416AE">
        <w:rPr>
          <w:rFonts w:ascii="仿宋" w:eastAsia="仿宋" w:hAnsi="仿宋"/>
          <w:sz w:val="32"/>
          <w:szCs w:val="32"/>
        </w:rPr>
        <w:t>指事业单位在专业业务活动及其辅助活动之外开展非独立核算经营活动取得的收入。</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四、其他收入：</w:t>
      </w:r>
      <w:r w:rsidRPr="000416AE">
        <w:rPr>
          <w:rFonts w:ascii="仿宋" w:eastAsia="仿宋" w:hAnsi="仿宋"/>
          <w:sz w:val="32"/>
          <w:szCs w:val="32"/>
        </w:rPr>
        <w:t>指单位取得的除上述收入以外的各项收入。主要是事业单位固定资产出租收入、存款利息收入等。</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五、使用非财政拨款结余（含专用结余）：</w:t>
      </w:r>
      <w:r w:rsidRPr="000416AE">
        <w:rPr>
          <w:rFonts w:ascii="仿宋" w:eastAsia="仿宋" w:hAnsi="仿宋"/>
          <w:sz w:val="32"/>
          <w:szCs w:val="32"/>
        </w:rPr>
        <w:t>指事业单位按照预算管理要求使用非财政拨款结余弥补收支差额的金额，以及使用专用结余安排支出的金额。</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六、年初结转和结余：</w:t>
      </w:r>
      <w:r w:rsidRPr="000416AE">
        <w:rPr>
          <w:rFonts w:ascii="仿宋" w:eastAsia="仿宋" w:hAnsi="仿宋"/>
          <w:sz w:val="32"/>
          <w:szCs w:val="32"/>
        </w:rPr>
        <w:t>指单位以前年度尚未完成、结转到本年仍按原规定用途继续使用的资金，或项目已完成等产生的结余资金。</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七、结余分配：</w:t>
      </w:r>
      <w:r w:rsidRPr="000416AE">
        <w:rPr>
          <w:rFonts w:ascii="仿宋" w:eastAsia="仿宋" w:hAnsi="仿宋"/>
          <w:sz w:val="32"/>
          <w:szCs w:val="32"/>
        </w:rPr>
        <w:t>指事业单位按照会计制度规定缴纳的所得税、提取的专用结余以及转入非财政拨款结余的金额等。</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八、年末结转和结余：</w:t>
      </w:r>
      <w:r w:rsidRPr="000416AE">
        <w:rPr>
          <w:rFonts w:ascii="仿宋" w:eastAsia="仿宋" w:hAnsi="仿宋"/>
          <w:sz w:val="32"/>
          <w:szCs w:val="32"/>
        </w:rPr>
        <w:t>指单位按有关规定结转到下年或以后年度继续使用的资金，或项目已完成等产生的结余资金。</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lastRenderedPageBreak/>
        <w:t>九、基本支出：</w:t>
      </w:r>
      <w:r w:rsidRPr="000416AE">
        <w:rPr>
          <w:rFonts w:ascii="仿宋" w:eastAsia="仿宋" w:hAnsi="仿宋"/>
          <w:sz w:val="32"/>
          <w:szCs w:val="32"/>
        </w:rPr>
        <w:t>指为保障机构正常运转、完成日常工作任务而发生的人员支出和公用支出。</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十、项目支出：</w:t>
      </w:r>
      <w:r w:rsidRPr="000416AE">
        <w:rPr>
          <w:rFonts w:ascii="仿宋" w:eastAsia="仿宋" w:hAnsi="仿宋"/>
          <w:sz w:val="32"/>
          <w:szCs w:val="32"/>
        </w:rPr>
        <w:t>指在基本支出之外为完成特定行政任务和事业发展目标所发生的支出。</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十一、经营支出：</w:t>
      </w:r>
      <w:r w:rsidRPr="000416AE">
        <w:rPr>
          <w:rFonts w:ascii="仿宋" w:eastAsia="仿宋" w:hAnsi="仿宋"/>
          <w:sz w:val="32"/>
          <w:szCs w:val="32"/>
        </w:rPr>
        <w:t>指事业单位在专业业务活动及其辅助活动之外开展非独立核算经营活动发生的支出。</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十二、基本建设支出：</w:t>
      </w:r>
      <w:r w:rsidRPr="000416AE">
        <w:rPr>
          <w:rFonts w:ascii="仿宋" w:eastAsia="仿宋" w:hAnsi="仿宋"/>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十三、其他资本性支出：</w:t>
      </w:r>
      <w:r w:rsidRPr="000416AE">
        <w:rPr>
          <w:rFonts w:ascii="仿宋" w:eastAsia="仿宋" w:hAnsi="仿宋"/>
          <w:sz w:val="32"/>
          <w:szCs w:val="32"/>
        </w:rPr>
        <w:t>填列由各级非发展与改革部门集中安排的用于购置固定资产、战备性和应急性储备、土地和无形资产，以及购建基础设施、大型修缮和财政支持企业更新改造所发生的支出。</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十四、“三公”经费：</w:t>
      </w:r>
      <w:r w:rsidRPr="000416AE">
        <w:rPr>
          <w:rFonts w:ascii="仿宋" w:eastAsia="仿宋" w:hAnsi="仿宋"/>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w:t>
      </w:r>
      <w:r w:rsidRPr="000416AE">
        <w:rPr>
          <w:rFonts w:ascii="仿宋" w:eastAsia="仿宋" w:hAnsi="仿宋"/>
          <w:sz w:val="32"/>
          <w:szCs w:val="32"/>
        </w:rPr>
        <w:lastRenderedPageBreak/>
        <w:t>反映单位公务用车购置支出（含车辆购置税、牌照费）及按规定保留的公务用车燃料费、维修费、过桥过路费、保险费、安全奖励费用等支出；公务接待费反映单位按规定开支的各类公务接待（含外宾接待）支出。</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十五、其他交通费用：</w:t>
      </w:r>
      <w:r w:rsidRPr="000416AE">
        <w:rPr>
          <w:rFonts w:ascii="仿宋" w:eastAsia="仿宋" w:hAnsi="仿宋"/>
          <w:sz w:val="32"/>
          <w:szCs w:val="32"/>
        </w:rPr>
        <w:t>填列单位除公务用车运行维护费以外的其他交通费用。如公务交通补贴、租车费用、出租车费用，飞机、船舶等燃料费、维修费、保险费等。</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十六、公务用车购置：</w:t>
      </w:r>
      <w:r w:rsidRPr="000416AE">
        <w:rPr>
          <w:rFonts w:ascii="仿宋" w:eastAsia="仿宋" w:hAnsi="仿宋"/>
          <w:sz w:val="32"/>
          <w:szCs w:val="32"/>
        </w:rPr>
        <w:t>填列单位公务用车车辆购置支出（含车辆购置税、牌照费）。</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十七、其他交通工具购置：</w:t>
      </w:r>
      <w:r w:rsidRPr="000416AE">
        <w:rPr>
          <w:rFonts w:ascii="仿宋" w:eastAsia="仿宋" w:hAnsi="仿宋"/>
          <w:sz w:val="32"/>
          <w:szCs w:val="32"/>
        </w:rPr>
        <w:t>填列单位除公务用车外的其他各类交通工具（如船舶、飞机等）购置支出（含车辆购置税、牌照费）。</w:t>
      </w:r>
    </w:p>
    <w:p w:rsidR="0081201E" w:rsidRPr="000416AE" w:rsidRDefault="006E23F4" w:rsidP="000416AE">
      <w:pPr>
        <w:widowControl/>
        <w:spacing w:line="360" w:lineRule="auto"/>
        <w:ind w:firstLineChars="200" w:firstLine="643"/>
        <w:jc w:val="left"/>
        <w:rPr>
          <w:rFonts w:ascii="仿宋" w:eastAsia="仿宋" w:hAnsi="仿宋"/>
          <w:sz w:val="32"/>
          <w:szCs w:val="32"/>
        </w:rPr>
      </w:pPr>
      <w:r w:rsidRPr="000416AE">
        <w:rPr>
          <w:rFonts w:ascii="仿宋" w:eastAsia="仿宋" w:hAnsi="仿宋"/>
          <w:b/>
          <w:sz w:val="32"/>
          <w:szCs w:val="32"/>
        </w:rPr>
        <w:t>十八、机关运行经费：</w:t>
      </w:r>
      <w:r w:rsidRPr="000416AE">
        <w:rPr>
          <w:rFonts w:ascii="仿宋" w:eastAsia="仿宋" w:hAnsi="仿宋"/>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sectPr w:rsidR="0081201E" w:rsidRPr="000416AE" w:rsidSect="0081201E">
      <w:pgSz w:w="11906" w:h="16838"/>
      <w:pgMar w:top="2098" w:right="1417" w:bottom="1871" w:left="1417" w:header="851" w:footer="992" w:gutter="0"/>
      <w:cols w:space="0"/>
      <w:docGrid w:type="lines" w:linePitch="32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12AF" w:rsidRDefault="008E12AF" w:rsidP="0081201E">
      <w:r>
        <w:separator/>
      </w:r>
    </w:p>
  </w:endnote>
  <w:endnote w:type="continuationSeparator" w:id="0">
    <w:p w:rsidR="008E12AF" w:rsidRDefault="008E12AF" w:rsidP="008120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embedRegular r:id="rId1" w:subsetted="1" w:fontKey="{684468D6-75F8-4DA1-AE10-6138A2A3ACB1}"/>
  </w:font>
  <w:font w:name="仿宋">
    <w:panose1 w:val="02010609060101010101"/>
    <w:charset w:val="86"/>
    <w:family w:val="modern"/>
    <w:pitch w:val="fixed"/>
    <w:sig w:usb0="800002BF" w:usb1="38CF7CFA" w:usb2="00000016" w:usb3="00000000" w:csb0="00040001" w:csb1="00000000"/>
    <w:embedRegular r:id="rId2" w:subsetted="1" w:fontKey="{929E4B16-EA30-48E6-8885-798748C9A287}"/>
    <w:embedBold r:id="rId3" w:subsetted="1" w:fontKey="{6FD5ACBA-9A0C-4E48-A8AE-92AC65DD1580}"/>
  </w:font>
  <w:font w:name="Calibri Light">
    <w:altName w:val="Arial"/>
    <w:charset w:val="00"/>
    <w:family w:val="auto"/>
    <w:pitch w:val="default"/>
    <w:sig w:usb0="00000000" w:usb1="C200247B" w:usb2="00000009" w:usb3="00000000" w:csb0="200001FF" w:csb1="00000000"/>
  </w:font>
  <w:font w:name="华文中宋">
    <w:altName w:val="hakuyoxingshu7000"/>
    <w:charset w:val="86"/>
    <w:family w:val="auto"/>
    <w:pitch w:val="default"/>
    <w:sig w:usb0="00000000" w:usb1="080F0000" w:usb2="00000000" w:usb3="00000000" w:csb0="0004009F" w:csb1="DFD70000"/>
  </w:font>
  <w:font w:name="楷体_GB2312">
    <w:altName w:val="微软雅黑"/>
    <w:charset w:val="86"/>
    <w:family w:val="auto"/>
    <w:pitch w:val="default"/>
    <w:sig w:usb0="00000000" w:usb1="080E0000" w:usb2="00000000" w:usb3="00000000" w:csb0="00040000" w:csb1="00000000"/>
    <w:embedRegular r:id="rId4" w:subsetted="1" w:fontKey="{5C3E2DD7-0AF3-4726-9A84-E494A832A02C}"/>
    <w:embedBold r:id="rId5" w:subsetted="1" w:fontKey="{E272EBD4-F282-400C-A5C4-F7AF9348A40A}"/>
  </w:font>
  <w:font w:name="方正小标宋_GBK">
    <w:charset w:val="86"/>
    <w:family w:val="script"/>
    <w:pitch w:val="default"/>
    <w:sig w:usb0="A00002BF" w:usb1="38CF7CFA" w:usb2="00082016" w:usb3="00000000" w:csb0="00040001" w:csb1="00000000"/>
    <w:embedBold r:id="rId6" w:subsetted="1" w:fontKey="{64EF5365-272F-400C-B5A3-8ACC69CF532F}"/>
  </w:font>
  <w:font w:name="黑体">
    <w:altName w:val="SimHei"/>
    <w:panose1 w:val="02010609060101010101"/>
    <w:charset w:val="86"/>
    <w:family w:val="modern"/>
    <w:pitch w:val="fixed"/>
    <w:sig w:usb0="800002BF" w:usb1="38CF7CFA" w:usb2="00000016" w:usb3="00000000" w:csb0="00040001" w:csb1="00000000"/>
    <w:embedRegular r:id="rId7" w:subsetted="1" w:fontKey="{96426AEC-BD01-4AE6-B3DC-C9A09AF86231}"/>
  </w:font>
  <w:font w:name="楷体">
    <w:panose1 w:val="02010609060101010101"/>
    <w:charset w:val="86"/>
    <w:family w:val="modern"/>
    <w:pitch w:val="fixed"/>
    <w:sig w:usb0="800002BF" w:usb1="38CF7CFA" w:usb2="00000016" w:usb3="00000000" w:csb0="00040001" w:csb1="00000000"/>
    <w:embedRegular r:id="rId8" w:subsetted="1" w:fontKey="{5E9A2524-6FA4-4DEE-92E4-C49B991A3523}"/>
    <w:embedBold r:id="rId9" w:subsetted="1" w:fontKey="{382F2FDB-8E9B-4580-A5CC-5195EEEA3A65}"/>
  </w:font>
  <w:font w:name="仿宋_GB2312">
    <w:altName w:val="微软雅黑"/>
    <w:charset w:val="86"/>
    <w:family w:val="auto"/>
    <w:pitch w:val="default"/>
    <w:sig w:usb0="00000000" w:usb1="080E0000" w:usb2="00000000" w:usb3="00000000" w:csb0="00040000" w:csb1="00000000"/>
    <w:embedRegular r:id="rId10" w:subsetted="1" w:fontKey="{479D6FD1-FC78-4728-AC7C-33119B7AA4B0}"/>
    <w:embedBold r:id="rId11" w:subsetted="1" w:fontKey="{151F0D9D-57F9-4DA5-AE73-E3A3EF7E0F02}"/>
  </w:font>
  <w:font w:name="ArialUnicodeMS">
    <w:altName w:val="Malgun Gothic"/>
    <w:charset w:val="81"/>
    <w:family w:val="auto"/>
    <w:pitch w:val="default"/>
    <w:sig w:usb0="00000000" w:usb1="00000000" w:usb2="00000010" w:usb3="00000000" w:csb0="00080001" w:csb1="00000000"/>
  </w:font>
  <w:font w:name="方正仿宋_GB2312">
    <w:altName w:val="仿宋"/>
    <w:charset w:val="86"/>
    <w:family w:val="auto"/>
    <w:pitch w:val="default"/>
    <w:sig w:usb0="00000000" w:usb1="00000000" w:usb2="00000012" w:usb3="00000000" w:csb0="00040001" w:csb1="00000000"/>
    <w:embedRegular r:id="rId12" w:subsetted="1" w:fontKey="{9D9865D3-4FA4-4BBD-B941-78293044FFE9}"/>
    <w:embedBold r:id="rId13" w:subsetted="1" w:fontKey="{08C9DF0E-C3D2-4230-B8D6-0D75F1F2A402}"/>
  </w:font>
  <w:font w:name="Arial">
    <w:panose1 w:val="020B0604020202020204"/>
    <w:charset w:val="00"/>
    <w:family w:val="swiss"/>
    <w:pitch w:val="variable"/>
    <w:sig w:usb0="E0002AFF" w:usb1="C0007843" w:usb2="00000009" w:usb3="00000000" w:csb0="000001FF" w:csb1="00000000"/>
  </w:font>
  <w:font w:name="DengXian-Regular">
    <w:altName w:val="宋体"/>
    <w:charset w:val="86"/>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3F4" w:rsidRDefault="006E23F4">
    <w:pPr>
      <w:pStyle w:val="a5"/>
      <w:jc w:val="center"/>
    </w:pPr>
  </w:p>
  <w:p w:rsidR="006E23F4" w:rsidRDefault="006E23F4">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3F4" w:rsidRDefault="006E23F4">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3F4" w:rsidRDefault="006E23F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12AF" w:rsidRDefault="008E12AF" w:rsidP="0081201E">
      <w:r>
        <w:separator/>
      </w:r>
    </w:p>
  </w:footnote>
  <w:footnote w:type="continuationSeparator" w:id="0">
    <w:p w:rsidR="008E12AF" w:rsidRDefault="008E12AF" w:rsidP="008120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3F4" w:rsidRDefault="006E23F4">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3F4" w:rsidRDefault="006E23F4">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3F4" w:rsidRDefault="006E23F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16A424"/>
    <w:multiLevelType w:val="multilevel"/>
    <w:tmpl w:val="5F16A424"/>
    <w:lvl w:ilvl="0">
      <w:start w:val="1"/>
      <w:numFmt w:val="decimal"/>
      <w:pStyle w:val="1"/>
      <w:lvlText w:val="%1."/>
      <w:lvlJc w:val="left"/>
      <w:pPr>
        <w:ind w:left="425" w:hanging="425"/>
      </w:pPr>
      <w:rPr>
        <w:rFonts w:hint="default"/>
      </w:rPr>
    </w:lvl>
    <w:lvl w:ilvl="1">
      <w:start w:val="1"/>
      <w:numFmt w:val="decimal"/>
      <w:pStyle w:val="2"/>
      <w:lvlText w:val="%1.%2."/>
      <w:lvlJc w:val="left"/>
      <w:pPr>
        <w:ind w:left="567" w:hanging="567"/>
      </w:pPr>
      <w:rPr>
        <w:rFonts w:hint="default"/>
      </w:rPr>
    </w:lvl>
    <w:lvl w:ilvl="2">
      <w:start w:val="1"/>
      <w:numFmt w:val="decimal"/>
      <w:pStyle w:val="3"/>
      <w:lvlText w:val="%1.%2.%3."/>
      <w:lvlJc w:val="left"/>
      <w:pPr>
        <w:ind w:left="709" w:hanging="709"/>
      </w:pPr>
      <w:rPr>
        <w:rFonts w:hint="default"/>
      </w:rPr>
    </w:lvl>
    <w:lvl w:ilvl="3">
      <w:start w:val="1"/>
      <w:numFmt w:val="decimal"/>
      <w:pStyle w:val="4"/>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saveSubsetFonts/>
  <w:bordersDoNotSurroundHeader/>
  <w:bordersDoNotSurroundFooter/>
  <w:proofState w:spelling="clean"/>
  <w:defaultTabStop w:val="420"/>
  <w:drawingGridVerticalSpacing w:val="165"/>
  <w:displayVerticalDrawingGridEvery w:val="2"/>
  <w:noPunctuationKerning/>
  <w:characterSpacingControl w:val="compressPunctuation"/>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jb3VudCI6NjksImhkaWQiOiJiMzk2N2EzZjUyYWViODRjZjJhMDZjM2YyYjk4MTExMiIsInVzZXJDb3VudCI6MX0="/>
  </w:docVars>
  <w:rsids>
    <w:rsidRoot w:val="0081201E"/>
    <w:rsid w:val="000416AE"/>
    <w:rsid w:val="00086151"/>
    <w:rsid w:val="000C5FCE"/>
    <w:rsid w:val="001D46DC"/>
    <w:rsid w:val="00236F8C"/>
    <w:rsid w:val="00294346"/>
    <w:rsid w:val="00327662"/>
    <w:rsid w:val="00535C9B"/>
    <w:rsid w:val="0066295C"/>
    <w:rsid w:val="00676592"/>
    <w:rsid w:val="006E23F4"/>
    <w:rsid w:val="0081201E"/>
    <w:rsid w:val="00822154"/>
    <w:rsid w:val="008E12AF"/>
    <w:rsid w:val="00C65689"/>
    <w:rsid w:val="00CC2C8E"/>
    <w:rsid w:val="00E11EAE"/>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866524"/>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1177F57"/>
    <w:rsid w:val="11217C97"/>
    <w:rsid w:val="11464C20"/>
    <w:rsid w:val="115E4926"/>
    <w:rsid w:val="118A1FFA"/>
    <w:rsid w:val="11E35B5A"/>
    <w:rsid w:val="11E42DD6"/>
    <w:rsid w:val="125F5A1B"/>
    <w:rsid w:val="126979D6"/>
    <w:rsid w:val="129E45A7"/>
    <w:rsid w:val="13074404"/>
    <w:rsid w:val="136A5C00"/>
    <w:rsid w:val="13B97B08"/>
    <w:rsid w:val="13C527AC"/>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D21FF2"/>
    <w:rsid w:val="2A611B0F"/>
    <w:rsid w:val="2AC1762B"/>
    <w:rsid w:val="2AE845D0"/>
    <w:rsid w:val="2B4975FB"/>
    <w:rsid w:val="2B695031"/>
    <w:rsid w:val="2B735A8F"/>
    <w:rsid w:val="2BA7478D"/>
    <w:rsid w:val="2BB038DB"/>
    <w:rsid w:val="2BB761E0"/>
    <w:rsid w:val="2BB812F9"/>
    <w:rsid w:val="2BE35C27"/>
    <w:rsid w:val="2BFA504B"/>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FC7AC2"/>
    <w:rsid w:val="301430AF"/>
    <w:rsid w:val="30630612"/>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60134DF"/>
    <w:rsid w:val="360B1E2F"/>
    <w:rsid w:val="360D500F"/>
    <w:rsid w:val="36330424"/>
    <w:rsid w:val="36FE3ABA"/>
    <w:rsid w:val="37072BDE"/>
    <w:rsid w:val="37455334"/>
    <w:rsid w:val="37527C32"/>
    <w:rsid w:val="37731921"/>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8626D0"/>
    <w:rsid w:val="3D953A6B"/>
    <w:rsid w:val="3DBB5979"/>
    <w:rsid w:val="3DD56F21"/>
    <w:rsid w:val="3DEF6699"/>
    <w:rsid w:val="3E1057AF"/>
    <w:rsid w:val="3E6C0DFA"/>
    <w:rsid w:val="3E740322"/>
    <w:rsid w:val="3E7F4380"/>
    <w:rsid w:val="3E8D171B"/>
    <w:rsid w:val="3EA5630D"/>
    <w:rsid w:val="3EBA731B"/>
    <w:rsid w:val="3EE33949"/>
    <w:rsid w:val="3EFB5800"/>
    <w:rsid w:val="3F3B4E59"/>
    <w:rsid w:val="3F6E677C"/>
    <w:rsid w:val="3F712F46"/>
    <w:rsid w:val="3FBC0EF7"/>
    <w:rsid w:val="3FCD2AB9"/>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C4343"/>
    <w:rsid w:val="4F416688"/>
    <w:rsid w:val="4F5620B0"/>
    <w:rsid w:val="4F616EB4"/>
    <w:rsid w:val="4F6654EE"/>
    <w:rsid w:val="4F7379C6"/>
    <w:rsid w:val="4F872BDB"/>
    <w:rsid w:val="4FA033E9"/>
    <w:rsid w:val="4FA743DA"/>
    <w:rsid w:val="4FB3565A"/>
    <w:rsid w:val="4FC4714D"/>
    <w:rsid w:val="503D1C79"/>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6232437"/>
    <w:rsid w:val="56541A75"/>
    <w:rsid w:val="568832FC"/>
    <w:rsid w:val="568C4181"/>
    <w:rsid w:val="570725A9"/>
    <w:rsid w:val="5714693E"/>
    <w:rsid w:val="571D0C9C"/>
    <w:rsid w:val="573A16CE"/>
    <w:rsid w:val="579C7F80"/>
    <w:rsid w:val="57B30D7C"/>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6CB5E2D"/>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A14A81"/>
    <w:rsid w:val="6FA3261F"/>
    <w:rsid w:val="6FB44BAA"/>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6A729D"/>
    <w:rsid w:val="73177841"/>
    <w:rsid w:val="733774FE"/>
    <w:rsid w:val="73617E1B"/>
    <w:rsid w:val="736D7653"/>
    <w:rsid w:val="738035CB"/>
    <w:rsid w:val="73852C46"/>
    <w:rsid w:val="7396335C"/>
    <w:rsid w:val="73F46595"/>
    <w:rsid w:val="73F47FAE"/>
    <w:rsid w:val="74283FA2"/>
    <w:rsid w:val="742C135B"/>
    <w:rsid w:val="74463733"/>
    <w:rsid w:val="748A2F40"/>
    <w:rsid w:val="74D84FF7"/>
    <w:rsid w:val="74F85778"/>
    <w:rsid w:val="75272439"/>
    <w:rsid w:val="758F1E9B"/>
    <w:rsid w:val="75CE266B"/>
    <w:rsid w:val="76120141"/>
    <w:rsid w:val="768216BE"/>
    <w:rsid w:val="76C23B43"/>
    <w:rsid w:val="76FD6F97"/>
    <w:rsid w:val="770218E8"/>
    <w:rsid w:val="779469CE"/>
    <w:rsid w:val="77C875A5"/>
    <w:rsid w:val="78A27DF6"/>
    <w:rsid w:val="79285B3A"/>
    <w:rsid w:val="79490B03"/>
    <w:rsid w:val="79625CA9"/>
    <w:rsid w:val="79A91196"/>
    <w:rsid w:val="7A0B32D3"/>
    <w:rsid w:val="7AC13CD3"/>
    <w:rsid w:val="7AE10264"/>
    <w:rsid w:val="7AE4248E"/>
    <w:rsid w:val="7B4A207F"/>
    <w:rsid w:val="7B936F45"/>
    <w:rsid w:val="7BA47419"/>
    <w:rsid w:val="7BB10D45"/>
    <w:rsid w:val="7BB44151"/>
    <w:rsid w:val="7C656A39"/>
    <w:rsid w:val="7CB93996"/>
    <w:rsid w:val="7CBE0F99"/>
    <w:rsid w:val="7D4E45F1"/>
    <w:rsid w:val="7DFB6D82"/>
    <w:rsid w:val="7E1D71D1"/>
    <w:rsid w:val="7E246254"/>
    <w:rsid w:val="7E553215"/>
    <w:rsid w:val="7E6D090F"/>
    <w:rsid w:val="7ECC66B2"/>
    <w:rsid w:val="7F2914C3"/>
    <w:rsid w:val="7F5F2ED6"/>
    <w:rsid w:val="7FA837EF"/>
    <w:rsid w:val="7FC36955"/>
    <w:rsid w:val="7FE903A0"/>
    <w:rsid w:val="7FF07065"/>
    <w:rsid w:val="7FF97946"/>
    <w:rsid w:val="7FFE78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201E"/>
    <w:pPr>
      <w:widowControl w:val="0"/>
      <w:jc w:val="both"/>
    </w:pPr>
    <w:rPr>
      <w:rFonts w:asciiTheme="minorHAnsi" w:eastAsiaTheme="minorEastAsia" w:hAnsiTheme="minorHAnsi" w:cs="宋体"/>
      <w:sz w:val="24"/>
      <w:szCs w:val="24"/>
    </w:rPr>
  </w:style>
  <w:style w:type="paragraph" w:styleId="1">
    <w:name w:val="heading 1"/>
    <w:basedOn w:val="a"/>
    <w:next w:val="a"/>
    <w:qFormat/>
    <w:rsid w:val="0081201E"/>
    <w:pPr>
      <w:keepNext/>
      <w:keepLines/>
      <w:numPr>
        <w:numId w:val="1"/>
      </w:numPr>
      <w:adjustRightInd w:val="0"/>
      <w:snapToGrid w:val="0"/>
      <w:spacing w:before="340" w:afterLines="50" w:line="578" w:lineRule="auto"/>
      <w:jc w:val="left"/>
      <w:outlineLvl w:val="0"/>
    </w:pPr>
    <w:rPr>
      <w:rFonts w:ascii="Times New Roman" w:eastAsia="仿宋" w:hAnsi="Times New Roman" w:cs="Times New Roman"/>
      <w:b/>
      <w:bCs/>
      <w:kern w:val="44"/>
      <w:sz w:val="36"/>
      <w:szCs w:val="44"/>
    </w:rPr>
  </w:style>
  <w:style w:type="paragraph" w:styleId="2">
    <w:name w:val="heading 2"/>
    <w:basedOn w:val="a"/>
    <w:next w:val="a"/>
    <w:link w:val="2Char"/>
    <w:uiPriority w:val="9"/>
    <w:semiHidden/>
    <w:unhideWhenUsed/>
    <w:qFormat/>
    <w:rsid w:val="0081201E"/>
    <w:pPr>
      <w:numPr>
        <w:ilvl w:val="1"/>
        <w:numId w:val="1"/>
      </w:numPr>
      <w:spacing w:line="416" w:lineRule="auto"/>
      <w:outlineLvl w:val="1"/>
    </w:pPr>
    <w:rPr>
      <w:rFonts w:ascii="Calibri Light" w:eastAsia="宋体" w:hAnsi="Calibri Light" w:cs="Times New Roman"/>
      <w:b/>
      <w:bCs/>
      <w:sz w:val="28"/>
      <w:szCs w:val="32"/>
    </w:rPr>
  </w:style>
  <w:style w:type="paragraph" w:styleId="3">
    <w:name w:val="heading 3"/>
    <w:basedOn w:val="a"/>
    <w:next w:val="a"/>
    <w:uiPriority w:val="9"/>
    <w:semiHidden/>
    <w:unhideWhenUsed/>
    <w:qFormat/>
    <w:rsid w:val="0081201E"/>
    <w:pPr>
      <w:keepNext/>
      <w:keepLines/>
      <w:numPr>
        <w:ilvl w:val="2"/>
        <w:numId w:val="1"/>
      </w:numPr>
      <w:spacing w:beforeLines="50" w:afterLines="50" w:line="416" w:lineRule="auto"/>
      <w:outlineLvl w:val="2"/>
    </w:pPr>
    <w:rPr>
      <w:rFonts w:ascii="宋体" w:eastAsia="宋体" w:hAnsi="宋体"/>
      <w:b/>
      <w:bCs/>
      <w:sz w:val="32"/>
    </w:rPr>
  </w:style>
  <w:style w:type="paragraph" w:styleId="4">
    <w:name w:val="heading 4"/>
    <w:basedOn w:val="a"/>
    <w:next w:val="a"/>
    <w:uiPriority w:val="9"/>
    <w:semiHidden/>
    <w:unhideWhenUsed/>
    <w:qFormat/>
    <w:rsid w:val="0081201E"/>
    <w:pPr>
      <w:keepNext/>
      <w:keepLines/>
      <w:numPr>
        <w:ilvl w:val="3"/>
        <w:numId w:val="1"/>
      </w:numPr>
      <w:spacing w:before="120" w:after="120"/>
      <w:outlineLvl w:val="3"/>
    </w:pPr>
    <w:rPr>
      <w:rFonts w:ascii="Calibri Light" w:eastAsia="宋体" w:hAnsi="Calibri Light"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81201E"/>
    <w:pPr>
      <w:jc w:val="left"/>
    </w:pPr>
  </w:style>
  <w:style w:type="paragraph" w:styleId="a4">
    <w:name w:val="Balloon Text"/>
    <w:basedOn w:val="a"/>
    <w:link w:val="Char"/>
    <w:uiPriority w:val="99"/>
    <w:unhideWhenUsed/>
    <w:qFormat/>
    <w:rsid w:val="0081201E"/>
    <w:rPr>
      <w:rFonts w:cstheme="minorBidi"/>
      <w:kern w:val="2"/>
      <w:sz w:val="18"/>
      <w:szCs w:val="18"/>
    </w:rPr>
  </w:style>
  <w:style w:type="paragraph" w:styleId="a5">
    <w:name w:val="footer"/>
    <w:basedOn w:val="a"/>
    <w:link w:val="Char0"/>
    <w:uiPriority w:val="99"/>
    <w:qFormat/>
    <w:rsid w:val="0081201E"/>
    <w:pPr>
      <w:tabs>
        <w:tab w:val="center" w:pos="4153"/>
        <w:tab w:val="right" w:pos="8306"/>
      </w:tabs>
      <w:snapToGrid w:val="0"/>
      <w:jc w:val="left"/>
    </w:pPr>
    <w:rPr>
      <w:rFonts w:cstheme="minorBidi"/>
      <w:kern w:val="2"/>
      <w:sz w:val="18"/>
      <w:szCs w:val="18"/>
    </w:rPr>
  </w:style>
  <w:style w:type="paragraph" w:styleId="a6">
    <w:name w:val="header"/>
    <w:basedOn w:val="a"/>
    <w:link w:val="Char1"/>
    <w:qFormat/>
    <w:rsid w:val="0081201E"/>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rFonts w:cstheme="minorBidi"/>
      <w:kern w:val="2"/>
      <w:sz w:val="18"/>
      <w:szCs w:val="18"/>
    </w:rPr>
  </w:style>
  <w:style w:type="paragraph" w:styleId="a7">
    <w:name w:val="Normal (Web)"/>
    <w:basedOn w:val="a"/>
    <w:uiPriority w:val="99"/>
    <w:semiHidden/>
    <w:unhideWhenUsed/>
    <w:qFormat/>
    <w:rsid w:val="0081201E"/>
    <w:pPr>
      <w:spacing w:beforeAutospacing="1" w:afterAutospacing="1"/>
      <w:jc w:val="left"/>
    </w:pPr>
    <w:rPr>
      <w:rFonts w:cs="Times New Roman"/>
    </w:rPr>
  </w:style>
  <w:style w:type="table" w:styleId="a8">
    <w:name w:val="Table Grid"/>
    <w:qFormat/>
    <w:rsid w:val="0081201E"/>
    <w:rPr>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9">
    <w:name w:val="Strong"/>
    <w:basedOn w:val="a0"/>
    <w:uiPriority w:val="22"/>
    <w:qFormat/>
    <w:rsid w:val="0081201E"/>
    <w:rPr>
      <w:b/>
    </w:rPr>
  </w:style>
  <w:style w:type="character" w:customStyle="1" w:styleId="2Char">
    <w:name w:val="标题 2 Char"/>
    <w:link w:val="2"/>
    <w:qFormat/>
    <w:rsid w:val="0081201E"/>
    <w:rPr>
      <w:rFonts w:ascii="Calibri Light" w:eastAsia="宋体" w:hAnsi="Calibri Light" w:cs="Times New Roman"/>
      <w:b/>
      <w:bCs/>
      <w:sz w:val="28"/>
      <w:szCs w:val="32"/>
    </w:rPr>
  </w:style>
  <w:style w:type="character" w:customStyle="1" w:styleId="Char0">
    <w:name w:val="页脚 Char"/>
    <w:basedOn w:val="a0"/>
    <w:link w:val="a5"/>
    <w:uiPriority w:val="99"/>
    <w:qFormat/>
    <w:rsid w:val="0081201E"/>
    <w:rPr>
      <w:rFonts w:asciiTheme="minorHAnsi" w:eastAsiaTheme="minorEastAsia" w:hAnsiTheme="minorHAnsi" w:cstheme="minorBidi"/>
      <w:sz w:val="18"/>
      <w:szCs w:val="18"/>
      <w:lang w:val="en-US" w:eastAsia="zh-CN" w:bidi="ar-SA"/>
    </w:rPr>
  </w:style>
  <w:style w:type="character" w:customStyle="1" w:styleId="Char1">
    <w:name w:val="页眉 Char"/>
    <w:basedOn w:val="a0"/>
    <w:link w:val="a6"/>
    <w:qFormat/>
    <w:rsid w:val="0081201E"/>
    <w:rPr>
      <w:rFonts w:asciiTheme="minorHAnsi" w:eastAsiaTheme="minorEastAsia" w:hAnsiTheme="minorHAnsi" w:cstheme="minorBidi"/>
      <w:sz w:val="18"/>
      <w:szCs w:val="18"/>
      <w:lang w:val="en-US" w:eastAsia="zh-CN" w:bidi="ar-SA"/>
    </w:rPr>
  </w:style>
  <w:style w:type="character" w:customStyle="1" w:styleId="font11">
    <w:name w:val="font11"/>
    <w:basedOn w:val="a0"/>
    <w:qFormat/>
    <w:rsid w:val="0081201E"/>
    <w:rPr>
      <w:rFonts w:ascii="宋体" w:eastAsia="宋体" w:hAnsi="宋体" w:cs="宋体" w:hint="eastAsia"/>
      <w:color w:val="000000"/>
      <w:sz w:val="20"/>
      <w:szCs w:val="20"/>
      <w:u w:val="none"/>
      <w:lang w:val="en-US" w:eastAsia="zh-CN" w:bidi="ar-SA"/>
    </w:rPr>
  </w:style>
  <w:style w:type="character" w:customStyle="1" w:styleId="font01">
    <w:name w:val="font01"/>
    <w:basedOn w:val="a0"/>
    <w:qFormat/>
    <w:rsid w:val="0081201E"/>
    <w:rPr>
      <w:rFonts w:ascii="宋体" w:eastAsia="宋体" w:hAnsi="宋体" w:cs="宋体" w:hint="eastAsia"/>
      <w:color w:val="000000"/>
      <w:sz w:val="22"/>
      <w:szCs w:val="22"/>
      <w:u w:val="none"/>
      <w:lang w:val="en-US" w:eastAsia="zh-CN" w:bidi="ar-SA"/>
    </w:rPr>
  </w:style>
  <w:style w:type="character" w:customStyle="1" w:styleId="font41">
    <w:name w:val="font41"/>
    <w:basedOn w:val="a0"/>
    <w:qFormat/>
    <w:rsid w:val="0081201E"/>
    <w:rPr>
      <w:rFonts w:ascii="宋体" w:eastAsia="宋体" w:hAnsi="宋体" w:cs="宋体" w:hint="eastAsia"/>
      <w:color w:val="000000"/>
      <w:sz w:val="24"/>
      <w:szCs w:val="24"/>
      <w:u w:val="none"/>
      <w:lang w:val="en-US" w:eastAsia="zh-CN" w:bidi="ar-SA"/>
    </w:rPr>
  </w:style>
  <w:style w:type="character" w:customStyle="1" w:styleId="font31">
    <w:name w:val="font31"/>
    <w:basedOn w:val="a0"/>
    <w:qFormat/>
    <w:rsid w:val="0081201E"/>
    <w:rPr>
      <w:rFonts w:ascii="华文中宋" w:eastAsia="华文中宋" w:hAnsi="华文中宋" w:cs="华文中宋" w:hint="eastAsia"/>
      <w:color w:val="000000"/>
      <w:sz w:val="32"/>
      <w:szCs w:val="32"/>
      <w:u w:val="none"/>
      <w:lang w:val="en-US" w:eastAsia="zh-CN" w:bidi="ar-SA"/>
    </w:rPr>
  </w:style>
  <w:style w:type="character" w:customStyle="1" w:styleId="font91">
    <w:name w:val="font91"/>
    <w:basedOn w:val="a0"/>
    <w:qFormat/>
    <w:rsid w:val="0081201E"/>
    <w:rPr>
      <w:rFonts w:ascii="华文中宋" w:eastAsia="华文中宋" w:hAnsi="华文中宋" w:cs="华文中宋" w:hint="eastAsia"/>
      <w:color w:val="000000"/>
      <w:sz w:val="32"/>
      <w:szCs w:val="32"/>
      <w:u w:val="none"/>
      <w:lang w:val="en-US" w:eastAsia="zh-CN" w:bidi="ar-SA"/>
    </w:rPr>
  </w:style>
  <w:style w:type="character" w:customStyle="1" w:styleId="font51">
    <w:name w:val="font51"/>
    <w:basedOn w:val="a0"/>
    <w:qFormat/>
    <w:rsid w:val="0081201E"/>
    <w:rPr>
      <w:rFonts w:ascii="宋体" w:eastAsia="宋体" w:hAnsi="宋体" w:cs="宋体" w:hint="eastAsia"/>
      <w:color w:val="000000"/>
      <w:sz w:val="24"/>
      <w:szCs w:val="24"/>
      <w:u w:val="none"/>
      <w:lang w:val="en-US" w:eastAsia="zh-CN" w:bidi="ar-SA"/>
    </w:rPr>
  </w:style>
  <w:style w:type="character" w:customStyle="1" w:styleId="Char">
    <w:name w:val="批注框文本 Char"/>
    <w:basedOn w:val="a0"/>
    <w:link w:val="a4"/>
    <w:uiPriority w:val="99"/>
    <w:semiHidden/>
    <w:qFormat/>
    <w:rsid w:val="0081201E"/>
    <w:rPr>
      <w:rFonts w:asciiTheme="minorHAnsi" w:eastAsiaTheme="minorEastAsia" w:hAnsiTheme="minorHAnsi" w:cstheme="minorBidi"/>
      <w:sz w:val="18"/>
      <w:szCs w:val="18"/>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chart" Target="charts/chart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chart" Target="charts/chart3.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hart" Target="charts/chart1.xml"/><Relationship Id="rId10" Type="http://schemas.openxmlformats.org/officeDocument/2006/relationships/header" Target="header1.xml"/><Relationship Id="rId19" Type="http://schemas.openxmlformats.org/officeDocument/2006/relationships/chart" Target="charts/chart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4111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121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131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2141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1515.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1 </a:t>
            </a:r>
            <a:r>
              <a:rPr lang="zh-CN" altLang="en-US"/>
              <a:t>： </a:t>
            </a:r>
            <a:r>
              <a:rPr lang="en-US" altLang="zh-CN"/>
              <a:t>2023-2024</a:t>
            </a:r>
            <a:r>
              <a:rPr lang="zh-CN" altLang="en-US"/>
              <a:t>年收支总计对比图（万元）</a:t>
            </a:r>
          </a:p>
        </c:rich>
      </c:tx>
      <c:spPr>
        <a:noFill/>
        <a:ln>
          <a:noFill/>
        </a:ln>
        <a:effectLst/>
      </c:spPr>
    </c:title>
    <c:plotArea>
      <c:layout/>
      <c:barChart>
        <c:barDir val="col"/>
        <c:grouping val="clustered"/>
        <c:ser>
          <c:idx val="0"/>
          <c:order val="0"/>
          <c:tx>
            <c:strRef>
              <c:f>Sheet1!$B$1</c:f>
              <c:strCache>
                <c:ptCount val="1"/>
                <c:pt idx="0">
                  <c:v>收支总计</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2023年</c:v>
                </c:pt>
                <c:pt idx="1">
                  <c:v>2024年</c:v>
                </c:pt>
              </c:strCache>
            </c:strRef>
          </c:cat>
          <c:val>
            <c:numRef>
              <c:f>Sheet1!$B$2:$B$3</c:f>
              <c:numCache>
                <c:formatCode>General</c:formatCode>
                <c:ptCount val="2"/>
                <c:pt idx="0">
                  <c:v>3280.3300000000017</c:v>
                </c:pt>
                <c:pt idx="1">
                  <c:v>2573.1</c:v>
                </c:pt>
              </c:numCache>
            </c:numRef>
          </c:val>
        </c:ser>
        <c:dLbls>
          <c:showVal val="1"/>
        </c:dLbls>
        <c:gapWidth val="246"/>
        <c:overlap val="-28"/>
        <c:axId val="137789440"/>
        <c:axId val="137790976"/>
      </c:barChart>
      <c:catAx>
        <c:axId val="137789440"/>
        <c:scaling>
          <c:orientation val="minMax"/>
        </c:scaling>
        <c:axPos val="b"/>
        <c:numFmt formatCode="General" sourceLinked="0"/>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37790976"/>
        <c:crosses val="autoZero"/>
        <c:auto val="1"/>
        <c:lblAlgn val="ctr"/>
        <c:lblOffset val="100"/>
      </c:catAx>
      <c:valAx>
        <c:axId val="137790976"/>
        <c:scaling>
          <c:orientation val="minMax"/>
        </c:scaling>
        <c:axPos val="l"/>
        <c:majorGridlines>
          <c:spPr>
            <a:ln w="9525" cap="flat" cmpd="sng" algn="ctr">
              <a:solidFill>
                <a:schemeClr val="lt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37789440"/>
        <c:crosses val="autoZero"/>
        <c:crossBetween val="between"/>
      </c:valAx>
      <c:spPr>
        <a:noFill/>
        <a:ln>
          <a:noFill/>
        </a:ln>
        <a:effectLst/>
      </c:spPr>
    </c:plotArea>
    <c:plotVisOnly val="1"/>
    <c:dispBlanksAs val="gap"/>
    <c:extLst>
      <c:ext uri="{0b15fc19-7d7d-44ad-8c2d-2c3a37ce22c3}">
        <chartProps xmlns="https://web.wps.cn/et/2018/main" chartId="{e1f0a5d4-d049-46f2-8a89-5db5651939b4}"/>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baseline="0">
                <a:solidFill>
                  <a:schemeClr val="tx1">
                    <a:lumMod val="75000"/>
                    <a:lumOff val="25000"/>
                  </a:schemeClr>
                </a:solidFill>
                <a:latin typeface="+mn-lt"/>
                <a:ea typeface="+mn-ea"/>
                <a:cs typeface="+mn-cs"/>
              </a:defRPr>
            </a:pPr>
            <a:r>
              <a:rPr lang="zh-CN" altLang="en-US" b="1"/>
              <a:t>图 </a:t>
            </a:r>
            <a:r>
              <a:rPr lang="en-US" altLang="zh-CN" b="1"/>
              <a:t>3 </a:t>
            </a:r>
            <a:r>
              <a:rPr lang="zh-CN" altLang="en-US" b="1"/>
              <a:t>：支出决算构成情况图</a:t>
            </a:r>
          </a:p>
        </c:rich>
      </c:tx>
      <c:spPr>
        <a:noFill/>
        <a:ln>
          <a:noFill/>
        </a:ln>
        <a:effectLst/>
      </c:spPr>
    </c:title>
    <c:plotArea>
      <c:layout/>
      <c:pieChart>
        <c:varyColors val="1"/>
        <c:ser>
          <c:idx val="0"/>
          <c:order val="0"/>
          <c:tx>
            <c:strRef>
              <c:f>Sheet1!$B$1</c:f>
              <c:strCache>
                <c:ptCount val="1"/>
                <c:pt idx="0">
                  <c:v>金额</c:v>
                </c:pt>
              </c:strCache>
            </c:strRef>
          </c:tx>
          <c:dPt>
            <c:idx val="0"/>
            <c:spPr>
              <a:solidFill>
                <a:schemeClr val="accent1"/>
              </a:solidFill>
              <a:ln>
                <a:solidFill>
                  <a:schemeClr val="bg1"/>
                </a:solidFill>
              </a:ln>
              <a:effectLst/>
            </c:spPr>
          </c:dPt>
          <c:dPt>
            <c:idx val="1"/>
            <c:spPr>
              <a:solidFill>
                <a:schemeClr val="accent2"/>
              </a:solidFill>
              <a:ln>
                <a:solidFill>
                  <a:schemeClr val="bg1"/>
                </a:solidFill>
              </a:ln>
              <a:effectLst/>
            </c:spPr>
          </c:dPt>
          <c:dPt>
            <c:idx val="2"/>
            <c:spPr>
              <a:solidFill>
                <a:schemeClr val="accent3"/>
              </a:solidFill>
              <a:ln>
                <a:solidFill>
                  <a:schemeClr val="bg1"/>
                </a:solidFill>
              </a:ln>
              <a:effectLst/>
            </c:spPr>
          </c:dPt>
          <c:dPt>
            <c:idx val="3"/>
            <c:spPr>
              <a:solidFill>
                <a:schemeClr val="accent4"/>
              </a:solidFill>
              <a:ln>
                <a:solidFill>
                  <a:schemeClr val="bg1"/>
                </a:solidFill>
              </a:ln>
              <a:effectLst/>
            </c:spPr>
          </c:dPt>
          <c:dPt>
            <c:idx val="4"/>
            <c:spPr>
              <a:solidFill>
                <a:schemeClr val="accent5"/>
              </a:solidFill>
              <a:ln>
                <a:solidFill>
                  <a:schemeClr val="bg1"/>
                </a:solidFill>
              </a:ln>
              <a:effectLst/>
            </c:spPr>
          </c:dPt>
          <c:dLbls>
            <c:dLbl>
              <c:idx val="0"/>
              <c:layout>
                <c:manualLayout>
                  <c:x val="0.34621889345252521"/>
                  <c:y val="0.7154696132596694"/>
                </c:manualLayout>
              </c:layout>
              <c:dLblPos val="bestFit"/>
              <c:showLegendKey val="1"/>
              <c:showCatName val="1"/>
              <c:showPercent val="1"/>
              <c:separator>
</c:separator>
              <c:extLst>
                <c:ext xmlns:c15="http://schemas.microsoft.com/office/drawing/2012/chart" uri="{CE6537A1-D6FC-4f65-9D91-7224C49458BB}">
                  <c15:layout/>
                </c:ext>
              </c:extLst>
            </c:dLbl>
            <c:dLbl>
              <c:idx val="1"/>
              <c:layout>
                <c:manualLayout>
                  <c:x val="0.3570959168881368"/>
                  <c:y val="9.7938376540627078E-2"/>
                </c:manualLayout>
              </c:layout>
              <c:dLblPos val="bestFit"/>
              <c:showLegendKey val="1"/>
              <c:showCatName val="1"/>
              <c:showPercent val="1"/>
              <c:separator>
</c:separator>
              <c:extLst>
                <c:ext xmlns:c15="http://schemas.microsoft.com/office/drawing/2012/chart" uri="{CE6537A1-D6FC-4f65-9D91-7224C49458BB}">
                  <c15:layout/>
                </c:ext>
              </c:extLst>
            </c:dLbl>
            <c:dLbl>
              <c:idx val="2"/>
              <c:layout>
                <c:manualLayout>
                  <c:x val="-0.29270355158250799"/>
                  <c:y val="0.26689332766680801"/>
                </c:manualLayout>
              </c:layout>
              <c:dLblPos val="bestFit"/>
              <c:showLegendKey val="1"/>
              <c:showCatName val="1"/>
              <c:showPercent val="1"/>
              <c:separator>
</c:separator>
              <c:extLst>
                <c:ext xmlns:c15="http://schemas.microsoft.com/office/drawing/2012/chart" uri="{CE6537A1-D6FC-4f65-9D91-7224C49458BB}">
                  <c15:layout/>
                </c:ext>
              </c:extLst>
            </c:dLbl>
            <c:dLbl>
              <c:idx val="3"/>
              <c:layout>
                <c:manualLayout>
                  <c:x val="-0.31523568456194601"/>
                  <c:y val="0.46831661708461353"/>
                </c:manualLayout>
              </c:layout>
              <c:dLblPos val="bestFit"/>
              <c:showLegendKey val="1"/>
              <c:showCatName val="1"/>
              <c:showPercent val="1"/>
              <c:separator>
</c:separator>
              <c:extLst>
                <c:ext xmlns:c15="http://schemas.microsoft.com/office/drawing/2012/chart" uri="{CE6537A1-D6FC-4f65-9D91-7224C49458BB}">
                  <c15:layout/>
                </c:ext>
              </c:extLst>
            </c:dLbl>
            <c:dLbl>
              <c:idx val="4"/>
              <c:layout>
                <c:manualLayout>
                  <c:x val="-0.2735589676550455"/>
                  <c:y val="0.71821036974079855"/>
                </c:manualLayout>
              </c:layout>
              <c:dLblPos val="bestFit"/>
              <c:showLegendKey val="1"/>
              <c:showCatName val="1"/>
              <c:showPercent val="1"/>
              <c:separator>
</c:separator>
              <c:extLst>
                <c:ext xmlns:c15="http://schemas.microsoft.com/office/drawing/2012/chart" uri="{CE6537A1-D6FC-4f65-9D91-7224C49458BB}">
                  <c15:layout/>
                </c:ext>
              </c:extLst>
            </c:dLbl>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LegendKey val="1"/>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13389535.42</c:v>
                </c:pt>
                <c:pt idx="1">
                  <c:v>12237614.469999995</c:v>
                </c:pt>
                <c:pt idx="2">
                  <c:v>0</c:v>
                </c:pt>
                <c:pt idx="3">
                  <c:v>0</c:v>
                </c:pt>
                <c:pt idx="4">
                  <c:v>0</c:v>
                </c:pt>
              </c:numCache>
            </c:numRef>
          </c:val>
        </c:ser>
        <c:dLbls>
          <c:showVal val="1"/>
        </c:dLbls>
        <c:firstSliceAng val="0"/>
      </c:pieChart>
      <c:spPr>
        <a:noFill/>
        <a:ln>
          <a:noFill/>
        </a:ln>
        <a:effectLst/>
      </c:spPr>
    </c:plotArea>
    <c:legend>
      <c:legendPos val="r"/>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extLst>
      <c:ext uri="{0b15fc19-7d7d-44ad-8c2d-2c3a37ce22c3}">
        <chartProps xmlns="https://web.wps.cn/et/2018/main" chartId="{032be665-1333-49c8-874c-3051d385ffb6}"/>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4 </a:t>
            </a:r>
            <a:r>
              <a:rPr lang="zh-CN" altLang="en-US"/>
              <a:t>：</a:t>
            </a:r>
            <a:r>
              <a:rPr lang="en-US" altLang="zh-CN"/>
              <a:t>2023-2024</a:t>
            </a:r>
            <a:r>
              <a:rPr lang="zh-CN" altLang="en-US"/>
              <a:t>年财政拨款收支对比图（万元）</a:t>
            </a:r>
          </a:p>
        </c:rich>
      </c:tx>
      <c:spPr>
        <a:noFill/>
        <a:ln>
          <a:noFill/>
        </a:ln>
        <a:effectLst/>
      </c:spPr>
    </c:title>
    <c:plotArea>
      <c:layout/>
      <c:barChart>
        <c:barDir val="col"/>
        <c:grouping val="clustered"/>
        <c:ser>
          <c:idx val="0"/>
          <c:order val="0"/>
          <c:tx>
            <c:strRef>
              <c:f>Sheet1!$B$1</c:f>
              <c:strCache>
                <c:ptCount val="1"/>
                <c:pt idx="0">
                  <c:v>2023年</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v>3237.68</c:v>
                </c:pt>
                <c:pt idx="1">
                  <c:v>3269.77</c:v>
                </c:pt>
                <c:pt idx="2">
                  <c:v>2198.56</c:v>
                </c:pt>
                <c:pt idx="3">
                  <c:v>2230.65</c:v>
                </c:pt>
                <c:pt idx="4">
                  <c:v>1039.1199999999999</c:v>
                </c:pt>
                <c:pt idx="5">
                  <c:v>1039.1199999999999</c:v>
                </c:pt>
                <c:pt idx="6">
                  <c:v>0</c:v>
                </c:pt>
                <c:pt idx="7">
                  <c:v>0</c:v>
                </c:pt>
              </c:numCache>
            </c:numRef>
          </c:val>
        </c:ser>
        <c:ser>
          <c:idx val="1"/>
          <c:order val="1"/>
          <c:tx>
            <c:strRef>
              <c:f>Sheet1!$C$1</c:f>
              <c:strCache>
                <c:ptCount val="1"/>
                <c:pt idx="0">
                  <c:v>2024年</c:v>
                </c:pt>
              </c:strCache>
            </c:strRef>
          </c:tx>
          <c:spPr>
            <a:solidFill>
              <a:schemeClr val="accent2"/>
            </a:solidFill>
            <a:ln>
              <a:noFill/>
            </a:ln>
            <a:effectLst/>
          </c:spPr>
          <c:dLbls>
            <c:dLbl>
              <c:idx val="0"/>
              <c:layout>
                <c:manualLayout>
                  <c:x val="7.2481275670451583E-3"/>
                  <c:y val="1.6999575010624744E-2"/>
                </c:manualLayout>
              </c:layout>
              <c:dLblPos val="outEnd"/>
              <c:showVal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v>2562.54</c:v>
                </c:pt>
                <c:pt idx="1">
                  <c:v>2562.71</c:v>
                </c:pt>
                <c:pt idx="2">
                  <c:v>2562.54</c:v>
                </c:pt>
                <c:pt idx="3">
                  <c:v>2562.71</c:v>
                </c:pt>
                <c:pt idx="4">
                  <c:v>0</c:v>
                </c:pt>
                <c:pt idx="5">
                  <c:v>0</c:v>
                </c:pt>
                <c:pt idx="6">
                  <c:v>0</c:v>
                </c:pt>
                <c:pt idx="7">
                  <c:v>0</c:v>
                </c:pt>
              </c:numCache>
            </c:numRef>
          </c:val>
        </c:ser>
        <c:dLbls>
          <c:showVal val="1"/>
        </c:dLbls>
        <c:gapWidth val="246"/>
        <c:overlap val="-28"/>
        <c:axId val="146419712"/>
        <c:axId val="146421248"/>
      </c:barChart>
      <c:catAx>
        <c:axId val="146419712"/>
        <c:scaling>
          <c:orientation val="minMax"/>
        </c:scaling>
        <c:axPos val="b"/>
        <c:numFmt formatCode="General" sourceLinked="0"/>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46421248"/>
        <c:crosses val="autoZero"/>
        <c:auto val="1"/>
        <c:lblAlgn val="ctr"/>
        <c:lblOffset val="100"/>
      </c:catAx>
      <c:valAx>
        <c:axId val="146421248"/>
        <c:scaling>
          <c:orientation val="minMax"/>
        </c:scaling>
        <c:axPos val="l"/>
        <c:majorGridlines>
          <c:spPr>
            <a:ln w="9525" cap="flat" cmpd="sng" algn="ctr">
              <a:solidFill>
                <a:schemeClr val="lt1">
                  <a:lumMod val="90200"/>
                </a:schemeClr>
              </a:solidFill>
              <a:round/>
            </a:ln>
            <a:effectLst/>
          </c:spPr>
        </c:majorGridlines>
        <c:numFmt formatCode="General" sourceLinked="1"/>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4641971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rtl="0">
              <a:defRPr lang="zh-CN" sz="900" b="0" i="0" u="none" strike="noStrike" kern="1200" baseline="0">
                <a:solidFill>
                  <a:schemeClr val="tx1">
                    <a:lumMod val="65000"/>
                    <a:lumOff val="35000"/>
                  </a:schemeClr>
                </a:solidFill>
                <a:latin typeface="+mn-lt"/>
                <a:ea typeface="+mn-ea"/>
                <a:cs typeface="+mn-cs"/>
              </a:defRPr>
            </a:pPr>
            <a:endParaRPr lang="zh-CN"/>
          </a:p>
        </c:txPr>
      </c:dTable>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uri="{0b15fc19-7d7d-44ad-8c2d-2c3a37ce22c3}">
        <chartProps xmlns="https://web.wps.cn/et/2018/main" chartId="{66295a0e-fcae-41ee-a341-67ee1d256957}"/>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5 :</a:t>
            </a:r>
            <a:r>
              <a:rPr lang="zh-CN" altLang="en-US"/>
              <a:t>财政拨款收支预算对比图（万元）</a:t>
            </a:r>
          </a:p>
        </c:rich>
      </c:tx>
      <c:spPr>
        <a:noFill/>
        <a:ln>
          <a:noFill/>
        </a:ln>
        <a:effectLst/>
      </c:spPr>
    </c:title>
    <c:plotArea>
      <c:layout>
        <c:manualLayout>
          <c:layoutTarget val="inner"/>
          <c:xMode val="edge"/>
          <c:yMode val="edge"/>
          <c:x val="0.17641942498188018"/>
          <c:y val="0.16043348916277125"/>
          <c:w val="0.7957960860111144"/>
          <c:h val="0.47433064173395723"/>
        </c:manualLayout>
      </c:layout>
      <c:barChart>
        <c:barDir val="col"/>
        <c:grouping val="clustered"/>
        <c:ser>
          <c:idx val="0"/>
          <c:order val="0"/>
          <c:tx>
            <c:strRef>
              <c:f>Sheet1!$B$1</c:f>
              <c:strCache>
                <c:ptCount val="1"/>
                <c:pt idx="0">
                  <c:v>年初预算数</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v>2808.01</c:v>
                </c:pt>
                <c:pt idx="1">
                  <c:v>2808.01</c:v>
                </c:pt>
                <c:pt idx="2">
                  <c:v>1788.21</c:v>
                </c:pt>
                <c:pt idx="3">
                  <c:v>1788.21</c:v>
                </c:pt>
                <c:pt idx="4">
                  <c:v>1019.8</c:v>
                </c:pt>
                <c:pt idx="5">
                  <c:v>1019.8</c:v>
                </c:pt>
                <c:pt idx="6">
                  <c:v>0</c:v>
                </c:pt>
                <c:pt idx="7">
                  <c:v>0</c:v>
                </c:pt>
              </c:numCache>
            </c:numRef>
          </c:val>
        </c:ser>
        <c:ser>
          <c:idx val="1"/>
          <c:order val="1"/>
          <c:tx>
            <c:strRef>
              <c:f>Sheet1!$C$1</c:f>
              <c:strCache>
                <c:ptCount val="1"/>
                <c:pt idx="0">
                  <c:v>决算数</c:v>
                </c:pt>
              </c:strCache>
            </c:strRef>
          </c:tx>
          <c:spPr>
            <a:solidFill>
              <a:schemeClr val="accent2"/>
            </a:solidFill>
            <a:ln>
              <a:noFill/>
            </a:ln>
            <a:effectLst/>
          </c:spPr>
          <c:dLbls>
            <c:dLbl>
              <c:idx val="0"/>
              <c:layout>
                <c:manualLayout>
                  <c:x val="2.2146800613129816E-17"/>
                  <c:y val="1.2749681257968562E-2"/>
                </c:manualLayout>
              </c:layout>
              <c:dLblPos val="outEnd"/>
              <c:showVal val="1"/>
            </c:dLbl>
            <c:dLbl>
              <c:idx val="1"/>
              <c:layout>
                <c:manualLayout>
                  <c:x val="7.24812756704518E-3"/>
                  <c:y val="3.3999150021249466E-2"/>
                </c:manualLayout>
              </c:layout>
              <c:dLblPos val="outEnd"/>
              <c:showVal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v>2562.54</c:v>
                </c:pt>
                <c:pt idx="1">
                  <c:v>2562.71</c:v>
                </c:pt>
                <c:pt idx="2">
                  <c:v>2562.54</c:v>
                </c:pt>
                <c:pt idx="3">
                  <c:v>2562.71</c:v>
                </c:pt>
                <c:pt idx="4">
                  <c:v>0</c:v>
                </c:pt>
                <c:pt idx="5">
                  <c:v>0</c:v>
                </c:pt>
                <c:pt idx="6">
                  <c:v>0</c:v>
                </c:pt>
                <c:pt idx="7">
                  <c:v>0</c:v>
                </c:pt>
              </c:numCache>
            </c:numRef>
          </c:val>
        </c:ser>
        <c:dLbls>
          <c:showVal val="1"/>
        </c:dLbls>
        <c:axId val="146465536"/>
        <c:axId val="146467072"/>
      </c:barChart>
      <c:catAx>
        <c:axId val="146465536"/>
        <c:scaling>
          <c:orientation val="minMax"/>
        </c:scaling>
        <c:axPos val="b"/>
        <c:numFmt formatCode="General" sourceLinked="0"/>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46467072"/>
        <c:crosses val="autoZero"/>
        <c:auto val="1"/>
        <c:lblAlgn val="ctr"/>
        <c:lblOffset val="100"/>
      </c:catAx>
      <c:valAx>
        <c:axId val="146467072"/>
        <c:scaling>
          <c:orientation val="minMax"/>
        </c:scaling>
        <c:axPos val="l"/>
        <c:majorGridlines>
          <c:spPr>
            <a:ln w="9525" cap="flat" cmpd="sng" algn="ctr">
              <a:solidFill>
                <a:schemeClr val="lt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4646553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rtl="0">
              <a:defRPr lang="zh-CN" sz="900" b="0" i="0" u="none" strike="noStrike" kern="1200" baseline="0">
                <a:solidFill>
                  <a:schemeClr val="tx1">
                    <a:lumMod val="65000"/>
                    <a:lumOff val="35000"/>
                  </a:schemeClr>
                </a:solidFill>
                <a:latin typeface="+mn-lt"/>
                <a:ea typeface="+mn-ea"/>
                <a:cs typeface="+mn-cs"/>
              </a:defRPr>
            </a:pPr>
            <a:endParaRPr lang="zh-CN"/>
          </a:p>
        </c:txPr>
      </c:dTable>
      <c:spPr>
        <a:noFill/>
        <a:ln>
          <a:noFill/>
        </a:ln>
        <a:effectLst/>
      </c:spPr>
    </c:plotArea>
    <c:plotVisOnly val="1"/>
    <c:dispBlanksAs val="gap"/>
    <c:extLst>
      <c:ext uri="{0b15fc19-7d7d-44ad-8c2d-2c3a37ce22c3}">
        <chartProps xmlns="https://web.wps.cn/et/2018/main" chartId="{0ccdd1c4-3744-4db9-807f-dec00dfe52d3}"/>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r>
              <a:rPr lang="zh-CN" altLang="en-US"/>
              <a:t>图</a:t>
            </a:r>
            <a:r>
              <a:rPr lang="en-US" altLang="zh-CN"/>
              <a:t>6  : </a:t>
            </a:r>
            <a:r>
              <a:rPr lang="zh-CN" altLang="en-US"/>
              <a:t>财政拨款支出决算构成情况图</a:t>
            </a:r>
          </a:p>
        </c:rich>
      </c:tx>
      <c:spPr>
        <a:noFill/>
        <a:ln>
          <a:noFill/>
        </a:ln>
        <a:effectLst/>
      </c:spPr>
    </c:title>
    <c:plotArea>
      <c:layout/>
      <c:pieChart>
        <c:varyColors val="1"/>
        <c:ser>
          <c:idx val="0"/>
          <c:order val="0"/>
          <c:tx>
            <c:strRef>
              <c:f>Sheet1!$B$1</c:f>
              <c:strCache>
                <c:ptCount val="1"/>
                <c:pt idx="0">
                  <c:v>金额</c:v>
                </c:pt>
              </c:strCache>
            </c:strRef>
          </c:tx>
          <c:dPt>
            <c:idx val="0"/>
            <c:spPr>
              <a:solidFill>
                <a:schemeClr val="accent1"/>
              </a:solidFill>
              <a:ln>
                <a:solidFill>
                  <a:schemeClr val="bg1"/>
                </a:solidFill>
              </a:ln>
              <a:effectLst/>
            </c:spPr>
          </c:dPt>
          <c:dPt>
            <c:idx val="1"/>
            <c:spPr>
              <a:solidFill>
                <a:schemeClr val="accent2"/>
              </a:solidFill>
              <a:ln>
                <a:solidFill>
                  <a:schemeClr val="bg1"/>
                </a:solidFill>
              </a:ln>
              <a:effectLst/>
            </c:spPr>
          </c:dPt>
          <c:dPt>
            <c:idx val="2"/>
            <c:spPr>
              <a:solidFill>
                <a:schemeClr val="accent3"/>
              </a:solidFill>
              <a:ln>
                <a:solidFill>
                  <a:schemeClr val="bg1"/>
                </a:solidFill>
              </a:ln>
              <a:effectLst/>
            </c:spPr>
          </c:dPt>
          <c:dPt>
            <c:idx val="3"/>
            <c:spPr>
              <a:solidFill>
                <a:schemeClr val="accent4"/>
              </a:solidFill>
              <a:ln>
                <a:solidFill>
                  <a:schemeClr val="bg1"/>
                </a:solidFill>
              </a:ln>
              <a:effectLst/>
            </c:spPr>
          </c:dPt>
          <c:dPt>
            <c:idx val="4"/>
            <c:spPr>
              <a:solidFill>
                <a:schemeClr val="accent5"/>
              </a:solidFill>
              <a:ln>
                <a:solidFill>
                  <a:schemeClr val="bg1"/>
                </a:solidFill>
              </a:ln>
              <a:effectLst/>
            </c:spPr>
          </c:dPt>
          <c:dPt>
            <c:idx val="5"/>
            <c:spPr>
              <a:solidFill>
                <a:schemeClr val="accent6"/>
              </a:solidFill>
              <a:ln>
                <a:solidFill>
                  <a:schemeClr val="bg1"/>
                </a:solidFill>
              </a:ln>
              <a:effectLst/>
            </c:spPr>
          </c:dPt>
          <c:dPt>
            <c:idx val="6"/>
            <c:spPr>
              <a:solidFill>
                <a:schemeClr val="accent1">
                  <a:lumMod val="60000"/>
                </a:schemeClr>
              </a:solidFill>
              <a:ln>
                <a:solidFill>
                  <a:schemeClr val="bg1"/>
                </a:solidFill>
              </a:ln>
              <a:effectLst/>
            </c:spPr>
          </c:dPt>
          <c:dPt>
            <c:idx val="7"/>
            <c:spPr>
              <a:solidFill>
                <a:schemeClr val="accent2">
                  <a:lumMod val="60000"/>
                </a:schemeClr>
              </a:solidFill>
              <a:ln>
                <a:solidFill>
                  <a:schemeClr val="bg1"/>
                </a:solidFill>
              </a:ln>
              <a:effectLst/>
            </c:spPr>
          </c:dPt>
          <c:dPt>
            <c:idx val="8"/>
            <c:spPr>
              <a:solidFill>
                <a:schemeClr val="accent3">
                  <a:lumMod val="60000"/>
                </a:schemeClr>
              </a:solidFill>
              <a:ln>
                <a:solidFill>
                  <a:schemeClr val="bg1"/>
                </a:solidFill>
              </a:ln>
              <a:effectLst/>
            </c:spPr>
          </c:dPt>
          <c:dPt>
            <c:idx val="9"/>
            <c:spPr>
              <a:solidFill>
                <a:schemeClr val="accent4">
                  <a:lumMod val="60000"/>
                </a:schemeClr>
              </a:solidFill>
              <a:ln>
                <a:solidFill>
                  <a:schemeClr val="bg1"/>
                </a:solidFill>
              </a:ln>
              <a:effectLst/>
            </c:spPr>
          </c:dPt>
          <c:dPt>
            <c:idx val="10"/>
            <c:spPr>
              <a:solidFill>
                <a:schemeClr val="accent5">
                  <a:lumMod val="60000"/>
                </a:schemeClr>
              </a:solidFill>
              <a:ln>
                <a:solidFill>
                  <a:schemeClr val="bg1"/>
                </a:solidFill>
              </a:ln>
              <a:effectLst/>
            </c:spPr>
          </c:dPt>
          <c:dPt>
            <c:idx val="11"/>
            <c:spPr>
              <a:solidFill>
                <a:schemeClr val="accent6">
                  <a:lumMod val="60000"/>
                </a:schemeClr>
              </a:solidFill>
              <a:ln>
                <a:solidFill>
                  <a:schemeClr val="bg1"/>
                </a:solidFill>
              </a:ln>
              <a:effectLst/>
            </c:spPr>
          </c:dPt>
          <c:dPt>
            <c:idx val="12"/>
            <c:spPr>
              <a:solidFill>
                <a:schemeClr val="accent1">
                  <a:lumMod val="80000"/>
                  <a:lumOff val="20000"/>
                </a:schemeClr>
              </a:solidFill>
              <a:ln>
                <a:solidFill>
                  <a:schemeClr val="bg1"/>
                </a:solidFill>
              </a:ln>
              <a:effectLst/>
            </c:spPr>
          </c:dPt>
          <c:dPt>
            <c:idx val="13"/>
            <c:spPr>
              <a:solidFill>
                <a:schemeClr val="accent2">
                  <a:lumMod val="80000"/>
                  <a:lumOff val="20000"/>
                </a:schemeClr>
              </a:solidFill>
              <a:ln>
                <a:solidFill>
                  <a:schemeClr val="bg1"/>
                </a:solidFill>
              </a:ln>
              <a:effectLst/>
            </c:spPr>
          </c:dPt>
          <c:dPt>
            <c:idx val="14"/>
            <c:spPr>
              <a:solidFill>
                <a:schemeClr val="accent3">
                  <a:lumMod val="80000"/>
                  <a:lumOff val="20000"/>
                </a:schemeClr>
              </a:solidFill>
              <a:ln>
                <a:solidFill>
                  <a:schemeClr val="bg1"/>
                </a:solidFill>
              </a:ln>
              <a:effectLst/>
            </c:spPr>
          </c:dPt>
          <c:dPt>
            <c:idx val="15"/>
            <c:spPr>
              <a:solidFill>
                <a:schemeClr val="accent4">
                  <a:lumMod val="80000"/>
                  <a:lumOff val="20000"/>
                </a:schemeClr>
              </a:solidFill>
              <a:ln>
                <a:solidFill>
                  <a:schemeClr val="bg1"/>
                </a:solidFill>
              </a:ln>
              <a:effectLst/>
            </c:spPr>
          </c:dPt>
          <c:dPt>
            <c:idx val="16"/>
            <c:spPr>
              <a:solidFill>
                <a:schemeClr val="accent5">
                  <a:lumMod val="80000"/>
                  <a:lumOff val="20000"/>
                </a:schemeClr>
              </a:solidFill>
              <a:ln>
                <a:solidFill>
                  <a:schemeClr val="bg1"/>
                </a:solidFill>
              </a:ln>
              <a:effectLst/>
            </c:spPr>
          </c:dPt>
          <c:dPt>
            <c:idx val="17"/>
            <c:spPr>
              <a:solidFill>
                <a:schemeClr val="accent6">
                  <a:lumMod val="80000"/>
                  <a:lumOff val="20000"/>
                </a:schemeClr>
              </a:solidFill>
              <a:ln>
                <a:solidFill>
                  <a:schemeClr val="bg1"/>
                </a:solidFill>
              </a:ln>
              <a:effectLst/>
            </c:spPr>
          </c:dPt>
          <c:dPt>
            <c:idx val="18"/>
            <c:spPr>
              <a:solidFill>
                <a:schemeClr val="accent1">
                  <a:lumMod val="80000"/>
                </a:schemeClr>
              </a:solidFill>
              <a:ln>
                <a:solidFill>
                  <a:schemeClr val="bg1"/>
                </a:solidFill>
              </a:ln>
              <a:effectLst/>
            </c:spPr>
          </c:dPt>
          <c:dPt>
            <c:idx val="19"/>
            <c:spPr>
              <a:solidFill>
                <a:schemeClr val="accent2">
                  <a:lumMod val="80000"/>
                </a:schemeClr>
              </a:solidFill>
              <a:ln>
                <a:solidFill>
                  <a:schemeClr val="bg1"/>
                </a:solidFill>
              </a:ln>
              <a:effectLst/>
            </c:spPr>
          </c:dPt>
          <c:dPt>
            <c:idx val="20"/>
            <c:spPr>
              <a:solidFill>
                <a:schemeClr val="accent3">
                  <a:lumMod val="80000"/>
                </a:schemeClr>
              </a:solidFill>
              <a:ln>
                <a:solidFill>
                  <a:schemeClr val="bg1"/>
                </a:solidFill>
              </a:ln>
              <a:effectLst/>
            </c:spPr>
          </c:dPt>
          <c:dPt>
            <c:idx val="21"/>
            <c:spPr>
              <a:solidFill>
                <a:schemeClr val="accent4">
                  <a:lumMod val="80000"/>
                </a:schemeClr>
              </a:solidFill>
              <a:ln>
                <a:solidFill>
                  <a:schemeClr val="bg1"/>
                </a:solidFill>
              </a:ln>
              <a:effectLst/>
            </c:spPr>
          </c:dPt>
          <c:dPt>
            <c:idx val="22"/>
            <c:spPr>
              <a:solidFill>
                <a:schemeClr val="accent5">
                  <a:lumMod val="80000"/>
                </a:schemeClr>
              </a:solidFill>
              <a:ln>
                <a:solidFill>
                  <a:schemeClr val="bg1"/>
                </a:solidFill>
              </a:ln>
              <a:effectLst/>
            </c:spPr>
          </c:dPt>
          <c:dPt>
            <c:idx val="23"/>
            <c:spPr>
              <a:solidFill>
                <a:schemeClr val="accent6">
                  <a:lumMod val="80000"/>
                </a:schemeClr>
              </a:solidFill>
              <a:ln>
                <a:solidFill>
                  <a:schemeClr val="bg1"/>
                </a:solidFill>
              </a:ln>
              <a:effectLst/>
            </c:spPr>
          </c:dPt>
          <c:dPt>
            <c:idx val="24"/>
            <c:spPr>
              <a:solidFill>
                <a:schemeClr val="accent1">
                  <a:lumMod val="60000"/>
                  <a:lumOff val="40000"/>
                </a:schemeClr>
              </a:solidFill>
              <a:ln>
                <a:solidFill>
                  <a:schemeClr val="bg1"/>
                </a:solidFill>
              </a:ln>
              <a:effectLst/>
            </c:spPr>
          </c:dPt>
          <c:dPt>
            <c:idx val="25"/>
            <c:spPr>
              <a:solidFill>
                <a:schemeClr val="accent2">
                  <a:lumMod val="60000"/>
                  <a:lumOff val="40000"/>
                </a:schemeClr>
              </a:solidFill>
              <a:ln>
                <a:solidFill>
                  <a:schemeClr val="bg1"/>
                </a:solidFill>
              </a:ln>
              <a:effectLst/>
            </c:spPr>
          </c:dPt>
          <c:cat>
            <c:strRef>
              <c:f>Sheet1!$A$2:$A$27</c:f>
              <c:strCache>
                <c:ptCount val="26"/>
                <c:pt idx="0">
                  <c:v>一般公共服务支出</c:v>
                </c:pt>
                <c:pt idx="1">
                  <c:v>外交支出</c:v>
                </c:pt>
                <c:pt idx="2">
                  <c:v>国防支出</c:v>
                </c:pt>
                <c:pt idx="3">
                  <c:v>公共安全支出</c:v>
                </c:pt>
                <c:pt idx="4">
                  <c:v>教育支出</c:v>
                </c:pt>
                <c:pt idx="5">
                  <c:v>科学技术支出</c:v>
                </c:pt>
                <c:pt idx="6">
                  <c:v>文化旅游体育与传媒支出</c:v>
                </c:pt>
                <c:pt idx="7">
                  <c:v>社会保障和就业支出</c:v>
                </c:pt>
                <c:pt idx="8">
                  <c:v>卫生健康支出</c:v>
                </c:pt>
                <c:pt idx="9">
                  <c:v>节能环保支出</c:v>
                </c:pt>
                <c:pt idx="10">
                  <c:v>城乡社区支出</c:v>
                </c:pt>
                <c:pt idx="11">
                  <c:v>农林水支出</c:v>
                </c:pt>
                <c:pt idx="12">
                  <c:v>交通运输支出</c:v>
                </c:pt>
                <c:pt idx="13">
                  <c:v>资源勘探工业信息等支出</c:v>
                </c:pt>
                <c:pt idx="14">
                  <c:v>商业服务业等支出</c:v>
                </c:pt>
                <c:pt idx="15">
                  <c:v>金融支出</c:v>
                </c:pt>
                <c:pt idx="16">
                  <c:v>援助其他地区支出</c:v>
                </c:pt>
                <c:pt idx="17">
                  <c:v>自然资源海洋气象等支出</c:v>
                </c:pt>
                <c:pt idx="18">
                  <c:v>住房保障支出</c:v>
                </c:pt>
                <c:pt idx="19">
                  <c:v>粮油物资储备支出</c:v>
                </c:pt>
                <c:pt idx="20">
                  <c:v>国有资本经营预算支出</c:v>
                </c:pt>
                <c:pt idx="21">
                  <c:v>灾害防治及应急管理支出</c:v>
                </c:pt>
                <c:pt idx="22">
                  <c:v>其他支出</c:v>
                </c:pt>
                <c:pt idx="23">
                  <c:v>债务还本支出</c:v>
                </c:pt>
                <c:pt idx="24">
                  <c:v>债务付息支出</c:v>
                </c:pt>
                <c:pt idx="25">
                  <c:v>抗疫特别国债安排的支出</c:v>
                </c:pt>
              </c:strCache>
            </c:strRef>
          </c:cat>
          <c:val>
            <c:numRef>
              <c:f>Sheet1!$B$2:$B$27</c:f>
              <c:numCache>
                <c:formatCode>General</c:formatCode>
                <c:ptCount val="26"/>
                <c:pt idx="0">
                  <c:v>1481.3</c:v>
                </c:pt>
                <c:pt idx="1">
                  <c:v>0</c:v>
                </c:pt>
                <c:pt idx="2">
                  <c:v>0</c:v>
                </c:pt>
                <c:pt idx="3">
                  <c:v>0</c:v>
                </c:pt>
                <c:pt idx="4">
                  <c:v>0</c:v>
                </c:pt>
                <c:pt idx="5">
                  <c:v>0</c:v>
                </c:pt>
                <c:pt idx="6">
                  <c:v>0</c:v>
                </c:pt>
                <c:pt idx="7">
                  <c:v>150.37</c:v>
                </c:pt>
                <c:pt idx="8">
                  <c:v>151.96</c:v>
                </c:pt>
                <c:pt idx="9">
                  <c:v>0</c:v>
                </c:pt>
                <c:pt idx="10">
                  <c:v>0</c:v>
                </c:pt>
                <c:pt idx="11">
                  <c:v>694.8199999999996</c:v>
                </c:pt>
                <c:pt idx="12">
                  <c:v>0</c:v>
                </c:pt>
                <c:pt idx="13">
                  <c:v>0</c:v>
                </c:pt>
                <c:pt idx="14">
                  <c:v>0</c:v>
                </c:pt>
                <c:pt idx="15">
                  <c:v>0</c:v>
                </c:pt>
                <c:pt idx="16">
                  <c:v>0</c:v>
                </c:pt>
                <c:pt idx="17">
                  <c:v>0</c:v>
                </c:pt>
                <c:pt idx="18">
                  <c:v>84.27</c:v>
                </c:pt>
                <c:pt idx="19">
                  <c:v>0</c:v>
                </c:pt>
                <c:pt idx="20">
                  <c:v>0</c:v>
                </c:pt>
                <c:pt idx="21">
                  <c:v>0</c:v>
                </c:pt>
                <c:pt idx="22">
                  <c:v>0</c:v>
                </c:pt>
                <c:pt idx="23">
                  <c:v>0</c:v>
                </c:pt>
                <c:pt idx="24">
                  <c:v>0</c:v>
                </c:pt>
                <c:pt idx="25">
                  <c:v>0</c:v>
                </c:pt>
              </c:numCache>
            </c:numRef>
          </c:val>
        </c:ser>
        <c:firstSliceAng val="0"/>
      </c:pieChart>
      <c:spPr>
        <a:noFill/>
        <a:ln>
          <a:noFill/>
        </a:ln>
        <a:effectLst/>
      </c:spPr>
    </c:plotArea>
    <c:legend>
      <c:legendPos val="r"/>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extLst>
      <c:ext uri="{0b15fc19-7d7d-44ad-8c2d-2c3a37ce22c3}">
        <chartProps xmlns="https://web.wps.cn/et/2018/main" chartId="{f0172486-3aae-49da-84a9-3f307d07fbf4}"/>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tags>
    <s:tag s:spid="_x0000_s1026">
      <s:item s:name="KSO_DOCER_RESOURCE_TRACE_INFO" s:val="{&quot;id&quot;:&quot;&quot;,&quot;origin&quot;:0,&quot;type&quot;:&quot;wordart&quot;,&quot;user&quot;:&quot;292216292&quot;}"/>
    </s:tag>
  </s:tag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37</Pages>
  <Words>2272</Words>
  <Characters>12955</Characters>
  <Application>Microsoft Office Word</Application>
  <DocSecurity>0</DocSecurity>
  <Lines>107</Lines>
  <Paragraphs>30</Paragraphs>
  <ScaleCrop>false</ScaleCrop>
  <Company>神州网信技术有限公司</Company>
  <LinksUpToDate>false</LinksUpToDate>
  <CharactersWithSpaces>15197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王明新TIAD</dc:creator>
  <cp:lastModifiedBy>Administrator</cp:lastModifiedBy>
  <cp:revision>17</cp:revision>
  <cp:lastPrinted>2023-08-04T01:00:00Z</cp:lastPrinted>
  <dcterms:created xsi:type="dcterms:W3CDTF">2023-08-04T07:55:00Z</dcterms:created>
  <dcterms:modified xsi:type="dcterms:W3CDTF">2025-08-26T02:01:00Z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B9D4097774744A28A58B1072CF95DB35_13</vt:lpwstr>
  </property>
  <property fmtid="{D5CDD505-2E9C-101B-9397-08002B2CF9AE}" pid="4" name="KSOTemplateUUID">
    <vt:lpwstr>v1.0_mb_S7ajbG3IpAnL1wSthNCxfw==</vt:lpwstr>
  </property>
  <property fmtid="{D5CDD505-2E9C-101B-9397-08002B2CF9AE}" pid="5" name="KSOTemplateDocerSaveRecord">
    <vt:lpwstr>eyJoZGlkIjoiYjA3YzVjY2RhYzM1OWI4MmYzZjdlYWUzZWM2YTQyNTYiLCJ1c2VySWQiOiIxNTIwMzY1OTkzIn0=</vt:lpwstr>
  </property>
</Properties>
</file>