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F1B0C">
      <w:pPr>
        <w:jc w:val="right"/>
        <w:rPr>
          <w:rFonts w:hint="eastAsia" w:ascii="方正小标宋简体" w:hAnsi="宋体" w:eastAsia="方正小标宋简体"/>
          <w:color w:val="FF0000"/>
          <w:spacing w:val="80"/>
          <w:w w:val="90"/>
          <w:kern w:val="20"/>
          <w:sz w:val="96"/>
          <w:szCs w:val="96"/>
        </w:rPr>
      </w:pPr>
      <w:r>
        <w:rPr>
          <w:rFonts w:hint="eastAsia" w:ascii="方正小标宋简体" w:hAnsi="宋体" w:eastAsia="方正小标宋简体"/>
          <w:color w:val="FF0000"/>
          <w:spacing w:val="80"/>
          <w:w w:val="90"/>
          <w:kern w:val="20"/>
          <w:sz w:val="96"/>
          <w:szCs w:val="96"/>
        </w:rPr>
        <w:t>滦州市司法局文件</w:t>
      </w:r>
    </w:p>
    <w:p w14:paraId="11A31E18">
      <w:pPr>
        <w:jc w:val="right"/>
        <w:rPr>
          <w:rFonts w:hint="eastAsia" w:ascii="方正小标宋简体" w:hAnsi="宋体" w:eastAsia="方正小标宋简体"/>
          <w:color w:val="FF0000"/>
          <w:spacing w:val="80"/>
          <w:w w:val="90"/>
          <w:kern w:val="20"/>
          <w:sz w:val="11"/>
          <w:szCs w:val="11"/>
        </w:rPr>
      </w:pPr>
    </w:p>
    <w:p w14:paraId="6B128DCC">
      <w:pPr>
        <w:jc w:val="right"/>
        <w:rPr>
          <w:rFonts w:hint="eastAsia" w:ascii="方正小标宋简体" w:hAnsi="宋体" w:eastAsia="方正小标宋简体"/>
          <w:color w:val="FF0000"/>
          <w:spacing w:val="80"/>
          <w:w w:val="90"/>
          <w:kern w:val="20"/>
          <w:sz w:val="11"/>
          <w:szCs w:val="11"/>
        </w:rPr>
      </w:pPr>
    </w:p>
    <w:p w14:paraId="0B025445">
      <w:pPr>
        <w:jc w:val="right"/>
        <w:rPr>
          <w:rFonts w:hint="eastAsia" w:ascii="仿宋_GB2312" w:hAnsi="仿宋_GB2312" w:eastAsia="仿宋_GB2312" w:cs="仿宋_GB2312"/>
          <w:color w:val="000000" w:themeColor="text1"/>
          <w:spacing w:val="79"/>
          <w:w w:val="90"/>
          <w:kern w:val="20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3EB42AE9">
      <w:pPr>
        <w:spacing w:line="500" w:lineRule="exact"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10795</wp:posOffset>
                </wp:positionV>
                <wp:extent cx="5638800" cy="0"/>
                <wp:effectExtent l="0" t="9525" r="0" b="952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65pt;margin-top:0.85pt;height:0pt;width:444pt;z-index:251660288;mso-width-relative:page;mso-height-relative:page;" filled="f" stroked="t" coordsize="21600,21600" o:gfxdata="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GlL3wbVAAAABgEAAA8AAAAAAAAAAQAgAAAAIgAAAGRycy9kb3ducmV2LnhtbFBLAQIU&#10;ABQAAAAIAIdO4kB13k/P9gEAAOUDAAAOAAAAAAAAAAEAIAAAACQBAABkcnMvZTJvRG9jLnhtbFBL&#10;BQYAAAAABgAGAFkBAACMBQAAAAA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31"/>
        </w:rPr>
        <w:t xml:space="preserve">                        </w:t>
      </w:r>
    </w:p>
    <w:p w14:paraId="432E9D45"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滦州市司法局</w:t>
      </w:r>
    </w:p>
    <w:p w14:paraId="04246FB9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2025年度“双随机、一公开”工作实施方案</w:t>
      </w:r>
    </w:p>
    <w:p w14:paraId="127D7963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firstLine="0" w:firstLineChars="0"/>
        <w:jc w:val="center"/>
        <w:textAlignment w:val="auto"/>
        <w:rPr>
          <w:rStyle w:val="7"/>
          <w:rFonts w:hint="eastAsia" w:ascii="黑体" w:hAnsi="黑体" w:eastAsia="黑体" w:cs="黑体"/>
          <w:b/>
          <w:bCs/>
          <w:sz w:val="44"/>
          <w:szCs w:val="44"/>
        </w:rPr>
      </w:pPr>
    </w:p>
    <w:p w14:paraId="27FCB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为认真贯彻落实滦州市“双随机、一公开”监管工作领导小组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关于双随机工作的通知要求，持续优化法律服务市场营商环境，进一步强化“双随机、一公开”监管工作，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结合我局实际，制定本方案。</w:t>
      </w:r>
    </w:p>
    <w:p w14:paraId="0516B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一、总体目标</w:t>
      </w:r>
    </w:p>
    <w:p w14:paraId="16B460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通过全面推行“双随机、一公开”监管工作，完善司法行政系统监管机制，实现抽查事项全覆盖、监管方式常态化、抽查规范化，抽查结果及时公示，切实提升监管效能，维护法律服务市场秩序。</w:t>
      </w:r>
    </w:p>
    <w:p w14:paraId="606816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二、基本原则</w:t>
      </w:r>
    </w:p>
    <w:p w14:paraId="6B88E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（一）坚持依法监管。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严格执行相关法律法规和规章，落实监管责任，确保法律服务监管依法有序进行，推进随机抽查制度化、规范化。</w:t>
      </w:r>
    </w:p>
    <w:p w14:paraId="403CE0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（二）坚持公开公正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规范和公开法律服务监管随机抽查事项、程序、结果，强化社会监督，保障执法公平公正、公开透明。</w:t>
      </w:r>
    </w:p>
    <w:p w14:paraId="20B5E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（三）坚持协调推进。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建立健全法律服务监管“双随机、一公开”工作机制，逐步形成统一的监管信息平台。</w:t>
      </w:r>
    </w:p>
    <w:p w14:paraId="15748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三、主要任务</w:t>
      </w:r>
    </w:p>
    <w:p w14:paraId="2447E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（一）动态调整随机抽查事项清单。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对照《河北省随机抽查其他行政执法事项清单（2025版）》，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全面梳理本部门的监管事项，更新随机抽查事项清单，明确抽查依据、抽查内容、抽查方式、抽查比例、时间安排等要素，并通过政府网站进行公示，确保清单合法、准确、完整。</w:t>
      </w:r>
    </w:p>
    <w:p w14:paraId="4E167A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3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（二）优化检查对象名录库。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全面整合律师事务所、公证处等法律服务机构，建立涵盖所有监管对象的检查对象名录库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按照机构类型进行分类标注，实行动态管理，及时调整监管对象，确保抽查有序进行。</w:t>
      </w:r>
    </w:p>
    <w:p w14:paraId="2198C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3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（三）科学制定年度抽查计划。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结合上级工作指示要求和工作实际，统筹制定本系统年度“双随机、一公开”抽查计划，明确抽查任务名称、抽查事项、抽查对象、抽查范围、抽查比例、抽出时间等内容。</w:t>
      </w:r>
    </w:p>
    <w:p w14:paraId="74543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（四）严格执行随机抽取机制。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通过“双随机、一公开”监管平台，从检查对象名录库中随机抽取检查对象，从执法人员名录库中随机选派执法人员组成检查组。严格按要求抽取并留存相关资料，确保抽取过程公开、公政、公平。</w:t>
      </w:r>
    </w:p>
    <w:p w14:paraId="7CEF3F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（五）规范现场检查行为。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执法人员要严格依照法定程序和检查标准进行检查，详细记录检查情况、发现的问题及处理意见。检查过程中，可根据需要询问相关人员、查阅档案资料等方式进行全面检查。</w:t>
      </w:r>
    </w:p>
    <w:p w14:paraId="149DC2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（六）及时公示抽查结果。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按照“谁检查、谁录入、谁公示”的原则，在检查结束后及时将抽查结果录入监管平台并通过政府网站公示，接受公众监督。</w:t>
      </w:r>
    </w:p>
    <w:p w14:paraId="00D87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四、工作要求</w:t>
      </w:r>
    </w:p>
    <w:p w14:paraId="49285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（一）加强组织领导。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加强对随机抽查监管的统筹协调，严格责任落实，大力推广建立随机抽查机制，公平、有效、透明地进行事中事后监管，切实履行法定监管职责。</w:t>
      </w:r>
    </w:p>
    <w:p w14:paraId="7E1FF7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（二）强化落实责任。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公证律师管理股根据本实施方案要求，认真开展“双随机、一公开”工作，明确工作任务，细化目标责任，做到随机抽查工作公正公开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58F16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（三）严格监督检查。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建立健全监督检查机制，加强对“双随机、一公开”监管工作的监督管理。定期对抽查工作开展情况进行检查和评估，及时发现和纠正存在的问题，确保监管工作规范、高效。</w:t>
      </w:r>
    </w:p>
    <w:p w14:paraId="71706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C8980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5760" w:firstLineChars="18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滦州市司法局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</w:p>
    <w:p w14:paraId="4C003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2025年5月7日</w:t>
      </w:r>
    </w:p>
    <w:p w14:paraId="23260BAE"/>
    <w:p w14:paraId="64E74B82"/>
    <w:p w14:paraId="33453A78"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附件：滦州市司法局2025年度内部抽查计划</w:t>
      </w:r>
    </w:p>
    <w:p w14:paraId="74B454D4">
      <w:pPr>
        <w:ind w:firstLine="5760" w:firstLineChars="18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49C3ED0"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205158A"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F593820"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W w:w="1371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140"/>
        <w:gridCol w:w="975"/>
        <w:gridCol w:w="1425"/>
        <w:gridCol w:w="735"/>
        <w:gridCol w:w="696"/>
        <w:gridCol w:w="2355"/>
        <w:gridCol w:w="1434"/>
        <w:gridCol w:w="1170"/>
        <w:gridCol w:w="1035"/>
        <w:gridCol w:w="1485"/>
      </w:tblGrid>
      <w:tr w14:paraId="4F937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37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F6C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t>滦州市司法局2025年度随机抽查工作计划</w:t>
            </w:r>
          </w:p>
        </w:tc>
      </w:tr>
      <w:tr w14:paraId="4D054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gridSpan w:val="11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/>
            <w:noWrap/>
            <w:vAlign w:val="center"/>
          </w:tcPr>
          <w:p w14:paraId="6D8FE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_GBK" w:hAnsi="方正小标宋_GBK" w:eastAsia="方正小标宋_GBK" w:cs="方正小标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本市领导小组成员单位内部随机抽查工作计划</w:t>
            </w:r>
          </w:p>
        </w:tc>
      </w:tr>
      <w:tr w14:paraId="78F79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1F56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bdr w:val="none" w:color="auto" w:sz="0" w:space="0"/>
                <w:lang w:val="en-US" w:eastAsia="zh-CN" w:bidi="ar"/>
              </w:rPr>
              <w:t>抽查计划编号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7992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bdr w:val="none" w:color="auto" w:sz="0" w:space="0"/>
                <w:lang w:val="en-US" w:eastAsia="zh-CN" w:bidi="ar"/>
              </w:rPr>
              <w:t>抽查计划名称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66CC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bdr w:val="none" w:color="auto" w:sz="0" w:space="0"/>
                <w:lang w:val="en-US" w:eastAsia="zh-CN" w:bidi="ar"/>
              </w:rPr>
              <w:t>抽查任务编号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6DF19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抽查任务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名称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25E0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抽查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类型</w:t>
            </w:r>
          </w:p>
        </w:tc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0BE1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抽查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比例</w:t>
            </w:r>
          </w:p>
        </w:tc>
        <w:tc>
          <w:tcPr>
            <w:tcW w:w="2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53C2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抽查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事项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D0C4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抽查对象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范围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D896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发起处室</w:t>
            </w:r>
          </w:p>
        </w:tc>
        <w:tc>
          <w:tcPr>
            <w:tcW w:w="10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770E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联合处室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DB8E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bdr w:val="none" w:color="auto" w:sz="0" w:space="0"/>
                <w:lang w:val="en-US" w:eastAsia="zh-CN" w:bidi="ar"/>
              </w:rPr>
              <w:t>抽查时间</w:t>
            </w:r>
          </w:p>
        </w:tc>
      </w:tr>
      <w:tr w14:paraId="2CBC9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61CC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2025001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2DCB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2025年滦州市司法局内部随机抽查001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4476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001号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65D5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2025年滦州市司法局内部随机抽查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2CAB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定向</w:t>
            </w:r>
          </w:p>
        </w:tc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292D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100%</w:t>
            </w:r>
          </w:p>
        </w:tc>
        <w:tc>
          <w:tcPr>
            <w:tcW w:w="23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09336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按照滦州市司法局随机抽查其他行政执法事项清单（抽查事项全覆盖）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45C7F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现有公证处及公证员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31CB6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公证律师管理股</w:t>
            </w:r>
          </w:p>
        </w:tc>
        <w:tc>
          <w:tcPr>
            <w:tcW w:w="10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21CFA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7BD00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2025年5月至6月</w:t>
            </w:r>
          </w:p>
        </w:tc>
      </w:tr>
      <w:tr w14:paraId="5FC16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10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144B092A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</w:tr>
      <w:tr w14:paraId="4F884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3710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 w14:paraId="50594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备注：1.抽查计划名称为：年度+行政区划+部门+随机抽查+序号。抽查任务名称以实施方案为准。 </w:t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2.市以下为定向抽查。抽查时间必须填写到月份。</w:t>
            </w:r>
          </w:p>
        </w:tc>
      </w:tr>
    </w:tbl>
    <w:p w14:paraId="50705DD6"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8845B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43EAC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43EAC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B53EC"/>
    <w:rsid w:val="0F265B80"/>
    <w:rsid w:val="32521F53"/>
    <w:rsid w:val="3FFB53EC"/>
    <w:rsid w:val="409B660A"/>
    <w:rsid w:val="46771DA1"/>
    <w:rsid w:val="4A5D3A2B"/>
    <w:rsid w:val="666B093E"/>
    <w:rsid w:val="77BF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autoRedefine/>
    <w:qFormat/>
    <w:uiPriority w:val="0"/>
    <w:pPr>
      <w:widowControl/>
      <w:spacing w:after="120" w:afterLines="0" w:line="520" w:lineRule="exact"/>
      <w:textAlignment w:val="baseline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8">
    <w:name w:val="Strong"/>
    <w:basedOn w:val="7"/>
    <w:qFormat/>
    <w:uiPriority w:val="0"/>
    <w:rPr>
      <w:b/>
      <w:bCs/>
    </w:rPr>
  </w:style>
  <w:style w:type="paragraph" w:customStyle="1" w:styleId="9">
    <w:name w:val="Normal_0"/>
    <w:qFormat/>
    <w:uiPriority w:val="0"/>
    <w:pPr>
      <w:spacing w:before="120" w:after="240"/>
      <w:jc w:val="both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customStyle="1" w:styleId="10">
    <w:name w:val="font41"/>
    <w:basedOn w:val="7"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1212</Words>
  <Characters>1224</Characters>
  <Lines>0</Lines>
  <Paragraphs>0</Paragraphs>
  <TotalTime>10</TotalTime>
  <ScaleCrop>false</ScaleCrop>
  <LinksUpToDate>false</LinksUpToDate>
  <CharactersWithSpaces>1284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2024-03-11T09:07:00Z</dcterms:created>
  <dc:creator>Administrator</dc:creator>
  <cp:lastModifiedBy>WPS_1645258771</cp:lastModifiedBy>
  <cp:lastPrinted>2025-04-27T02:02:00Z</cp:lastPrinted>
  <dcterms:modified xsi:type="dcterms:W3CDTF">2025-05-08T08:42:17Z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1B7A2945C38744059D83E74BBCF76D3F</vt:lpwstr>
  </property>
  <property fmtid="{D5CDD505-2E9C-101B-9397-08002B2CF9AE}" pid="4" name="KSOTemplateDocerSaveRecord">
    <vt:lpwstr>eyJoZGlkIjoiMDkxOGU3M2FmYzIwZTQzZDUzMzBhYjdjYTQzMzRhNTAiLCJ1c2VySWQiOiIxMzMzNjU4NDI4In0=</vt:lpwstr>
  </property>
</Properties>
</file>