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6695" w:type="dxa"/>
        <w:tblInd w:w="0" w:type="dxa"/>
        <w:tblLayout w:type="fixed"/>
        <w:tblCellMar>
          <w:top w:w="0" w:type="dxa"/>
          <w:left w:w="0" w:type="dxa"/>
          <w:bottom w:w="0" w:type="dxa"/>
          <w:right w:w="0" w:type="dxa"/>
        </w:tblCellMar>
      </w:tblPr>
      <w:tblGrid>
        <w:gridCol w:w="810"/>
        <w:gridCol w:w="1215"/>
        <w:gridCol w:w="9900"/>
        <w:gridCol w:w="2415"/>
        <w:gridCol w:w="2355"/>
      </w:tblGrid>
      <w:tr>
        <w:trPr>
          <w:trHeight w:val="820" w:hRule="atLeast"/>
        </w:trPr>
        <w:tc>
          <w:tcPr>
            <w:tcW w:w="14340" w:type="dxa"/>
            <w:gridSpan w:val="4"/>
            <w:tcBorders>
              <w:top w:val="nil"/>
              <w:left w:val="nil"/>
              <w:bottom w:val="nil"/>
              <w:right w:val="nil"/>
            </w:tcBorders>
            <w:shd w:val="clear" w:color="auto" w:fill="auto"/>
            <w:tcMar>
              <w:top w:w="15" w:type="dxa"/>
              <w:left w:w="15" w:type="dxa"/>
              <w:bottom w:w="0" w:type="dxa"/>
              <w:right w:w="15" w:type="dxa"/>
            </w:tcMar>
            <w:vAlign w:val="center"/>
          </w:tcPr>
          <w:p>
            <w:pPr>
              <w:jc w:val="center"/>
              <w:rPr>
                <w:rFonts w:ascii="方正小标宋简体" w:eastAsia="方正小标宋简体"/>
                <w:color w:val="000000"/>
                <w:sz w:val="44"/>
                <w:szCs w:val="44"/>
              </w:rPr>
            </w:pPr>
            <w:r>
              <w:rPr>
                <w:rFonts w:hint="eastAsia" w:ascii="方正小标宋简体" w:eastAsia="方正小标宋简体"/>
                <w:color w:val="000000"/>
                <w:sz w:val="44"/>
                <w:szCs w:val="44"/>
                <w:lang w:val="en-US" w:eastAsia="zh-CN"/>
              </w:rPr>
              <w:t>滦州市</w:t>
            </w:r>
            <w:r>
              <w:rPr>
                <w:rFonts w:hint="eastAsia" w:ascii="方正小标宋简体" w:eastAsia="方正小标宋简体"/>
                <w:color w:val="000000"/>
                <w:sz w:val="44"/>
                <w:szCs w:val="44"/>
              </w:rPr>
              <w:t>文化广电和旅游局部门权责清单事项总表</w:t>
            </w:r>
          </w:p>
        </w:tc>
        <w:tc>
          <w:tcPr>
            <w:tcW w:w="2355" w:type="dxa"/>
            <w:tcBorders>
              <w:top w:val="nil"/>
              <w:left w:val="nil"/>
              <w:bottom w:val="nil"/>
              <w:right w:val="nil"/>
            </w:tcBorders>
            <w:shd w:val="clear" w:color="auto" w:fill="auto"/>
            <w:tcMar>
              <w:top w:w="15" w:type="dxa"/>
              <w:left w:w="15" w:type="dxa"/>
              <w:bottom w:w="0" w:type="dxa"/>
              <w:right w:w="15" w:type="dxa"/>
            </w:tcMar>
            <w:vAlign w:val="center"/>
          </w:tcPr>
          <w:p>
            <w:pPr>
              <w:jc w:val="center"/>
              <w:rPr>
                <w:rFonts w:hint="eastAsia" w:ascii="方正小标宋简体" w:eastAsia="方正小标宋简体"/>
                <w:color w:val="000000"/>
                <w:sz w:val="44"/>
                <w:szCs w:val="44"/>
              </w:rPr>
            </w:pPr>
          </w:p>
        </w:tc>
      </w:tr>
      <w:tr>
        <w:tblPrEx>
          <w:tblCellMar>
            <w:top w:w="0" w:type="dxa"/>
            <w:left w:w="0" w:type="dxa"/>
            <w:bottom w:w="0" w:type="dxa"/>
            <w:right w:w="0" w:type="dxa"/>
          </w:tblCellMar>
        </w:tblPrEx>
        <w:trPr>
          <w:trHeight w:val="900" w:hRule="atLeast"/>
        </w:trPr>
        <w:tc>
          <w:tcPr>
            <w:tcW w:w="14340" w:type="dxa"/>
            <w:gridSpan w:val="4"/>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楷体_GB2312" w:eastAsia="楷体_GB2312"/>
                <w:color w:val="000000"/>
                <w:sz w:val="28"/>
                <w:szCs w:val="28"/>
              </w:rPr>
            </w:pPr>
            <w:r>
              <w:rPr>
                <w:rFonts w:hint="eastAsia" w:ascii="楷体_GB2312" w:eastAsia="楷体_GB2312"/>
                <w:color w:val="000000"/>
                <w:sz w:val="28"/>
                <w:szCs w:val="28"/>
              </w:rPr>
              <w:t>（共八类、</w:t>
            </w:r>
            <w:r>
              <w:rPr>
                <w:rFonts w:hint="eastAsia" w:ascii="楷体_GB2312" w:eastAsia="楷体_GB2312"/>
                <w:color w:val="000000"/>
                <w:sz w:val="28"/>
                <w:szCs w:val="28"/>
                <w:lang w:val="en-US" w:eastAsia="zh-CN"/>
              </w:rPr>
              <w:t>80</w:t>
            </w:r>
            <w:r>
              <w:rPr>
                <w:rFonts w:hint="eastAsia" w:ascii="楷体_GB2312" w:eastAsia="楷体_GB2312"/>
                <w:color w:val="000000"/>
                <w:sz w:val="28"/>
                <w:szCs w:val="28"/>
              </w:rPr>
              <w:t>项）</w:t>
            </w: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hint="eastAsia" w:ascii="楷体_GB2312" w:eastAsia="楷体_GB2312"/>
                <w:color w:val="000000"/>
                <w:sz w:val="28"/>
                <w:szCs w:val="28"/>
              </w:rPr>
            </w:pPr>
          </w:p>
        </w:tc>
      </w:tr>
      <w:tr>
        <w:tblPrEx>
          <w:tblCellMar>
            <w:top w:w="0" w:type="dxa"/>
            <w:left w:w="0" w:type="dxa"/>
            <w:bottom w:w="0" w:type="dxa"/>
            <w:right w:w="0" w:type="dxa"/>
          </w:tblCellMar>
        </w:tblPrEx>
        <w:trPr>
          <w:trHeight w:val="780" w:hRule="atLeast"/>
        </w:trPr>
        <w:tc>
          <w:tcPr>
            <w:tcW w:w="810" w:type="dxa"/>
            <w:tcBorders>
              <w:top w:val="single" w:color="000000"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黑体" w:hAnsi="黑体" w:eastAsia="黑体"/>
                <w:color w:val="000000"/>
                <w:sz w:val="28"/>
                <w:szCs w:val="28"/>
              </w:rPr>
            </w:pPr>
            <w:r>
              <w:rPr>
                <w:rFonts w:hint="eastAsia" w:ascii="黑体" w:hAnsi="黑体" w:eastAsia="黑体"/>
                <w:color w:val="000000"/>
                <w:sz w:val="28"/>
                <w:szCs w:val="28"/>
              </w:rPr>
              <w:t>序号</w:t>
            </w:r>
          </w:p>
        </w:tc>
        <w:tc>
          <w:tcPr>
            <w:tcW w:w="1215" w:type="dxa"/>
            <w:tcBorders>
              <w:top w:val="single" w:color="000000"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权力类型</w:t>
            </w:r>
          </w:p>
        </w:tc>
        <w:tc>
          <w:tcPr>
            <w:tcW w:w="9900" w:type="dxa"/>
            <w:tcBorders>
              <w:top w:val="single" w:color="000000"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权力事项</w:t>
            </w:r>
          </w:p>
        </w:tc>
        <w:tc>
          <w:tcPr>
            <w:tcW w:w="2415" w:type="dxa"/>
            <w:tcBorders>
              <w:top w:val="single" w:color="000000"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备注</w:t>
            </w: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hint="eastAsia" w:ascii="黑体" w:hAnsi="黑体" w:eastAsia="黑体"/>
                <w:color w:val="000000"/>
                <w:sz w:val="28"/>
                <w:szCs w:val="28"/>
              </w:rPr>
            </w:pPr>
          </w:p>
        </w:tc>
      </w:tr>
      <w:tr>
        <w:tblPrEx>
          <w:tblCellMar>
            <w:top w:w="0" w:type="dxa"/>
            <w:left w:w="0" w:type="dxa"/>
            <w:bottom w:w="0" w:type="dxa"/>
            <w:right w:w="0" w:type="dxa"/>
          </w:tblCellMar>
        </w:tblPrEx>
        <w:trPr>
          <w:trHeight w:val="780" w:hRule="atLeast"/>
        </w:trPr>
        <w:tc>
          <w:tcPr>
            <w:tcW w:w="8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黑体" w:hAnsi="黑体" w:eastAsia="黑体"/>
                <w:color w:val="000000"/>
                <w:sz w:val="28"/>
                <w:szCs w:val="28"/>
              </w:rPr>
            </w:pPr>
            <w:r>
              <w:rPr>
                <w:rFonts w:hint="eastAsia" w:ascii="黑体" w:hAnsi="黑体" w:eastAsia="黑体"/>
                <w:color w:val="000000"/>
                <w:sz w:val="28"/>
                <w:szCs w:val="28"/>
              </w:rPr>
              <w:t>一</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rPr>
            </w:pPr>
            <w:r>
              <w:rPr>
                <w:rFonts w:hint="eastAsia"/>
                <w:color w:val="000000"/>
              </w:rPr>
              <w:t>行政许可</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共5项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eastAsia="Times New Roman" w:cs="Times New Roman"/>
                <w:sz w:val="20"/>
                <w:szCs w:val="20"/>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非国有文物收藏单位和其他单位借用国有文物收藏单位馆藏文物审批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文物保护单位及未核定为文物保护单位的不可移动文物修缮许可</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文物保护单位原址保护措施审批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4</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4</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博物馆处理不够入藏标准、无保存价值的文物或标本审批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5</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5</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广播电台、电视台设立、终止初审</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二</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rPr>
            </w:pPr>
            <w:r>
              <w:rPr>
                <w:rFonts w:hint="eastAsia"/>
                <w:color w:val="000000"/>
              </w:rPr>
              <w:t>行政处罚</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共3</w:t>
            </w:r>
            <w:r>
              <w:rPr>
                <w:rFonts w:hint="eastAsia" w:ascii="黑体" w:hAnsi="黑体" w:eastAsia="黑体"/>
                <w:color w:val="000000"/>
                <w:sz w:val="28"/>
                <w:szCs w:val="28"/>
                <w:lang w:val="en-US" w:eastAsia="zh-CN"/>
              </w:rPr>
              <w:t>9</w:t>
            </w:r>
            <w:r>
              <w:rPr>
                <w:rFonts w:hint="eastAsia" w:ascii="黑体" w:hAnsi="黑体" w:eastAsia="黑体"/>
                <w:color w:val="000000"/>
                <w:sz w:val="28"/>
                <w:szCs w:val="28"/>
              </w:rPr>
              <w:t>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6</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违法违规营业性演出行为的处罚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7</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互联网上网服务营业场所违法违规行为的处罚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8</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文化娱乐场所（歌舞、电玩）违法违规行为的处罚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9</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4</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美术品经营违规行为的处罚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5</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未</w:t>
            </w:r>
            <w:r>
              <w:rPr>
                <w:rFonts w:hint="eastAsia"/>
                <w:color w:val="333333"/>
              </w:rPr>
              <w:t>取得资质经营旅游业务的处罚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11</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6</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未按规定提供领队服务、使用无证导游（领队）、拒不向导游支付费用、要求导游垫付或向导游收取费用的处罚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12</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7</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进行虚假宣传、向不合格的供应商订购产品和服务、未按规定投保旅行社责任险的</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13</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8</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以不合理低价组织旅游活动、获取回扣等不正当利益；未经协商指定具体购物场所、安排另行付费项目的处罚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14</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9</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组织、接待出入境旅游时发现旅游者从事违法活动或者有非法滞留未及时报告的处罚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15</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10</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擅自变更行程、严重损害旅游者权益、拒绝履行合同、未经书面同意委托其他旅行社履行包价合同的处罚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16</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安排旅游者参观或者参与违反我国法律、法规和社会公德的项目或者活动的处罚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17</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12</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未取得导游证或者领队证从事导游、领队活动；私自承揽业务；向旅游者索取小费的处罚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1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18</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13</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社会艺术水平考级违规行为的处罚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34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19</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14</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出版物经营单位违法违规行为的处罚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市委宣传部委托</w:t>
            </w: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3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15</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印刷业经营单位违法、违规行为的处罚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市委宣传部委托</w:t>
            </w: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3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21</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16</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违法、违规制作出版物的处罚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市委宣传部委托</w:t>
            </w: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3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22</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17</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未经批准擅自设立记者站的处罚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市委宣传部委托</w:t>
            </w: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32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23</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18</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电影发行放映违规活动的处罚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市委宣传部委托</w:t>
            </w: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24</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19</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擅自设立广播电视节目制作经营单位或制作电视剧及其他广播电视节目的处罚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25</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20</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对擅自从事广播电视节目传送业务的行政处罚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26</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对从事广播电视节目传送业务（有线）时未完整传送广电总局规定必须传送的广播电视节目的等行为的行政处罚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27</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22</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对从事广播电视节目传送业务（有线）时，擅自开办广播电视节目的等行为的行政处罚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28</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23</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对违反广播电视广告内容管理的行政处罚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29</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24</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对擅自在互联网上使用广播电视专有名称开展业务的等行为的行政处罚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25</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对擅自从事互联网视听节目服务的行政处罚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31</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26</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对传播的视听节目内容违反本规定的行政处罚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32</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27</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对未按照许可证载明或备案的事项从事互联网视听节目服务的或违规播出时政类视听新闻节目的行政处罚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33</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28</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对擅自开办广播电视视频点播业务的行政处罚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34</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29</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对《广播电视视频点播业务许可证》持有机构违法违规行为的行政处罚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35</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30</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对宾馆饭店允许未获得《广播电视视频点播业务许可证》的机构在其宾馆饭店内经营视频点播业务的行政处罚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36</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广播电视播出机构播出广告违法、违规行为的处罚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37</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32</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擅自设立广播电视台、有线广播电视网络及相关设施行为的处罚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39</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33</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违法从事视频点播行为的处罚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38</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34</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损坏破坏广播电视设施或妨碍广播电视设施安全行为的处罚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40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35</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违法设置、使用卫星电视地面接收设施行为的处罚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41</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36</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对擅自变更广播电视发射台、转播台技术参数等行为的行政处罚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42</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37</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对未按照入网认定标准生产产品，产品质量或者性能明显下降，发生严重质量事故或者造成严重后果等行为的行政处罚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43</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38</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违反文物保护法规行为的处罚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仿宋_GB2312" w:hAnsi="宋体" w:eastAsia="宋体" w:cs="宋体"/>
                <w:kern w:val="2"/>
                <w:sz w:val="28"/>
                <w:szCs w:val="28"/>
                <w:vertAlign w:val="baseline"/>
                <w:lang w:val="en-US" w:eastAsia="zh-CN" w:bidi="ar-SA"/>
              </w:rPr>
            </w:pPr>
            <w:r>
              <w:rPr>
                <w:rFonts w:hint="eastAsia" w:ascii="仿宋_GB2312"/>
                <w:kern w:val="2"/>
                <w:sz w:val="28"/>
                <w:szCs w:val="28"/>
                <w:vertAlign w:val="baseline"/>
                <w:lang w:val="en-US" w:eastAsia="zh-CN" w:bidi="ar-SA"/>
              </w:rPr>
              <w:t>44</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仿宋_GB2312" w:hAnsi="宋体" w:eastAsia="宋体" w:cs="宋体"/>
                <w:sz w:val="28"/>
                <w:szCs w:val="28"/>
                <w:lang w:val="en-US" w:eastAsia="zh-CN" w:bidi="ar-SA"/>
              </w:rPr>
            </w:pPr>
            <w:r>
              <w:rPr>
                <w:rFonts w:hint="eastAsia" w:ascii="仿宋_GB2312"/>
                <w:sz w:val="28"/>
                <w:szCs w:val="28"/>
                <w:lang w:val="en-US" w:eastAsia="zh-CN"/>
              </w:rPr>
              <w:t>39</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tabs>
                <w:tab w:val="left" w:pos="721"/>
              </w:tabs>
              <w:kinsoku/>
              <w:wordWrap/>
              <w:overflowPunct/>
              <w:topLinePunct w:val="0"/>
              <w:autoSpaceDE/>
              <w:autoSpaceDN/>
              <w:bidi w:val="0"/>
              <w:adjustRightInd/>
              <w:snapToGrid/>
              <w:spacing w:before="0" w:beforeLines="0" w:after="0" w:afterLines="0" w:line="400" w:lineRule="exact"/>
              <w:ind w:right="0" w:rightChars="0"/>
              <w:jc w:val="left"/>
              <w:textAlignment w:val="auto"/>
              <w:rPr>
                <w:rFonts w:hint="eastAsia" w:ascii="仿宋_GB2312" w:hAnsi="宋体" w:eastAsia="宋体" w:cs="宋体"/>
                <w:sz w:val="28"/>
                <w:szCs w:val="28"/>
                <w:vertAlign w:val="baseline"/>
                <w:lang w:val="en-US" w:eastAsia="zh-CN" w:bidi="ar-SA"/>
              </w:rPr>
            </w:pPr>
            <w:r>
              <w:rPr>
                <w:rFonts w:hint="eastAsia" w:ascii="仿宋_GB2312"/>
                <w:sz w:val="28"/>
                <w:szCs w:val="28"/>
                <w:vertAlign w:val="baseline"/>
                <w:lang w:val="en-US" w:eastAsia="zh-CN"/>
              </w:rPr>
              <w:t>未经批准，擅自经营高危险性体育项目的</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20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三</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rPr>
            </w:pPr>
            <w:r>
              <w:rPr>
                <w:rFonts w:hint="eastAsia"/>
                <w:color w:val="000000"/>
              </w:rPr>
              <w:t>行政强制</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共1项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r>
      <w:tr>
        <w:tblPrEx>
          <w:tblCellMar>
            <w:top w:w="0" w:type="dxa"/>
            <w:left w:w="0" w:type="dxa"/>
            <w:bottom w:w="0" w:type="dxa"/>
            <w:right w:w="0" w:type="dxa"/>
          </w:tblCellMar>
        </w:tblPrEx>
        <w:trPr>
          <w:trHeight w:val="136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45</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出版物场所实施查封和财务扣押</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市委宣传部委托</w:t>
            </w: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36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四</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rPr>
            </w:pPr>
            <w:r>
              <w:rPr>
                <w:rFonts w:hint="eastAsia"/>
                <w:color w:val="000000"/>
              </w:rPr>
              <w:t>行政检查</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共20项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4</w:t>
            </w:r>
            <w:r>
              <w:rPr>
                <w:rFonts w:hint="eastAsia"/>
                <w:color w:val="000000"/>
                <w:lang w:val="en-US" w:eastAsia="zh-CN"/>
              </w:rPr>
              <w:t>6</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互联网上网服务营业场所经营单位经营活动的监督</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4</w:t>
            </w:r>
            <w:r>
              <w:rPr>
                <w:rFonts w:hint="eastAsia"/>
                <w:color w:val="000000"/>
                <w:lang w:val="en-US" w:eastAsia="zh-CN"/>
              </w:rPr>
              <w:t>7</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互联网文化活动的监督</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4</w:t>
            </w:r>
            <w:r>
              <w:rPr>
                <w:rFonts w:hint="eastAsia"/>
                <w:color w:val="000000"/>
                <w:lang w:val="en-US" w:eastAsia="zh-CN"/>
              </w:rPr>
              <w:t>8</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娱乐场所日常经营活动的监督</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4</w:t>
            </w:r>
            <w:r>
              <w:rPr>
                <w:rFonts w:hint="eastAsia"/>
                <w:color w:val="000000"/>
                <w:lang w:val="en-US" w:eastAsia="zh-CN"/>
              </w:rPr>
              <w:t>9</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4</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营业性演出的监督检查</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50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5</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美术品经营活动的日常监督</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5</w:t>
            </w:r>
            <w:r>
              <w:rPr>
                <w:rFonts w:hint="eastAsia"/>
                <w:color w:val="000000"/>
                <w:lang w:val="en-US" w:eastAsia="zh-CN"/>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6</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旅行社监督管理</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5</w:t>
            </w:r>
            <w:r>
              <w:rPr>
                <w:rFonts w:hint="eastAsia"/>
                <w:color w:val="000000"/>
                <w:lang w:val="en-US" w:eastAsia="zh-CN"/>
              </w:rPr>
              <w:t>2</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7</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对导游人员的监督</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5</w:t>
            </w:r>
            <w:r>
              <w:rPr>
                <w:rFonts w:hint="eastAsia"/>
                <w:color w:val="000000"/>
                <w:lang w:val="en-US" w:eastAsia="zh-CN"/>
              </w:rPr>
              <w:t>3</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8</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对信息网络和公共载体传播视听节目的行政检查</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5</w:t>
            </w:r>
            <w:r>
              <w:rPr>
                <w:rFonts w:hint="eastAsia"/>
                <w:color w:val="000000"/>
                <w:lang w:val="en-US" w:eastAsia="zh-CN"/>
              </w:rPr>
              <w:t>4</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9</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对广播电视播出机构和业务的行政检查</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5</w:t>
            </w:r>
            <w:r>
              <w:rPr>
                <w:rFonts w:hint="eastAsia"/>
                <w:color w:val="000000"/>
                <w:lang w:val="en-US" w:eastAsia="zh-CN"/>
              </w:rPr>
              <w:t>5</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10</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对广播电视节目传送机构和业务的行政检查</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5</w:t>
            </w:r>
            <w:r>
              <w:rPr>
                <w:rFonts w:hint="eastAsia"/>
                <w:color w:val="000000"/>
                <w:lang w:val="en-US" w:eastAsia="zh-CN"/>
              </w:rPr>
              <w:t>6</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对有线广播电视运营服务、有线电视付费频道业务和移动数字电视业务的行政检查</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5</w:t>
            </w:r>
            <w:r>
              <w:rPr>
                <w:rFonts w:hint="eastAsia"/>
                <w:color w:val="000000"/>
                <w:lang w:val="en-US" w:eastAsia="zh-CN"/>
              </w:rPr>
              <w:t>7</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12</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对广播电视广告播出的行政检查</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5</w:t>
            </w:r>
            <w:r>
              <w:rPr>
                <w:rFonts w:hint="eastAsia"/>
                <w:color w:val="000000"/>
                <w:lang w:val="en-US" w:eastAsia="zh-CN"/>
              </w:rPr>
              <w:t>8</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13</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对广播电视节目制作经营机构的行政检查</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5</w:t>
            </w:r>
            <w:r>
              <w:rPr>
                <w:rFonts w:hint="eastAsia"/>
                <w:color w:val="000000"/>
                <w:lang w:val="en-US" w:eastAsia="zh-CN"/>
              </w:rPr>
              <w:t>9</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14</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对网络视听节目服务机构的行政检查</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sz w:val="24"/>
                <w:szCs w:val="24"/>
                <w:lang w:val="en-US" w:eastAsia="zh-CN" w:bidi="ar-SA"/>
              </w:rPr>
            </w:pPr>
            <w:r>
              <w:rPr>
                <w:rFonts w:hint="eastAsia"/>
                <w:color w:val="000000"/>
              </w:rPr>
              <w:t>60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15</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对广播电视视频点播节目的行政检查</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sz w:val="24"/>
                <w:szCs w:val="24"/>
                <w:lang w:val="en-US" w:eastAsia="zh-CN" w:bidi="ar-SA"/>
              </w:rPr>
            </w:pPr>
            <w:r>
              <w:rPr>
                <w:rFonts w:hint="eastAsia"/>
                <w:color w:val="000000"/>
              </w:rPr>
              <w:t>61</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16</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对电视剧（电视动画片）制作机构的制作情况的行政检查</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sz w:val="24"/>
                <w:szCs w:val="24"/>
                <w:lang w:val="en-US" w:eastAsia="zh-CN" w:bidi="ar-SA"/>
              </w:rPr>
            </w:pPr>
            <w:r>
              <w:rPr>
                <w:rFonts w:hint="eastAsia"/>
                <w:color w:val="000000"/>
              </w:rPr>
              <w:t>62</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17</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卫星地面接收设施安装及使用的监督</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sz w:val="24"/>
                <w:szCs w:val="24"/>
                <w:lang w:val="en-US" w:eastAsia="zh-CN" w:bidi="ar-SA"/>
              </w:rPr>
            </w:pPr>
            <w:r>
              <w:rPr>
                <w:rFonts w:hint="eastAsia"/>
                <w:color w:val="000000"/>
              </w:rPr>
              <w:t>63</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18</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广播电视安全播出的监督</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sz w:val="24"/>
                <w:szCs w:val="24"/>
                <w:lang w:val="en-US" w:eastAsia="zh-CN" w:bidi="ar-SA"/>
              </w:rPr>
            </w:pPr>
            <w:r>
              <w:rPr>
                <w:rFonts w:hint="eastAsia"/>
                <w:color w:val="000000"/>
              </w:rPr>
              <w:t>64</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19</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艺术考级活动的监督</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rPr>
              <w:t>6</w:t>
            </w:r>
            <w:r>
              <w:rPr>
                <w:rFonts w:hint="eastAsia"/>
                <w:color w:val="000000"/>
                <w:lang w:val="en-US" w:eastAsia="zh-CN"/>
              </w:rPr>
              <w:t>5</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20</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文物保护的监督</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五</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rPr>
            </w:pPr>
            <w:r>
              <w:rPr>
                <w:rFonts w:hint="eastAsia"/>
                <w:color w:val="000000"/>
              </w:rPr>
              <w:t>行政确认</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共</w:t>
            </w:r>
            <w:r>
              <w:rPr>
                <w:rFonts w:hint="eastAsia" w:ascii="黑体" w:hAnsi="黑体" w:eastAsia="黑体"/>
                <w:color w:val="000000"/>
                <w:sz w:val="28"/>
                <w:szCs w:val="28"/>
                <w:lang w:val="en-US" w:eastAsia="zh-CN"/>
              </w:rPr>
              <w:t>6</w:t>
            </w:r>
            <w:r>
              <w:rPr>
                <w:rFonts w:hint="eastAsia" w:ascii="黑体" w:hAnsi="黑体" w:eastAsia="黑体"/>
                <w:color w:val="000000"/>
                <w:sz w:val="28"/>
                <w:szCs w:val="28"/>
              </w:rPr>
              <w:t>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sz w:val="24"/>
                <w:szCs w:val="24"/>
                <w:lang w:val="en-US" w:eastAsia="zh-CN" w:bidi="ar-SA"/>
              </w:rPr>
            </w:pPr>
            <w:r>
              <w:rPr>
                <w:rFonts w:hint="eastAsia"/>
                <w:color w:val="000000"/>
              </w:rPr>
              <w:t>66</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对非物质文化遗产代表性项目的组织推荐评审认定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sz w:val="24"/>
                <w:szCs w:val="24"/>
                <w:lang w:val="en-US" w:eastAsia="zh-CN" w:bidi="ar-SA"/>
              </w:rPr>
            </w:pPr>
            <w:r>
              <w:rPr>
                <w:rFonts w:hint="eastAsia"/>
                <w:color w:val="000000"/>
              </w:rPr>
              <w:t>67</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对非物质文化遗产项目保护单位的组织推荐评审认定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sz w:val="24"/>
                <w:szCs w:val="24"/>
                <w:lang w:val="en-US" w:eastAsia="zh-CN" w:bidi="ar-SA"/>
              </w:rPr>
            </w:pPr>
            <w:r>
              <w:rPr>
                <w:rFonts w:hint="eastAsia"/>
                <w:color w:val="000000"/>
              </w:rPr>
              <w:t>68</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非物质文化遗产代表性传承人的组织推荐评审认定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69</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4</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降低旅游服务质量保证金资格确认</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仿宋_GB2312" w:hAnsi="宋体" w:eastAsia="宋体" w:cs="宋体"/>
                <w:kern w:val="2"/>
                <w:sz w:val="28"/>
                <w:szCs w:val="28"/>
                <w:vertAlign w:val="baseline"/>
                <w:lang w:val="en-US" w:eastAsia="zh-CN" w:bidi="ar-SA"/>
              </w:rPr>
            </w:pPr>
            <w:r>
              <w:rPr>
                <w:rFonts w:hint="eastAsia" w:ascii="仿宋_GB2312"/>
                <w:kern w:val="2"/>
                <w:sz w:val="24"/>
                <w:szCs w:val="24"/>
                <w:vertAlign w:val="baseline"/>
                <w:lang w:val="en-US" w:eastAsia="zh-CN" w:bidi="ar-SA"/>
              </w:rPr>
              <w:t>70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仿宋_GB2312" w:hAnsi="宋体" w:eastAsia="宋体" w:cs="宋体"/>
                <w:sz w:val="24"/>
                <w:szCs w:val="24"/>
                <w:vertAlign w:val="baseline"/>
                <w:lang w:val="en-US" w:eastAsia="zh-CN" w:bidi="ar-SA"/>
              </w:rPr>
            </w:pPr>
            <w:r>
              <w:rPr>
                <w:rFonts w:hint="eastAsia" w:ascii="仿宋_GB2312"/>
                <w:sz w:val="24"/>
                <w:szCs w:val="24"/>
                <w:vertAlign w:val="baseline"/>
                <w:lang w:val="en-US" w:eastAsia="zh-CN"/>
              </w:rPr>
              <w:t>5</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left"/>
              <w:textAlignment w:val="auto"/>
              <w:rPr>
                <w:rFonts w:hint="eastAsia" w:ascii="仿宋_GB2312" w:hAnsi="宋体" w:eastAsia="宋体" w:cs="宋体"/>
                <w:sz w:val="24"/>
                <w:szCs w:val="24"/>
                <w:vertAlign w:val="baseline"/>
                <w:lang w:val="en-US" w:eastAsia="zh-CN" w:bidi="ar-SA"/>
              </w:rPr>
            </w:pPr>
            <w:r>
              <w:rPr>
                <w:rFonts w:hint="eastAsia" w:ascii="仿宋_GB2312"/>
                <w:sz w:val="24"/>
                <w:szCs w:val="24"/>
                <w:vertAlign w:val="baseline"/>
                <w:lang w:val="en-US" w:eastAsia="zh-CN"/>
              </w:rPr>
              <w:t>等级运动员称号授予</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default" w:ascii="仿宋_GB2312" w:hAnsi="宋体" w:eastAsia="宋体" w:cs="宋体"/>
                <w:kern w:val="2"/>
                <w:sz w:val="28"/>
                <w:szCs w:val="28"/>
                <w:vertAlign w:val="baseline"/>
                <w:lang w:val="en-US" w:eastAsia="zh-CN" w:bidi="ar-SA"/>
              </w:rPr>
            </w:pPr>
            <w:r>
              <w:rPr>
                <w:rFonts w:hint="eastAsia" w:ascii="仿宋_GB2312"/>
                <w:kern w:val="2"/>
                <w:sz w:val="24"/>
                <w:szCs w:val="24"/>
                <w:vertAlign w:val="baseline"/>
                <w:lang w:val="en-US" w:eastAsia="zh-CN" w:bidi="ar-SA"/>
              </w:rPr>
              <w:t>71</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center"/>
              <w:textAlignment w:val="auto"/>
              <w:rPr>
                <w:rFonts w:hint="eastAsia" w:ascii="仿宋_GB2312" w:hAnsi="宋体" w:eastAsia="宋体" w:cs="宋体"/>
                <w:sz w:val="24"/>
                <w:szCs w:val="24"/>
                <w:vertAlign w:val="baseline"/>
                <w:lang w:val="en-US" w:eastAsia="zh-CN" w:bidi="ar-SA"/>
              </w:rPr>
            </w:pPr>
            <w:r>
              <w:rPr>
                <w:rFonts w:hint="eastAsia" w:ascii="仿宋_GB2312"/>
                <w:sz w:val="24"/>
                <w:szCs w:val="24"/>
                <w:vertAlign w:val="baseline"/>
                <w:lang w:val="en-US" w:eastAsia="zh-CN"/>
              </w:rPr>
              <w:t>6</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beforeLines="0" w:after="0" w:afterLines="0" w:line="600" w:lineRule="exact"/>
              <w:ind w:right="0" w:rightChars="0"/>
              <w:jc w:val="left"/>
              <w:textAlignment w:val="auto"/>
              <w:rPr>
                <w:rFonts w:hint="eastAsia" w:ascii="仿宋_GB2312" w:hAnsi="宋体" w:eastAsia="宋体" w:cs="宋体"/>
                <w:sz w:val="24"/>
                <w:szCs w:val="24"/>
                <w:vertAlign w:val="baseline"/>
                <w:lang w:val="en-US" w:eastAsia="zh-CN" w:bidi="ar-SA"/>
              </w:rPr>
            </w:pPr>
            <w:r>
              <w:rPr>
                <w:rFonts w:hint="eastAsia" w:ascii="仿宋_GB2312"/>
                <w:sz w:val="24"/>
                <w:szCs w:val="24"/>
                <w:vertAlign w:val="baseline"/>
                <w:lang w:val="en-US" w:eastAsia="zh-CN"/>
              </w:rPr>
              <w:t>社会体育指导员技术等级称号认定</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六</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rPr>
            </w:pPr>
            <w:r>
              <w:rPr>
                <w:rFonts w:hint="eastAsia"/>
                <w:color w:val="000000"/>
              </w:rPr>
              <w:t>行政奖励</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共4项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宋体" w:hAnsi="宋体" w:eastAsia="宋体" w:cs="宋体"/>
                <w:color w:val="000000"/>
                <w:sz w:val="24"/>
                <w:szCs w:val="24"/>
                <w:lang w:val="en-US" w:eastAsia="zh-CN" w:bidi="ar-SA"/>
              </w:rPr>
            </w:pPr>
            <w:r>
              <w:rPr>
                <w:rFonts w:hint="eastAsia"/>
                <w:color w:val="000000"/>
              </w:rPr>
              <w:t>72</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对在艺术档案工作中做出显著成绩的单位和个人的表彰和奖励</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宋体" w:hAnsi="宋体" w:eastAsia="宋体" w:cs="宋体"/>
                <w:color w:val="000000"/>
                <w:sz w:val="24"/>
                <w:szCs w:val="24"/>
                <w:lang w:val="en-US" w:eastAsia="zh-CN" w:bidi="ar-SA"/>
              </w:rPr>
            </w:pPr>
            <w:r>
              <w:rPr>
                <w:rFonts w:hint="eastAsia"/>
                <w:color w:val="000000"/>
              </w:rPr>
              <w:t>73</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对在公共文化设施的建设、管理和保护工作中做出突出贡献的单位和个人给予奖励</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宋体" w:hAnsi="宋体" w:eastAsia="宋体" w:cs="宋体"/>
                <w:color w:val="000000"/>
                <w:sz w:val="24"/>
                <w:szCs w:val="24"/>
                <w:lang w:val="en-US" w:eastAsia="zh-CN" w:bidi="ar-SA"/>
              </w:rPr>
            </w:pPr>
            <w:r>
              <w:rPr>
                <w:rFonts w:hint="eastAsia"/>
                <w:color w:val="000000"/>
                <w:lang w:val="en-US" w:eastAsia="zh-CN"/>
              </w:rPr>
              <w:t>74</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对作出突出贡献的营业性演出社会义务监督员的表彰</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宋体" w:hAnsi="宋体" w:eastAsia="宋体" w:cs="宋体"/>
                <w:color w:val="000000"/>
                <w:sz w:val="24"/>
                <w:szCs w:val="24"/>
                <w:lang w:val="en-US" w:eastAsia="zh-CN" w:bidi="ar-SA"/>
              </w:rPr>
            </w:pPr>
            <w:r>
              <w:rPr>
                <w:rFonts w:hint="eastAsia"/>
                <w:color w:val="000000"/>
                <w:lang w:val="en-US" w:eastAsia="zh-CN"/>
              </w:rPr>
              <w:t>75</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4</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对营业性演出举报人的奖励</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color w:val="000000"/>
                <w:sz w:val="24"/>
                <w:szCs w:val="24"/>
                <w:lang w:val="en-US" w:eastAsia="zh-CN" w:bidi="ar-SA"/>
              </w:rPr>
            </w:pP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rPr>
            </w:pPr>
            <w:r>
              <w:rPr>
                <w:rFonts w:hint="eastAsia"/>
                <w:color w:val="000000"/>
              </w:rPr>
              <w:t>行政备案</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共4项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宋体" w:hAnsi="宋体" w:eastAsia="宋体" w:cs="宋体"/>
                <w:color w:val="000000"/>
                <w:sz w:val="24"/>
                <w:szCs w:val="24"/>
                <w:lang w:val="en-US" w:eastAsia="zh-CN" w:bidi="ar-SA"/>
              </w:rPr>
            </w:pPr>
            <w:r>
              <w:rPr>
                <w:rFonts w:hint="eastAsia" w:cs="宋体"/>
                <w:color w:val="000000"/>
                <w:sz w:val="24"/>
                <w:szCs w:val="24"/>
                <w:lang w:val="en-US" w:eastAsia="zh-CN" w:bidi="ar-SA"/>
              </w:rPr>
              <w:t>76</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非国有不可移动文物转让、抵押或者改变用途的备案</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宋体" w:hAnsi="宋体" w:eastAsia="宋体" w:cs="宋体"/>
                <w:color w:val="000000"/>
                <w:sz w:val="24"/>
                <w:szCs w:val="24"/>
                <w:lang w:val="en-US" w:eastAsia="zh-CN" w:bidi="ar-SA"/>
              </w:rPr>
            </w:pPr>
            <w:r>
              <w:rPr>
                <w:rFonts w:hint="eastAsia" w:cs="宋体"/>
                <w:color w:val="000000"/>
                <w:sz w:val="24"/>
                <w:szCs w:val="24"/>
                <w:lang w:val="en-US" w:eastAsia="zh-CN" w:bidi="ar-SA"/>
              </w:rPr>
              <w:t>77</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2</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博物馆、图书馆和其他文物收藏单位文物藏品档案、管理制度、文物定级备案</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78</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3</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博物馆陈列展览备案</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79</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4</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旅游景区开放备案</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r>
              <w:rPr>
                <w:rFonts w:hint="eastAsia"/>
                <w:color w:val="000000"/>
                <w:sz w:val="22"/>
                <w:szCs w:val="22"/>
              </w:rPr>
              <w:t>待省级部门发布相关管理办理或条例后再实施</w:t>
            </w: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color w:val="000000"/>
              </w:rPr>
            </w:pPr>
            <w:r>
              <w:rPr>
                <w:rFonts w:hint="eastAsia"/>
                <w:color w:val="000000"/>
              </w:rPr>
              <w:t>八</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rPr>
            </w:pPr>
            <w:r>
              <w:rPr>
                <w:rFonts w:hint="eastAsia"/>
                <w:color w:val="000000"/>
              </w:rPr>
              <w:t>其他类</w:t>
            </w:r>
          </w:p>
        </w:tc>
        <w:tc>
          <w:tcPr>
            <w:tcW w:w="9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r>
              <w:rPr>
                <w:rFonts w:hint="eastAsia" w:ascii="黑体" w:hAnsi="黑体" w:eastAsia="黑体"/>
                <w:color w:val="000000"/>
                <w:sz w:val="28"/>
                <w:szCs w:val="28"/>
              </w:rPr>
              <w:t>共1项</w:t>
            </w:r>
          </w:p>
        </w:tc>
        <w:tc>
          <w:tcPr>
            <w:tcW w:w="241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黑体" w:hAnsi="黑体" w:eastAsia="黑体"/>
                <w:color w:val="000000"/>
                <w:sz w:val="28"/>
                <w:szCs w:val="28"/>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r>
      <w:tr>
        <w:tblPrEx>
          <w:tblCellMar>
            <w:top w:w="0" w:type="dxa"/>
            <w:left w:w="0" w:type="dxa"/>
            <w:bottom w:w="0" w:type="dxa"/>
            <w:right w:w="0" w:type="dxa"/>
          </w:tblCellMar>
        </w:tblPrEx>
        <w:trPr>
          <w:trHeight w:val="1080" w:hRule="atLeast"/>
        </w:trPr>
        <w:tc>
          <w:tcPr>
            <w:tcW w:w="810" w:type="dxa"/>
            <w:tcBorders>
              <w:top w:val="single" w:color="auto" w:sz="4" w:space="0"/>
              <w:left w:val="single" w:color="auto" w:sz="4" w:space="0"/>
              <w:bottom w:val="single" w:color="000000"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80</w:t>
            </w:r>
            <w:bookmarkStart w:id="0" w:name="_GoBack"/>
            <w:bookmarkEnd w:id="0"/>
          </w:p>
        </w:tc>
        <w:tc>
          <w:tcPr>
            <w:tcW w:w="1215" w:type="dxa"/>
            <w:tcBorders>
              <w:top w:val="single" w:color="auto" w:sz="4" w:space="0"/>
              <w:left w:val="single" w:color="auto" w:sz="4" w:space="0"/>
              <w:bottom w:val="single" w:color="000000"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2"/>
                <w:szCs w:val="22"/>
              </w:rPr>
            </w:pPr>
            <w:r>
              <w:rPr>
                <w:rFonts w:hint="eastAsia"/>
                <w:color w:val="000000"/>
                <w:sz w:val="22"/>
                <w:szCs w:val="22"/>
              </w:rPr>
              <w:t>1</w:t>
            </w:r>
          </w:p>
        </w:tc>
        <w:tc>
          <w:tcPr>
            <w:tcW w:w="9900" w:type="dxa"/>
            <w:tcBorders>
              <w:top w:val="single" w:color="auto" w:sz="4" w:space="0"/>
              <w:left w:val="single" w:color="auto" w:sz="4" w:space="0"/>
              <w:bottom w:val="single" w:color="000000" w:sz="4" w:space="0"/>
              <w:right w:val="single" w:color="auto" w:sz="4" w:space="0"/>
            </w:tcBorders>
            <w:shd w:val="clear" w:color="auto" w:fill="auto"/>
            <w:tcMar>
              <w:top w:w="15" w:type="dxa"/>
              <w:left w:w="15" w:type="dxa"/>
              <w:bottom w:w="0" w:type="dxa"/>
              <w:right w:w="15" w:type="dxa"/>
            </w:tcMar>
            <w:vAlign w:val="center"/>
          </w:tcPr>
          <w:p>
            <w:pPr>
              <w:rPr>
                <w:rFonts w:hint="eastAsia"/>
                <w:color w:val="000000"/>
              </w:rPr>
            </w:pPr>
            <w:r>
              <w:rPr>
                <w:rFonts w:hint="eastAsia"/>
                <w:color w:val="000000"/>
              </w:rPr>
              <w:t>文化类民办非企业单位设立前置审查</w:t>
            </w:r>
          </w:p>
        </w:tc>
        <w:tc>
          <w:tcPr>
            <w:tcW w:w="2415" w:type="dxa"/>
            <w:tcBorders>
              <w:top w:val="single" w:color="auto" w:sz="4" w:space="0"/>
              <w:left w:val="single" w:color="auto" w:sz="4" w:space="0"/>
              <w:bottom w:val="single" w:color="000000" w:sz="4" w:space="0"/>
              <w:right w:val="single" w:color="000000" w:sz="4" w:space="0"/>
            </w:tcBorders>
            <w:shd w:val="clear" w:color="auto" w:fill="auto"/>
            <w:tcMar>
              <w:top w:w="15" w:type="dxa"/>
              <w:left w:w="15" w:type="dxa"/>
              <w:bottom w:w="0" w:type="dxa"/>
              <w:right w:w="15" w:type="dxa"/>
            </w:tcMar>
            <w:vAlign w:val="center"/>
          </w:tcPr>
          <w:p>
            <w:pPr>
              <w:rPr>
                <w:rFonts w:hint="eastAsia"/>
                <w:color w:val="000000"/>
                <w:sz w:val="22"/>
                <w:szCs w:val="22"/>
              </w:rPr>
            </w:pPr>
          </w:p>
        </w:tc>
        <w:tc>
          <w:tcPr>
            <w:tcW w:w="2355" w:type="dxa"/>
            <w:tcBorders>
              <w:top w:val="nil"/>
              <w:left w:val="nil"/>
              <w:bottom w:val="nil"/>
              <w:right w:val="nil"/>
            </w:tcBorders>
            <w:shd w:val="clear" w:color="auto" w:fill="auto"/>
            <w:noWrap/>
            <w:tcMar>
              <w:top w:w="15" w:type="dxa"/>
              <w:left w:w="15" w:type="dxa"/>
              <w:bottom w:w="0" w:type="dxa"/>
              <w:right w:w="15" w:type="dxa"/>
            </w:tcMar>
            <w:vAlign w:val="center"/>
          </w:tcPr>
          <w:p>
            <w:pPr>
              <w:rPr>
                <w:rFonts w:hint="eastAsia"/>
                <w:color w:val="000000"/>
                <w:sz w:val="22"/>
                <w:szCs w:val="22"/>
              </w:rPr>
            </w:pPr>
          </w:p>
        </w:tc>
      </w:tr>
      <w:tr>
        <w:tblPrEx>
          <w:tblCellMar>
            <w:top w:w="0" w:type="dxa"/>
            <w:left w:w="0" w:type="dxa"/>
            <w:bottom w:w="0" w:type="dxa"/>
            <w:right w:w="0" w:type="dxa"/>
          </w:tblCellMar>
        </w:tblPrEx>
        <w:tc>
          <w:tcPr>
            <w:tcW w:w="810"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c>
          <w:tcPr>
            <w:tcW w:w="1215"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c>
          <w:tcPr>
            <w:tcW w:w="9900"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c>
          <w:tcPr>
            <w:tcW w:w="2415" w:type="dxa"/>
            <w:tcBorders>
              <w:top w:val="nil"/>
              <w:left w:val="nil"/>
              <w:bottom w:val="nil"/>
              <w:right w:val="nil"/>
            </w:tcBorders>
            <w:shd w:val="clear" w:color="auto" w:fill="auto"/>
            <w:noWrap/>
            <w:tcMar>
              <w:top w:w="15" w:type="dxa"/>
              <w:left w:w="15" w:type="dxa"/>
              <w:bottom w:w="0" w:type="dxa"/>
              <w:right w:w="15" w:type="dxa"/>
            </w:tcMar>
            <w:vAlign w:val="center"/>
          </w:tcPr>
          <w:p>
            <w:pPr>
              <w:rPr>
                <w:rFonts w:ascii="Times New Roman" w:hAnsi="Times New Roman" w:eastAsia="Times New Roman" w:cs="Times New Roman"/>
                <w:sz w:val="20"/>
                <w:szCs w:val="20"/>
              </w:rPr>
            </w:pPr>
          </w:p>
        </w:tc>
        <w:tc>
          <w:tcPr>
            <w:tcW w:w="2355" w:type="dxa"/>
            <w:vAlign w:val="center"/>
          </w:tcPr>
          <w:p>
            <w:pPr>
              <w:rPr>
                <w:rFonts w:ascii="Times New Roman" w:hAnsi="Times New Roman" w:eastAsia="Times New Roman" w:cs="Times New Roman"/>
                <w:sz w:val="20"/>
                <w:szCs w:val="20"/>
              </w:rPr>
            </w:pPr>
          </w:p>
        </w:tc>
      </w:tr>
    </w:tbl>
    <w:p/>
    <w:sectPr>
      <w:pgSz w:w="16838" w:h="11906" w:orient="landscape"/>
      <w:pgMar w:top="1797" w:right="1077" w:bottom="1797" w:left="1077" w:header="851" w:footer="992" w:gutter="0"/>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noPunctuationKerning w:val="1"/>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
  <w:docVars>
    <w:docVar w:name="commondata" w:val="eyJoZGlkIjoiNzFhNjMxOGU1NzVlZGZkYmIzYjAyOTkxNjI1ZjE3ZWEifQ=="/>
  </w:docVars>
  <w:rsids>
    <w:rsidRoot w:val="00A82534"/>
    <w:rsid w:val="0002351C"/>
    <w:rsid w:val="00A82534"/>
    <w:rsid w:val="09F42A3B"/>
    <w:rsid w:val="0B005F1C"/>
    <w:rsid w:val="1E256C04"/>
    <w:rsid w:val="1EEA1E45"/>
    <w:rsid w:val="38961023"/>
    <w:rsid w:val="4B96350F"/>
    <w:rsid w:val="4E842C8A"/>
    <w:rsid w:val="5570589A"/>
    <w:rsid w:val="55C4677E"/>
    <w:rsid w:val="64CC5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qFormat/>
    <w:uiPriority w:val="9"/>
    <w:pPr>
      <w:pBdr>
        <w:bottom w:val="single" w:color="5B9BD5" w:sz="8" w:space="0"/>
      </w:pBdr>
      <w:spacing w:before="100" w:beforeAutospacing="1" w:after="100" w:afterAutospacing="1"/>
      <w:outlineLvl w:val="0"/>
    </w:pPr>
    <w:rPr>
      <w:b/>
      <w:bCs/>
      <w:color w:val="44546A"/>
      <w:sz w:val="30"/>
      <w:szCs w:val="30"/>
    </w:rPr>
  </w:style>
  <w:style w:type="paragraph" w:styleId="3">
    <w:name w:val="heading 2"/>
    <w:basedOn w:val="1"/>
    <w:qFormat/>
    <w:uiPriority w:val="9"/>
    <w:pPr>
      <w:pBdr>
        <w:bottom w:val="single" w:color="5B9BD5" w:sz="8" w:space="0"/>
      </w:pBdr>
      <w:spacing w:before="100" w:beforeAutospacing="1" w:after="100" w:afterAutospacing="1"/>
      <w:outlineLvl w:val="1"/>
    </w:pPr>
    <w:rPr>
      <w:b/>
      <w:bCs/>
      <w:color w:val="44546A"/>
      <w:sz w:val="26"/>
      <w:szCs w:val="26"/>
    </w:rPr>
  </w:style>
  <w:style w:type="paragraph" w:styleId="4">
    <w:name w:val="heading 3"/>
    <w:basedOn w:val="1"/>
    <w:autoRedefine/>
    <w:qFormat/>
    <w:uiPriority w:val="9"/>
    <w:pPr>
      <w:pBdr>
        <w:bottom w:val="single" w:color="ACCCEA" w:sz="8" w:space="0"/>
      </w:pBdr>
      <w:spacing w:before="100" w:beforeAutospacing="1" w:after="100" w:afterAutospacing="1"/>
      <w:outlineLvl w:val="2"/>
    </w:pPr>
    <w:rPr>
      <w:b/>
      <w:bCs/>
      <w:color w:val="44546A"/>
      <w:sz w:val="22"/>
      <w:szCs w:val="22"/>
    </w:rPr>
  </w:style>
  <w:style w:type="paragraph" w:styleId="5">
    <w:name w:val="heading 4"/>
    <w:basedOn w:val="1"/>
    <w:autoRedefine/>
    <w:qFormat/>
    <w:uiPriority w:val="9"/>
    <w:pPr>
      <w:spacing w:before="100" w:beforeAutospacing="1" w:after="100" w:afterAutospacing="1"/>
      <w:outlineLvl w:val="3"/>
    </w:pPr>
    <w:rPr>
      <w:b/>
      <w:bCs/>
      <w:color w:val="44546A"/>
      <w:sz w:val="22"/>
      <w:szCs w:val="22"/>
    </w:rPr>
  </w:style>
  <w:style w:type="character" w:default="1" w:styleId="8">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Title"/>
    <w:basedOn w:val="1"/>
    <w:autoRedefine/>
    <w:qFormat/>
    <w:uiPriority w:val="10"/>
    <w:pPr>
      <w:spacing w:before="100" w:beforeAutospacing="1" w:after="100" w:afterAutospacing="1"/>
    </w:pPr>
    <w:rPr>
      <w:b/>
      <w:bCs/>
      <w:color w:val="44546A"/>
      <w:sz w:val="36"/>
      <w:szCs w:val="36"/>
    </w:rPr>
  </w:style>
  <w:style w:type="character" w:styleId="9">
    <w:name w:val="FollowedHyperlink"/>
    <w:basedOn w:val="8"/>
    <w:autoRedefine/>
    <w:semiHidden/>
    <w:unhideWhenUsed/>
    <w:qFormat/>
    <w:uiPriority w:val="99"/>
    <w:rPr>
      <w:color w:val="800080"/>
      <w:u w:val="single"/>
    </w:rPr>
  </w:style>
  <w:style w:type="character" w:styleId="10">
    <w:name w:val="Hyperlink"/>
    <w:basedOn w:val="8"/>
    <w:autoRedefine/>
    <w:semiHidden/>
    <w:unhideWhenUsed/>
    <w:qFormat/>
    <w:uiPriority w:val="99"/>
    <w:rPr>
      <w:color w:val="0000FF"/>
      <w:u w:val="single"/>
    </w:rPr>
  </w:style>
  <w:style w:type="paragraph" w:customStyle="1" w:styleId="11">
    <w:name w:val="msonormal"/>
    <w:basedOn w:val="1"/>
    <w:autoRedefine/>
    <w:qFormat/>
    <w:uiPriority w:val="0"/>
    <w:pPr>
      <w:spacing w:before="100" w:beforeAutospacing="1" w:after="100" w:afterAutospacing="1"/>
    </w:pPr>
  </w:style>
  <w:style w:type="paragraph" w:customStyle="1" w:styleId="12">
    <w:name w:val="font0"/>
    <w:basedOn w:val="1"/>
    <w:autoRedefine/>
    <w:qFormat/>
    <w:uiPriority w:val="0"/>
    <w:pPr>
      <w:spacing w:before="100" w:beforeAutospacing="1" w:after="100" w:afterAutospacing="1"/>
    </w:pPr>
    <w:rPr>
      <w:color w:val="000000"/>
      <w:sz w:val="22"/>
      <w:szCs w:val="22"/>
    </w:rPr>
  </w:style>
  <w:style w:type="paragraph" w:customStyle="1" w:styleId="13">
    <w:name w:val="font1"/>
    <w:basedOn w:val="1"/>
    <w:autoRedefine/>
    <w:qFormat/>
    <w:uiPriority w:val="0"/>
    <w:pPr>
      <w:spacing w:before="100" w:beforeAutospacing="1" w:after="100" w:afterAutospacing="1"/>
    </w:pPr>
    <w:rPr>
      <w:color w:val="000000"/>
      <w:sz w:val="28"/>
      <w:szCs w:val="28"/>
    </w:rPr>
  </w:style>
  <w:style w:type="paragraph" w:customStyle="1" w:styleId="14">
    <w:name w:val="font2"/>
    <w:basedOn w:val="1"/>
    <w:autoRedefine/>
    <w:qFormat/>
    <w:uiPriority w:val="0"/>
    <w:pPr>
      <w:spacing w:before="100" w:beforeAutospacing="1" w:after="100" w:afterAutospacing="1"/>
    </w:pPr>
    <w:rPr>
      <w:rFonts w:ascii="方正小标宋简体" w:eastAsia="方正小标宋简体"/>
      <w:color w:val="000000"/>
      <w:sz w:val="44"/>
      <w:szCs w:val="44"/>
    </w:rPr>
  </w:style>
  <w:style w:type="paragraph" w:customStyle="1" w:styleId="15">
    <w:name w:val="font3"/>
    <w:basedOn w:val="1"/>
    <w:autoRedefine/>
    <w:qFormat/>
    <w:uiPriority w:val="0"/>
    <w:pPr>
      <w:spacing w:before="100" w:beforeAutospacing="1" w:after="100" w:afterAutospacing="1"/>
    </w:pPr>
    <w:rPr>
      <w:rFonts w:ascii="楷体_GB2312" w:eastAsia="楷体_GB2312"/>
      <w:color w:val="000000"/>
      <w:sz w:val="28"/>
      <w:szCs w:val="28"/>
    </w:rPr>
  </w:style>
  <w:style w:type="paragraph" w:customStyle="1" w:styleId="16">
    <w:name w:val="font4"/>
    <w:basedOn w:val="1"/>
    <w:autoRedefine/>
    <w:qFormat/>
    <w:uiPriority w:val="0"/>
    <w:pPr>
      <w:spacing w:before="100" w:beforeAutospacing="1" w:after="100" w:afterAutospacing="1"/>
    </w:pPr>
    <w:rPr>
      <w:rFonts w:ascii="黑体" w:hAnsi="黑体" w:eastAsia="黑体"/>
      <w:color w:val="000000"/>
      <w:sz w:val="28"/>
      <w:szCs w:val="28"/>
    </w:rPr>
  </w:style>
  <w:style w:type="paragraph" w:customStyle="1" w:styleId="17">
    <w:name w:val="font5"/>
    <w:basedOn w:val="1"/>
    <w:autoRedefine/>
    <w:qFormat/>
    <w:uiPriority w:val="0"/>
    <w:pPr>
      <w:spacing w:before="100" w:beforeAutospacing="1" w:after="100" w:afterAutospacing="1"/>
    </w:pPr>
    <w:rPr>
      <w:color w:val="000000"/>
    </w:rPr>
  </w:style>
  <w:style w:type="paragraph" w:customStyle="1" w:styleId="18">
    <w:name w:val="font6"/>
    <w:basedOn w:val="1"/>
    <w:autoRedefine/>
    <w:qFormat/>
    <w:uiPriority w:val="0"/>
    <w:pPr>
      <w:spacing w:before="100" w:beforeAutospacing="1" w:after="100" w:afterAutospacing="1"/>
    </w:pPr>
    <w:rPr>
      <w:color w:val="0000FF"/>
      <w:sz w:val="22"/>
      <w:szCs w:val="22"/>
      <w:u w:val="single"/>
    </w:rPr>
  </w:style>
  <w:style w:type="paragraph" w:customStyle="1" w:styleId="19">
    <w:name w:val="font7"/>
    <w:basedOn w:val="1"/>
    <w:autoRedefine/>
    <w:qFormat/>
    <w:uiPriority w:val="0"/>
    <w:pPr>
      <w:spacing w:before="100" w:beforeAutospacing="1" w:after="100" w:afterAutospacing="1"/>
    </w:pPr>
    <w:rPr>
      <w:color w:val="800080"/>
      <w:sz w:val="22"/>
      <w:szCs w:val="22"/>
      <w:u w:val="single"/>
    </w:rPr>
  </w:style>
  <w:style w:type="paragraph" w:customStyle="1" w:styleId="20">
    <w:name w:val="font8"/>
    <w:basedOn w:val="1"/>
    <w:autoRedefine/>
    <w:qFormat/>
    <w:uiPriority w:val="0"/>
    <w:pPr>
      <w:spacing w:before="100" w:beforeAutospacing="1" w:after="100" w:afterAutospacing="1"/>
    </w:pPr>
    <w:rPr>
      <w:color w:val="FF0000"/>
      <w:sz w:val="22"/>
      <w:szCs w:val="22"/>
    </w:rPr>
  </w:style>
  <w:style w:type="paragraph" w:customStyle="1" w:styleId="21">
    <w:name w:val="font9"/>
    <w:basedOn w:val="1"/>
    <w:autoRedefine/>
    <w:qFormat/>
    <w:uiPriority w:val="0"/>
    <w:pPr>
      <w:spacing w:before="100" w:beforeAutospacing="1" w:after="100" w:afterAutospacing="1"/>
    </w:pPr>
    <w:rPr>
      <w:b/>
      <w:bCs/>
      <w:color w:val="44546A"/>
      <w:sz w:val="36"/>
      <w:szCs w:val="36"/>
    </w:rPr>
  </w:style>
  <w:style w:type="paragraph" w:customStyle="1" w:styleId="22">
    <w:name w:val="font10"/>
    <w:basedOn w:val="1"/>
    <w:autoRedefine/>
    <w:qFormat/>
    <w:uiPriority w:val="0"/>
    <w:pPr>
      <w:spacing w:before="100" w:beforeAutospacing="1" w:after="100" w:afterAutospacing="1"/>
    </w:pPr>
    <w:rPr>
      <w:i/>
      <w:iCs/>
      <w:color w:val="7F7F7F"/>
      <w:sz w:val="22"/>
      <w:szCs w:val="22"/>
    </w:rPr>
  </w:style>
  <w:style w:type="paragraph" w:customStyle="1" w:styleId="23">
    <w:name w:val="font11"/>
    <w:basedOn w:val="1"/>
    <w:autoRedefine/>
    <w:qFormat/>
    <w:uiPriority w:val="0"/>
    <w:pPr>
      <w:spacing w:before="100" w:beforeAutospacing="1" w:after="100" w:afterAutospacing="1"/>
    </w:pPr>
    <w:rPr>
      <w:b/>
      <w:bCs/>
      <w:color w:val="44546A"/>
      <w:sz w:val="30"/>
      <w:szCs w:val="30"/>
    </w:rPr>
  </w:style>
  <w:style w:type="paragraph" w:customStyle="1" w:styleId="24">
    <w:name w:val="font12"/>
    <w:basedOn w:val="1"/>
    <w:autoRedefine/>
    <w:qFormat/>
    <w:uiPriority w:val="0"/>
    <w:pPr>
      <w:spacing w:before="100" w:beforeAutospacing="1" w:after="100" w:afterAutospacing="1"/>
    </w:pPr>
    <w:rPr>
      <w:b/>
      <w:bCs/>
      <w:color w:val="44546A"/>
      <w:sz w:val="26"/>
      <w:szCs w:val="26"/>
    </w:rPr>
  </w:style>
  <w:style w:type="paragraph" w:customStyle="1" w:styleId="25">
    <w:name w:val="font13"/>
    <w:basedOn w:val="1"/>
    <w:autoRedefine/>
    <w:qFormat/>
    <w:uiPriority w:val="0"/>
    <w:pPr>
      <w:spacing w:before="100" w:beforeAutospacing="1" w:after="100" w:afterAutospacing="1"/>
    </w:pPr>
    <w:rPr>
      <w:b/>
      <w:bCs/>
      <w:color w:val="44546A"/>
      <w:sz w:val="22"/>
      <w:szCs w:val="22"/>
    </w:rPr>
  </w:style>
  <w:style w:type="paragraph" w:customStyle="1" w:styleId="26">
    <w:name w:val="font14"/>
    <w:basedOn w:val="1"/>
    <w:autoRedefine/>
    <w:qFormat/>
    <w:uiPriority w:val="0"/>
    <w:pPr>
      <w:spacing w:before="100" w:beforeAutospacing="1" w:after="100" w:afterAutospacing="1"/>
    </w:pPr>
    <w:rPr>
      <w:color w:val="3F3F76"/>
      <w:sz w:val="22"/>
      <w:szCs w:val="22"/>
    </w:rPr>
  </w:style>
  <w:style w:type="paragraph" w:customStyle="1" w:styleId="27">
    <w:name w:val="font15"/>
    <w:basedOn w:val="1"/>
    <w:autoRedefine/>
    <w:qFormat/>
    <w:uiPriority w:val="0"/>
    <w:pPr>
      <w:spacing w:before="100" w:beforeAutospacing="1" w:after="100" w:afterAutospacing="1"/>
    </w:pPr>
    <w:rPr>
      <w:b/>
      <w:bCs/>
      <w:color w:val="3F3F3F"/>
      <w:sz w:val="22"/>
      <w:szCs w:val="22"/>
    </w:rPr>
  </w:style>
  <w:style w:type="paragraph" w:customStyle="1" w:styleId="28">
    <w:name w:val="font16"/>
    <w:basedOn w:val="1"/>
    <w:autoRedefine/>
    <w:qFormat/>
    <w:uiPriority w:val="0"/>
    <w:pPr>
      <w:spacing w:before="100" w:beforeAutospacing="1" w:after="100" w:afterAutospacing="1"/>
    </w:pPr>
    <w:rPr>
      <w:b/>
      <w:bCs/>
      <w:color w:val="FA7D00"/>
      <w:sz w:val="22"/>
      <w:szCs w:val="22"/>
    </w:rPr>
  </w:style>
  <w:style w:type="paragraph" w:customStyle="1" w:styleId="29">
    <w:name w:val="font17"/>
    <w:basedOn w:val="1"/>
    <w:autoRedefine/>
    <w:qFormat/>
    <w:uiPriority w:val="0"/>
    <w:pPr>
      <w:spacing w:before="100" w:beforeAutospacing="1" w:after="100" w:afterAutospacing="1"/>
    </w:pPr>
    <w:rPr>
      <w:b/>
      <w:bCs/>
      <w:color w:val="FFFFFF"/>
      <w:sz w:val="22"/>
      <w:szCs w:val="22"/>
    </w:rPr>
  </w:style>
  <w:style w:type="paragraph" w:customStyle="1" w:styleId="30">
    <w:name w:val="font18"/>
    <w:basedOn w:val="1"/>
    <w:autoRedefine/>
    <w:qFormat/>
    <w:uiPriority w:val="0"/>
    <w:pPr>
      <w:spacing w:before="100" w:beforeAutospacing="1" w:after="100" w:afterAutospacing="1"/>
    </w:pPr>
    <w:rPr>
      <w:color w:val="FA7D00"/>
      <w:sz w:val="22"/>
      <w:szCs w:val="22"/>
    </w:rPr>
  </w:style>
  <w:style w:type="paragraph" w:customStyle="1" w:styleId="31">
    <w:name w:val="font19"/>
    <w:basedOn w:val="1"/>
    <w:autoRedefine/>
    <w:qFormat/>
    <w:uiPriority w:val="0"/>
    <w:pPr>
      <w:spacing w:before="100" w:beforeAutospacing="1" w:after="100" w:afterAutospacing="1"/>
    </w:pPr>
    <w:rPr>
      <w:b/>
      <w:bCs/>
      <w:color w:val="000000"/>
      <w:sz w:val="22"/>
      <w:szCs w:val="22"/>
    </w:rPr>
  </w:style>
  <w:style w:type="paragraph" w:customStyle="1" w:styleId="32">
    <w:name w:val="font20"/>
    <w:basedOn w:val="1"/>
    <w:autoRedefine/>
    <w:qFormat/>
    <w:uiPriority w:val="0"/>
    <w:pPr>
      <w:spacing w:before="100" w:beforeAutospacing="1" w:after="100" w:afterAutospacing="1"/>
    </w:pPr>
    <w:rPr>
      <w:color w:val="006100"/>
      <w:sz w:val="22"/>
      <w:szCs w:val="22"/>
    </w:rPr>
  </w:style>
  <w:style w:type="paragraph" w:customStyle="1" w:styleId="33">
    <w:name w:val="font21"/>
    <w:basedOn w:val="1"/>
    <w:autoRedefine/>
    <w:qFormat/>
    <w:uiPriority w:val="0"/>
    <w:pPr>
      <w:spacing w:before="100" w:beforeAutospacing="1" w:after="100" w:afterAutospacing="1"/>
    </w:pPr>
    <w:rPr>
      <w:color w:val="9C0006"/>
      <w:sz w:val="22"/>
      <w:szCs w:val="22"/>
    </w:rPr>
  </w:style>
  <w:style w:type="paragraph" w:customStyle="1" w:styleId="34">
    <w:name w:val="font22"/>
    <w:basedOn w:val="1"/>
    <w:autoRedefine/>
    <w:qFormat/>
    <w:uiPriority w:val="0"/>
    <w:pPr>
      <w:spacing w:before="100" w:beforeAutospacing="1" w:after="100" w:afterAutospacing="1"/>
    </w:pPr>
    <w:rPr>
      <w:color w:val="9C6500"/>
      <w:sz w:val="22"/>
      <w:szCs w:val="22"/>
    </w:rPr>
  </w:style>
  <w:style w:type="paragraph" w:customStyle="1" w:styleId="35">
    <w:name w:val="font23"/>
    <w:basedOn w:val="1"/>
    <w:autoRedefine/>
    <w:qFormat/>
    <w:uiPriority w:val="0"/>
    <w:pPr>
      <w:spacing w:before="100" w:beforeAutospacing="1" w:after="100" w:afterAutospacing="1"/>
    </w:pPr>
    <w:rPr>
      <w:color w:val="FFFFFF"/>
      <w:sz w:val="22"/>
      <w:szCs w:val="22"/>
    </w:rPr>
  </w:style>
  <w:style w:type="paragraph" w:customStyle="1" w:styleId="36">
    <w:name w:val="font24"/>
    <w:basedOn w:val="1"/>
    <w:autoRedefine/>
    <w:qFormat/>
    <w:uiPriority w:val="0"/>
    <w:pPr>
      <w:spacing w:before="100" w:beforeAutospacing="1" w:after="100" w:afterAutospacing="1"/>
    </w:pPr>
    <w:rPr>
      <w:color w:val="333333"/>
    </w:rPr>
  </w:style>
  <w:style w:type="paragraph" w:customStyle="1" w:styleId="37">
    <w:name w:val="常规"/>
    <w:basedOn w:val="1"/>
    <w:autoRedefine/>
    <w:qFormat/>
    <w:uiPriority w:val="0"/>
    <w:pPr>
      <w:spacing w:before="100" w:beforeAutospacing="1" w:after="100" w:afterAutospacing="1"/>
      <w:textAlignment w:val="center"/>
    </w:pPr>
    <w:rPr>
      <w:color w:val="000000"/>
      <w:sz w:val="22"/>
      <w:szCs w:val="22"/>
    </w:rPr>
  </w:style>
  <w:style w:type="paragraph" w:customStyle="1" w:styleId="38">
    <w:name w:val="千位分隔"/>
    <w:basedOn w:val="1"/>
    <w:autoRedefine/>
    <w:qFormat/>
    <w:uiPriority w:val="0"/>
    <w:pPr>
      <w:spacing w:before="100" w:beforeAutospacing="1" w:after="100" w:afterAutospacing="1"/>
    </w:pPr>
  </w:style>
  <w:style w:type="paragraph" w:customStyle="1" w:styleId="39">
    <w:name w:val="货币"/>
    <w:basedOn w:val="1"/>
    <w:autoRedefine/>
    <w:qFormat/>
    <w:uiPriority w:val="0"/>
    <w:pPr>
      <w:spacing w:before="100" w:beforeAutospacing="1" w:after="100" w:afterAutospacing="1"/>
    </w:pPr>
  </w:style>
  <w:style w:type="paragraph" w:customStyle="1" w:styleId="40">
    <w:name w:val="百分比"/>
    <w:basedOn w:val="1"/>
    <w:autoRedefine/>
    <w:qFormat/>
    <w:uiPriority w:val="0"/>
    <w:pPr>
      <w:spacing w:before="100" w:beforeAutospacing="1" w:after="100" w:afterAutospacing="1"/>
    </w:pPr>
  </w:style>
  <w:style w:type="paragraph" w:customStyle="1" w:styleId="41">
    <w:name w:val="千位分隔[0]"/>
    <w:basedOn w:val="1"/>
    <w:autoRedefine/>
    <w:qFormat/>
    <w:uiPriority w:val="0"/>
    <w:pPr>
      <w:spacing w:before="100" w:beforeAutospacing="1" w:after="100" w:afterAutospacing="1"/>
    </w:pPr>
  </w:style>
  <w:style w:type="paragraph" w:customStyle="1" w:styleId="42">
    <w:name w:val="货币[0]"/>
    <w:basedOn w:val="1"/>
    <w:autoRedefine/>
    <w:qFormat/>
    <w:uiPriority w:val="0"/>
    <w:pPr>
      <w:spacing w:before="100" w:beforeAutospacing="1" w:after="100" w:afterAutospacing="1"/>
    </w:pPr>
  </w:style>
  <w:style w:type="paragraph" w:customStyle="1" w:styleId="43">
    <w:name w:val="超链接1"/>
    <w:basedOn w:val="1"/>
    <w:autoRedefine/>
    <w:qFormat/>
    <w:uiPriority w:val="0"/>
    <w:pPr>
      <w:spacing w:before="100" w:beforeAutospacing="1" w:after="100" w:afterAutospacing="1"/>
    </w:pPr>
    <w:rPr>
      <w:color w:val="0000FF"/>
      <w:sz w:val="22"/>
      <w:szCs w:val="22"/>
      <w:u w:val="single"/>
    </w:rPr>
  </w:style>
  <w:style w:type="paragraph" w:customStyle="1" w:styleId="44">
    <w:name w:val="已访问的超链接11"/>
    <w:basedOn w:val="1"/>
    <w:autoRedefine/>
    <w:qFormat/>
    <w:uiPriority w:val="0"/>
    <w:pPr>
      <w:spacing w:before="100" w:beforeAutospacing="1" w:after="100" w:afterAutospacing="1"/>
    </w:pPr>
    <w:rPr>
      <w:color w:val="800080"/>
      <w:sz w:val="22"/>
      <w:szCs w:val="22"/>
      <w:u w:val="single"/>
    </w:rPr>
  </w:style>
  <w:style w:type="paragraph" w:customStyle="1" w:styleId="45">
    <w:name w:val="注释"/>
    <w:basedOn w:val="1"/>
    <w:autoRedefine/>
    <w:qFormat/>
    <w:uiPriority w:val="0"/>
    <w:pPr>
      <w:pBdr>
        <w:top w:val="single" w:color="B2B2B2" w:sz="4" w:space="0"/>
        <w:left w:val="single" w:color="B2B2B2" w:sz="4" w:space="0"/>
        <w:bottom w:val="single" w:color="B2B2B2" w:sz="4" w:space="0"/>
        <w:right w:val="single" w:color="B2B2B2" w:sz="4" w:space="0"/>
      </w:pBdr>
      <w:shd w:val="clear" w:color="auto" w:fill="FFFFCC"/>
      <w:spacing w:before="100" w:beforeAutospacing="1" w:after="100" w:afterAutospacing="1"/>
    </w:pPr>
  </w:style>
  <w:style w:type="paragraph" w:customStyle="1" w:styleId="46">
    <w:name w:val="警告文本"/>
    <w:basedOn w:val="1"/>
    <w:autoRedefine/>
    <w:qFormat/>
    <w:uiPriority w:val="0"/>
    <w:pPr>
      <w:spacing w:before="100" w:beforeAutospacing="1" w:after="100" w:afterAutospacing="1"/>
    </w:pPr>
    <w:rPr>
      <w:color w:val="FF0000"/>
      <w:sz w:val="22"/>
      <w:szCs w:val="22"/>
    </w:rPr>
  </w:style>
  <w:style w:type="character" w:customStyle="1" w:styleId="47">
    <w:name w:val="标题 字符"/>
    <w:basedOn w:val="8"/>
    <w:autoRedefine/>
    <w:qFormat/>
    <w:uiPriority w:val="10"/>
    <w:rPr>
      <w:rFonts w:asciiTheme="majorHAnsi" w:hAnsiTheme="majorHAnsi" w:eastAsiaTheme="majorEastAsia" w:cstheme="majorBidi"/>
      <w:b/>
      <w:bCs/>
      <w:sz w:val="32"/>
      <w:szCs w:val="32"/>
    </w:rPr>
  </w:style>
  <w:style w:type="paragraph" w:customStyle="1" w:styleId="48">
    <w:name w:val="解释性文本"/>
    <w:basedOn w:val="1"/>
    <w:autoRedefine/>
    <w:qFormat/>
    <w:uiPriority w:val="0"/>
    <w:pPr>
      <w:spacing w:before="100" w:beforeAutospacing="1" w:after="100" w:afterAutospacing="1"/>
    </w:pPr>
    <w:rPr>
      <w:i/>
      <w:iCs/>
      <w:color w:val="7F7F7F"/>
      <w:sz w:val="22"/>
      <w:szCs w:val="22"/>
    </w:rPr>
  </w:style>
  <w:style w:type="character" w:customStyle="1" w:styleId="49">
    <w:name w:val="标题 1 字符"/>
    <w:basedOn w:val="8"/>
    <w:autoRedefine/>
    <w:qFormat/>
    <w:uiPriority w:val="9"/>
    <w:rPr>
      <w:rFonts w:ascii="宋体" w:hAnsi="宋体" w:eastAsia="宋体" w:cs="宋体"/>
      <w:b/>
      <w:bCs/>
      <w:kern w:val="44"/>
      <w:sz w:val="44"/>
      <w:szCs w:val="44"/>
    </w:rPr>
  </w:style>
  <w:style w:type="character" w:customStyle="1" w:styleId="50">
    <w:name w:val="标题 2 字符"/>
    <w:basedOn w:val="8"/>
    <w:autoRedefine/>
    <w:semiHidden/>
    <w:qFormat/>
    <w:uiPriority w:val="9"/>
    <w:rPr>
      <w:rFonts w:asciiTheme="majorHAnsi" w:hAnsiTheme="majorHAnsi" w:eastAsiaTheme="majorEastAsia" w:cstheme="majorBidi"/>
      <w:b/>
      <w:bCs/>
      <w:sz w:val="32"/>
      <w:szCs w:val="32"/>
    </w:rPr>
  </w:style>
  <w:style w:type="character" w:customStyle="1" w:styleId="51">
    <w:name w:val="标题 3 字符"/>
    <w:basedOn w:val="8"/>
    <w:autoRedefine/>
    <w:semiHidden/>
    <w:qFormat/>
    <w:uiPriority w:val="9"/>
    <w:rPr>
      <w:rFonts w:ascii="宋体" w:hAnsi="宋体" w:eastAsia="宋体" w:cs="宋体"/>
      <w:b/>
      <w:bCs/>
      <w:sz w:val="32"/>
      <w:szCs w:val="32"/>
    </w:rPr>
  </w:style>
  <w:style w:type="character" w:customStyle="1" w:styleId="52">
    <w:name w:val="标题 4 字符"/>
    <w:basedOn w:val="8"/>
    <w:autoRedefine/>
    <w:semiHidden/>
    <w:qFormat/>
    <w:uiPriority w:val="9"/>
    <w:rPr>
      <w:rFonts w:asciiTheme="majorHAnsi" w:hAnsiTheme="majorHAnsi" w:eastAsiaTheme="majorEastAsia" w:cstheme="majorBidi"/>
      <w:b/>
      <w:bCs/>
      <w:sz w:val="28"/>
      <w:szCs w:val="28"/>
    </w:rPr>
  </w:style>
  <w:style w:type="paragraph" w:customStyle="1" w:styleId="53">
    <w:name w:val="输入"/>
    <w:basedOn w:val="1"/>
    <w:autoRedefine/>
    <w:qFormat/>
    <w:uiPriority w:val="0"/>
    <w:pPr>
      <w:pBdr>
        <w:top w:val="single" w:color="7F7F7F" w:sz="4" w:space="0"/>
        <w:left w:val="single" w:color="7F7F7F" w:sz="4" w:space="0"/>
        <w:bottom w:val="single" w:color="7F7F7F" w:sz="4" w:space="0"/>
        <w:right w:val="single" w:color="7F7F7F" w:sz="4" w:space="0"/>
      </w:pBdr>
      <w:shd w:val="clear" w:color="auto" w:fill="FFCC99"/>
      <w:spacing w:before="100" w:beforeAutospacing="1" w:after="100" w:afterAutospacing="1"/>
    </w:pPr>
    <w:rPr>
      <w:color w:val="3F3F76"/>
      <w:sz w:val="22"/>
      <w:szCs w:val="22"/>
    </w:rPr>
  </w:style>
  <w:style w:type="paragraph" w:customStyle="1" w:styleId="54">
    <w:name w:val="输出"/>
    <w:basedOn w:val="1"/>
    <w:autoRedefine/>
    <w:qFormat/>
    <w:uiPriority w:val="0"/>
    <w:pPr>
      <w:pBdr>
        <w:top w:val="single" w:color="3F3F3F" w:sz="4" w:space="0"/>
        <w:left w:val="single" w:color="3F3F3F" w:sz="4" w:space="0"/>
        <w:bottom w:val="single" w:color="3F3F3F" w:sz="4" w:space="0"/>
        <w:right w:val="single" w:color="3F3F3F" w:sz="4" w:space="0"/>
      </w:pBdr>
      <w:shd w:val="clear" w:color="auto" w:fill="F2F2F2"/>
      <w:spacing w:before="100" w:beforeAutospacing="1" w:after="100" w:afterAutospacing="1"/>
    </w:pPr>
    <w:rPr>
      <w:b/>
      <w:bCs/>
      <w:color w:val="3F3F3F"/>
      <w:sz w:val="22"/>
      <w:szCs w:val="22"/>
    </w:rPr>
  </w:style>
  <w:style w:type="paragraph" w:customStyle="1" w:styleId="55">
    <w:name w:val="计算"/>
    <w:basedOn w:val="1"/>
    <w:autoRedefine/>
    <w:qFormat/>
    <w:uiPriority w:val="0"/>
    <w:pPr>
      <w:pBdr>
        <w:top w:val="single" w:color="7F7F7F" w:sz="4" w:space="0"/>
        <w:left w:val="single" w:color="7F7F7F" w:sz="4" w:space="0"/>
        <w:bottom w:val="single" w:color="7F7F7F" w:sz="4" w:space="0"/>
        <w:right w:val="single" w:color="7F7F7F" w:sz="4" w:space="0"/>
      </w:pBdr>
      <w:shd w:val="clear" w:color="auto" w:fill="F2F2F2"/>
      <w:spacing w:before="100" w:beforeAutospacing="1" w:after="100" w:afterAutospacing="1"/>
    </w:pPr>
    <w:rPr>
      <w:b/>
      <w:bCs/>
      <w:color w:val="FA7D00"/>
      <w:sz w:val="22"/>
      <w:szCs w:val="22"/>
    </w:rPr>
  </w:style>
  <w:style w:type="paragraph" w:customStyle="1" w:styleId="56">
    <w:name w:val="检查单元格"/>
    <w:basedOn w:val="1"/>
    <w:autoRedefine/>
    <w:qFormat/>
    <w:uiPriority w:val="0"/>
    <w:pPr>
      <w:pBdr>
        <w:top w:val="double" w:color="3F3F3F" w:sz="6" w:space="0"/>
        <w:left w:val="double" w:color="3F3F3F" w:sz="6" w:space="0"/>
        <w:bottom w:val="double" w:color="3F3F3F" w:sz="6" w:space="0"/>
        <w:right w:val="double" w:color="3F3F3F" w:sz="6" w:space="0"/>
      </w:pBdr>
      <w:shd w:val="clear" w:color="auto" w:fill="A5A5A5"/>
      <w:spacing w:before="100" w:beforeAutospacing="1" w:after="100" w:afterAutospacing="1"/>
    </w:pPr>
    <w:rPr>
      <w:b/>
      <w:bCs/>
      <w:color w:val="FFFFFF"/>
      <w:sz w:val="22"/>
      <w:szCs w:val="22"/>
    </w:rPr>
  </w:style>
  <w:style w:type="paragraph" w:customStyle="1" w:styleId="57">
    <w:name w:val="链接单元格"/>
    <w:basedOn w:val="1"/>
    <w:autoRedefine/>
    <w:qFormat/>
    <w:uiPriority w:val="0"/>
    <w:pPr>
      <w:pBdr>
        <w:bottom w:val="double" w:color="FF8001" w:sz="6" w:space="0"/>
      </w:pBdr>
      <w:spacing w:before="100" w:beforeAutospacing="1" w:after="100" w:afterAutospacing="1"/>
    </w:pPr>
    <w:rPr>
      <w:color w:val="FA7D00"/>
      <w:sz w:val="22"/>
      <w:szCs w:val="22"/>
    </w:rPr>
  </w:style>
  <w:style w:type="paragraph" w:customStyle="1" w:styleId="58">
    <w:name w:val="汇总"/>
    <w:basedOn w:val="1"/>
    <w:autoRedefine/>
    <w:qFormat/>
    <w:uiPriority w:val="0"/>
    <w:pPr>
      <w:pBdr>
        <w:top w:val="single" w:color="5B9BD5" w:sz="4" w:space="0"/>
        <w:bottom w:val="double" w:color="5B9BD5" w:sz="6" w:space="0"/>
      </w:pBdr>
      <w:spacing w:before="100" w:beforeAutospacing="1" w:after="100" w:afterAutospacing="1"/>
    </w:pPr>
    <w:rPr>
      <w:b/>
      <w:bCs/>
      <w:color w:val="000000"/>
      <w:sz w:val="22"/>
      <w:szCs w:val="22"/>
    </w:rPr>
  </w:style>
  <w:style w:type="paragraph" w:customStyle="1" w:styleId="59">
    <w:name w:val="好"/>
    <w:basedOn w:val="1"/>
    <w:autoRedefine/>
    <w:qFormat/>
    <w:uiPriority w:val="0"/>
    <w:pPr>
      <w:shd w:val="clear" w:color="auto" w:fill="C6EFCE"/>
      <w:spacing w:before="100" w:beforeAutospacing="1" w:after="100" w:afterAutospacing="1"/>
    </w:pPr>
    <w:rPr>
      <w:color w:val="006100"/>
      <w:sz w:val="22"/>
      <w:szCs w:val="22"/>
    </w:rPr>
  </w:style>
  <w:style w:type="paragraph" w:customStyle="1" w:styleId="60">
    <w:name w:val="差"/>
    <w:basedOn w:val="1"/>
    <w:autoRedefine/>
    <w:qFormat/>
    <w:uiPriority w:val="0"/>
    <w:pPr>
      <w:shd w:val="clear" w:color="auto" w:fill="FFC7CE"/>
      <w:spacing w:before="100" w:beforeAutospacing="1" w:after="100" w:afterAutospacing="1"/>
    </w:pPr>
    <w:rPr>
      <w:color w:val="9C0006"/>
      <w:sz w:val="22"/>
      <w:szCs w:val="22"/>
    </w:rPr>
  </w:style>
  <w:style w:type="paragraph" w:customStyle="1" w:styleId="61">
    <w:name w:val="适中"/>
    <w:basedOn w:val="1"/>
    <w:autoRedefine/>
    <w:qFormat/>
    <w:uiPriority w:val="0"/>
    <w:pPr>
      <w:shd w:val="clear" w:color="auto" w:fill="FFEB9C"/>
      <w:spacing w:before="100" w:beforeAutospacing="1" w:after="100" w:afterAutospacing="1"/>
    </w:pPr>
    <w:rPr>
      <w:color w:val="9C6500"/>
      <w:sz w:val="22"/>
      <w:szCs w:val="22"/>
    </w:rPr>
  </w:style>
  <w:style w:type="paragraph" w:customStyle="1" w:styleId="62">
    <w:name w:val="强调文字颜色 1"/>
    <w:basedOn w:val="1"/>
    <w:autoRedefine/>
    <w:qFormat/>
    <w:uiPriority w:val="0"/>
    <w:pPr>
      <w:shd w:val="clear" w:color="auto" w:fill="5B9BD5"/>
      <w:spacing w:before="100" w:beforeAutospacing="1" w:after="100" w:afterAutospacing="1"/>
    </w:pPr>
    <w:rPr>
      <w:color w:val="FFFFFF"/>
      <w:sz w:val="22"/>
      <w:szCs w:val="22"/>
    </w:rPr>
  </w:style>
  <w:style w:type="paragraph" w:customStyle="1" w:styleId="63">
    <w:name w:val="20% - 强调文字颜色 1"/>
    <w:basedOn w:val="1"/>
    <w:autoRedefine/>
    <w:qFormat/>
    <w:uiPriority w:val="0"/>
    <w:pPr>
      <w:shd w:val="clear" w:color="auto" w:fill="DDEBF7"/>
      <w:spacing w:before="100" w:beforeAutospacing="1" w:after="100" w:afterAutospacing="1"/>
    </w:pPr>
    <w:rPr>
      <w:color w:val="000000"/>
      <w:sz w:val="22"/>
      <w:szCs w:val="22"/>
    </w:rPr>
  </w:style>
  <w:style w:type="paragraph" w:customStyle="1" w:styleId="64">
    <w:name w:val="40% - 强调文字颜色 1"/>
    <w:basedOn w:val="1"/>
    <w:autoRedefine/>
    <w:qFormat/>
    <w:uiPriority w:val="0"/>
    <w:pPr>
      <w:shd w:val="clear" w:color="auto" w:fill="BDD7EE"/>
      <w:spacing w:before="100" w:beforeAutospacing="1" w:after="100" w:afterAutospacing="1"/>
    </w:pPr>
    <w:rPr>
      <w:color w:val="000000"/>
      <w:sz w:val="22"/>
      <w:szCs w:val="22"/>
    </w:rPr>
  </w:style>
  <w:style w:type="paragraph" w:customStyle="1" w:styleId="65">
    <w:name w:val="60% - 强调文字颜色 1"/>
    <w:basedOn w:val="1"/>
    <w:autoRedefine/>
    <w:qFormat/>
    <w:uiPriority w:val="0"/>
    <w:pPr>
      <w:shd w:val="clear" w:color="auto" w:fill="9BC2E6"/>
      <w:spacing w:before="100" w:beforeAutospacing="1" w:after="100" w:afterAutospacing="1"/>
    </w:pPr>
    <w:rPr>
      <w:color w:val="FFFFFF"/>
      <w:sz w:val="22"/>
      <w:szCs w:val="22"/>
    </w:rPr>
  </w:style>
  <w:style w:type="paragraph" w:customStyle="1" w:styleId="66">
    <w:name w:val="强调文字颜色 2"/>
    <w:basedOn w:val="1"/>
    <w:autoRedefine/>
    <w:qFormat/>
    <w:uiPriority w:val="0"/>
    <w:pPr>
      <w:shd w:val="clear" w:color="auto" w:fill="ED7D31"/>
      <w:spacing w:before="100" w:beforeAutospacing="1" w:after="100" w:afterAutospacing="1"/>
    </w:pPr>
    <w:rPr>
      <w:color w:val="FFFFFF"/>
      <w:sz w:val="22"/>
      <w:szCs w:val="22"/>
    </w:rPr>
  </w:style>
  <w:style w:type="paragraph" w:customStyle="1" w:styleId="67">
    <w:name w:val="20% - 强调文字颜色 2"/>
    <w:basedOn w:val="1"/>
    <w:autoRedefine/>
    <w:qFormat/>
    <w:uiPriority w:val="0"/>
    <w:pPr>
      <w:shd w:val="clear" w:color="auto" w:fill="FCE4D6"/>
      <w:spacing w:before="100" w:beforeAutospacing="1" w:after="100" w:afterAutospacing="1"/>
    </w:pPr>
    <w:rPr>
      <w:color w:val="000000"/>
      <w:sz w:val="22"/>
      <w:szCs w:val="22"/>
    </w:rPr>
  </w:style>
  <w:style w:type="paragraph" w:customStyle="1" w:styleId="68">
    <w:name w:val="40% - 强调文字颜色 2"/>
    <w:basedOn w:val="1"/>
    <w:autoRedefine/>
    <w:qFormat/>
    <w:uiPriority w:val="0"/>
    <w:pPr>
      <w:shd w:val="clear" w:color="auto" w:fill="F8CBAD"/>
      <w:spacing w:before="100" w:beforeAutospacing="1" w:after="100" w:afterAutospacing="1"/>
    </w:pPr>
    <w:rPr>
      <w:color w:val="000000"/>
      <w:sz w:val="22"/>
      <w:szCs w:val="22"/>
    </w:rPr>
  </w:style>
  <w:style w:type="paragraph" w:customStyle="1" w:styleId="69">
    <w:name w:val="60% - 强调文字颜色 2"/>
    <w:basedOn w:val="1"/>
    <w:autoRedefine/>
    <w:qFormat/>
    <w:uiPriority w:val="0"/>
    <w:pPr>
      <w:shd w:val="clear" w:color="auto" w:fill="F4B084"/>
      <w:spacing w:before="100" w:beforeAutospacing="1" w:after="100" w:afterAutospacing="1"/>
    </w:pPr>
    <w:rPr>
      <w:color w:val="FFFFFF"/>
      <w:sz w:val="22"/>
      <w:szCs w:val="22"/>
    </w:rPr>
  </w:style>
  <w:style w:type="paragraph" w:customStyle="1" w:styleId="70">
    <w:name w:val="强调文字颜色 3"/>
    <w:basedOn w:val="1"/>
    <w:autoRedefine/>
    <w:qFormat/>
    <w:uiPriority w:val="0"/>
    <w:pPr>
      <w:shd w:val="clear" w:color="auto" w:fill="A5A5A5"/>
      <w:spacing w:before="100" w:beforeAutospacing="1" w:after="100" w:afterAutospacing="1"/>
    </w:pPr>
    <w:rPr>
      <w:color w:val="FFFFFF"/>
      <w:sz w:val="22"/>
      <w:szCs w:val="22"/>
    </w:rPr>
  </w:style>
  <w:style w:type="paragraph" w:customStyle="1" w:styleId="71">
    <w:name w:val="20% - 强调文字颜色 3"/>
    <w:basedOn w:val="1"/>
    <w:autoRedefine/>
    <w:qFormat/>
    <w:uiPriority w:val="0"/>
    <w:pPr>
      <w:shd w:val="clear" w:color="auto" w:fill="EDEDED"/>
      <w:spacing w:before="100" w:beforeAutospacing="1" w:after="100" w:afterAutospacing="1"/>
    </w:pPr>
    <w:rPr>
      <w:color w:val="000000"/>
      <w:sz w:val="22"/>
      <w:szCs w:val="22"/>
    </w:rPr>
  </w:style>
  <w:style w:type="paragraph" w:customStyle="1" w:styleId="72">
    <w:name w:val="40% - 强调文字颜色 3"/>
    <w:basedOn w:val="1"/>
    <w:autoRedefine/>
    <w:qFormat/>
    <w:uiPriority w:val="0"/>
    <w:pPr>
      <w:shd w:val="clear" w:color="auto" w:fill="DBDBDB"/>
      <w:spacing w:before="100" w:beforeAutospacing="1" w:after="100" w:afterAutospacing="1"/>
    </w:pPr>
    <w:rPr>
      <w:color w:val="000000"/>
      <w:sz w:val="22"/>
      <w:szCs w:val="22"/>
    </w:rPr>
  </w:style>
  <w:style w:type="paragraph" w:customStyle="1" w:styleId="73">
    <w:name w:val="60% - 强调文字颜色 3"/>
    <w:basedOn w:val="1"/>
    <w:autoRedefine/>
    <w:qFormat/>
    <w:uiPriority w:val="0"/>
    <w:pPr>
      <w:shd w:val="clear" w:color="auto" w:fill="C9C9C9"/>
      <w:spacing w:before="100" w:beforeAutospacing="1" w:after="100" w:afterAutospacing="1"/>
    </w:pPr>
    <w:rPr>
      <w:color w:val="FFFFFF"/>
      <w:sz w:val="22"/>
      <w:szCs w:val="22"/>
    </w:rPr>
  </w:style>
  <w:style w:type="paragraph" w:customStyle="1" w:styleId="74">
    <w:name w:val="强调文字颜色 4"/>
    <w:basedOn w:val="1"/>
    <w:autoRedefine/>
    <w:qFormat/>
    <w:uiPriority w:val="0"/>
    <w:pPr>
      <w:shd w:val="clear" w:color="auto" w:fill="FFC000"/>
      <w:spacing w:before="100" w:beforeAutospacing="1" w:after="100" w:afterAutospacing="1"/>
    </w:pPr>
    <w:rPr>
      <w:color w:val="FFFFFF"/>
      <w:sz w:val="22"/>
      <w:szCs w:val="22"/>
    </w:rPr>
  </w:style>
  <w:style w:type="paragraph" w:customStyle="1" w:styleId="75">
    <w:name w:val="20% - 强调文字颜色 4"/>
    <w:basedOn w:val="1"/>
    <w:autoRedefine/>
    <w:qFormat/>
    <w:uiPriority w:val="0"/>
    <w:pPr>
      <w:shd w:val="clear" w:color="auto" w:fill="FFF2CC"/>
      <w:spacing w:before="100" w:beforeAutospacing="1" w:after="100" w:afterAutospacing="1"/>
    </w:pPr>
    <w:rPr>
      <w:color w:val="000000"/>
      <w:sz w:val="22"/>
      <w:szCs w:val="22"/>
    </w:rPr>
  </w:style>
  <w:style w:type="paragraph" w:customStyle="1" w:styleId="76">
    <w:name w:val="40% - 强调文字颜色 4"/>
    <w:basedOn w:val="1"/>
    <w:autoRedefine/>
    <w:qFormat/>
    <w:uiPriority w:val="0"/>
    <w:pPr>
      <w:shd w:val="clear" w:color="auto" w:fill="FFE699"/>
      <w:spacing w:before="100" w:beforeAutospacing="1" w:after="100" w:afterAutospacing="1"/>
    </w:pPr>
    <w:rPr>
      <w:color w:val="000000"/>
      <w:sz w:val="22"/>
      <w:szCs w:val="22"/>
    </w:rPr>
  </w:style>
  <w:style w:type="paragraph" w:customStyle="1" w:styleId="77">
    <w:name w:val="60% - 强调文字颜色 4"/>
    <w:basedOn w:val="1"/>
    <w:autoRedefine/>
    <w:qFormat/>
    <w:uiPriority w:val="0"/>
    <w:pPr>
      <w:shd w:val="clear" w:color="auto" w:fill="FFD966"/>
      <w:spacing w:before="100" w:beforeAutospacing="1" w:after="100" w:afterAutospacing="1"/>
    </w:pPr>
    <w:rPr>
      <w:color w:val="FFFFFF"/>
      <w:sz w:val="22"/>
      <w:szCs w:val="22"/>
    </w:rPr>
  </w:style>
  <w:style w:type="paragraph" w:customStyle="1" w:styleId="78">
    <w:name w:val="强调文字颜色 5"/>
    <w:basedOn w:val="1"/>
    <w:autoRedefine/>
    <w:qFormat/>
    <w:uiPriority w:val="0"/>
    <w:pPr>
      <w:shd w:val="clear" w:color="auto" w:fill="4472C4"/>
      <w:spacing w:before="100" w:beforeAutospacing="1" w:after="100" w:afterAutospacing="1"/>
    </w:pPr>
    <w:rPr>
      <w:color w:val="FFFFFF"/>
      <w:sz w:val="22"/>
      <w:szCs w:val="22"/>
    </w:rPr>
  </w:style>
  <w:style w:type="paragraph" w:customStyle="1" w:styleId="79">
    <w:name w:val="20% - 强调文字颜色 5"/>
    <w:basedOn w:val="1"/>
    <w:autoRedefine/>
    <w:qFormat/>
    <w:uiPriority w:val="0"/>
    <w:pPr>
      <w:shd w:val="clear" w:color="auto" w:fill="D9E1F2"/>
      <w:spacing w:before="100" w:beforeAutospacing="1" w:after="100" w:afterAutospacing="1"/>
    </w:pPr>
    <w:rPr>
      <w:color w:val="000000"/>
      <w:sz w:val="22"/>
      <w:szCs w:val="22"/>
    </w:rPr>
  </w:style>
  <w:style w:type="paragraph" w:customStyle="1" w:styleId="80">
    <w:name w:val="40% - 强调文字颜色 5"/>
    <w:basedOn w:val="1"/>
    <w:autoRedefine/>
    <w:qFormat/>
    <w:uiPriority w:val="0"/>
    <w:pPr>
      <w:shd w:val="clear" w:color="auto" w:fill="B4C6E7"/>
      <w:spacing w:before="100" w:beforeAutospacing="1" w:after="100" w:afterAutospacing="1"/>
    </w:pPr>
    <w:rPr>
      <w:color w:val="000000"/>
      <w:sz w:val="22"/>
      <w:szCs w:val="22"/>
    </w:rPr>
  </w:style>
  <w:style w:type="paragraph" w:customStyle="1" w:styleId="81">
    <w:name w:val="60% - 强调文字颜色 5"/>
    <w:basedOn w:val="1"/>
    <w:autoRedefine/>
    <w:qFormat/>
    <w:uiPriority w:val="0"/>
    <w:pPr>
      <w:shd w:val="clear" w:color="auto" w:fill="8EA9DB"/>
      <w:spacing w:before="100" w:beforeAutospacing="1" w:after="100" w:afterAutospacing="1"/>
    </w:pPr>
    <w:rPr>
      <w:color w:val="FFFFFF"/>
      <w:sz w:val="22"/>
      <w:szCs w:val="22"/>
    </w:rPr>
  </w:style>
  <w:style w:type="paragraph" w:customStyle="1" w:styleId="82">
    <w:name w:val="强调文字颜色 6"/>
    <w:basedOn w:val="1"/>
    <w:autoRedefine/>
    <w:qFormat/>
    <w:uiPriority w:val="0"/>
    <w:pPr>
      <w:shd w:val="clear" w:color="auto" w:fill="70AD47"/>
      <w:spacing w:before="100" w:beforeAutospacing="1" w:after="100" w:afterAutospacing="1"/>
    </w:pPr>
    <w:rPr>
      <w:color w:val="FFFFFF"/>
      <w:sz w:val="22"/>
      <w:szCs w:val="22"/>
    </w:rPr>
  </w:style>
  <w:style w:type="paragraph" w:customStyle="1" w:styleId="83">
    <w:name w:val="20% - 强调文字颜色 6"/>
    <w:basedOn w:val="1"/>
    <w:autoRedefine/>
    <w:qFormat/>
    <w:uiPriority w:val="0"/>
    <w:pPr>
      <w:shd w:val="clear" w:color="auto" w:fill="E2EFDA"/>
      <w:spacing w:before="100" w:beforeAutospacing="1" w:after="100" w:afterAutospacing="1"/>
    </w:pPr>
    <w:rPr>
      <w:color w:val="000000"/>
      <w:sz w:val="22"/>
      <w:szCs w:val="22"/>
    </w:rPr>
  </w:style>
  <w:style w:type="paragraph" w:customStyle="1" w:styleId="84">
    <w:name w:val="40% - 强调文字颜色 6"/>
    <w:basedOn w:val="1"/>
    <w:autoRedefine/>
    <w:qFormat/>
    <w:uiPriority w:val="0"/>
    <w:pPr>
      <w:shd w:val="clear" w:color="auto" w:fill="C6E0B4"/>
      <w:spacing w:before="100" w:beforeAutospacing="1" w:after="100" w:afterAutospacing="1"/>
    </w:pPr>
    <w:rPr>
      <w:color w:val="000000"/>
      <w:sz w:val="22"/>
      <w:szCs w:val="22"/>
    </w:rPr>
  </w:style>
  <w:style w:type="paragraph" w:customStyle="1" w:styleId="85">
    <w:name w:val="60% - 强调文字颜色 6"/>
    <w:basedOn w:val="1"/>
    <w:autoRedefine/>
    <w:qFormat/>
    <w:uiPriority w:val="0"/>
    <w:pPr>
      <w:shd w:val="clear" w:color="auto" w:fill="A9D08E"/>
      <w:spacing w:before="100" w:beforeAutospacing="1" w:after="100" w:afterAutospacing="1"/>
    </w:pPr>
    <w:rPr>
      <w:color w:val="FFFFFF"/>
      <w:sz w:val="22"/>
      <w:szCs w:val="22"/>
    </w:rPr>
  </w:style>
  <w:style w:type="table" w:customStyle="1" w:styleId="86">
    <w:name w:val="常规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tcPr>
      <w:noWrap/>
      <w:vAlign w:val="center"/>
    </w:tcPr>
  </w:style>
  <w:style w:type="table" w:customStyle="1" w:styleId="87">
    <w:name w:val="千位分隔1"/>
    <w:basedOn w:val="7"/>
    <w:autoRedefine/>
    <w:qFormat/>
    <w:uiPriority w:val="0"/>
    <w:pPr>
      <w:spacing w:before="100" w:beforeAutospacing="1" w:after="100" w:afterAutospacing="1"/>
    </w:pPr>
    <w:tblPr>
      <w:tblCellMar>
        <w:left w:w="0" w:type="dxa"/>
        <w:right w:w="0" w:type="dxa"/>
      </w:tblCellMar>
    </w:tblPr>
  </w:style>
  <w:style w:type="table" w:customStyle="1" w:styleId="88">
    <w:name w:val="货币1"/>
    <w:basedOn w:val="7"/>
    <w:autoRedefine/>
    <w:qFormat/>
    <w:uiPriority w:val="0"/>
    <w:pPr>
      <w:spacing w:before="100" w:beforeAutospacing="1" w:after="100" w:afterAutospacing="1"/>
    </w:pPr>
    <w:tblPr>
      <w:tblCellMar>
        <w:left w:w="0" w:type="dxa"/>
        <w:right w:w="0" w:type="dxa"/>
      </w:tblCellMar>
    </w:tblPr>
  </w:style>
  <w:style w:type="table" w:customStyle="1" w:styleId="89">
    <w:name w:val="百分比1"/>
    <w:basedOn w:val="7"/>
    <w:autoRedefine/>
    <w:qFormat/>
    <w:uiPriority w:val="0"/>
    <w:pPr>
      <w:spacing w:before="100" w:beforeAutospacing="1" w:after="100" w:afterAutospacing="1"/>
    </w:pPr>
    <w:tblPr>
      <w:tblCellMar>
        <w:left w:w="0" w:type="dxa"/>
        <w:right w:w="0" w:type="dxa"/>
      </w:tblCellMar>
    </w:tblPr>
  </w:style>
  <w:style w:type="table" w:customStyle="1" w:styleId="90">
    <w:name w:val="千位分隔[0]1"/>
    <w:basedOn w:val="7"/>
    <w:autoRedefine/>
    <w:qFormat/>
    <w:uiPriority w:val="0"/>
    <w:pPr>
      <w:spacing w:before="100" w:beforeAutospacing="1" w:after="100" w:afterAutospacing="1"/>
    </w:pPr>
    <w:tblPr>
      <w:tblCellMar>
        <w:left w:w="0" w:type="dxa"/>
        <w:right w:w="0" w:type="dxa"/>
      </w:tblCellMar>
    </w:tblPr>
  </w:style>
  <w:style w:type="table" w:customStyle="1" w:styleId="91">
    <w:name w:val="货币[0]1"/>
    <w:basedOn w:val="7"/>
    <w:autoRedefine/>
    <w:qFormat/>
    <w:uiPriority w:val="0"/>
    <w:pPr>
      <w:spacing w:before="100" w:beforeAutospacing="1" w:after="100" w:afterAutospacing="1"/>
    </w:pPr>
    <w:tblPr>
      <w:tblCellMar>
        <w:left w:w="0" w:type="dxa"/>
        <w:right w:w="0" w:type="dxa"/>
      </w:tblCellMar>
    </w:tblPr>
  </w:style>
  <w:style w:type="table" w:customStyle="1" w:styleId="92">
    <w:name w:val="超链接2"/>
    <w:basedOn w:val="7"/>
    <w:autoRedefine/>
    <w:qFormat/>
    <w:uiPriority w:val="0"/>
    <w:pPr>
      <w:spacing w:before="100" w:beforeAutospacing="1" w:after="100" w:afterAutospacing="1"/>
    </w:pPr>
    <w:rPr>
      <w:rFonts w:ascii="宋体" w:hAnsi="宋体" w:eastAsia="宋体"/>
      <w:color w:val="0000FF"/>
      <w:sz w:val="22"/>
      <w:szCs w:val="22"/>
      <w:u w:val="single"/>
    </w:rPr>
    <w:tblPr>
      <w:tblCellMar>
        <w:left w:w="0" w:type="dxa"/>
        <w:right w:w="0" w:type="dxa"/>
      </w:tblCellMar>
    </w:tblPr>
  </w:style>
  <w:style w:type="table" w:customStyle="1" w:styleId="93">
    <w:name w:val="已访问的超链接1"/>
    <w:basedOn w:val="7"/>
    <w:autoRedefine/>
    <w:qFormat/>
    <w:uiPriority w:val="0"/>
    <w:pPr>
      <w:spacing w:before="100" w:beforeAutospacing="1" w:after="100" w:afterAutospacing="1"/>
    </w:pPr>
    <w:rPr>
      <w:rFonts w:ascii="宋体" w:hAnsi="宋体" w:eastAsia="宋体"/>
      <w:color w:val="800080"/>
      <w:sz w:val="22"/>
      <w:szCs w:val="22"/>
      <w:u w:val="single"/>
    </w:rPr>
    <w:tblPr>
      <w:tblCellMar>
        <w:left w:w="0" w:type="dxa"/>
        <w:right w:w="0" w:type="dxa"/>
      </w:tblCellMar>
    </w:tblPr>
  </w:style>
  <w:style w:type="table" w:customStyle="1" w:styleId="94">
    <w:name w:val="注释1"/>
    <w:basedOn w:val="7"/>
    <w:autoRedefine/>
    <w:qFormat/>
    <w:uiPriority w:val="0"/>
    <w:pPr>
      <w:spacing w:before="100" w:beforeAutospacing="1" w:after="100" w:afterAutospacing="1"/>
    </w:pPr>
    <w:tblPr>
      <w:tblBorders>
        <w:top w:val="single" w:color="B2B2B2" w:sz="4" w:space="0"/>
        <w:left w:val="single" w:color="B2B2B2" w:sz="4" w:space="0"/>
        <w:bottom w:val="single" w:color="B2B2B2" w:sz="4" w:space="0"/>
        <w:right w:val="single" w:color="B2B2B2" w:sz="4" w:space="0"/>
      </w:tblBorders>
      <w:tblCellMar>
        <w:left w:w="0" w:type="dxa"/>
        <w:right w:w="0" w:type="dxa"/>
      </w:tblCellMar>
    </w:tblPr>
  </w:style>
  <w:style w:type="table" w:customStyle="1" w:styleId="95">
    <w:name w:val="警告文本1"/>
    <w:basedOn w:val="7"/>
    <w:autoRedefine/>
    <w:qFormat/>
    <w:uiPriority w:val="0"/>
    <w:pPr>
      <w:spacing w:before="100" w:beforeAutospacing="1" w:after="100" w:afterAutospacing="1"/>
    </w:pPr>
    <w:rPr>
      <w:rFonts w:ascii="宋体" w:hAnsi="宋体" w:eastAsia="宋体"/>
      <w:color w:val="FF0000"/>
      <w:sz w:val="22"/>
      <w:szCs w:val="22"/>
    </w:rPr>
    <w:tblPr>
      <w:tblCellMar>
        <w:left w:w="0" w:type="dxa"/>
        <w:right w:w="0" w:type="dxa"/>
      </w:tblCellMar>
    </w:tblPr>
  </w:style>
  <w:style w:type="table" w:customStyle="1" w:styleId="96">
    <w:name w:val="标题1"/>
    <w:basedOn w:val="7"/>
    <w:autoRedefine/>
    <w:qFormat/>
    <w:uiPriority w:val="0"/>
    <w:pPr>
      <w:spacing w:before="100" w:beforeAutospacing="1" w:after="100" w:afterAutospacing="1"/>
    </w:pPr>
    <w:rPr>
      <w:rFonts w:ascii="宋体" w:hAnsi="宋体" w:eastAsia="宋体"/>
      <w:b/>
      <w:bCs/>
      <w:color w:val="44546A"/>
      <w:sz w:val="36"/>
      <w:szCs w:val="36"/>
    </w:rPr>
    <w:tblPr>
      <w:tblCellMar>
        <w:left w:w="0" w:type="dxa"/>
        <w:right w:w="0" w:type="dxa"/>
      </w:tblCellMar>
    </w:tblPr>
  </w:style>
  <w:style w:type="table" w:customStyle="1" w:styleId="97">
    <w:name w:val="解释性文本1"/>
    <w:basedOn w:val="7"/>
    <w:autoRedefine/>
    <w:qFormat/>
    <w:uiPriority w:val="0"/>
    <w:pPr>
      <w:spacing w:before="100" w:beforeAutospacing="1" w:after="100" w:afterAutospacing="1"/>
    </w:pPr>
    <w:rPr>
      <w:rFonts w:ascii="宋体" w:hAnsi="宋体" w:eastAsia="宋体"/>
      <w:i/>
      <w:iCs/>
      <w:color w:val="7F7F7F"/>
      <w:sz w:val="22"/>
      <w:szCs w:val="22"/>
    </w:rPr>
    <w:tblPr>
      <w:tblCellMar>
        <w:left w:w="0" w:type="dxa"/>
        <w:right w:w="0" w:type="dxa"/>
      </w:tblCellMar>
    </w:tblPr>
  </w:style>
  <w:style w:type="table" w:customStyle="1" w:styleId="98">
    <w:name w:val="标题 11"/>
    <w:basedOn w:val="7"/>
    <w:autoRedefine/>
    <w:qFormat/>
    <w:uiPriority w:val="0"/>
    <w:pPr>
      <w:spacing w:before="100" w:beforeAutospacing="1" w:after="100" w:afterAutospacing="1"/>
    </w:pPr>
    <w:rPr>
      <w:rFonts w:ascii="宋体" w:hAnsi="宋体" w:eastAsia="宋体"/>
      <w:b/>
      <w:bCs/>
      <w:color w:val="44546A"/>
      <w:sz w:val="30"/>
      <w:szCs w:val="30"/>
    </w:rPr>
    <w:tblPr>
      <w:tblBorders>
        <w:bottom w:val="single" w:color="5B9BD5" w:sz="8" w:space="0"/>
      </w:tblBorders>
      <w:tblCellMar>
        <w:left w:w="0" w:type="dxa"/>
        <w:right w:w="0" w:type="dxa"/>
      </w:tblCellMar>
    </w:tblPr>
  </w:style>
  <w:style w:type="table" w:customStyle="1" w:styleId="99">
    <w:name w:val="标题 21"/>
    <w:basedOn w:val="7"/>
    <w:autoRedefine/>
    <w:qFormat/>
    <w:uiPriority w:val="0"/>
    <w:pPr>
      <w:spacing w:before="100" w:beforeAutospacing="1" w:after="100" w:afterAutospacing="1"/>
    </w:pPr>
    <w:rPr>
      <w:rFonts w:ascii="宋体" w:hAnsi="宋体" w:eastAsia="宋体"/>
      <w:b/>
      <w:bCs/>
      <w:color w:val="44546A"/>
      <w:sz w:val="26"/>
      <w:szCs w:val="26"/>
    </w:rPr>
    <w:tblPr>
      <w:tblBorders>
        <w:bottom w:val="single" w:color="5B9BD5" w:sz="8" w:space="0"/>
      </w:tblBorders>
      <w:tblCellMar>
        <w:left w:w="0" w:type="dxa"/>
        <w:right w:w="0" w:type="dxa"/>
      </w:tblCellMar>
    </w:tblPr>
  </w:style>
  <w:style w:type="table" w:customStyle="1" w:styleId="100">
    <w:name w:val="标题 31"/>
    <w:basedOn w:val="7"/>
    <w:autoRedefine/>
    <w:qFormat/>
    <w:uiPriority w:val="0"/>
    <w:pPr>
      <w:spacing w:before="100" w:beforeAutospacing="1" w:after="100" w:afterAutospacing="1"/>
    </w:pPr>
    <w:rPr>
      <w:rFonts w:ascii="宋体" w:hAnsi="宋体" w:eastAsia="宋体"/>
      <w:b/>
      <w:bCs/>
      <w:color w:val="44546A"/>
      <w:sz w:val="22"/>
      <w:szCs w:val="22"/>
    </w:rPr>
    <w:tblPr>
      <w:tblBorders>
        <w:bottom w:val="single" w:color="ACCCEA" w:sz="8" w:space="0"/>
      </w:tblBorders>
      <w:tblCellMar>
        <w:left w:w="0" w:type="dxa"/>
        <w:right w:w="0" w:type="dxa"/>
      </w:tblCellMar>
    </w:tblPr>
  </w:style>
  <w:style w:type="table" w:customStyle="1" w:styleId="101">
    <w:name w:val="标题 41"/>
    <w:basedOn w:val="7"/>
    <w:autoRedefine/>
    <w:qFormat/>
    <w:uiPriority w:val="0"/>
    <w:pPr>
      <w:spacing w:before="100" w:beforeAutospacing="1" w:after="100" w:afterAutospacing="1"/>
    </w:pPr>
    <w:rPr>
      <w:rFonts w:ascii="宋体" w:hAnsi="宋体" w:eastAsia="宋体"/>
      <w:b/>
      <w:bCs/>
      <w:color w:val="44546A"/>
      <w:sz w:val="22"/>
      <w:szCs w:val="22"/>
    </w:rPr>
    <w:tblPr>
      <w:tblCellMar>
        <w:left w:w="0" w:type="dxa"/>
        <w:right w:w="0" w:type="dxa"/>
      </w:tblCellMar>
    </w:tblPr>
  </w:style>
  <w:style w:type="table" w:customStyle="1" w:styleId="102">
    <w:name w:val="输入1"/>
    <w:basedOn w:val="7"/>
    <w:autoRedefine/>
    <w:qFormat/>
    <w:uiPriority w:val="0"/>
    <w:pPr>
      <w:spacing w:before="100" w:beforeAutospacing="1" w:after="100" w:afterAutospacing="1"/>
    </w:pPr>
    <w:rPr>
      <w:rFonts w:ascii="宋体" w:hAnsi="宋体" w:eastAsia="宋体"/>
      <w:color w:val="3F3F76"/>
      <w:sz w:val="22"/>
      <w:szCs w:val="22"/>
    </w:rPr>
    <w:tblPr>
      <w:tblBorders>
        <w:top w:val="single" w:color="7F7F7F" w:sz="4" w:space="0"/>
        <w:left w:val="single" w:color="7F7F7F" w:sz="4" w:space="0"/>
        <w:bottom w:val="single" w:color="7F7F7F" w:sz="4" w:space="0"/>
        <w:right w:val="single" w:color="7F7F7F" w:sz="4" w:space="0"/>
      </w:tblBorders>
      <w:tblCellMar>
        <w:left w:w="0" w:type="dxa"/>
        <w:right w:w="0" w:type="dxa"/>
      </w:tblCellMar>
    </w:tblPr>
  </w:style>
  <w:style w:type="table" w:customStyle="1" w:styleId="103">
    <w:name w:val="输出1"/>
    <w:basedOn w:val="7"/>
    <w:autoRedefine/>
    <w:qFormat/>
    <w:uiPriority w:val="0"/>
    <w:pPr>
      <w:spacing w:before="100" w:beforeAutospacing="1" w:after="100" w:afterAutospacing="1"/>
    </w:pPr>
    <w:rPr>
      <w:rFonts w:ascii="宋体" w:hAnsi="宋体" w:eastAsia="宋体"/>
      <w:b/>
      <w:bCs/>
      <w:color w:val="3F3F3F"/>
      <w:sz w:val="22"/>
      <w:szCs w:val="22"/>
    </w:rPr>
    <w:tblPr>
      <w:tblBorders>
        <w:top w:val="single" w:color="3F3F3F" w:sz="4" w:space="0"/>
        <w:left w:val="single" w:color="3F3F3F" w:sz="4" w:space="0"/>
        <w:bottom w:val="single" w:color="3F3F3F" w:sz="4" w:space="0"/>
        <w:right w:val="single" w:color="3F3F3F" w:sz="4" w:space="0"/>
      </w:tblBorders>
      <w:tblCellMar>
        <w:left w:w="0" w:type="dxa"/>
        <w:right w:w="0" w:type="dxa"/>
      </w:tblCellMar>
    </w:tblPr>
  </w:style>
  <w:style w:type="table" w:customStyle="1" w:styleId="104">
    <w:name w:val="计算1"/>
    <w:basedOn w:val="7"/>
    <w:autoRedefine/>
    <w:qFormat/>
    <w:uiPriority w:val="0"/>
    <w:pPr>
      <w:spacing w:before="100" w:beforeAutospacing="1" w:after="100" w:afterAutospacing="1"/>
    </w:pPr>
    <w:rPr>
      <w:rFonts w:ascii="宋体" w:hAnsi="宋体" w:eastAsia="宋体"/>
      <w:b/>
      <w:bCs/>
      <w:color w:val="FA7D00"/>
      <w:sz w:val="22"/>
      <w:szCs w:val="22"/>
    </w:rPr>
    <w:tblPr>
      <w:tblBorders>
        <w:top w:val="single" w:color="7F7F7F" w:sz="4" w:space="0"/>
        <w:left w:val="single" w:color="7F7F7F" w:sz="4" w:space="0"/>
        <w:bottom w:val="single" w:color="7F7F7F" w:sz="4" w:space="0"/>
        <w:right w:val="single" w:color="7F7F7F" w:sz="4" w:space="0"/>
      </w:tblBorders>
      <w:tblCellMar>
        <w:left w:w="0" w:type="dxa"/>
        <w:right w:w="0" w:type="dxa"/>
      </w:tblCellMar>
    </w:tblPr>
  </w:style>
  <w:style w:type="table" w:customStyle="1" w:styleId="105">
    <w:name w:val="检查单元格1"/>
    <w:basedOn w:val="7"/>
    <w:autoRedefine/>
    <w:qFormat/>
    <w:uiPriority w:val="0"/>
    <w:pPr>
      <w:spacing w:before="100" w:beforeAutospacing="1" w:after="100" w:afterAutospacing="1"/>
    </w:pPr>
    <w:rPr>
      <w:rFonts w:ascii="宋体" w:hAnsi="宋体" w:eastAsia="宋体"/>
      <w:b/>
      <w:bCs/>
      <w:color w:val="FFFFFF"/>
      <w:sz w:val="22"/>
      <w:szCs w:val="22"/>
    </w:rPr>
    <w:tblPr>
      <w:tblBorders>
        <w:top w:val="double" w:color="3F3F3F" w:sz="6" w:space="0"/>
        <w:left w:val="double" w:color="3F3F3F" w:sz="6" w:space="0"/>
        <w:bottom w:val="double" w:color="3F3F3F" w:sz="6" w:space="0"/>
        <w:right w:val="double" w:color="3F3F3F" w:sz="6" w:space="0"/>
      </w:tblBorders>
      <w:tblCellMar>
        <w:left w:w="0" w:type="dxa"/>
        <w:right w:w="0" w:type="dxa"/>
      </w:tblCellMar>
    </w:tblPr>
  </w:style>
  <w:style w:type="table" w:customStyle="1" w:styleId="106">
    <w:name w:val="链接单元格1"/>
    <w:basedOn w:val="7"/>
    <w:autoRedefine/>
    <w:qFormat/>
    <w:uiPriority w:val="0"/>
    <w:pPr>
      <w:spacing w:before="100" w:beforeAutospacing="1" w:after="100" w:afterAutospacing="1"/>
    </w:pPr>
    <w:rPr>
      <w:rFonts w:ascii="宋体" w:hAnsi="宋体" w:eastAsia="宋体"/>
      <w:color w:val="FA7D00"/>
      <w:sz w:val="22"/>
      <w:szCs w:val="22"/>
    </w:rPr>
    <w:tblPr>
      <w:tblBorders>
        <w:bottom w:val="double" w:color="FF8001" w:sz="6" w:space="0"/>
      </w:tblBorders>
      <w:tblCellMar>
        <w:left w:w="0" w:type="dxa"/>
        <w:right w:w="0" w:type="dxa"/>
      </w:tblCellMar>
    </w:tblPr>
  </w:style>
  <w:style w:type="table" w:customStyle="1" w:styleId="107">
    <w:name w:val="汇总1"/>
    <w:basedOn w:val="7"/>
    <w:autoRedefine/>
    <w:qFormat/>
    <w:uiPriority w:val="0"/>
    <w:pPr>
      <w:spacing w:before="100" w:beforeAutospacing="1" w:after="100" w:afterAutospacing="1"/>
    </w:pPr>
    <w:rPr>
      <w:rFonts w:ascii="宋体" w:hAnsi="宋体" w:eastAsia="宋体"/>
      <w:b/>
      <w:bCs/>
      <w:color w:val="000000"/>
      <w:sz w:val="22"/>
      <w:szCs w:val="22"/>
    </w:rPr>
    <w:tblPr>
      <w:tblBorders>
        <w:top w:val="single" w:color="5B9BD5" w:sz="4" w:space="0"/>
        <w:bottom w:val="double" w:color="5B9BD5" w:sz="6" w:space="0"/>
      </w:tblBorders>
      <w:tblCellMar>
        <w:left w:w="0" w:type="dxa"/>
        <w:right w:w="0" w:type="dxa"/>
      </w:tblCellMar>
    </w:tblPr>
  </w:style>
  <w:style w:type="table" w:customStyle="1" w:styleId="108">
    <w:name w:val="好1"/>
    <w:basedOn w:val="7"/>
    <w:autoRedefine/>
    <w:qFormat/>
    <w:uiPriority w:val="0"/>
    <w:pPr>
      <w:spacing w:before="100" w:beforeAutospacing="1" w:after="100" w:afterAutospacing="1"/>
    </w:pPr>
    <w:rPr>
      <w:rFonts w:ascii="宋体" w:hAnsi="宋体" w:eastAsia="宋体"/>
      <w:color w:val="006100"/>
      <w:sz w:val="22"/>
      <w:szCs w:val="22"/>
    </w:rPr>
    <w:tblPr>
      <w:tblCellMar>
        <w:left w:w="0" w:type="dxa"/>
        <w:right w:w="0" w:type="dxa"/>
      </w:tblCellMar>
    </w:tblPr>
  </w:style>
  <w:style w:type="table" w:customStyle="1" w:styleId="109">
    <w:name w:val="差1"/>
    <w:basedOn w:val="7"/>
    <w:autoRedefine/>
    <w:qFormat/>
    <w:uiPriority w:val="0"/>
    <w:pPr>
      <w:spacing w:before="100" w:beforeAutospacing="1" w:after="100" w:afterAutospacing="1"/>
    </w:pPr>
    <w:rPr>
      <w:rFonts w:ascii="宋体" w:hAnsi="宋体" w:eastAsia="宋体"/>
      <w:color w:val="9C0006"/>
      <w:sz w:val="22"/>
      <w:szCs w:val="22"/>
    </w:rPr>
    <w:tblPr>
      <w:tblCellMar>
        <w:left w:w="0" w:type="dxa"/>
        <w:right w:w="0" w:type="dxa"/>
      </w:tblCellMar>
    </w:tblPr>
  </w:style>
  <w:style w:type="table" w:customStyle="1" w:styleId="110">
    <w:name w:val="适中1"/>
    <w:basedOn w:val="7"/>
    <w:autoRedefine/>
    <w:qFormat/>
    <w:uiPriority w:val="0"/>
    <w:pPr>
      <w:spacing w:before="100" w:beforeAutospacing="1" w:after="100" w:afterAutospacing="1"/>
    </w:pPr>
    <w:rPr>
      <w:rFonts w:ascii="宋体" w:hAnsi="宋体" w:eastAsia="宋体"/>
      <w:color w:val="9C6500"/>
      <w:sz w:val="22"/>
      <w:szCs w:val="22"/>
    </w:rPr>
    <w:tblPr>
      <w:tblCellMar>
        <w:left w:w="0" w:type="dxa"/>
        <w:right w:w="0" w:type="dxa"/>
      </w:tblCellMar>
    </w:tblPr>
  </w:style>
  <w:style w:type="table" w:customStyle="1" w:styleId="111">
    <w:name w:val="强调文字颜色 1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12">
    <w:name w:val="20% - 强调文字颜色 1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13">
    <w:name w:val="40% - 强调文字颜色 1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14">
    <w:name w:val="60% - 强调文字颜色 1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15">
    <w:name w:val="强调文字颜色 2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16">
    <w:name w:val="20% - 强调文字颜色 2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17">
    <w:name w:val="40% - 强调文字颜色 2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18">
    <w:name w:val="60% - 强调文字颜色 2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19">
    <w:name w:val="强调文字颜色 3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20">
    <w:name w:val="20% - 强调文字颜色 3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21">
    <w:name w:val="40% - 强调文字颜色 3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22">
    <w:name w:val="60% - 强调文字颜色 3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23">
    <w:name w:val="强调文字颜色 4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24">
    <w:name w:val="20% - 强调文字颜色 4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25">
    <w:name w:val="40% - 强调文字颜色 4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26">
    <w:name w:val="60% - 强调文字颜色 4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27">
    <w:name w:val="强调文字颜色 5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28">
    <w:name w:val="20% - 强调文字颜色 5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29">
    <w:name w:val="40% - 强调文字颜色 5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30">
    <w:name w:val="60% - 强调文字颜色 5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31">
    <w:name w:val="强调文字颜色 6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table" w:customStyle="1" w:styleId="132">
    <w:name w:val="20% - 强调文字颜色 6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33">
    <w:name w:val="40% - 强调文字颜色 61"/>
    <w:basedOn w:val="7"/>
    <w:autoRedefine/>
    <w:qFormat/>
    <w:uiPriority w:val="0"/>
    <w:pPr>
      <w:spacing w:before="100" w:beforeAutospacing="1" w:after="100" w:afterAutospacing="1"/>
    </w:pPr>
    <w:rPr>
      <w:rFonts w:ascii="宋体" w:hAnsi="宋体" w:eastAsia="宋体"/>
      <w:color w:val="000000"/>
      <w:sz w:val="22"/>
      <w:szCs w:val="22"/>
    </w:rPr>
    <w:tblPr>
      <w:tblCellMar>
        <w:left w:w="0" w:type="dxa"/>
        <w:right w:w="0" w:type="dxa"/>
      </w:tblCellMar>
    </w:tblPr>
  </w:style>
  <w:style w:type="table" w:customStyle="1" w:styleId="134">
    <w:name w:val="60% - 强调文字颜色 61"/>
    <w:basedOn w:val="7"/>
    <w:autoRedefine/>
    <w:qFormat/>
    <w:uiPriority w:val="0"/>
    <w:pPr>
      <w:spacing w:before="100" w:beforeAutospacing="1" w:after="100" w:afterAutospacing="1"/>
    </w:pPr>
    <w:rPr>
      <w:rFonts w:ascii="宋体" w:hAnsi="宋体" w:eastAsia="宋体"/>
      <w:color w:val="FFFFFF"/>
      <w:sz w:val="22"/>
      <w:szCs w:val="22"/>
    </w:rPr>
    <w:tblPr>
      <w:tblCellMar>
        <w:left w:w="0" w:type="dxa"/>
        <w:right w:w="0" w:type="dxa"/>
      </w:tblCellMar>
    </w:tblPr>
  </w:style>
  <w:style w:type="paragraph" w:customStyle="1" w:styleId="135">
    <w:name w:val="超链接3"/>
    <w:basedOn w:val="1"/>
    <w:autoRedefine/>
    <w:qFormat/>
    <w:uiPriority w:val="0"/>
    <w:pPr>
      <w:spacing w:before="100" w:beforeAutospacing="1" w:after="100" w:afterAutospacing="1"/>
    </w:pPr>
    <w:rPr>
      <w:color w:val="0000FF"/>
      <w:sz w:val="22"/>
      <w:szCs w:val="22"/>
      <w:u w:val="single"/>
    </w:rPr>
  </w:style>
  <w:style w:type="paragraph" w:customStyle="1" w:styleId="136">
    <w:name w:val="style0"/>
    <w:basedOn w:val="1"/>
    <w:autoRedefine/>
    <w:qFormat/>
    <w:uiPriority w:val="0"/>
    <w:pPr>
      <w:spacing w:before="100" w:beforeAutospacing="1" w:after="100" w:afterAutospacing="1"/>
    </w:pPr>
  </w:style>
  <w:style w:type="paragraph" w:customStyle="1" w:styleId="137">
    <w:name w:val="xl84"/>
    <w:basedOn w:val="136"/>
    <w:autoRedefine/>
    <w:qFormat/>
    <w:uiPriority w:val="0"/>
    <w:pPr>
      <w:pBdr>
        <w:top w:val="single" w:color="auto" w:sz="4" w:space="0"/>
        <w:left w:val="single" w:color="auto" w:sz="4" w:space="0"/>
        <w:bottom w:val="single" w:color="000000" w:sz="4" w:space="0"/>
        <w:right w:val="single" w:color="000000" w:sz="4" w:space="0"/>
      </w:pBdr>
    </w:pPr>
  </w:style>
  <w:style w:type="paragraph" w:customStyle="1" w:styleId="138">
    <w:name w:val="xl83"/>
    <w:basedOn w:val="136"/>
    <w:autoRedefine/>
    <w:qFormat/>
    <w:uiPriority w:val="0"/>
    <w:pPr>
      <w:pBdr>
        <w:top w:val="single" w:color="auto" w:sz="4" w:space="0"/>
        <w:left w:val="single" w:color="auto" w:sz="4" w:space="0"/>
        <w:bottom w:val="single" w:color="000000" w:sz="4" w:space="0"/>
        <w:right w:val="single" w:color="auto" w:sz="4" w:space="0"/>
      </w:pBdr>
    </w:pPr>
  </w:style>
  <w:style w:type="paragraph" w:customStyle="1" w:styleId="139">
    <w:name w:val="xl82"/>
    <w:basedOn w:val="136"/>
    <w:autoRedefine/>
    <w:qFormat/>
    <w:uiPriority w:val="0"/>
    <w:pPr>
      <w:pBdr>
        <w:top w:val="single" w:color="auto" w:sz="4" w:space="0"/>
        <w:left w:val="single" w:color="auto" w:sz="4" w:space="0"/>
        <w:bottom w:val="single" w:color="000000" w:sz="4" w:space="0"/>
        <w:right w:val="single" w:color="auto" w:sz="4" w:space="0"/>
      </w:pBdr>
      <w:jc w:val="center"/>
    </w:pPr>
  </w:style>
  <w:style w:type="paragraph" w:customStyle="1" w:styleId="140">
    <w:name w:val="xl81"/>
    <w:basedOn w:val="136"/>
    <w:autoRedefine/>
    <w:qFormat/>
    <w:uiPriority w:val="0"/>
    <w:pPr>
      <w:pBdr>
        <w:top w:val="single" w:color="auto" w:sz="4" w:space="0"/>
        <w:left w:val="single" w:color="auto" w:sz="4" w:space="0"/>
        <w:bottom w:val="single" w:color="000000" w:sz="4" w:space="0"/>
        <w:right w:val="single" w:color="auto" w:sz="4" w:space="0"/>
      </w:pBdr>
      <w:jc w:val="center"/>
    </w:pPr>
  </w:style>
  <w:style w:type="paragraph" w:customStyle="1" w:styleId="141">
    <w:name w:val="xl80"/>
    <w:basedOn w:val="136"/>
    <w:autoRedefine/>
    <w:qFormat/>
    <w:uiPriority w:val="0"/>
    <w:pPr>
      <w:pBdr>
        <w:top w:val="single" w:color="auto" w:sz="4" w:space="0"/>
        <w:left w:val="single" w:color="auto" w:sz="4" w:space="0"/>
        <w:bottom w:val="single" w:color="auto" w:sz="4" w:space="0"/>
        <w:right w:val="single" w:color="000000" w:sz="4" w:space="0"/>
      </w:pBdr>
    </w:pPr>
  </w:style>
  <w:style w:type="paragraph" w:customStyle="1" w:styleId="142">
    <w:name w:val="xl79"/>
    <w:basedOn w:val="136"/>
    <w:autoRedefine/>
    <w:qFormat/>
    <w:uiPriority w:val="0"/>
    <w:pPr>
      <w:pBdr>
        <w:top w:val="single" w:color="auto" w:sz="4" w:space="0"/>
        <w:left w:val="single" w:color="auto" w:sz="4" w:space="0"/>
        <w:bottom w:val="single" w:color="auto" w:sz="4" w:space="0"/>
        <w:right w:val="single" w:color="auto" w:sz="4" w:space="0"/>
      </w:pBdr>
    </w:pPr>
  </w:style>
  <w:style w:type="paragraph" w:customStyle="1" w:styleId="143">
    <w:name w:val="xl78"/>
    <w:basedOn w:val="136"/>
    <w:autoRedefine/>
    <w:qFormat/>
    <w:uiPriority w:val="0"/>
    <w:pPr>
      <w:pBdr>
        <w:top w:val="single" w:color="auto" w:sz="4" w:space="0"/>
        <w:left w:val="single" w:color="auto" w:sz="4" w:space="0"/>
        <w:bottom w:val="single" w:color="auto" w:sz="4" w:space="0"/>
        <w:right w:val="single" w:color="auto" w:sz="4" w:space="0"/>
      </w:pBdr>
      <w:jc w:val="center"/>
    </w:pPr>
  </w:style>
  <w:style w:type="paragraph" w:customStyle="1" w:styleId="144">
    <w:name w:val="xl77"/>
    <w:basedOn w:val="136"/>
    <w:autoRedefine/>
    <w:qFormat/>
    <w:uiPriority w:val="0"/>
    <w:pPr>
      <w:pBdr>
        <w:top w:val="single" w:color="auto" w:sz="4" w:space="0"/>
        <w:left w:val="single" w:color="auto" w:sz="4" w:space="0"/>
        <w:bottom w:val="single" w:color="auto" w:sz="4" w:space="0"/>
        <w:right w:val="single" w:color="auto" w:sz="4" w:space="0"/>
      </w:pBdr>
      <w:jc w:val="center"/>
    </w:pPr>
  </w:style>
  <w:style w:type="paragraph" w:customStyle="1" w:styleId="145">
    <w:name w:val="xl76"/>
    <w:basedOn w:val="136"/>
    <w:autoRedefine/>
    <w:qFormat/>
    <w:uiPriority w:val="0"/>
    <w:pPr>
      <w:pBdr>
        <w:top w:val="single" w:color="auto" w:sz="4" w:space="0"/>
        <w:left w:val="single" w:color="auto" w:sz="4" w:space="0"/>
        <w:bottom w:val="single" w:color="auto" w:sz="4" w:space="0"/>
        <w:right w:val="single" w:color="000000" w:sz="4" w:space="0"/>
      </w:pBdr>
      <w:jc w:val="center"/>
    </w:pPr>
    <w:rPr>
      <w:rFonts w:ascii="黑体" w:hAnsi="黑体" w:eastAsia="黑体"/>
      <w:sz w:val="28"/>
      <w:szCs w:val="28"/>
    </w:rPr>
  </w:style>
  <w:style w:type="paragraph" w:customStyle="1" w:styleId="146">
    <w:name w:val="xl75"/>
    <w:basedOn w:val="136"/>
    <w:autoRedefine/>
    <w:qFormat/>
    <w:uiPriority w:val="0"/>
    <w:pPr>
      <w:pBdr>
        <w:top w:val="single" w:color="auto" w:sz="4" w:space="0"/>
        <w:left w:val="single" w:color="auto" w:sz="4" w:space="0"/>
        <w:bottom w:val="single" w:color="auto" w:sz="4" w:space="0"/>
        <w:right w:val="single" w:color="auto" w:sz="4" w:space="0"/>
      </w:pBdr>
      <w:jc w:val="center"/>
    </w:pPr>
  </w:style>
  <w:style w:type="paragraph" w:customStyle="1" w:styleId="147">
    <w:name w:val="xl74"/>
    <w:basedOn w:val="136"/>
    <w:autoRedefine/>
    <w:qFormat/>
    <w:uiPriority w:val="0"/>
    <w:pPr>
      <w:pBdr>
        <w:top w:val="single" w:color="auto" w:sz="4" w:space="0"/>
        <w:left w:val="single" w:color="auto" w:sz="4" w:space="0"/>
        <w:bottom w:val="single" w:color="auto" w:sz="4" w:space="0"/>
        <w:right w:val="single" w:color="auto" w:sz="4" w:space="0"/>
      </w:pBdr>
      <w:jc w:val="center"/>
    </w:pPr>
    <w:rPr>
      <w:rFonts w:ascii="黑体" w:hAnsi="黑体" w:eastAsia="黑体"/>
      <w:sz w:val="28"/>
      <w:szCs w:val="28"/>
    </w:rPr>
  </w:style>
  <w:style w:type="paragraph" w:customStyle="1" w:styleId="148">
    <w:name w:val="xl73"/>
    <w:basedOn w:val="136"/>
    <w:autoRedefine/>
    <w:qFormat/>
    <w:uiPriority w:val="0"/>
    <w:pPr>
      <w:pBdr>
        <w:top w:val="single" w:color="000000" w:sz="4" w:space="0"/>
        <w:left w:val="single" w:color="auto" w:sz="4" w:space="0"/>
        <w:bottom w:val="single" w:color="auto" w:sz="4" w:space="0"/>
        <w:right w:val="single" w:color="000000" w:sz="4" w:space="0"/>
      </w:pBdr>
      <w:jc w:val="center"/>
    </w:pPr>
    <w:rPr>
      <w:rFonts w:ascii="黑体" w:hAnsi="黑体" w:eastAsia="黑体"/>
      <w:sz w:val="28"/>
      <w:szCs w:val="28"/>
    </w:rPr>
  </w:style>
  <w:style w:type="paragraph" w:customStyle="1" w:styleId="149">
    <w:name w:val="xl72"/>
    <w:basedOn w:val="136"/>
    <w:autoRedefine/>
    <w:qFormat/>
    <w:uiPriority w:val="0"/>
    <w:pPr>
      <w:pBdr>
        <w:top w:val="single" w:color="000000" w:sz="4" w:space="0"/>
        <w:left w:val="single" w:color="auto" w:sz="4" w:space="0"/>
        <w:bottom w:val="single" w:color="auto" w:sz="4" w:space="0"/>
        <w:right w:val="single" w:color="auto" w:sz="4" w:space="0"/>
      </w:pBdr>
      <w:jc w:val="center"/>
    </w:pPr>
    <w:rPr>
      <w:rFonts w:ascii="黑体" w:hAnsi="黑体" w:eastAsia="黑体"/>
      <w:sz w:val="28"/>
      <w:szCs w:val="28"/>
    </w:rPr>
  </w:style>
  <w:style w:type="paragraph" w:customStyle="1" w:styleId="150">
    <w:name w:val="xl71"/>
    <w:basedOn w:val="136"/>
    <w:autoRedefine/>
    <w:qFormat/>
    <w:uiPriority w:val="0"/>
    <w:pPr>
      <w:jc w:val="center"/>
    </w:pPr>
    <w:rPr>
      <w:rFonts w:ascii="楷体_GB2312" w:eastAsia="楷体_GB2312"/>
      <w:sz w:val="28"/>
      <w:szCs w:val="28"/>
    </w:rPr>
  </w:style>
  <w:style w:type="paragraph" w:customStyle="1" w:styleId="151">
    <w:name w:val="xl70"/>
    <w:basedOn w:val="136"/>
    <w:autoRedefine/>
    <w:qFormat/>
    <w:uiPriority w:val="0"/>
    <w:pPr>
      <w:jc w:val="center"/>
    </w:pPr>
    <w:rPr>
      <w:rFonts w:ascii="楷体_GB2312" w:eastAsia="楷体_GB2312"/>
      <w:sz w:val="28"/>
      <w:szCs w:val="28"/>
    </w:rPr>
  </w:style>
  <w:style w:type="paragraph" w:customStyle="1" w:styleId="152">
    <w:name w:val="xl69"/>
    <w:basedOn w:val="136"/>
    <w:autoRedefine/>
    <w:qFormat/>
    <w:uiPriority w:val="0"/>
    <w:rPr>
      <w:rFonts w:ascii="方正小标宋简体" w:eastAsia="方正小标宋简体"/>
      <w:sz w:val="44"/>
      <w:szCs w:val="44"/>
    </w:rPr>
  </w:style>
  <w:style w:type="paragraph" w:customStyle="1" w:styleId="153">
    <w:name w:val="xl68"/>
    <w:basedOn w:val="136"/>
    <w:autoRedefine/>
    <w:qFormat/>
    <w:uiPriority w:val="0"/>
    <w:pPr>
      <w:jc w:val="center"/>
    </w:pPr>
    <w:rPr>
      <w:rFonts w:ascii="方正小标宋简体" w:eastAsia="方正小标宋简体"/>
      <w:sz w:val="44"/>
      <w:szCs w:val="44"/>
    </w:rPr>
  </w:style>
  <w:style w:type="paragraph" w:customStyle="1" w:styleId="154">
    <w:name w:val="xl67"/>
    <w:basedOn w:val="136"/>
    <w:autoRedefine/>
    <w:qFormat/>
    <w:uiPriority w:val="0"/>
  </w:style>
  <w:style w:type="paragraph" w:customStyle="1" w:styleId="155">
    <w:name w:val="xl66"/>
    <w:basedOn w:val="136"/>
    <w:autoRedefine/>
    <w:qFormat/>
    <w:uiPriority w:val="0"/>
    <w:pPr>
      <w:jc w:val="center"/>
    </w:pPr>
  </w:style>
  <w:style w:type="paragraph" w:customStyle="1" w:styleId="156">
    <w:name w:val="xl65"/>
    <w:basedOn w:val="136"/>
    <w:autoRedefine/>
    <w:qFormat/>
    <w:uiPriority w:val="0"/>
    <w:rPr>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755</Words>
  <Characters>4310</Characters>
  <Lines>35</Lines>
  <Paragraphs>10</Paragraphs>
  <TotalTime>2</TotalTime>
  <ScaleCrop>false</ScaleCrop>
  <LinksUpToDate>false</LinksUpToDate>
  <CharactersWithSpaces>5055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2025-01-17T02:11:00Z</dcterms:created>
  <dc:creator>Administrator</dc:creator>
  <cp:lastModifiedBy>Administrator</cp:lastModifiedBy>
  <cp:lastPrinted>2025-01-13T17:41:00Z</cp:lastPrinted>
  <dcterms:modified xsi:type="dcterms:W3CDTF">2025-02-08T08:57:58Z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D741BDF214F94488BB61453F19FCD24C_13</vt:lpwstr>
  </property>
  <property fmtid="{D5CDD505-2E9C-101B-9397-08002B2CF9AE}" pid="3" name="KSOProductBuildVer">
    <vt:lpwstr>2052-12.1.0.16120</vt:lpwstr>
  </property>
</Properties>
</file>