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4812F9">
      <w:pPr>
        <w:pStyle w:val="187"/>
        <w:spacing w:line="560" w:lineRule="exact"/>
        <w:ind w:firstLine="0"/>
        <w:rPr>
          <w:rFonts w:hint="eastAsia" w:ascii="黑体" w:hAnsi="黑体" w:eastAsia="黑体" w:cs="黑体"/>
          <w:szCs w:val="32"/>
        </w:rPr>
      </w:pPr>
      <w:r>
        <w:rPr>
          <w:rFonts w:hint="eastAsia" w:ascii="黑体" w:hAnsi="黑体" w:eastAsia="黑体" w:cs="黑体"/>
          <w:szCs w:val="32"/>
        </w:rPr>
        <w:t>附件：</w:t>
      </w:r>
    </w:p>
    <w:tbl>
      <w:tblPr>
        <w:tblStyle w:val="28"/>
        <w:tblW w:w="0" w:type="auto"/>
        <w:tblInd w:w="-15" w:type="dxa"/>
        <w:tblLayout w:type="fixed"/>
        <w:tblCellMar>
          <w:top w:w="15" w:type="dxa"/>
          <w:left w:w="15" w:type="dxa"/>
          <w:bottom w:w="0" w:type="dxa"/>
          <w:right w:w="15" w:type="dxa"/>
        </w:tblCellMar>
      </w:tblPr>
      <w:tblGrid>
        <w:gridCol w:w="712"/>
        <w:gridCol w:w="1739"/>
        <w:gridCol w:w="4672"/>
        <w:gridCol w:w="3051"/>
        <w:gridCol w:w="1493"/>
        <w:gridCol w:w="2753"/>
      </w:tblGrid>
      <w:tr w14:paraId="43F7F70A">
        <w:tblPrEx>
          <w:tblCellMar>
            <w:top w:w="15" w:type="dxa"/>
            <w:left w:w="15" w:type="dxa"/>
            <w:bottom w:w="0" w:type="dxa"/>
            <w:right w:w="15" w:type="dxa"/>
          </w:tblCellMar>
        </w:tblPrEx>
        <w:trPr>
          <w:trHeight w:val="1053" w:hRule="atLeast"/>
        </w:trPr>
        <w:tc>
          <w:tcPr>
            <w:tcW w:w="14420" w:type="dxa"/>
            <w:gridSpan w:val="6"/>
            <w:tcBorders>
              <w:top w:val="nil"/>
              <w:left w:val="nil"/>
              <w:bottom w:val="single" w:color="000000" w:sz="4" w:space="0"/>
              <w:right w:val="nil"/>
            </w:tcBorders>
            <w:noWrap/>
            <w:tcMar>
              <w:top w:w="15" w:type="dxa"/>
              <w:left w:w="15" w:type="dxa"/>
              <w:right w:w="15" w:type="dxa"/>
            </w:tcMar>
            <w:vAlign w:val="center"/>
          </w:tcPr>
          <w:p w14:paraId="536FEEA2">
            <w:pPr>
              <w:pStyle w:val="187"/>
              <w:spacing w:line="560" w:lineRule="exact"/>
              <w:ind w:firstLine="0"/>
              <w:jc w:val="center"/>
              <w:rPr>
                <w:rFonts w:hint="eastAsia" w:ascii="宋体" w:hAnsi="宋体" w:eastAsia="宋体" w:cs="宋体"/>
                <w:b/>
                <w:color w:val="000000"/>
                <w:sz w:val="40"/>
                <w:szCs w:val="40"/>
              </w:rPr>
            </w:pPr>
            <w:r>
              <w:rPr>
                <w:rFonts w:hint="eastAsia" w:ascii="宋体" w:hAnsi="宋体" w:eastAsia="宋体" w:cs="宋体"/>
                <w:bCs/>
                <w:color w:val="000000"/>
                <w:sz w:val="40"/>
                <w:szCs w:val="40"/>
                <w:lang w:bidi="ar"/>
              </w:rPr>
              <w:t>滦州市深化工程建设项目审批制度改革任务分解表</w:t>
            </w:r>
          </w:p>
        </w:tc>
      </w:tr>
      <w:tr w14:paraId="56ED7A69">
        <w:tblPrEx>
          <w:tblCellMar>
            <w:top w:w="15" w:type="dxa"/>
            <w:left w:w="15" w:type="dxa"/>
            <w:bottom w:w="0" w:type="dxa"/>
            <w:right w:w="15" w:type="dxa"/>
          </w:tblCellMar>
        </w:tblPrEx>
        <w:trPr>
          <w:trHeight w:val="53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2195CD">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序号</w:t>
            </w:r>
          </w:p>
        </w:tc>
        <w:tc>
          <w:tcPr>
            <w:tcW w:w="17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4E515F">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工作任务</w:t>
            </w:r>
          </w:p>
        </w:tc>
        <w:tc>
          <w:tcPr>
            <w:tcW w:w="4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7AD106">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工作内容</w:t>
            </w:r>
          </w:p>
        </w:tc>
        <w:tc>
          <w:tcPr>
            <w:tcW w:w="3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7B10F">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具体任务</w:t>
            </w:r>
          </w:p>
        </w:tc>
        <w:tc>
          <w:tcPr>
            <w:tcW w:w="14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2BEDAF">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完成时限</w:t>
            </w:r>
          </w:p>
        </w:tc>
        <w:tc>
          <w:tcPr>
            <w:tcW w:w="2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5533A8">
            <w:pPr>
              <w:widowControl/>
              <w:spacing w:line="360" w:lineRule="exact"/>
              <w:jc w:val="center"/>
              <w:rPr>
                <w:rFonts w:hint="eastAsia" w:ascii="宋体" w:hAnsi="宋体" w:cs="宋体"/>
                <w:color w:val="000000"/>
                <w:sz w:val="28"/>
                <w:szCs w:val="28"/>
              </w:rPr>
            </w:pPr>
            <w:r>
              <w:rPr>
                <w:rFonts w:hint="eastAsia" w:ascii="宋体" w:hAnsi="宋体" w:cs="宋体"/>
                <w:color w:val="000000"/>
                <w:sz w:val="28"/>
                <w:szCs w:val="28"/>
                <w:lang w:bidi="ar"/>
              </w:rPr>
              <w:t>责任部门</w:t>
            </w:r>
          </w:p>
        </w:tc>
      </w:tr>
      <w:tr w14:paraId="3C5F1861">
        <w:tblPrEx>
          <w:tblCellMar>
            <w:top w:w="15" w:type="dxa"/>
            <w:left w:w="15" w:type="dxa"/>
            <w:bottom w:w="0" w:type="dxa"/>
            <w:right w:w="15"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F0853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B970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优化审批流程</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6C2B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优化审批阶段。将工程建设项目审批流程划分为立项用地规划许可、工程建设许可、施工许可、竣工验收四个阶段。每个阶段明确一个牵头部门，负责制定本阶段审批流程优化工作方案。实行“一家牵头、并联审批、限时办结”。建设单位分别向牵头审批部门统一提交材料，牵头部门通过协同共享机制，向有关部门推送材料，有关部门同步并联限时完成审批，逾期未办结的视为通过审批。</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BC6C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分别制定各阶段牵头协调管理办法，建立协同共同机制。</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5DD06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254B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行政审批局、自然资源和规划局、住建局、发改局</w:t>
            </w:r>
          </w:p>
        </w:tc>
      </w:tr>
      <w:tr w14:paraId="6EB39405">
        <w:tblPrEx>
          <w:tblCellMar>
            <w:top w:w="15" w:type="dxa"/>
            <w:left w:w="15" w:type="dxa"/>
            <w:bottom w:w="0" w:type="dxa"/>
            <w:right w:w="15" w:type="dxa"/>
          </w:tblCellMar>
        </w:tblPrEx>
        <w:trPr>
          <w:trHeight w:val="126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7E5E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280A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优化审批流程</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EA98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实行分类管理。按照投资类别和规模，将工程建设项目划分为大中型房屋建筑项目、大中型城市基础设施项目、小型房屋建筑和城市基础设施项目三大类，实行差别化管理，规模标准按照国家、省有关规定执行。</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2157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分类制定审批流程图，进一步细化工程类别。</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48CD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ED50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行政审批局、自然资源和规划局、住建局、发改局</w:t>
            </w:r>
          </w:p>
        </w:tc>
      </w:tr>
      <w:tr w14:paraId="5E553FA9">
        <w:tblPrEx>
          <w:tblCellMar>
            <w:top w:w="15" w:type="dxa"/>
            <w:left w:w="15" w:type="dxa"/>
            <w:bottom w:w="0" w:type="dxa"/>
            <w:right w:w="15" w:type="dxa"/>
          </w:tblCellMar>
        </w:tblPrEx>
        <w:trPr>
          <w:trHeight w:val="60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543D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C076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75FF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梳理与建设项目审批相关的行政许可、行政确认、其他权力等依申请办理事项、技术审查事项、中介服务事项、市政公共服务事项以及备案等各类事项。清理不合法、不合理、不必要的审批事项。公布工程建设项目事项清单，对清单实行动态管理，各审批部门不得强制项目单位办理未纳入清单的事项。</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8523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制定并公布滦州市工程建设项目市级保留审批权限清单。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B0EE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DF72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审改办牵头、市直相关部门、各市政公用服务公司等单位负责</w:t>
            </w:r>
          </w:p>
        </w:tc>
      </w:tr>
      <w:tr w14:paraId="7C61A250">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97323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7AB1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6C4A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以市政府确定的年度城市维护项目计划或市政府相关文件代替项目建议书，不再审批项目建议书。</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E589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E526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7148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527BF240">
        <w:tblPrEx>
          <w:tblCellMar>
            <w:top w:w="15" w:type="dxa"/>
            <w:left w:w="15" w:type="dxa"/>
            <w:bottom w:w="0" w:type="dxa"/>
            <w:right w:w="15" w:type="dxa"/>
          </w:tblCellMar>
        </w:tblPrEx>
        <w:trPr>
          <w:trHeight w:val="1508"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9973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D7E9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E4FD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取消先行开展勘察设计招标的批准。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F13A1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D422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2E2C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043AB195">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DCA29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6</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BAA7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2921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以市政府同意开展项目相关文件代替出资证明，不再要求另行出具。国有企业自行筹措资金项目，不再要求出具出资证明。</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FCB6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843E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8C353">
            <w:pPr>
              <w:widowControl/>
              <w:spacing w:line="320" w:lineRule="exact"/>
              <w:jc w:val="left"/>
              <w:rPr>
                <w:rFonts w:hint="eastAsia" w:ascii="仿宋_GB2312" w:hAnsi="宋体" w:cs="宋体"/>
                <w:color w:val="FF0000"/>
                <w:sz w:val="21"/>
                <w:szCs w:val="21"/>
              </w:rPr>
            </w:pPr>
            <w:r>
              <w:rPr>
                <w:rFonts w:hint="eastAsia" w:ascii="仿宋_GB2312" w:hAnsi="宋体" w:cs="宋体"/>
                <w:color w:val="000000"/>
                <w:sz w:val="21"/>
                <w:szCs w:val="21"/>
                <w:lang w:bidi="ar"/>
              </w:rPr>
              <w:t>发改局</w:t>
            </w:r>
          </w:p>
        </w:tc>
      </w:tr>
      <w:tr w14:paraId="18EB072E">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A65F7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7</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80BE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3B5B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用地预审意见与规划选址意见书合并办理。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0A36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F449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7E75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1B19DF3E">
        <w:tblPrEx>
          <w:tblCellMar>
            <w:top w:w="15" w:type="dxa"/>
            <w:left w:w="15" w:type="dxa"/>
            <w:bottom w:w="0" w:type="dxa"/>
            <w:right w:w="15" w:type="dxa"/>
          </w:tblCellMar>
        </w:tblPrEx>
        <w:trPr>
          <w:trHeight w:val="227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D27ED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8</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2957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12FB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在办理不新増用地的既有改造项目可研报告审批或概算审核时，不再要求提供规划选址意见书（选址意见）和土地预审意见，由项目单位做出不增加新增用地的相关说明和真实性承诺。</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9466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250A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99C1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7B143FA0">
        <w:tblPrEx>
          <w:tblCellMar>
            <w:top w:w="15" w:type="dxa"/>
            <w:left w:w="15" w:type="dxa"/>
            <w:bottom w:w="0" w:type="dxa"/>
            <w:right w:w="15"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2E81D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9</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070D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80F5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在办理新增用地市政基础设施项目（道路、绿化、管线）初步设计审批时，不再要求提交用地规划许可证，实行容缺后补。</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CB5E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AA03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DDE2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2EDA50B9">
        <w:tblPrEx>
          <w:tblCellMar>
            <w:top w:w="15" w:type="dxa"/>
            <w:left w:w="15" w:type="dxa"/>
            <w:bottom w:w="0" w:type="dxa"/>
            <w:right w:w="15" w:type="dxa"/>
          </w:tblCellMar>
        </w:tblPrEx>
        <w:trPr>
          <w:trHeight w:val="94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B6D03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10</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3EAA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E42D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市政基础设施项目（道路、绿化、管线）将可行性研究报告和初步设计及概算同步进行，实行“编制一套报告、评估一次进行、批复一个意见”的审批模式。</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A0DB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1634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2BD7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20F3E797">
        <w:tblPrEx>
          <w:tblCellMar>
            <w:top w:w="15" w:type="dxa"/>
            <w:left w:w="15" w:type="dxa"/>
            <w:bottom w:w="0" w:type="dxa"/>
            <w:right w:w="15" w:type="dxa"/>
          </w:tblCellMar>
        </w:tblPrEx>
        <w:trPr>
          <w:trHeight w:val="3398"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98BEB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D1DB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ABFAAA">
            <w:pPr>
              <w:widowControl/>
              <w:spacing w:line="320" w:lineRule="exact"/>
              <w:jc w:val="left"/>
              <w:rPr>
                <w:rFonts w:hint="eastAsia" w:ascii="仿宋_GB2312" w:hAnsi="宋体" w:cs="宋体"/>
                <w:color w:val="000000"/>
                <w:sz w:val="21"/>
                <w:szCs w:val="21"/>
              </w:rPr>
            </w:pPr>
            <w:r>
              <w:rPr>
                <w:rStyle w:val="205"/>
                <w:rFonts w:ascii="仿宋_GB2312" w:eastAsia="仿宋_GB2312"/>
                <w:sz w:val="21"/>
                <w:szCs w:val="21"/>
                <w:lang w:bidi="ar"/>
              </w:rPr>
              <w:t>简化社会稳定风险评估。除涉及公共安全、环境保护和易引发群体性事件的重大政府投资项目外，一般性政府投资项目不再办理社会风险稳定评估，</w:t>
            </w:r>
            <w:r>
              <w:rPr>
                <w:rStyle w:val="206"/>
                <w:rFonts w:ascii="仿宋_GB2312" w:eastAsia="仿宋_GB2312"/>
                <w:sz w:val="21"/>
                <w:szCs w:val="21"/>
                <w:lang w:bidi="ar"/>
              </w:rPr>
              <w:t>由项目所在地政府出具社会稳定承诺意见，并作为审批可行性研究报告的前置要件。对于确需做社会稳定风险评估的政</w:t>
            </w:r>
            <w:r>
              <w:rPr>
                <w:rStyle w:val="205"/>
                <w:rFonts w:ascii="仿宋_GB2312" w:eastAsia="仿宋_GB2312"/>
                <w:sz w:val="21"/>
                <w:szCs w:val="21"/>
                <w:lang w:bidi="ar"/>
              </w:rPr>
              <w:t>府投资项目，可在施工许可前完成，不再作为可研审批的前置要件。</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03BE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75B2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E065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251E501D">
        <w:tblPrEx>
          <w:tblCellMar>
            <w:top w:w="15" w:type="dxa"/>
            <w:left w:w="15" w:type="dxa"/>
            <w:bottom w:w="0" w:type="dxa"/>
            <w:right w:w="15" w:type="dxa"/>
          </w:tblCellMar>
        </w:tblPrEx>
        <w:trPr>
          <w:trHeight w:val="153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CAF3F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12</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EEB7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3F6143">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w:t>
            </w:r>
            <w:r>
              <w:rPr>
                <w:rFonts w:hint="eastAsia" w:ascii="仿宋_GB2312" w:hAnsi="宋体" w:cs="宋体"/>
                <w:color w:val="000000"/>
                <w:sz w:val="21"/>
                <w:szCs w:val="21"/>
                <w:lang w:eastAsia="zh-CN" w:bidi="ar"/>
              </w:rPr>
              <w:t>《中华人民共和国招标投标法实施条例》</w:t>
            </w:r>
            <w:r>
              <w:rPr>
                <w:rFonts w:hint="eastAsia" w:ascii="仿宋_GB2312" w:hAnsi="宋体" w:cs="宋体"/>
                <w:color w:val="000000"/>
                <w:sz w:val="21"/>
                <w:szCs w:val="21"/>
                <w:lang w:bidi="ar"/>
              </w:rPr>
              <w:t>规定的招标范围、招标方式、招标组织形式审批或核准。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6F03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7EC4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A83F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650B8DDF">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7E6C97">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92EC1">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01262">
            <w:pPr>
              <w:widowControl/>
              <w:spacing w:line="320" w:lineRule="exact"/>
              <w:jc w:val="left"/>
              <w:rPr>
                <w:rFonts w:hint="eastAsia" w:ascii="仿宋_GB2312" w:hAnsi="宋体" w:cs="宋体"/>
                <w:color w:val="000000"/>
                <w:sz w:val="21"/>
                <w:szCs w:val="21"/>
              </w:rPr>
            </w:pPr>
            <w:r>
              <w:rPr>
                <w:rStyle w:val="205"/>
                <w:rFonts w:ascii="仿宋_GB2312" w:eastAsia="仿宋_GB2312"/>
                <w:sz w:val="21"/>
                <w:szCs w:val="21"/>
                <w:lang w:bidi="ar"/>
              </w:rPr>
              <w:t>取消企业投资项目核准的评估审查。（只适用于不需争取上级专项资金的项目）</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B7AA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E91A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FEA2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w:t>
            </w:r>
          </w:p>
        </w:tc>
      </w:tr>
      <w:tr w14:paraId="3E7DFD13">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5BB3A8">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BC66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4789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地质灾害危险性评估、地震安全性评价等事项不再作为办理市政基础设施项目（道路、绿化、管线）土地手续的前置要件，设计方案前完成即可。</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F10D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7D9A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CD0B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68E1C926">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F30A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05C5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D3C7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建设工程规划许可只审查规划条件、相关规范及规定的控制要求，相关技术指标直接采信设计成果。</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80DD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8E74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2019年4月底</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5A74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0B33EB42">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159E9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16</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6C56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F610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申请办理建设工程规划许可时，取消项目单位提交的施工图纸；申请办理房屋建筑建设工程规划许可证时，取消施工图联合审查意见书。</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B473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8393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5625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7F87AF99">
        <w:tblPrEx>
          <w:tblCellMar>
            <w:top w:w="15" w:type="dxa"/>
            <w:left w:w="15" w:type="dxa"/>
            <w:bottom w:w="0" w:type="dxa"/>
            <w:right w:w="15" w:type="dxa"/>
          </w:tblCellMar>
        </w:tblPrEx>
        <w:trPr>
          <w:trHeight w:val="1533"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44C9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17</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0EEB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01EC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房屋建筑建设工程规划许可不再审查项目用地红线内的综合外网设计，纳入施工图设计文件审查。</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4F36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4EE2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6098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自然资源和规划局、住建局</w:t>
            </w:r>
          </w:p>
        </w:tc>
      </w:tr>
      <w:tr w14:paraId="2DF82A06">
        <w:tblPrEx>
          <w:tblCellMar>
            <w:top w:w="15" w:type="dxa"/>
            <w:left w:w="15" w:type="dxa"/>
            <w:bottom w:w="0" w:type="dxa"/>
            <w:right w:w="15" w:type="dxa"/>
          </w:tblCellMar>
        </w:tblPrEx>
        <w:trPr>
          <w:trHeight w:val="1377"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340E1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18</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73C5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AD3B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取消建设工程施工合同备案、建设工程监理合同备案、建筑节能设计审查备案；原单独办理的质量、安全监督手续和人防工程质量监督手续，与施工许可一并办理。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CFE2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949B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2DA1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行政审批局牵头，住建局配合</w:t>
            </w:r>
          </w:p>
        </w:tc>
      </w:tr>
      <w:tr w14:paraId="7FB2CE00">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B6D09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19</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D0FC7">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564E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取消施工许可条件中的资金到位证明、无拖欠工程款承诺书。</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D21E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1D6E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EC974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w:t>
            </w:r>
          </w:p>
        </w:tc>
      </w:tr>
      <w:tr w14:paraId="5F8E5C84">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D565E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2E23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202B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取消施工现场“远程视频监控和在线监测系统安装”作为施工许可办理前置条件，改由项目建设单位做出承诺，并在承诺期内安装完毕。</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A5A8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EE9B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97BF1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住建局、行政审批局</w:t>
            </w:r>
          </w:p>
        </w:tc>
      </w:tr>
      <w:tr w14:paraId="0E6804C6">
        <w:tblPrEx>
          <w:tblCellMar>
            <w:top w:w="15" w:type="dxa"/>
            <w:left w:w="15" w:type="dxa"/>
            <w:bottom w:w="0" w:type="dxa"/>
            <w:right w:w="15" w:type="dxa"/>
          </w:tblCellMar>
        </w:tblPrEx>
        <w:trPr>
          <w:trHeight w:val="189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1B3AF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6460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1D44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城市道路补坑、铣刨、盖被、桥梁栏杆更换等简易维护和园林绿化树木补植等园林维护项目，不再进行审图机构的施工图审查，不再办理施工许可，由建设单位自行组织竣工验收。</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CB12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FDC7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6D43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w:t>
            </w:r>
          </w:p>
        </w:tc>
      </w:tr>
      <w:tr w14:paraId="72E95DAE">
        <w:tblPrEx>
          <w:tblCellMar>
            <w:top w:w="15" w:type="dxa"/>
            <w:left w:w="15" w:type="dxa"/>
            <w:bottom w:w="0" w:type="dxa"/>
            <w:right w:w="15" w:type="dxa"/>
          </w:tblCellMar>
        </w:tblPrEx>
        <w:trPr>
          <w:trHeight w:val="136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D3354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22</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F46A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精简审批事项和条件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EB17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取消单独办理的城镇燃气工程、城市道路工程、环境卫生设施和城镇排水与污水处理设施等专项竣工验收备案环节，与房屋建筑工程和市政基础设施工程竣工验收备案一并办理。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C523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87138">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9B110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住建局、城管执法局</w:t>
            </w:r>
          </w:p>
        </w:tc>
      </w:tr>
      <w:tr w14:paraId="5848CB39">
        <w:tblPrEx>
          <w:tblCellMar>
            <w:top w:w="15" w:type="dxa"/>
            <w:left w:w="15" w:type="dxa"/>
            <w:bottom w:w="0" w:type="dxa"/>
            <w:right w:w="15"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2489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0FCD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F254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推行区域评估。在连片开发区域和开发区、产业园区等功能区或其他特定区域，将原来需由项目单位逐项进行的各类评估（如环境影响评价、地质灾害危险性评估、节能评价、地震安全评价、防洪影响评价、水土保持方案、压覆矿产资源评估等工作），由经济开发园区管委会统一组织，按区域统一编报，实现区域内建设项目共享评估评审成果。</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E0703">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经济开发区管委会编制完成区域评估报告</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028C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2019年7月底前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5148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经济开发区管委会</w:t>
            </w:r>
          </w:p>
        </w:tc>
      </w:tr>
      <w:tr w14:paraId="414B62D7">
        <w:tblPrEx>
          <w:tblCellMar>
            <w:top w:w="15" w:type="dxa"/>
            <w:left w:w="15" w:type="dxa"/>
            <w:bottom w:w="0" w:type="dxa"/>
            <w:right w:w="15"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276CD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221D8">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1E55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推行“多评合一”。项目单位可自主选择将原来需逐项进行的各类评估评审事项，包括环境影响评价、地质灾害危险性评估、节能评价、地震安全评价（除按照法律、法规规定需要开展地震安全性评价的建设工程外，其他工程建设项目依据《建筑工程抗震设计规范》和《中国地震动参数区划图》确定的抗震设防要求进行设计）、防洪影响评价、水土保持方案评审、压覆矿产资源评估等工作，改为按照“统一受理、同步编制、同步评审、同步审批、统一送达”的“多评合一”模式一次性完成。</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F0FB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制定“多评合一”实施办法。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130D8">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A241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行政审批局牵头，自然资源和规划局、应急管理局等部门配合</w:t>
            </w:r>
          </w:p>
        </w:tc>
      </w:tr>
      <w:tr w14:paraId="6B695CE7">
        <w:tblPrEx>
          <w:tblCellMar>
            <w:top w:w="15" w:type="dxa"/>
            <w:left w:w="15" w:type="dxa"/>
            <w:bottom w:w="0" w:type="dxa"/>
            <w:right w:w="15" w:type="dxa"/>
          </w:tblCellMar>
        </w:tblPrEx>
        <w:trPr>
          <w:trHeight w:val="199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DB23E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0DB2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2866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不选择“多评合一”的项目，节能评价、地震安全评价、防洪影响评价、水土保持方案评审、压覆矿产资源评估等不作为项目审批核准条件，地震安全性评价在工程设计前完成即可（仅限于划拨用地项目），其他评价事项在施工许可前完成即可。</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8927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贯彻落实。办理事项申报要件涉及取消调整事项的，同步调整事项申报要件清单。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BAA6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FDE3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行政审批局牵头，市自然资源和规划局、应急管理局等部门配合</w:t>
            </w:r>
          </w:p>
        </w:tc>
      </w:tr>
      <w:tr w14:paraId="512CA4AA">
        <w:tblPrEx>
          <w:tblCellMar>
            <w:top w:w="15" w:type="dxa"/>
            <w:left w:w="15" w:type="dxa"/>
            <w:bottom w:w="0" w:type="dxa"/>
            <w:right w:w="15" w:type="dxa"/>
          </w:tblCellMar>
        </w:tblPrEx>
        <w:trPr>
          <w:trHeight w:val="362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6C408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26</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0A91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5C0C6">
            <w:pPr>
              <w:widowControl/>
              <w:spacing w:line="320" w:lineRule="exact"/>
              <w:jc w:val="left"/>
              <w:rPr>
                <w:rFonts w:hint="eastAsia" w:ascii="仿宋_GB2312" w:hAnsi="宋体" w:cs="宋体"/>
                <w:color w:val="000000"/>
                <w:sz w:val="21"/>
                <w:szCs w:val="21"/>
              </w:rPr>
            </w:pPr>
            <w:r>
              <w:rPr>
                <w:rStyle w:val="206"/>
                <w:rFonts w:ascii="仿宋_GB2312" w:eastAsia="仿宋_GB2312"/>
                <w:sz w:val="21"/>
                <w:szCs w:val="21"/>
                <w:lang w:bidi="ar"/>
              </w:rPr>
              <w:t>实施“规划设计方案联合审查”。以政府内部协作替代单独审查，将各部门分散进行设计方案审查整合为“规划设计方案联合审查”。由自然资源和规划部门牵头，以征求相关部门意见方式替代行政审批，在规划设计方案联合审查前，组织行政审批、国家安全、人防、住建、民政、文化广电和旅游、卫健、</w:t>
            </w:r>
            <w:r>
              <w:rPr>
                <w:rStyle w:val="205"/>
                <w:rFonts w:ascii="仿宋_GB2312" w:eastAsia="仿宋_GB2312"/>
                <w:sz w:val="21"/>
                <w:szCs w:val="21"/>
                <w:lang w:bidi="ar"/>
              </w:rPr>
              <w:t>教育、应急、水利、公安交警大队、消防大队、燃气公司、热力公司、供电公司、自来水公司、城管执法局、广电公司、移动公司、联通公司、电信公司等涉及的相关部门、单位开展联合踏勘，对设计方案出具联合审查意见。</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C759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制定规划设计方案联合审查工</w:t>
            </w:r>
            <w:r>
              <w:rPr>
                <w:rFonts w:hint="eastAsia" w:ascii="仿宋_GB2312" w:hAnsi="宋体" w:cs="宋体"/>
                <w:color w:val="000000"/>
                <w:sz w:val="21"/>
                <w:szCs w:val="21"/>
                <w:lang w:bidi="ar"/>
              </w:rPr>
              <w:br w:type="textWrapping" w:clear="all"/>
            </w:r>
            <w:r>
              <w:rPr>
                <w:rFonts w:hint="eastAsia" w:ascii="仿宋_GB2312" w:hAnsi="宋体" w:cs="宋体"/>
                <w:color w:val="000000"/>
                <w:sz w:val="21"/>
                <w:szCs w:val="21"/>
                <w:lang w:bidi="ar"/>
              </w:rPr>
              <w:t>作规程，技术规范，建立联席</w:t>
            </w:r>
            <w:r>
              <w:rPr>
                <w:rFonts w:hint="eastAsia" w:ascii="仿宋_GB2312" w:hAnsi="宋体" w:cs="宋体"/>
                <w:color w:val="000000"/>
                <w:sz w:val="21"/>
                <w:szCs w:val="21"/>
                <w:lang w:bidi="ar"/>
              </w:rPr>
              <w:br w:type="textWrapping" w:clear="all"/>
            </w:r>
            <w:r>
              <w:rPr>
                <w:rFonts w:hint="eastAsia" w:ascii="仿宋_GB2312" w:hAnsi="宋体" w:cs="宋体"/>
                <w:color w:val="000000"/>
                <w:sz w:val="21"/>
                <w:szCs w:val="21"/>
                <w:lang w:bidi="ar"/>
              </w:rPr>
              <w:t>会议等工作机制。</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98BB6">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8C51B">
            <w:pPr>
              <w:widowControl/>
              <w:spacing w:line="320" w:lineRule="exact"/>
              <w:jc w:val="left"/>
              <w:rPr>
                <w:rFonts w:hint="eastAsia" w:ascii="仿宋_GB2312" w:hAnsi="宋体" w:cs="宋体"/>
                <w:color w:val="000000"/>
                <w:sz w:val="21"/>
                <w:szCs w:val="21"/>
              </w:rPr>
            </w:pPr>
            <w:r>
              <w:rPr>
                <w:rStyle w:val="206"/>
                <w:rFonts w:ascii="仿宋_GB2312" w:eastAsia="仿宋_GB2312"/>
                <w:sz w:val="21"/>
                <w:szCs w:val="21"/>
                <w:lang w:bidi="ar"/>
              </w:rPr>
              <w:t>自然资源和规划局牵头，行政审批局、国家安全、人防办、住建局、民政局、文化广电和旅游局、卫生健康局、教育局、应急管理局、水利局、公安交警大队、消防大队、燃气公司、热力公司、供电公司、自来水公司、城管执法局、广电公司、移动公司、联通公司、电信公司等涉及的相关部门、单位。</w:t>
            </w:r>
          </w:p>
        </w:tc>
      </w:tr>
      <w:tr w14:paraId="23003A55">
        <w:tblPrEx>
          <w:tblCellMar>
            <w:top w:w="15" w:type="dxa"/>
            <w:left w:w="15" w:type="dxa"/>
            <w:bottom w:w="0" w:type="dxa"/>
            <w:right w:w="15" w:type="dxa"/>
          </w:tblCellMar>
        </w:tblPrEx>
        <w:trPr>
          <w:trHeight w:val="3903"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04700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27</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A715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DD27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实施“施工图联合审查”，牵头部门为住建部门。实施行政审批与技术审查分离，将消防设计审核、人防设计审查、施工图设计审查等分散的技术审查环节整合为“施工图联合审查”。由建设单位委托施工图审查机构进行审查，各审批部门要对施工图技术审查进行业务指导，并根据施工图审查合格意见进行行政审批和监督管理，不再进行独立的技术审查，审图机构承担技术审查责任。市住建局牵头，会同人防、应急管理、消防、行政审批等单位共同编制统一的施工图审查标准，明确审查内容，并对社会公布，原则上审查时限不超过15个工作日，同时加强对施工图审查机构和人员培训和指导。</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E2C4D">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制定施工图联合审查工作规程，技术规范，建立联席会议等工作机制。</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0BDC1">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6396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住建局牵头，行政审批局、自然资源和规划局、人防办、国家安全、应急管理局、消防、民政局、文化广电和旅游局、卫生健康局、市政公用服务等相关单位</w:t>
            </w:r>
          </w:p>
        </w:tc>
      </w:tr>
      <w:tr w14:paraId="7EBBC6EE">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65C22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28</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354C8">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162E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实施“多测合一”。将竣工验收阶段涉及的规划核实、房产测绘、地籍测绘进行整合，实行“多测合一”。由建设单位委托具有资质的中介机构进行统一测量，实行“一次委托、统一测绘、成果共享。</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888C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制定“多测合一”工作规程，技术规范，建立联席会议等工作机制。</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08550">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7CCD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 xml:space="preserve">自然资源和规划局牵头，住建局负责 </w:t>
            </w:r>
          </w:p>
        </w:tc>
      </w:tr>
      <w:tr w14:paraId="4DB92CFC">
        <w:tblPrEx>
          <w:tblCellMar>
            <w:top w:w="15" w:type="dxa"/>
            <w:left w:w="15" w:type="dxa"/>
            <w:bottom w:w="0" w:type="dxa"/>
            <w:right w:w="15" w:type="dxa"/>
          </w:tblCellMar>
        </w:tblPrEx>
        <w:trPr>
          <w:trHeight w:val="285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463F8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29</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8DAF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11AB7">
            <w:pPr>
              <w:widowControl/>
              <w:spacing w:line="320" w:lineRule="exact"/>
              <w:jc w:val="left"/>
              <w:rPr>
                <w:rFonts w:hint="eastAsia" w:ascii="仿宋_GB2312" w:hAnsi="宋体" w:cs="宋体"/>
                <w:color w:val="000000"/>
                <w:sz w:val="21"/>
                <w:szCs w:val="21"/>
              </w:rPr>
            </w:pPr>
            <w:r>
              <w:rPr>
                <w:rStyle w:val="206"/>
                <w:rFonts w:ascii="仿宋_GB2312" w:eastAsia="仿宋_GB2312"/>
                <w:sz w:val="21"/>
                <w:szCs w:val="21"/>
                <w:lang w:bidi="ar"/>
              </w:rPr>
              <w:t>实施“联合验收”。住建、行政审批</w:t>
            </w:r>
            <w:r>
              <w:rPr>
                <w:rStyle w:val="205"/>
                <w:rFonts w:ascii="仿宋_GB2312" w:eastAsia="仿宋_GB2312"/>
                <w:sz w:val="21"/>
                <w:szCs w:val="21"/>
                <w:lang w:bidi="ar"/>
              </w:rPr>
              <w:t>、城管执法局、教育局、自然资源和规划、人防、应急管理、消防、国家安全、民政、文化广电和旅游、卫健、市政公用服务等</w:t>
            </w:r>
            <w:r>
              <w:rPr>
                <w:rStyle w:val="206"/>
                <w:rFonts w:ascii="仿宋_GB2312" w:eastAsia="仿宋_GB2312"/>
                <w:sz w:val="21"/>
                <w:szCs w:val="21"/>
                <w:lang w:bidi="ar"/>
              </w:rPr>
              <w:t>部门和单位对工程项目实行限时联合验收，统一验收图纸和验收标准，可依据综合测绘报告和其他必要材料直接出具验收意见，有关部门同步完成验收备案。政府投资项目经批准后可选择联合验收或单项验收。</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1D1C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制定“联合验收”工作规程，技术规范，建立联席会议等工作机制。</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08E9C">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F89C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住建局牵头，行政审批局、城管执法局、教育局、自然资源和规划局、人防办、国家安全、应急管理局、消防、民政局、文化广电和旅游局、卫生健康局、市政公用服务等相关单位</w:t>
            </w:r>
          </w:p>
        </w:tc>
      </w:tr>
      <w:tr w14:paraId="4FA0A02E">
        <w:tblPrEx>
          <w:tblCellMar>
            <w:top w:w="15" w:type="dxa"/>
            <w:left w:w="15" w:type="dxa"/>
            <w:bottom w:w="0" w:type="dxa"/>
            <w:right w:w="15" w:type="dxa"/>
          </w:tblCellMar>
        </w:tblPrEx>
        <w:trPr>
          <w:trHeight w:val="2728"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B6197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30</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03F77">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合并审查事项</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49B5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合并审批城市管理类事项。市政设施建设类审批（占用、挖掘城市道路审批、依附于城市道路建设各种管线、杆线等设施审批、城市桥梁上架设各类市政管线审批）和工程建设涉及城市绿地、树木审批（临时占用城市绿地审批、砍伐城市树木、迁移古树名木审批）合并审批。</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D015D">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制定工作规范</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D25AB">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9840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w:t>
            </w:r>
          </w:p>
        </w:tc>
      </w:tr>
      <w:tr w14:paraId="29B2ADA1">
        <w:tblPrEx>
          <w:tblCellMar>
            <w:top w:w="15" w:type="dxa"/>
            <w:left w:w="15" w:type="dxa"/>
            <w:bottom w:w="0" w:type="dxa"/>
            <w:right w:w="15" w:type="dxa"/>
          </w:tblCellMar>
        </w:tblPrEx>
        <w:trPr>
          <w:trHeight w:val="2318"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199F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FDB8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调整审批时序</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C14C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政基础设施项目（道路、绿化、管线）设计方案审查前置，在取得选址意见书和用地预审意见后，项目单位可直接申报设计方案审查；将立项审批后置，可研报告审批在设计方案审查后，与初步设计文件审批同步进行、同步办理用地规划许可证。</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29A5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97EB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6AFA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发改局、自然资源和规划局</w:t>
            </w:r>
          </w:p>
        </w:tc>
      </w:tr>
      <w:tr w14:paraId="0844FD35">
        <w:tblPrEx>
          <w:tblCellMar>
            <w:top w:w="15" w:type="dxa"/>
            <w:left w:w="15" w:type="dxa"/>
            <w:bottom w:w="0" w:type="dxa"/>
            <w:right w:w="15" w:type="dxa"/>
          </w:tblCellMar>
        </w:tblPrEx>
        <w:trPr>
          <w:trHeight w:val="2836"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5113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32</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9E6C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调整审批时序</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DDE3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 xml:space="preserve"> 申请办理建设工程规划许可证时，可将用地预审意见、国有土地使用权出让合同或划拨决定书作为使用土地证明文件，用地批准手续在办理施工许可前完成即可。对涉及改变既有道路内市政管线、管位、管径、走向的市政道路维修维护改造项目，可将道路管理单位同意使用道路的意见作为使用土地证明文件；对涉及改变既有道路外市政管线、管位、管径、走向的市政道路维修维护改造项目，可将土地权属单位同意使用土地的意见作为使用土地证明文件，申请办理建设工程规划许可。</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B982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0A9B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6FBB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自然资源和规划部门</w:t>
            </w:r>
          </w:p>
        </w:tc>
      </w:tr>
      <w:tr w14:paraId="6F8245E3">
        <w:tblPrEx>
          <w:tblCellMar>
            <w:top w:w="15" w:type="dxa"/>
            <w:left w:w="15" w:type="dxa"/>
            <w:bottom w:w="0" w:type="dxa"/>
            <w:right w:w="15" w:type="dxa"/>
          </w:tblCellMar>
        </w:tblPrEx>
        <w:trPr>
          <w:trHeight w:val="1417"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0D28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14FA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调整审批时序</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4F78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将工程规划许可阶段的施工图联合审查，调整到施工许可阶段办理。在办理建设工程规划许可证时，以方案图纸作为申请材料，不再要求提交施工图纸。</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85D2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B6D2E">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760C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自然资源和规划部门、行政审批部门</w:t>
            </w:r>
          </w:p>
        </w:tc>
      </w:tr>
      <w:tr w14:paraId="50EC5AAB">
        <w:tblPrEx>
          <w:tblCellMar>
            <w:top w:w="15" w:type="dxa"/>
            <w:left w:w="15" w:type="dxa"/>
            <w:bottom w:w="0" w:type="dxa"/>
            <w:right w:w="15" w:type="dxa"/>
          </w:tblCellMar>
        </w:tblPrEx>
        <w:trPr>
          <w:trHeight w:val="232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476C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8CF7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调整审批时序</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F681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将正式供水、排水、供电、燃气、热力、通信等市政公共基础设施报装提前到施工许可证核发后办理。在建设工程规划许可证核发后，各市政公共服务部门即可提前介入项目，编制设计文件。项目单位在取得施工许可证后即可申请报装，在工程施工阶段完成相关设施建设。</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61F6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C40E8">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自方案实施之日起</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5210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城管执法局、供电公司、燃气公司、自来水公司、热力公司、移动公司、联通公司、电信公司、广电公司</w:t>
            </w:r>
          </w:p>
        </w:tc>
      </w:tr>
      <w:tr w14:paraId="73ED8C66">
        <w:tblPrEx>
          <w:tblCellMar>
            <w:top w:w="15" w:type="dxa"/>
            <w:left w:w="15" w:type="dxa"/>
            <w:bottom w:w="0" w:type="dxa"/>
            <w:right w:w="15" w:type="dxa"/>
          </w:tblCellMar>
        </w:tblPrEx>
        <w:trPr>
          <w:trHeight w:val="222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AF89E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5BE6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推行告知承诺制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2930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实行建设工程规划许可承诺办理。在工程建设许可阶段，项目单位可在调整优化设计方案的同时，建设单位签订承诺书，承诺其在规定时限内按程序履行正式报建手续，提交的材料符合相关告知内容，并能按照承诺时限提交相关材料，承担相应的法律责任及后果，自然资源和规划部门可据此发放建设工程规划预许可证。</w:t>
            </w:r>
          </w:p>
        </w:tc>
        <w:tc>
          <w:tcPr>
            <w:tcW w:w="3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CF53B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制定实施办法。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97E08">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2EED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25C71C91">
        <w:tblPrEx>
          <w:tblCellMar>
            <w:top w:w="15" w:type="dxa"/>
            <w:left w:w="15" w:type="dxa"/>
            <w:bottom w:w="0" w:type="dxa"/>
            <w:right w:w="15" w:type="dxa"/>
          </w:tblCellMar>
        </w:tblPrEx>
        <w:trPr>
          <w:trHeight w:val="227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3AA91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36</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3EE9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推行告知承诺制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4930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实行建筑工程施工许可证承诺办理。在施工许可阶段,项目位可在调整优化施工图设计文件的同时,签订承诺书,承诺其施图设计文件能够符合相应建设标准或调整要求,施工许可审批部门可据此发放建筑工程施工预许可证。</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8F53D">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 xml:space="preserve"> 制定实施办法。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922F2">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B0E2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w:t>
            </w:r>
          </w:p>
        </w:tc>
      </w:tr>
      <w:tr w14:paraId="615FED24">
        <w:tblPrEx>
          <w:tblCellMar>
            <w:top w:w="15" w:type="dxa"/>
            <w:left w:w="15" w:type="dxa"/>
            <w:bottom w:w="0" w:type="dxa"/>
            <w:right w:w="15" w:type="dxa"/>
          </w:tblCellMar>
        </w:tblPrEx>
        <w:trPr>
          <w:trHeight w:val="202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2D63C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37</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3E526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推行告知承诺制</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77F8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设工程规划预许可证和建筑工程施工预许可证有效期为2个月,仅限于办理相关审批手续及开工使用,不具备其他法律效力。项目单位须在有效期内凭符合标准的设计方案或图纸,按照审批程序完成所有正式审批手续办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DA8C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市自然资源和规划局及市城市理综合行政执法局制定工程规划许可证监管办法;市住建局制定施工预许可证监管办法。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A691C">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2019年5月15日前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9186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自然资源和规划局牵头,城管执法局、住建局负责</w:t>
            </w:r>
          </w:p>
        </w:tc>
      </w:tr>
      <w:tr w14:paraId="107D65B9">
        <w:tblPrEx>
          <w:tblCellMar>
            <w:top w:w="15" w:type="dxa"/>
            <w:left w:w="15" w:type="dxa"/>
            <w:bottom w:w="0" w:type="dxa"/>
            <w:right w:w="15" w:type="dxa"/>
          </w:tblCellMar>
        </w:tblPrEx>
        <w:trPr>
          <w:trHeight w:val="1813"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E1AC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38</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8480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“一张蓝图”统筹项目实施</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B7E11">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按照“城乡一体、全域管控、部门协作”工作要求,统一各图纸坐标系和基础数据入库格式标准。建立城乡规划、国土、林业规划用地标准对应体系,提出差异图斑分类及处理原则。</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8355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 xml:space="preserve"> 制定“多规合一”办法,编制行业需求清单，制定差异图斑分类处理办法。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392D2">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2019年5月15日前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76C7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6E693C1C">
        <w:tblPrEx>
          <w:tblCellMar>
            <w:top w:w="15" w:type="dxa"/>
            <w:left w:w="15" w:type="dxa"/>
            <w:bottom w:w="0" w:type="dxa"/>
            <w:right w:w="15" w:type="dxa"/>
          </w:tblCellMar>
        </w:tblPrEx>
        <w:trPr>
          <w:trHeight w:val="2096"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FF8C1">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39</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4FFB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“一张蓝图”统筹项目实施</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AE406">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以城乡规划、国土、林业规划为基础,以生态底线、城市开发边界和永久性基本农田为核心管控要素,将现状各项规划进行叠加,找出冲突图斑,解决矛盾问题。编制形成“空间管控一张蓝图”成果,明确各类用地的管控边界。</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7D454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完成“空间管控一张蓝图”成果明确各类用地的管控边界。</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B499C">
            <w:pPr>
              <w:widowControl/>
              <w:spacing w:line="320" w:lineRule="exact"/>
              <w:jc w:val="center"/>
              <w:rPr>
                <w:rFonts w:hint="eastAsia" w:ascii="仿宋_GB2312" w:hAnsi="宋体" w:cs="宋体"/>
                <w:color w:val="000000"/>
                <w:sz w:val="21"/>
                <w:szCs w:val="21"/>
              </w:rPr>
            </w:pPr>
            <w:r>
              <w:rPr>
                <w:rStyle w:val="205"/>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DB90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w:t>
            </w:r>
          </w:p>
        </w:tc>
      </w:tr>
      <w:tr w14:paraId="785811DF">
        <w:tblPrEx>
          <w:tblCellMar>
            <w:top w:w="15" w:type="dxa"/>
            <w:left w:w="15" w:type="dxa"/>
            <w:bottom w:w="0" w:type="dxa"/>
            <w:right w:w="15" w:type="dxa"/>
          </w:tblCellMar>
        </w:tblPrEx>
        <w:trPr>
          <w:trHeight w:val="195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461381">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40</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E9305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“一张蓝图”充筹项目实施</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BF233">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统筹整合各部门空间规划和专项规划,形成“生态为本底、建设管控为重点、承载力为支撑”且覆盖全域的“一张蓝图”空间管控体系。同时完成“一张蓝图”数据保密认定及政务外网部署工作。</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15C8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建立覆盖全域的“一张蓝图”间管控体系,完成“一张图”数据密认定及致务外网部署工作。</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275B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2019年12月底前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2A6F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自然资源和规划局、环保局</w:t>
            </w:r>
          </w:p>
        </w:tc>
      </w:tr>
      <w:tr w14:paraId="31328FB3">
        <w:tblPrEx>
          <w:tblCellMar>
            <w:top w:w="15" w:type="dxa"/>
            <w:left w:w="15" w:type="dxa"/>
            <w:bottom w:w="0" w:type="dxa"/>
            <w:right w:w="15" w:type="dxa"/>
          </w:tblCellMar>
        </w:tblPrEx>
        <w:trPr>
          <w:trHeight w:val="263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57BE4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1B4C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“一个系统”实施统一管理</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CE42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按照“横向到边、纵向到底”的原则,建立覆盖市级的工程建设项目审批管理系统,并与国家工程建设项目审批管理系统、“互联网+政务服务”平台、投资项目在线监管平台等各平台对接,实现审批数据实时共享,实现工程建设项目审批一网通办、全程服务,工程建设项目审批管理系统具备“多规合一”业务协同、在线并联审批、统计分析、监督管理等功能,依托“一张蓝图”实现统一受理并联审批、实时流转、跟踪督办。</w:t>
            </w:r>
          </w:p>
        </w:tc>
        <w:tc>
          <w:tcPr>
            <w:tcW w:w="3051"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A949B6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制定工作方案；建立工程建设项审批管理系统,实现工程建设项目审批一网通办、全程服务。</w:t>
            </w:r>
          </w:p>
        </w:tc>
        <w:tc>
          <w:tcPr>
            <w:tcW w:w="1493"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2C436DF">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2019年5月底前</w:t>
            </w:r>
          </w:p>
        </w:tc>
        <w:tc>
          <w:tcPr>
            <w:tcW w:w="2753"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C5B25F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行政审批局、各相关审批部门</w:t>
            </w:r>
          </w:p>
        </w:tc>
      </w:tr>
      <w:tr w14:paraId="126D1DC1">
        <w:tblPrEx>
          <w:tblCellMar>
            <w:top w:w="15" w:type="dxa"/>
            <w:left w:w="15" w:type="dxa"/>
            <w:bottom w:w="0" w:type="dxa"/>
            <w:right w:w="15" w:type="dxa"/>
          </w:tblCellMar>
        </w:tblPrEx>
        <w:trPr>
          <w:trHeight w:val="90"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0F33E0">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42</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D78C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“一个系统”实施统一管理</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8455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整合工程建设项目审批信息、质量安全和市场监管等数据信息,推动项目审批与事中事后监管深度融合,推进工程建设领域大数据研究、开发和应用。</w:t>
            </w:r>
          </w:p>
        </w:tc>
        <w:tc>
          <w:tcPr>
            <w:tcW w:w="3051"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C1090D2">
            <w:pPr>
              <w:widowControl/>
              <w:spacing w:line="320" w:lineRule="exact"/>
              <w:jc w:val="left"/>
              <w:rPr>
                <w:rFonts w:hint="eastAsia" w:ascii="仿宋_GB2312" w:hAnsi="宋体" w:cs="宋体"/>
                <w:color w:val="000000"/>
                <w:sz w:val="21"/>
                <w:szCs w:val="21"/>
              </w:rPr>
            </w:pPr>
          </w:p>
        </w:tc>
        <w:tc>
          <w:tcPr>
            <w:tcW w:w="1493"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596E3B63">
            <w:pPr>
              <w:widowControl/>
              <w:spacing w:line="320" w:lineRule="exact"/>
              <w:jc w:val="center"/>
              <w:rPr>
                <w:rFonts w:hint="eastAsia" w:ascii="仿宋_GB2312" w:hAnsi="宋体" w:cs="宋体"/>
                <w:color w:val="000000"/>
                <w:sz w:val="21"/>
                <w:szCs w:val="21"/>
              </w:rPr>
            </w:pPr>
          </w:p>
        </w:tc>
        <w:tc>
          <w:tcPr>
            <w:tcW w:w="2753"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479474FF">
            <w:pPr>
              <w:widowControl/>
              <w:spacing w:line="320" w:lineRule="exact"/>
              <w:jc w:val="left"/>
              <w:rPr>
                <w:rFonts w:hint="eastAsia" w:ascii="仿宋_GB2312" w:hAnsi="宋体" w:cs="宋体"/>
                <w:color w:val="000000"/>
                <w:sz w:val="21"/>
                <w:szCs w:val="21"/>
              </w:rPr>
            </w:pPr>
          </w:p>
        </w:tc>
      </w:tr>
      <w:tr w14:paraId="4C654230">
        <w:tblPrEx>
          <w:tblCellMar>
            <w:top w:w="15" w:type="dxa"/>
            <w:left w:w="15" w:type="dxa"/>
            <w:bottom w:w="0" w:type="dxa"/>
            <w:right w:w="15" w:type="dxa"/>
          </w:tblCellMar>
        </w:tblPrEx>
        <w:trPr>
          <w:trHeight w:val="446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12BAB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77FD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“一个窗口”提供综合服务</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AA7F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在政务服务机构按照工程建设项目审批流程阶段划分,分别设立工程建设项目审批综合服务窗口,按照“前台综合受理、后台分类审批、材料网上流转、统一窗口出件”的模式,进一步整合各部门分散设立的服务窗口，凡工程建设类审批项目,原部门不再单独受理。供水、排水、供电、燃气、热力、通信等市政公用服务单位全部入驻政务服务大厅,实现“前台受理、后台审核、窗口出件”,按照政务服务标准化要求,明确服务主体、公布服务事项、简化服务流程、规定服务时限,实现工程建设类项目“一个窗口”的标准化服务和管理,覆盖项目审批的全过程。强化政务服务大厅建设,为企业、群众提供工程建设项目审批的咨询、指导、协调和代办等服务。</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8C29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进驻中心,提供受理、咨询、办理服务,业务纳入审批平台办理。优化窗口设置,分阶段制定综合窗口受理办法,实现工程建设类项目“一个窗口”的标准化服务和管理,覆盖项目审批的全过程。</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C727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2C8F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行政审批局、自然资源和规划局住建局牵头,城管执法局、供电公司、燃气公司、自来水公司、热力公司、移动公司、联通公司、电信公司、广电公司及相关审批部门配合</w:t>
            </w:r>
          </w:p>
        </w:tc>
      </w:tr>
      <w:tr w14:paraId="6862E51B">
        <w:tblPrEx>
          <w:tblCellMar>
            <w:top w:w="15" w:type="dxa"/>
            <w:left w:w="15" w:type="dxa"/>
            <w:bottom w:w="0" w:type="dxa"/>
            <w:right w:w="15" w:type="dxa"/>
          </w:tblCellMar>
        </w:tblPrEx>
        <w:trPr>
          <w:trHeight w:val="223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B114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5367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“一张表单”整合申报材料</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251D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清理审批服务中的模糊条款,属于兜底性质的“其他材料”“有关材料”等一律明确具体内容,不能明确且不会危害国家安全和公共安全的一律取消,能够通过在线核查的一律不再提交,整合申报材料,各审批阶段均实行“一份办事指南,一张申请表单,一套申报材料,完成多项审批”的审批模式,牵头部门制定统一的办事指南和申报表格,不同审批环节的审批部门应当共享申报材料,不得要求申请人重复提交。</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2247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制定统一的办事指南和申报表格,实现申报材料共享。</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05425">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2128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行政审批局、自然资源和规划局住建局、发改局牵头,供电公司、燃气公司、自来水公司、热力公司、城管执法局、移动公司、联通公司、电信公司、广电公司及相关审批部门配合</w:t>
            </w:r>
          </w:p>
        </w:tc>
      </w:tr>
      <w:tr w14:paraId="3583528B">
        <w:tblPrEx>
          <w:tblCellMar>
            <w:top w:w="15" w:type="dxa"/>
            <w:left w:w="15" w:type="dxa"/>
            <w:bottom w:w="0" w:type="dxa"/>
            <w:right w:w="15" w:type="dxa"/>
          </w:tblCellMar>
        </w:tblPrEx>
        <w:trPr>
          <w:trHeight w:val="3398"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7CEF4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5AC5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“一套机制”规范审批运行</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52B4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立健全工程建设项目审批配套制度,各级各有关部门要按照本实施方案的总体要求,针对调整优化后的各类行政审批技术审查事项，制定相应配套政策,明确审批流程、办结时限、前置条件,更新相应的办事指南,编制告知承诺的规范格式,2019年4月底前形成完善的配套政策体系，2019年9月底前完成改革涉及的地方性法规、政府规章和规范性文件的清理、修改任务。</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E4B3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建立健全工程建设项目审批配套制度,明确审批流程、办结时限,前置条件,更新相应的办事指南,编制告知承诺的规范格式。</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197D9">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A742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各相关审批部门</w:t>
            </w:r>
          </w:p>
        </w:tc>
      </w:tr>
      <w:tr w14:paraId="081D73AA">
        <w:tblPrEx>
          <w:tblCellMar>
            <w:top w:w="15" w:type="dxa"/>
            <w:left w:w="15" w:type="dxa"/>
            <w:bottom w:w="0" w:type="dxa"/>
            <w:right w:w="15" w:type="dxa"/>
          </w:tblCellMar>
        </w:tblPrEx>
        <w:trPr>
          <w:trHeight w:val="2274"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22EDD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46</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7D923">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“一套机制”规范审批运行</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88C5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建立各审批阶段联席会议制度，协调解决部门意见分歧，确保审批各阶段、各环节无缝衔接，建立督办督查制度，实时跟踪审批办理情况，对全过程进行督查。</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1881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制定各审批阶段联席会议制度;制定督办督查制度。</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EE573">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2019年6月底前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A6BA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行政审批局、自然资源和规划局、住建局、发改局、工程建设项目审批制度改革领导小组办公室</w:t>
            </w:r>
          </w:p>
        </w:tc>
      </w:tr>
      <w:tr w14:paraId="45D2CFDE">
        <w:tblPrEx>
          <w:tblCellMar>
            <w:top w:w="15" w:type="dxa"/>
            <w:left w:w="15" w:type="dxa"/>
            <w:bottom w:w="0" w:type="dxa"/>
            <w:right w:w="15" w:type="dxa"/>
          </w:tblCellMar>
        </w:tblPrEx>
        <w:trPr>
          <w:trHeight w:val="2676"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0238D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47</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04FB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加强事中事后监管</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47BB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积极探索建立与工程建设项目审批制度改革相适应的监管体系,明确监管内容和方式,全面推行“双随机、一公开”监管,加大监督检查力度,严肃查处违法违规行为,对实行告知承诺制的审批事项,要依法制定事中事后监督检查办，法在规定时间内对申请人和有关当事人履行承诺情况进行检查,对申请人未履行承诺的,撤销行政审批决定,并依法追究申请人和有关当事人的相应责任。</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EF4F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各部门制定事中、事后监管办法；制定工程建设项目</w:t>
            </w:r>
            <w:bookmarkStart w:id="0" w:name="_GoBack"/>
            <w:bookmarkEnd w:id="0"/>
            <w:r>
              <w:rPr>
                <w:rFonts w:hint="eastAsia" w:ascii="仿宋_GB2312" w:hAnsi="宋体" w:cs="宋体"/>
                <w:color w:val="000000"/>
                <w:sz w:val="21"/>
                <w:szCs w:val="21"/>
                <w:lang w:eastAsia="zh-CN" w:bidi="ar"/>
              </w:rPr>
              <w:t>“双随机、一公开”</w:t>
            </w:r>
            <w:r>
              <w:rPr>
                <w:rFonts w:hint="eastAsia" w:ascii="仿宋_GB2312" w:hAnsi="宋体" w:cs="宋体"/>
                <w:color w:val="000000"/>
                <w:sz w:val="21"/>
                <w:szCs w:val="21"/>
                <w:lang w:bidi="ar"/>
              </w:rPr>
              <w:t>工作方案;对实行告知承诺制的审批事项,制定事中事后监督检查办法。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96273">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2019年4月底前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75702">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各审批部门、“双随机、一公开”工作领导小组办公室行政主管部门</w:t>
            </w:r>
          </w:p>
        </w:tc>
      </w:tr>
      <w:tr w14:paraId="0E03690B">
        <w:tblPrEx>
          <w:tblCellMar>
            <w:top w:w="15" w:type="dxa"/>
            <w:left w:w="15" w:type="dxa"/>
            <w:bottom w:w="0" w:type="dxa"/>
            <w:right w:w="15" w:type="dxa"/>
          </w:tblCellMar>
        </w:tblPrEx>
        <w:trPr>
          <w:trHeight w:val="1946"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87CEE2">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48</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3ABD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加强信用体系建设</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BFBDD">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建立工程建设项目审批信用信息平台,实行“黑名单”制度,将企业和中介机构违法违规、不履行承诺的不良行为记入诚信档案并向社会公开,构建一处失信、处处受限的联合惩戒机制。加强工程建设项目审批监管平台和业务系统与信用信息平台的衔接,提高联合惩戒效果。</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8B05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完成信用唐山与审批平台对接,建立联合惩戒机制和失信黑名单制度。</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CEEAA">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2019年6月底前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4C6F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行政审批局、各相关审批部门、行政主管部门</w:t>
            </w:r>
          </w:p>
        </w:tc>
      </w:tr>
      <w:tr w14:paraId="3E9CB7B8">
        <w:tblPrEx>
          <w:tblCellMar>
            <w:top w:w="15" w:type="dxa"/>
            <w:left w:w="15" w:type="dxa"/>
            <w:bottom w:w="0" w:type="dxa"/>
            <w:right w:w="15" w:type="dxa"/>
          </w:tblCellMar>
        </w:tblPrEx>
        <w:trPr>
          <w:trHeight w:val="216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5399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49</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FEC2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加强中介和市政公用服务管理</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BE16F">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清理规范行政审批中介服务事项,开放中介服务市场,依托全省工程建设项目全流程审批在线监管平台,建立中介服务网上交易平台,对中介服务行为实行全过程监管。将市政公用基础设施接入服务纳入统一监管,建立健全管理制度,实行服务承诺制,明确服务标准和办事流程,规范服务收费。</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9D26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公布中介服务事项清单；建立中介服务网上交易管理平台,组织机构进驻服务平台;各部门制定中介机构管理办法,明确业务标准,对服务内容、服务质量进行严格规定,严格控制服务时限和收费标准。</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33057">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2019年6月底前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E37E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行政审批局、各相关审批部门</w:t>
            </w:r>
          </w:p>
        </w:tc>
      </w:tr>
      <w:tr w14:paraId="366D48BA">
        <w:tblPrEx>
          <w:tblCellMar>
            <w:top w:w="15" w:type="dxa"/>
            <w:left w:w="15" w:type="dxa"/>
            <w:bottom w:w="0" w:type="dxa"/>
            <w:right w:w="15" w:type="dxa"/>
          </w:tblCellMar>
        </w:tblPrEx>
        <w:trPr>
          <w:trHeight w:val="171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BEF5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50</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AAC11D">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强化监督保障</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E9B5E">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市领导小组要建立健全监督机制和随机抽查、定期检查等工作机制,制定考核评价办法,依据改革任务时间节点,对各部门落实改革措施情况实施综合评定、动态监管。</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A4740">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制定考核评价办法。</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E282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2019年5月底前</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F19D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工程建设项目审批制度改革领导小组办公室</w:t>
            </w:r>
          </w:p>
        </w:tc>
      </w:tr>
      <w:tr w14:paraId="6F33B498">
        <w:tblPrEx>
          <w:tblCellMar>
            <w:top w:w="15" w:type="dxa"/>
            <w:left w:w="15" w:type="dxa"/>
            <w:bottom w:w="0" w:type="dxa"/>
            <w:right w:w="15" w:type="dxa"/>
          </w:tblCellMar>
        </w:tblPrEx>
        <w:trPr>
          <w:trHeight w:val="114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66745B">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51</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04605">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强化监督保障</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3C6DC">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市政府要将工程建设项目审批制度改革作为“放管服”改革的重要内容,列入绩效考评管理。</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B737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9A549">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按时序推进</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EB38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市政府</w:t>
            </w:r>
          </w:p>
        </w:tc>
      </w:tr>
      <w:tr w14:paraId="3539D6FD">
        <w:tblPrEx>
          <w:tblCellMar>
            <w:top w:w="15" w:type="dxa"/>
            <w:left w:w="15" w:type="dxa"/>
            <w:bottom w:w="0" w:type="dxa"/>
            <w:right w:w="15" w:type="dxa"/>
          </w:tblCellMar>
        </w:tblPrEx>
        <w:trPr>
          <w:trHeight w:val="1162"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05313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52</w:t>
            </w:r>
          </w:p>
        </w:tc>
        <w:tc>
          <w:tcPr>
            <w:tcW w:w="173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A099AD7">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强化监督保障</w:t>
            </w:r>
          </w:p>
        </w:tc>
        <w:tc>
          <w:tcPr>
            <w:tcW w:w="467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3F3F39C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适时引入第三方评估机构,加大督导考核力度,确保全市工程建设项目审批制度改革工作如期高质量完成。</w:t>
            </w:r>
          </w:p>
        </w:tc>
        <w:tc>
          <w:tcPr>
            <w:tcW w:w="30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C5EAF4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制定工作方案。</w:t>
            </w:r>
          </w:p>
        </w:tc>
        <w:tc>
          <w:tcPr>
            <w:tcW w:w="149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6390985">
            <w:pPr>
              <w:widowControl/>
              <w:spacing w:line="320" w:lineRule="exact"/>
              <w:jc w:val="center"/>
              <w:rPr>
                <w:rFonts w:hint="eastAsia" w:ascii="仿宋_GB2312" w:hAnsi="宋体" w:cs="宋体"/>
                <w:color w:val="000000"/>
                <w:sz w:val="21"/>
                <w:szCs w:val="21"/>
              </w:rPr>
            </w:pPr>
            <w:r>
              <w:rPr>
                <w:rStyle w:val="206"/>
                <w:rFonts w:ascii="仿宋_GB2312" w:eastAsia="仿宋_GB2312"/>
                <w:sz w:val="21"/>
                <w:szCs w:val="21"/>
                <w:lang w:bidi="ar"/>
              </w:rPr>
              <w:t>2019年9月底前</w:t>
            </w:r>
          </w:p>
        </w:tc>
        <w:tc>
          <w:tcPr>
            <w:tcW w:w="275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7B66B7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工程建设项目审批制度改革领导小组办公室</w:t>
            </w:r>
          </w:p>
        </w:tc>
      </w:tr>
      <w:tr w14:paraId="457F605B">
        <w:tblPrEx>
          <w:tblCellMar>
            <w:top w:w="15" w:type="dxa"/>
            <w:left w:w="15" w:type="dxa"/>
            <w:bottom w:w="0" w:type="dxa"/>
            <w:right w:w="15" w:type="dxa"/>
          </w:tblCellMar>
        </w:tblPrEx>
        <w:trPr>
          <w:trHeight w:val="1449"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2BD271">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53</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4A77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强化资金保障</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1B00A">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对改革举措中涉及政府购买服务和审批平台升级改造的,经市政府研究同意后,财政部门要及时给予经费支持。</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9B138">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保障经费落实。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DCB4F4">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按时序推进</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FC60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财政局</w:t>
            </w:r>
          </w:p>
        </w:tc>
      </w:tr>
      <w:tr w14:paraId="52001333">
        <w:tblPrEx>
          <w:tblCellMar>
            <w:top w:w="15" w:type="dxa"/>
            <w:left w:w="15" w:type="dxa"/>
            <w:bottom w:w="0" w:type="dxa"/>
            <w:right w:w="15" w:type="dxa"/>
          </w:tblCellMar>
        </w:tblPrEx>
        <w:trPr>
          <w:trHeight w:val="2095"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B24D7">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54</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853CF">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加强宣传引导</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8CC77">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直各单位要充分利用报刊、广播、电视网络等媒体,加强对工程建设项目审批制度改革工作的宣传,及时回应群众关切,增进社会公众的了解和支持,营造良好舆论环境。各级各单位在工作推进过程中遇到的新情况、新问题,要及时协调解决,处理结果及时报送市直有关部门。</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AC0F9">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422C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按时序推进</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6C1E5">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市政府、各审批部门</w:t>
            </w:r>
          </w:p>
        </w:tc>
      </w:tr>
      <w:tr w14:paraId="4BD0C287">
        <w:tblPrEx>
          <w:tblCellMar>
            <w:top w:w="15" w:type="dxa"/>
            <w:left w:w="15" w:type="dxa"/>
            <w:bottom w:w="0" w:type="dxa"/>
            <w:right w:w="15" w:type="dxa"/>
          </w:tblCellMar>
        </w:tblPrEx>
        <w:trPr>
          <w:trHeight w:val="1521" w:hRule="atLeast"/>
        </w:trPr>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E79B8A">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55</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08EF6">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持续深化完善</w:t>
            </w:r>
          </w:p>
        </w:tc>
        <w:tc>
          <w:tcPr>
            <w:tcW w:w="46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C7D5B">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领导小组办公室会同各成员单位,要以市场主体和群众感受为标准,加强对改革政策执行效果的评估分析。按照国家和省统一部署,借鉴先进地区经验,持续优化改革措施。</w:t>
            </w:r>
          </w:p>
        </w:tc>
        <w:tc>
          <w:tcPr>
            <w:tcW w:w="30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47B54">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贯彻落实。</w:t>
            </w:r>
          </w:p>
        </w:tc>
        <w:tc>
          <w:tcPr>
            <w:tcW w:w="14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A67AC">
            <w:pPr>
              <w:widowControl/>
              <w:spacing w:line="320" w:lineRule="exact"/>
              <w:jc w:val="center"/>
              <w:rPr>
                <w:rFonts w:hint="eastAsia" w:ascii="仿宋_GB2312" w:hAnsi="宋体" w:cs="宋体"/>
                <w:color w:val="000000"/>
                <w:sz w:val="21"/>
                <w:szCs w:val="21"/>
              </w:rPr>
            </w:pPr>
            <w:r>
              <w:rPr>
                <w:rFonts w:hint="eastAsia" w:ascii="仿宋_GB2312" w:hAnsi="宋体" w:cs="宋体"/>
                <w:color w:val="000000"/>
                <w:sz w:val="21"/>
                <w:szCs w:val="21"/>
                <w:lang w:bidi="ar"/>
              </w:rPr>
              <w:t>按时序推进</w:t>
            </w:r>
          </w:p>
        </w:tc>
        <w:tc>
          <w:tcPr>
            <w:tcW w:w="27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E935D">
            <w:pPr>
              <w:widowControl/>
              <w:spacing w:line="320" w:lineRule="exact"/>
              <w:jc w:val="left"/>
              <w:rPr>
                <w:rFonts w:hint="eastAsia" w:ascii="仿宋_GB2312" w:hAnsi="宋体" w:cs="宋体"/>
                <w:color w:val="000000"/>
                <w:sz w:val="21"/>
                <w:szCs w:val="21"/>
              </w:rPr>
            </w:pPr>
            <w:r>
              <w:rPr>
                <w:rFonts w:hint="eastAsia" w:ascii="仿宋_GB2312" w:hAnsi="宋体" w:cs="宋体"/>
                <w:color w:val="000000"/>
                <w:sz w:val="21"/>
                <w:szCs w:val="21"/>
                <w:lang w:bidi="ar"/>
              </w:rPr>
              <w:t>工程建设项目审批制度改革领导小组办公室、成员单位</w:t>
            </w:r>
          </w:p>
        </w:tc>
      </w:tr>
    </w:tbl>
    <w:p w14:paraId="5C4CD672">
      <w:pPr>
        <w:tabs>
          <w:tab w:val="left" w:pos="5440"/>
        </w:tabs>
        <w:spacing w:line="540" w:lineRule="exact"/>
        <w:ind w:firstLine="608"/>
        <w:rPr>
          <w:rFonts w:ascii="黑体" w:eastAsia="黑体"/>
        </w:rPr>
      </w:pPr>
      <w:r>
        <w:rPr>
          <w:rFonts w:ascii="黑体" w:eastAsia="黑体"/>
        </w:rPr>
        <w:tab/>
      </w:r>
    </w:p>
    <w:sectPr>
      <w:footerReference r:id="rId3" w:type="default"/>
      <w:footerReference r:id="rId4" w:type="even"/>
      <w:pgSz w:w="16838" w:h="11906"/>
      <w:pgMar w:top="1701" w:right="1701" w:bottom="1701" w:left="1701" w:header="851" w:footer="1525"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60101010101"/>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方正小标宋简体">
    <w:altName w:val="黑体"/>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10C5">
    <w:pPr>
      <w:pStyle w:val="191"/>
      <w:framePr w:wrap="around" w:vAnchor="text" w:hAnchor="margin" w:xAlign="center" w:y="1"/>
      <w:rPr>
        <w:rStyle w:val="199"/>
      </w:rPr>
    </w:pPr>
    <w:r>
      <w:rPr>
        <w:rStyle w:val="199"/>
      </w:rPr>
      <w:fldChar w:fldCharType="begin"/>
    </w:r>
    <w:r>
      <w:rPr>
        <w:rStyle w:val="199"/>
      </w:rPr>
      <w:instrText xml:space="preserve">PAGE  </w:instrText>
    </w:r>
    <w:r>
      <w:rPr>
        <w:rStyle w:val="199"/>
      </w:rPr>
      <w:fldChar w:fldCharType="separate"/>
    </w:r>
    <w:r>
      <w:rPr>
        <w:rStyle w:val="199"/>
      </w:rPr>
      <w:t>7</w:t>
    </w:r>
    <w:r>
      <w:rPr>
        <w:rStyle w:val="199"/>
      </w:rPr>
      <w:fldChar w:fldCharType="end"/>
    </w:r>
  </w:p>
  <w:p w14:paraId="576CC3E8">
    <w:pPr>
      <w:pStyle w:val="191"/>
      <w:framePr w:wrap="around" w:vAnchor="text" w:hAnchor="margin" w:xAlign="outside" w:y="1"/>
      <w:jc w:val="right"/>
      <w:rPr>
        <w:rStyle w:val="199"/>
        <w:rFonts w:hint="eastAsia"/>
        <w:sz w:val="28"/>
        <w:szCs w:val="28"/>
      </w:rPr>
    </w:pPr>
    <w:r>
      <w:rPr>
        <w:rStyle w:val="199"/>
        <w:rFonts w:hint="eastAsia"/>
        <w:sz w:val="28"/>
        <w:szCs w:val="28"/>
      </w:rPr>
      <w:t>　</w:t>
    </w:r>
  </w:p>
  <w:p w14:paraId="3861C7CE">
    <w:pPr>
      <w:pStyle w:val="19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49CC4">
    <w:pPr>
      <w:pStyle w:val="191"/>
      <w:framePr w:wrap="around" w:vAnchor="text" w:hAnchor="margin" w:xAlign="center" w:y="1"/>
      <w:rPr>
        <w:rStyle w:val="199"/>
        <w:sz w:val="28"/>
        <w:szCs w:val="28"/>
      </w:rPr>
    </w:pPr>
    <w:r>
      <w:rPr>
        <w:rStyle w:val="199"/>
        <w:sz w:val="28"/>
        <w:szCs w:val="28"/>
      </w:rPr>
      <w:fldChar w:fldCharType="begin"/>
    </w:r>
    <w:r>
      <w:rPr>
        <w:rStyle w:val="199"/>
        <w:sz w:val="28"/>
        <w:szCs w:val="28"/>
      </w:rPr>
      <w:instrText xml:space="preserve">PAGE  </w:instrText>
    </w:r>
    <w:r>
      <w:rPr>
        <w:rStyle w:val="199"/>
        <w:sz w:val="28"/>
        <w:szCs w:val="28"/>
      </w:rPr>
      <w:fldChar w:fldCharType="separate"/>
    </w:r>
    <w:r>
      <w:rPr>
        <w:rStyle w:val="199"/>
        <w:sz w:val="28"/>
        <w:szCs w:val="28"/>
      </w:rPr>
      <w:t>2</w:t>
    </w:r>
    <w:r>
      <w:rPr>
        <w:rStyle w:val="199"/>
        <w:sz w:val="28"/>
        <w:szCs w:val="28"/>
      </w:rPr>
      <w:fldChar w:fldCharType="end"/>
    </w:r>
  </w:p>
  <w:p w14:paraId="0E9C4272">
    <w:pPr>
      <w:pStyle w:val="19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1E42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6"/>
    <w:qFormat/>
    <w:uiPriority w:val="0"/>
    <w:pPr>
      <w:widowControl w:val="0"/>
      <w:jc w:val="both"/>
    </w:pPr>
    <w:rPr>
      <w:rFonts w:hint="default" w:ascii="Times New Roman" w:hAnsi="Times New Roman" w:eastAsia="仿宋_GB2312" w:cs="Times New Roman"/>
      <w:sz w:val="32"/>
      <w:szCs w:val="3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qFormat/>
    <w:uiPriority w:val="99"/>
    <w:rPr>
      <w:vertAlign w:val="superscript"/>
    </w:rPr>
  </w:style>
  <w:style w:type="character" w:styleId="32">
    <w:name w:val="Hyperlink"/>
    <w:unhideWhenUsed/>
    <w:qFormat/>
    <w:uiPriority w:val="99"/>
    <w:rPr>
      <w:color w:val="0000FF" w:themeColor="hyperlink"/>
      <w:u w:val="single"/>
      <w14:textFill>
        <w14:solidFill>
          <w14:schemeClr w14:val="hlink"/>
        </w14:solidFill>
      </w14:textFill>
    </w:rPr>
  </w:style>
  <w:style w:type="character" w:styleId="33">
    <w:name w:val="footnote reference"/>
    <w:unhideWhenUsed/>
    <w:qFormat/>
    <w:uiPriority w:val="99"/>
    <w:rPr>
      <w:vertAlign w:val="superscript"/>
    </w:rPr>
  </w:style>
  <w:style w:type="character" w:customStyle="1" w:styleId="34">
    <w:name w:val="Heading 1 Char"/>
    <w:link w:val="2"/>
    <w:qFormat/>
    <w:uiPriority w:val="9"/>
    <w:rPr>
      <w:rFonts w:ascii="等线" w:hAnsi="等线" w:eastAsia="等线" w:cs="等线"/>
      <w:sz w:val="40"/>
      <w:szCs w:val="40"/>
    </w:rPr>
  </w:style>
  <w:style w:type="character" w:customStyle="1" w:styleId="35">
    <w:name w:val="Heading 2 Char"/>
    <w:link w:val="3"/>
    <w:qFormat/>
    <w:uiPriority w:val="9"/>
    <w:rPr>
      <w:rFonts w:ascii="等线" w:hAnsi="等线" w:eastAsia="等线" w:cs="等线"/>
      <w:sz w:val="34"/>
    </w:rPr>
  </w:style>
  <w:style w:type="character" w:customStyle="1" w:styleId="36">
    <w:name w:val="Heading 3 Char"/>
    <w:link w:val="4"/>
    <w:qFormat/>
    <w:uiPriority w:val="9"/>
    <w:rPr>
      <w:rFonts w:ascii="等线" w:hAnsi="等线" w:eastAsia="等线" w:cs="等线"/>
      <w:sz w:val="30"/>
      <w:szCs w:val="30"/>
    </w:rPr>
  </w:style>
  <w:style w:type="character" w:customStyle="1" w:styleId="37">
    <w:name w:val="Heading 4 Char"/>
    <w:link w:val="5"/>
    <w:qFormat/>
    <w:uiPriority w:val="9"/>
    <w:rPr>
      <w:rFonts w:ascii="等线" w:hAnsi="等线" w:eastAsia="等线" w:cs="等线"/>
      <w:b/>
      <w:bCs/>
      <w:sz w:val="26"/>
      <w:szCs w:val="26"/>
    </w:rPr>
  </w:style>
  <w:style w:type="character" w:customStyle="1" w:styleId="38">
    <w:name w:val="Heading 5 Char"/>
    <w:link w:val="6"/>
    <w:qFormat/>
    <w:uiPriority w:val="9"/>
    <w:rPr>
      <w:rFonts w:ascii="等线" w:hAnsi="等线" w:eastAsia="等线" w:cs="等线"/>
      <w:b/>
      <w:bCs/>
      <w:sz w:val="24"/>
      <w:szCs w:val="24"/>
    </w:rPr>
  </w:style>
  <w:style w:type="character" w:customStyle="1" w:styleId="39">
    <w:name w:val="Heading 6 Char"/>
    <w:link w:val="7"/>
    <w:qFormat/>
    <w:uiPriority w:val="9"/>
    <w:rPr>
      <w:rFonts w:ascii="等线" w:hAnsi="等线" w:eastAsia="等线" w:cs="等线"/>
      <w:b/>
      <w:bCs/>
      <w:sz w:val="22"/>
      <w:szCs w:val="22"/>
    </w:rPr>
  </w:style>
  <w:style w:type="character" w:customStyle="1" w:styleId="40">
    <w:name w:val="Heading 7 Char"/>
    <w:link w:val="8"/>
    <w:qFormat/>
    <w:uiPriority w:val="9"/>
    <w:rPr>
      <w:rFonts w:ascii="等线" w:hAnsi="等线" w:eastAsia="等线" w:cs="等线"/>
      <w:b/>
      <w:bCs/>
      <w:i/>
      <w:iCs/>
      <w:sz w:val="22"/>
      <w:szCs w:val="22"/>
    </w:rPr>
  </w:style>
  <w:style w:type="character" w:customStyle="1" w:styleId="41">
    <w:name w:val="Heading 8 Char"/>
    <w:link w:val="9"/>
    <w:qFormat/>
    <w:uiPriority w:val="9"/>
    <w:rPr>
      <w:rFonts w:ascii="等线" w:hAnsi="等线" w:eastAsia="等线" w:cs="等线"/>
      <w:i/>
      <w:iCs/>
      <w:sz w:val="22"/>
      <w:szCs w:val="22"/>
    </w:rPr>
  </w:style>
  <w:style w:type="character" w:customStyle="1" w:styleId="42">
    <w:name w:val="Heading 9 Char"/>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7"/>
    <w:qFormat/>
    <w:uiPriority w:val="10"/>
    <w:rPr>
      <w:sz w:val="48"/>
      <w:szCs w:val="48"/>
    </w:rPr>
  </w:style>
  <w:style w:type="character" w:customStyle="1" w:styleId="46">
    <w:name w:val="Subtitle Char"/>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qFormat/>
    <w:uiPriority w:val="99"/>
  </w:style>
  <w:style w:type="character" w:customStyle="1" w:styleId="52">
    <w:name w:val="Footer Char"/>
    <w:link w:val="17"/>
    <w:qFormat/>
    <w:uiPriority w:val="99"/>
  </w:style>
  <w:style w:type="character" w:customStyle="1" w:styleId="53">
    <w:name w:val="Caption Char"/>
    <w:link w:val="17"/>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qFormat/>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qFormat/>
    <w:uiPriority w:val="99"/>
    <w:rPr>
      <w:sz w:val="18"/>
    </w:rPr>
  </w:style>
  <w:style w:type="character" w:customStyle="1" w:styleId="180">
    <w:name w:val="Endnote Text Char"/>
    <w:link w:val="16"/>
    <w:qFormat/>
    <w:uiPriority w:val="99"/>
    <w:rPr>
      <w:sz w:val="20"/>
    </w:rPr>
  </w:style>
  <w:style w:type="paragraph" w:customStyle="1" w:styleId="181">
    <w:name w:val="TOC Heading"/>
    <w:unhideWhenUsed/>
    <w:qFormat/>
    <w:uiPriority w:val="39"/>
    <w:rPr>
      <w:rFonts w:hint="default" w:ascii="Times New Roman" w:hAnsi="Times New Roman" w:eastAsia="宋体" w:cs="Times New Roman"/>
    </w:rPr>
  </w:style>
  <w:style w:type="paragraph" w:customStyle="1" w:styleId="182">
    <w:name w:val="标题 21"/>
    <w:basedOn w:val="1"/>
    <w:next w:val="1"/>
    <w:link w:val="185"/>
    <w:qFormat/>
    <w:uiPriority w:val="0"/>
    <w:pPr>
      <w:keepNext/>
      <w:keepLines/>
      <w:spacing w:line="412" w:lineRule="auto"/>
      <w:outlineLvl w:val="1"/>
    </w:pPr>
    <w:rPr>
      <w:rFonts w:ascii="Arial" w:hAnsi="Arial" w:eastAsia="黑体"/>
      <w:b/>
      <w:szCs w:val="24"/>
    </w:rPr>
  </w:style>
  <w:style w:type="character" w:customStyle="1" w:styleId="183">
    <w:name w:val="默认段落字体1"/>
    <w:link w:val="1"/>
    <w:semiHidden/>
    <w:qFormat/>
    <w:uiPriority w:val="0"/>
  </w:style>
  <w:style w:type="table" w:customStyle="1" w:styleId="184">
    <w:name w:val="普通表格1"/>
    <w:semiHidden/>
    <w:qFormat/>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5">
    <w:name w:val=" Char Char"/>
    <w:basedOn w:val="183"/>
    <w:link w:val="182"/>
    <w:qFormat/>
    <w:uiPriority w:val="0"/>
    <w:rPr>
      <w:rFonts w:ascii="Arial" w:hAnsi="Arial" w:eastAsia="黑体"/>
      <w:b/>
      <w:sz w:val="32"/>
      <w:szCs w:val="24"/>
      <w:lang w:val="en-US" w:eastAsia="zh-CN" w:bidi="ar-SA"/>
    </w:rPr>
  </w:style>
  <w:style w:type="paragraph" w:customStyle="1" w:styleId="186">
    <w:name w:val="正文文本1"/>
    <w:basedOn w:val="1"/>
    <w:qFormat/>
    <w:uiPriority w:val="0"/>
    <w:pPr>
      <w:widowControl/>
      <w:jc w:val="left"/>
    </w:pPr>
    <w:rPr>
      <w:sz w:val="36"/>
      <w:szCs w:val="20"/>
    </w:rPr>
  </w:style>
  <w:style w:type="paragraph" w:customStyle="1" w:styleId="187">
    <w:name w:val="正文文本缩进1"/>
    <w:basedOn w:val="1"/>
    <w:qFormat/>
    <w:uiPriority w:val="0"/>
    <w:pPr>
      <w:widowControl/>
      <w:ind w:firstLine="650"/>
      <w:jc w:val="left"/>
    </w:pPr>
    <w:rPr>
      <w:rFonts w:ascii="仿宋_GB2312"/>
      <w:szCs w:val="20"/>
    </w:rPr>
  </w:style>
  <w:style w:type="paragraph" w:customStyle="1" w:styleId="188">
    <w:name w:val="日期1"/>
    <w:basedOn w:val="1"/>
    <w:next w:val="1"/>
    <w:qFormat/>
    <w:uiPriority w:val="0"/>
    <w:pPr>
      <w:ind w:left="100"/>
    </w:pPr>
  </w:style>
  <w:style w:type="paragraph" w:customStyle="1" w:styleId="189">
    <w:name w:val="正文文本缩进 21"/>
    <w:basedOn w:val="1"/>
    <w:qFormat/>
    <w:uiPriority w:val="0"/>
    <w:pPr>
      <w:ind w:firstLine="599"/>
    </w:pPr>
    <w:rPr>
      <w:rFonts w:ascii="仿宋_GB2312"/>
    </w:rPr>
  </w:style>
  <w:style w:type="paragraph" w:customStyle="1" w:styleId="190">
    <w:name w:val="批注框文本1"/>
    <w:basedOn w:val="1"/>
    <w:semiHidden/>
    <w:qFormat/>
    <w:uiPriority w:val="0"/>
    <w:rPr>
      <w:sz w:val="18"/>
      <w:szCs w:val="18"/>
    </w:rPr>
  </w:style>
  <w:style w:type="paragraph" w:customStyle="1" w:styleId="191">
    <w:name w:val="页脚1"/>
    <w:basedOn w:val="1"/>
    <w:link w:val="192"/>
    <w:qFormat/>
    <w:uiPriority w:val="0"/>
    <w:pPr>
      <w:tabs>
        <w:tab w:val="center" w:pos="4153"/>
        <w:tab w:val="right" w:pos="8306"/>
      </w:tabs>
      <w:jc w:val="left"/>
    </w:pPr>
    <w:rPr>
      <w:sz w:val="18"/>
      <w:szCs w:val="18"/>
    </w:rPr>
  </w:style>
  <w:style w:type="character" w:customStyle="1" w:styleId="192">
    <w:name w:val="页脚 Char"/>
    <w:link w:val="191"/>
    <w:qFormat/>
    <w:uiPriority w:val="0"/>
    <w:rPr>
      <w:rFonts w:eastAsia="仿宋_GB2312"/>
      <w:sz w:val="18"/>
      <w:szCs w:val="18"/>
      <w:lang w:val="en-US" w:eastAsia="zh-CN" w:bidi="ar-SA"/>
    </w:rPr>
  </w:style>
  <w:style w:type="paragraph" w:customStyle="1" w:styleId="193">
    <w:name w:val="页眉1"/>
    <w:basedOn w:val="1"/>
    <w:link w:val="194"/>
    <w:qFormat/>
    <w:uiPriority w:val="0"/>
    <w:pPr>
      <w:pBdr>
        <w:bottom w:val="single" w:color="000000" w:sz="6" w:space="1"/>
      </w:pBdr>
      <w:tabs>
        <w:tab w:val="center" w:pos="4153"/>
        <w:tab w:val="right" w:pos="8306"/>
      </w:tabs>
      <w:jc w:val="center"/>
    </w:pPr>
    <w:rPr>
      <w:sz w:val="18"/>
      <w:szCs w:val="18"/>
    </w:rPr>
  </w:style>
  <w:style w:type="character" w:customStyle="1" w:styleId="194">
    <w:name w:val="页眉 Char"/>
    <w:link w:val="193"/>
    <w:qFormat/>
    <w:uiPriority w:val="0"/>
    <w:rPr>
      <w:rFonts w:eastAsia="仿宋_GB2312"/>
      <w:sz w:val="18"/>
      <w:szCs w:val="18"/>
      <w:lang w:val="en-US" w:eastAsia="zh-CN" w:bidi="ar-SA"/>
    </w:rPr>
  </w:style>
  <w:style w:type="paragraph" w:customStyle="1" w:styleId="195">
    <w:name w:val="正文文本缩进 31"/>
    <w:basedOn w:val="1"/>
    <w:qFormat/>
    <w:uiPriority w:val="0"/>
    <w:pPr>
      <w:ind w:firstLine="599"/>
    </w:pPr>
    <w:rPr>
      <w:rFonts w:ascii="仿宋_GB2312"/>
      <w:color w:val="000000"/>
    </w:rPr>
  </w:style>
  <w:style w:type="paragraph" w:customStyle="1" w:styleId="19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仿宋_GB2312" w:hAnsi="宋体" w:cs="宋体"/>
      <w:szCs w:val="24"/>
    </w:rPr>
  </w:style>
  <w:style w:type="paragraph" w:customStyle="1" w:styleId="197">
    <w:name w:val="普通(网站)1"/>
    <w:basedOn w:val="1"/>
    <w:qFormat/>
    <w:uiPriority w:val="0"/>
    <w:rPr>
      <w:rFonts w:ascii="Calibri" w:hAnsi="Calibri" w:eastAsia="宋体"/>
      <w:sz w:val="24"/>
      <w:szCs w:val="24"/>
    </w:rPr>
  </w:style>
  <w:style w:type="table" w:customStyle="1" w:styleId="198">
    <w:name w:val="网格型1"/>
    <w:basedOn w:val="184"/>
    <w:qFormat/>
    <w:uiPriority w:val="0"/>
    <w:pPr>
      <w:widowControl w:val="0"/>
      <w:jc w:val="both"/>
    </w:pP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99">
    <w:name w:val="页码1"/>
    <w:basedOn w:val="183"/>
    <w:link w:val="1"/>
    <w:qFormat/>
    <w:uiPriority w:val="0"/>
  </w:style>
  <w:style w:type="character" w:customStyle="1" w:styleId="200">
    <w:name w:val="超链接1"/>
    <w:basedOn w:val="183"/>
    <w:link w:val="1"/>
    <w:qFormat/>
    <w:uiPriority w:val="0"/>
    <w:rPr>
      <w:color w:val="0000FF"/>
      <w:u w:val="single"/>
    </w:rPr>
  </w:style>
  <w:style w:type="paragraph" w:customStyle="1" w:styleId="201">
    <w:name w:val="Char1 Char Char Char"/>
    <w:basedOn w:val="1"/>
    <w:qFormat/>
    <w:uiPriority w:val="0"/>
    <w:pPr>
      <w:widowControl/>
      <w:spacing w:after="160" w:line="240" w:lineRule="exact"/>
      <w:jc w:val="left"/>
    </w:pPr>
    <w:rPr>
      <w:rFonts w:ascii="Verdana" w:hAnsi="Verdana" w:eastAsia="宋体" w:cs="Verdana"/>
      <w:sz w:val="20"/>
      <w:szCs w:val="20"/>
      <w:lang w:eastAsia="en-US"/>
    </w:rPr>
  </w:style>
  <w:style w:type="paragraph" w:customStyle="1" w:styleId="202">
    <w:name w:val="p0"/>
    <w:basedOn w:val="1"/>
    <w:qFormat/>
    <w:uiPriority w:val="0"/>
    <w:pPr>
      <w:widowControl/>
    </w:pPr>
    <w:rPr>
      <w:rFonts w:hint="eastAsia" w:eastAsia="宋体"/>
      <w:sz w:val="21"/>
      <w:szCs w:val="20"/>
    </w:rPr>
  </w:style>
  <w:style w:type="paragraph" w:customStyle="1" w:styleId="203">
    <w:name w:val=" Char Char Char Char Char Char Char Char Char Char Char Char Char"/>
    <w:basedOn w:val="1"/>
    <w:qFormat/>
    <w:uiPriority w:val="0"/>
    <w:rPr>
      <w:rFonts w:ascii="Verdana" w:hAnsi="Verdana" w:cs="宋体"/>
      <w:b/>
      <w:sz w:val="28"/>
      <w:szCs w:val="30"/>
      <w:lang w:eastAsia="en-US"/>
    </w:rPr>
  </w:style>
  <w:style w:type="paragraph" w:customStyle="1" w:styleId="204">
    <w:name w:val="Default"/>
    <w:qFormat/>
    <w:uiPriority w:val="0"/>
    <w:pPr>
      <w:widowControl w:val="0"/>
    </w:pPr>
    <w:rPr>
      <w:rFonts w:hint="default" w:ascii="方正小标宋简体" w:hAnsi="Times New Roman" w:eastAsia="方正小标宋简体" w:cs="方正小标宋简体"/>
      <w:color w:val="000000"/>
      <w:sz w:val="24"/>
      <w:szCs w:val="24"/>
      <w:lang w:val="en-US" w:eastAsia="zh-CN" w:bidi="ar-SA"/>
    </w:rPr>
  </w:style>
  <w:style w:type="character" w:customStyle="1" w:styleId="205">
    <w:name w:val="font01"/>
    <w:basedOn w:val="183"/>
    <w:link w:val="1"/>
    <w:qFormat/>
    <w:uiPriority w:val="0"/>
    <w:rPr>
      <w:rFonts w:hint="eastAsia" w:ascii="宋体" w:hAnsi="宋体" w:eastAsia="宋体" w:cs="宋体"/>
      <w:color w:val="000000"/>
      <w:sz w:val="22"/>
      <w:szCs w:val="22"/>
      <w:u w:val="none"/>
    </w:rPr>
  </w:style>
  <w:style w:type="character" w:customStyle="1" w:styleId="206">
    <w:name w:val="font41"/>
    <w:basedOn w:val="183"/>
    <w:link w:val="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Company>微软</Company>
  <Pages>16</Pages>
  <Words>728</Words>
  <Characters>737</Characters>
  <TotalTime>3</TotalTime>
  <ScaleCrop>false</ScaleCrop>
  <LinksUpToDate>false</LinksUpToDate>
  <CharactersWithSpaces>737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2019-05-24T07:37:00Z</dcterms:created>
  <dc:creator>微软</dc:creator>
  <cp:lastModifiedBy> 听风的故事</cp:lastModifiedBy>
  <dcterms:modified xsi:type="dcterms:W3CDTF">2025-01-26T01:46:38Z</dcterms:modified>
  <dc:title>迁西县农村集体资金、资产</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eyJoZGlkIjoiOWY3NTIyOTg3YjU0MDk3MjEzZDRhMzU5ODQxZTNjMGIiLCJ1c2VySWQiOiIxNTc2NjIxNzEwIn0=</vt:lpwstr>
  </property>
  <property fmtid="{D5CDD505-2E9C-101B-9397-08002B2CF9AE}" pid="3" name="KSOProductBuildVer">
    <vt:lpwstr>2052-12.1.0.19770</vt:lpwstr>
  </property>
  <property fmtid="{D5CDD505-2E9C-101B-9397-08002B2CF9AE}" pid="4" name="ICV">
    <vt:lpwstr>4AAFEFCD1FE44F88BE9C0F92ADD496F5_12</vt:lpwstr>
  </property>
</Properties>
</file>