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Times New Roman" w:hAnsi="Times New Roman" w:eastAsia="方正小标宋_GBK"/>
          <w:sz w:val="44"/>
          <w:szCs w:val="44"/>
        </w:rPr>
      </w:pPr>
      <w:bookmarkStart w:id="25" w:name="_GoBack"/>
      <w:bookmarkEnd w:id="25"/>
      <w:r>
        <w:rPr>
          <w:rFonts w:hint="eastAsia" w:ascii="Times New Roman" w:hAnsi="Times New Roman" w:eastAsia="方正小标宋_GBK"/>
          <w:sz w:val="44"/>
          <w:szCs w:val="44"/>
        </w:rPr>
        <w:t>滦州市滦城街道办事处</w:t>
      </w:r>
      <w:r>
        <w:rPr>
          <w:rFonts w:ascii="Times New Roman" w:hAnsi="Times New Roman" w:eastAsia="方正小标宋_GBK"/>
          <w:sz w:val="44"/>
          <w:szCs w:val="44"/>
        </w:rPr>
        <w:t>20</w:t>
      </w:r>
      <w:r>
        <w:rPr>
          <w:rFonts w:hint="eastAsia" w:ascii="Times New Roman" w:hAnsi="Times New Roman" w:eastAsia="方正小标宋_GBK"/>
          <w:sz w:val="44"/>
          <w:szCs w:val="44"/>
        </w:rPr>
        <w:t>20年部门预算信息公开</w:t>
      </w:r>
    </w:p>
    <w:p>
      <w:pPr>
        <w:ind w:firstLine="880" w:firstLineChars="200"/>
        <w:jc w:val="center"/>
        <w:rPr>
          <w:rFonts w:ascii="Times New Roman" w:hAnsi="Times New Roman" w:eastAsia="方正小标宋_GBK"/>
          <w:sz w:val="44"/>
          <w:szCs w:val="44"/>
        </w:rPr>
      </w:pP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按照</w:t>
      </w:r>
      <w:r>
        <w:rPr>
          <w:rFonts w:hint="eastAsia" w:ascii="仿宋_GB2312" w:hAnsi="仿宋_GB2312" w:eastAsia="仿宋_GB2312" w:cs="仿宋_GB2312"/>
          <w:b w:val="0"/>
          <w:bCs w:val="0"/>
          <w:sz w:val="32"/>
          <w:szCs w:val="32"/>
          <w:lang w:eastAsia="zh-CN"/>
        </w:rPr>
        <w:t>《中华人民共和国预算法》</w:t>
      </w:r>
      <w:r>
        <w:rPr>
          <w:rFonts w:hint="eastAsia" w:ascii="仿宋_GB2312" w:hAnsi="仿宋_GB2312" w:eastAsia="仿宋_GB2312" w:cs="仿宋_GB2312"/>
          <w:b w:val="0"/>
          <w:bCs w:val="0"/>
          <w:sz w:val="32"/>
          <w:szCs w:val="32"/>
        </w:rPr>
        <w:t>、《地方预决算公开操作规程》《河北省财政厅关于做好2020年预算公开工作的通知》规定，现将2020年部门预算公开如下：</w:t>
      </w:r>
    </w:p>
    <w:p>
      <w:pPr>
        <w:spacing w:line="360" w:lineRule="auto"/>
        <w:rPr>
          <w:rFonts w:ascii="黑体" w:hAnsi="黑体" w:eastAsia="黑体"/>
          <w:sz w:val="32"/>
          <w:szCs w:val="32"/>
        </w:rPr>
      </w:pPr>
      <w:r>
        <w:rPr>
          <w:rFonts w:hint="eastAsia" w:ascii="黑体" w:hAnsi="黑体" w:eastAsia="黑体"/>
          <w:sz w:val="32"/>
          <w:szCs w:val="32"/>
        </w:rPr>
        <w:t>一、部门职责及机构设置情况</w:t>
      </w:r>
    </w:p>
    <w:p>
      <w:pPr>
        <w:spacing w:line="360" w:lineRule="auto"/>
        <w:ind w:firstLine="640" w:firstLineChars="200"/>
        <w:rPr>
          <w:rFonts w:ascii="仿宋_GB2312" w:eastAsia="仿宋_GB2312"/>
          <w:sz w:val="32"/>
          <w:szCs w:val="32"/>
        </w:rPr>
      </w:pPr>
      <w:r>
        <w:rPr>
          <w:rFonts w:hint="eastAsia" w:ascii="Times New Roman" w:hAnsi="Times New Roman" w:eastAsia="方正仿宋_GBK"/>
          <w:b/>
          <w:sz w:val="32"/>
          <w:szCs w:val="32"/>
        </w:rPr>
        <w:t>部门职责：</w:t>
      </w:r>
      <w:r>
        <w:rPr>
          <w:rFonts w:hint="eastAsia" w:ascii="方正仿宋_GBK" w:eastAsia="方正仿宋_GBK"/>
          <w:sz w:val="32"/>
          <w:szCs w:val="32"/>
        </w:rPr>
        <w:t>（一）促进经济发展。（二）加强社会管理。（三）提供公共服务。（四）维护农村稳定。</w:t>
      </w:r>
      <w:r>
        <w:rPr>
          <w:rFonts w:hint="eastAsia" w:ascii="仿宋_GB2312" w:hAnsi="Times New Roman" w:eastAsia="仿宋_GB2312"/>
          <w:sz w:val="32"/>
          <w:szCs w:val="32"/>
        </w:rPr>
        <w:t>政府机关负责政务公开、会议管理、政务联络及综合业务管理；共产党机关负责信息收集与督查调研，党员和党组织建设、干部管理；</w:t>
      </w:r>
      <w:r>
        <w:rPr>
          <w:rFonts w:hint="eastAsia" w:ascii="仿宋_GB2312" w:eastAsia="仿宋_GB2312"/>
          <w:sz w:val="32"/>
          <w:szCs w:val="32"/>
        </w:rPr>
        <w:t>社保站负责各类保险的筹集、支付、管理；负责全镇企业离退休人员的审核工作；农业站负责</w:t>
      </w:r>
      <w:r>
        <w:rPr>
          <w:rFonts w:hint="eastAsia" w:ascii="仿宋_GB2312" w:hAnsi="Times New Roman" w:eastAsia="仿宋_GB2312"/>
          <w:sz w:val="32"/>
          <w:szCs w:val="32"/>
        </w:rPr>
        <w:t>完善农村经营管理体制，</w:t>
      </w:r>
      <w:r>
        <w:rPr>
          <w:rFonts w:hint="eastAsia" w:ascii="仿宋_GB2312" w:eastAsia="仿宋_GB2312"/>
          <w:sz w:val="32"/>
          <w:szCs w:val="32"/>
        </w:rPr>
        <w:t>扶</w:t>
      </w:r>
      <w:r>
        <w:rPr>
          <w:rFonts w:hint="eastAsia" w:ascii="仿宋_GB2312" w:hAnsi="Times New Roman" w:eastAsia="仿宋_GB2312"/>
          <w:sz w:val="32"/>
          <w:szCs w:val="32"/>
        </w:rPr>
        <w:t>持农产品生产；林业站</w:t>
      </w:r>
      <w:r>
        <w:rPr>
          <w:rFonts w:hint="eastAsia" w:ascii="仿宋_GB2312" w:eastAsia="仿宋_GB2312"/>
          <w:sz w:val="32"/>
          <w:szCs w:val="32"/>
        </w:rPr>
        <w:t>组织实施退耕还林、荒山荒地造林及巩固退耕成果等工程；文化站负责新闻出版，组织文化活动。</w:t>
      </w:r>
      <w:r>
        <w:rPr>
          <w:rFonts w:ascii="仿宋_GB2312" w:eastAsia="仿宋_GB2312"/>
          <w:sz w:val="32"/>
          <w:szCs w:val="32"/>
        </w:rPr>
        <w:t xml:space="preserve"> </w:t>
      </w:r>
    </w:p>
    <w:p>
      <w:pPr>
        <w:ind w:firstLine="560"/>
        <w:rPr>
          <w:rFonts w:ascii="仿宋_GB2312" w:hAnsi="Arial" w:eastAsia="仿宋_GB2312" w:cs="Arial"/>
          <w:kern w:val="0"/>
          <w:sz w:val="32"/>
          <w:szCs w:val="32"/>
        </w:rPr>
      </w:pPr>
      <w:r>
        <w:rPr>
          <w:rFonts w:hint="eastAsia" w:ascii="方正仿宋_GBK" w:hAnsi="Times New Roman" w:eastAsia="方正仿宋_GBK"/>
          <w:b/>
          <w:sz w:val="32"/>
          <w:szCs w:val="32"/>
        </w:rPr>
        <w:t>机构设置：</w:t>
      </w:r>
      <w:r>
        <w:rPr>
          <w:rFonts w:hint="eastAsia" w:ascii="仿宋_GB2312" w:hAnsi="Arial" w:eastAsia="仿宋_GB2312" w:cs="Arial"/>
          <w:kern w:val="0"/>
          <w:sz w:val="32"/>
          <w:szCs w:val="32"/>
        </w:rPr>
        <w:t>滦州市滦城街道办事处预决算由以下单位构成：滦州市滦城街道办事处机关，滦城街道办事处共产党机关，滦城街道办事处计生机关、事业，滦城街道办事处农业机关、事业，滦城街道办事处林业事业，滦城街道办事处文化事业，滦城街道办事处社保机关、事业，滦城街道办事处城乡社区事务。</w:t>
      </w:r>
    </w:p>
    <w:p>
      <w:pPr>
        <w:ind w:firstLine="560"/>
        <w:rPr>
          <w:rFonts w:ascii="仿宋_GB2312" w:hAnsi="Arial" w:eastAsia="仿宋_GB2312" w:cs="Arial"/>
          <w:kern w:val="0"/>
          <w:sz w:val="32"/>
          <w:szCs w:val="32"/>
        </w:rPr>
      </w:pPr>
    </w:p>
    <w:p>
      <w:pPr>
        <w:jc w:val="center"/>
        <w:outlineLvl w:val="0"/>
        <w:rPr>
          <w:rFonts w:ascii="Times New Roman" w:hAnsi="Times New Roman" w:eastAsia="方正小标宋_GBK"/>
          <w:sz w:val="32"/>
          <w:szCs w:val="24"/>
        </w:rPr>
      </w:pPr>
      <w:r>
        <w:rPr>
          <w:rFonts w:hint="eastAsia" w:ascii="Times New Roman" w:hAnsi="Times New Roman" w:eastAsia="方正小标宋_GBK"/>
          <w:sz w:val="32"/>
          <w:szCs w:val="24"/>
        </w:rPr>
        <w:t>部门机构设置情况</w:t>
      </w:r>
    </w:p>
    <w:tbl>
      <w:tblPr>
        <w:tblStyle w:val="6"/>
        <w:tblpPr w:leftFromText="180" w:rightFromText="180" w:vertAnchor="text" w:horzAnchor="margin" w:tblpXSpec="center" w:tblpY="289"/>
        <w:tblW w:w="12760" w:type="dxa"/>
        <w:tblInd w:w="0" w:type="dxa"/>
        <w:tblLayout w:type="fixed"/>
        <w:tblCellMar>
          <w:top w:w="0" w:type="dxa"/>
          <w:left w:w="108" w:type="dxa"/>
          <w:bottom w:w="0" w:type="dxa"/>
          <w:right w:w="108" w:type="dxa"/>
        </w:tblCellMar>
      </w:tblPr>
      <w:tblGrid>
        <w:gridCol w:w="3340"/>
        <w:gridCol w:w="3580"/>
        <w:gridCol w:w="3100"/>
        <w:gridCol w:w="2740"/>
      </w:tblGrid>
      <w:tr>
        <w:tblPrEx>
          <w:tblCellMar>
            <w:top w:w="0" w:type="dxa"/>
            <w:left w:w="108" w:type="dxa"/>
            <w:bottom w:w="0" w:type="dxa"/>
            <w:right w:w="108" w:type="dxa"/>
          </w:tblCellMar>
        </w:tblPrEx>
        <w:trPr>
          <w:trHeight w:val="624" w:hRule="atLeast"/>
        </w:trPr>
        <w:tc>
          <w:tcPr>
            <w:tcW w:w="3340" w:type="dxa"/>
            <w:vMerge w:val="restart"/>
            <w:tcBorders>
              <w:top w:val="single" w:color="000000" w:sz="8" w:space="0"/>
              <w:left w:val="single" w:color="000000" w:sz="8" w:space="0"/>
              <w:bottom w:val="single" w:color="000000" w:sz="8" w:space="0"/>
              <w:right w:val="single" w:color="000000" w:sz="8" w:space="0"/>
            </w:tcBorders>
            <w:vAlign w:val="bottom"/>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单位名称</w:t>
            </w:r>
          </w:p>
        </w:tc>
        <w:tc>
          <w:tcPr>
            <w:tcW w:w="3580" w:type="dxa"/>
            <w:vMerge w:val="restart"/>
            <w:tcBorders>
              <w:top w:val="single" w:color="000000" w:sz="8" w:space="0"/>
              <w:left w:val="single" w:color="000000" w:sz="8" w:space="0"/>
              <w:bottom w:val="single" w:color="000000" w:sz="8" w:space="0"/>
              <w:right w:val="single" w:color="000000" w:sz="8" w:space="0"/>
            </w:tcBorders>
            <w:vAlign w:val="bottom"/>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单位性质</w:t>
            </w:r>
          </w:p>
        </w:tc>
        <w:tc>
          <w:tcPr>
            <w:tcW w:w="3100" w:type="dxa"/>
            <w:vMerge w:val="restart"/>
            <w:tcBorders>
              <w:top w:val="single" w:color="000000" w:sz="8" w:space="0"/>
              <w:left w:val="single" w:color="000000" w:sz="8" w:space="0"/>
              <w:bottom w:val="single" w:color="000000" w:sz="8" w:space="0"/>
              <w:right w:val="single" w:color="000000" w:sz="8" w:space="0"/>
            </w:tcBorders>
            <w:vAlign w:val="bottom"/>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单位规格</w:t>
            </w:r>
          </w:p>
        </w:tc>
        <w:tc>
          <w:tcPr>
            <w:tcW w:w="2740" w:type="dxa"/>
            <w:vMerge w:val="restart"/>
            <w:tcBorders>
              <w:top w:val="single" w:color="000000" w:sz="8" w:space="0"/>
              <w:left w:val="single" w:color="000000" w:sz="8" w:space="0"/>
              <w:bottom w:val="single" w:color="000000" w:sz="8" w:space="0"/>
              <w:right w:val="single" w:color="000000" w:sz="8" w:space="0"/>
            </w:tcBorders>
            <w:vAlign w:val="bottom"/>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经费保障形式</w:t>
            </w:r>
          </w:p>
        </w:tc>
      </w:tr>
      <w:tr>
        <w:tblPrEx>
          <w:tblCellMar>
            <w:top w:w="0" w:type="dxa"/>
            <w:left w:w="108" w:type="dxa"/>
            <w:bottom w:w="0" w:type="dxa"/>
            <w:right w:w="108" w:type="dxa"/>
          </w:tblCellMar>
        </w:tblPrEx>
        <w:trPr>
          <w:trHeight w:val="312" w:hRule="atLeast"/>
        </w:trPr>
        <w:tc>
          <w:tcPr>
            <w:tcW w:w="3340"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方正书宋_GBK" w:hAnsi="宋体" w:eastAsia="方正书宋_GBK" w:cs="宋体"/>
                <w:b/>
                <w:bCs/>
                <w:kern w:val="0"/>
                <w:szCs w:val="21"/>
              </w:rPr>
            </w:pPr>
          </w:p>
        </w:tc>
        <w:tc>
          <w:tcPr>
            <w:tcW w:w="3580"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方正书宋_GBK" w:hAnsi="宋体" w:eastAsia="方正书宋_GBK" w:cs="宋体"/>
                <w:b/>
                <w:bCs/>
                <w:kern w:val="0"/>
                <w:szCs w:val="21"/>
              </w:rPr>
            </w:pPr>
          </w:p>
        </w:tc>
        <w:tc>
          <w:tcPr>
            <w:tcW w:w="3100"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方正书宋_GBK" w:hAnsi="宋体" w:eastAsia="方正书宋_GBK" w:cs="宋体"/>
                <w:b/>
                <w:bCs/>
                <w:kern w:val="0"/>
                <w:szCs w:val="21"/>
              </w:rPr>
            </w:pPr>
          </w:p>
        </w:tc>
        <w:tc>
          <w:tcPr>
            <w:tcW w:w="2740"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方正书宋_GBK" w:hAnsi="宋体" w:eastAsia="方正书宋_GBK" w:cs="宋体"/>
                <w:b/>
                <w:bCs/>
                <w:kern w:val="0"/>
                <w:szCs w:val="21"/>
              </w:rPr>
            </w:pPr>
          </w:p>
        </w:tc>
      </w:tr>
      <w:tr>
        <w:tblPrEx>
          <w:tblCellMar>
            <w:top w:w="0" w:type="dxa"/>
            <w:left w:w="108" w:type="dxa"/>
            <w:bottom w:w="0" w:type="dxa"/>
            <w:right w:w="108" w:type="dxa"/>
          </w:tblCellMar>
        </w:tblPrEx>
        <w:trPr>
          <w:trHeight w:val="360" w:hRule="atLeast"/>
        </w:trPr>
        <w:tc>
          <w:tcPr>
            <w:tcW w:w="3340" w:type="dxa"/>
            <w:tcBorders>
              <w:top w:val="nil"/>
              <w:left w:val="single" w:color="000000" w:sz="8" w:space="0"/>
              <w:bottom w:val="single" w:color="000000" w:sz="8" w:space="0"/>
              <w:right w:val="single" w:color="000000" w:sz="8" w:space="0"/>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政府机关</w:t>
            </w:r>
          </w:p>
        </w:tc>
        <w:tc>
          <w:tcPr>
            <w:tcW w:w="358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行政</w:t>
            </w:r>
          </w:p>
        </w:tc>
        <w:tc>
          <w:tcPr>
            <w:tcW w:w="310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科级</w:t>
            </w:r>
          </w:p>
        </w:tc>
        <w:tc>
          <w:tcPr>
            <w:tcW w:w="274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财政拨款</w:t>
            </w:r>
          </w:p>
        </w:tc>
      </w:tr>
      <w:tr>
        <w:tblPrEx>
          <w:tblCellMar>
            <w:top w:w="0" w:type="dxa"/>
            <w:left w:w="108" w:type="dxa"/>
            <w:bottom w:w="0" w:type="dxa"/>
            <w:right w:w="108" w:type="dxa"/>
          </w:tblCellMar>
        </w:tblPrEx>
        <w:trPr>
          <w:trHeight w:val="360" w:hRule="atLeast"/>
        </w:trPr>
        <w:tc>
          <w:tcPr>
            <w:tcW w:w="3340" w:type="dxa"/>
            <w:tcBorders>
              <w:top w:val="nil"/>
              <w:left w:val="single" w:color="000000" w:sz="8" w:space="0"/>
              <w:bottom w:val="single" w:color="000000" w:sz="8" w:space="0"/>
              <w:right w:val="single" w:color="000000" w:sz="8" w:space="0"/>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共产党机关</w:t>
            </w:r>
          </w:p>
        </w:tc>
        <w:tc>
          <w:tcPr>
            <w:tcW w:w="358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行政</w:t>
            </w:r>
          </w:p>
        </w:tc>
        <w:tc>
          <w:tcPr>
            <w:tcW w:w="310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科级</w:t>
            </w:r>
          </w:p>
        </w:tc>
        <w:tc>
          <w:tcPr>
            <w:tcW w:w="274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财政拨款</w:t>
            </w:r>
          </w:p>
        </w:tc>
      </w:tr>
      <w:tr>
        <w:tblPrEx>
          <w:tblCellMar>
            <w:top w:w="0" w:type="dxa"/>
            <w:left w:w="108" w:type="dxa"/>
            <w:bottom w:w="0" w:type="dxa"/>
            <w:right w:w="108" w:type="dxa"/>
          </w:tblCellMar>
        </w:tblPrEx>
        <w:trPr>
          <w:trHeight w:val="360" w:hRule="atLeast"/>
        </w:trPr>
        <w:tc>
          <w:tcPr>
            <w:tcW w:w="3340" w:type="dxa"/>
            <w:tcBorders>
              <w:top w:val="nil"/>
              <w:left w:val="single" w:color="000000" w:sz="8" w:space="0"/>
              <w:bottom w:val="single" w:color="000000" w:sz="8" w:space="0"/>
              <w:right w:val="single" w:color="000000" w:sz="8" w:space="0"/>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社保站</w:t>
            </w:r>
          </w:p>
        </w:tc>
        <w:tc>
          <w:tcPr>
            <w:tcW w:w="358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事业</w:t>
            </w:r>
          </w:p>
        </w:tc>
        <w:tc>
          <w:tcPr>
            <w:tcW w:w="310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股级</w:t>
            </w:r>
          </w:p>
        </w:tc>
        <w:tc>
          <w:tcPr>
            <w:tcW w:w="2740" w:type="dxa"/>
            <w:tcBorders>
              <w:top w:val="nil"/>
              <w:left w:val="nil"/>
              <w:bottom w:val="single" w:color="000000" w:sz="8"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财政性资金基本保证</w:t>
            </w:r>
          </w:p>
        </w:tc>
      </w:tr>
      <w:tr>
        <w:tblPrEx>
          <w:tblCellMar>
            <w:top w:w="0" w:type="dxa"/>
            <w:left w:w="108" w:type="dxa"/>
            <w:bottom w:w="0" w:type="dxa"/>
            <w:right w:w="108" w:type="dxa"/>
          </w:tblCellMar>
        </w:tblPrEx>
        <w:trPr>
          <w:trHeight w:val="360" w:hRule="atLeast"/>
        </w:trPr>
        <w:tc>
          <w:tcPr>
            <w:tcW w:w="3340" w:type="dxa"/>
            <w:tcBorders>
              <w:top w:val="nil"/>
              <w:left w:val="single" w:color="000000" w:sz="8" w:space="0"/>
              <w:bottom w:val="single" w:color="000000" w:sz="8" w:space="0"/>
              <w:right w:val="single" w:color="000000" w:sz="8" w:space="0"/>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农业站</w:t>
            </w:r>
          </w:p>
        </w:tc>
        <w:tc>
          <w:tcPr>
            <w:tcW w:w="3580" w:type="dxa"/>
            <w:tcBorders>
              <w:top w:val="nil"/>
              <w:left w:val="nil"/>
              <w:bottom w:val="single" w:color="auto" w:sz="4"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事业</w:t>
            </w:r>
          </w:p>
        </w:tc>
        <w:tc>
          <w:tcPr>
            <w:tcW w:w="3100" w:type="dxa"/>
            <w:tcBorders>
              <w:top w:val="nil"/>
              <w:left w:val="nil"/>
              <w:bottom w:val="single" w:color="auto" w:sz="4"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股级</w:t>
            </w:r>
          </w:p>
        </w:tc>
        <w:tc>
          <w:tcPr>
            <w:tcW w:w="2740" w:type="dxa"/>
            <w:tcBorders>
              <w:top w:val="nil"/>
              <w:left w:val="nil"/>
              <w:bottom w:val="single" w:color="auto" w:sz="4" w:space="0"/>
              <w:right w:val="single" w:color="000000" w:sz="8"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财政性资金基本保证</w:t>
            </w:r>
          </w:p>
        </w:tc>
      </w:tr>
      <w:tr>
        <w:tblPrEx>
          <w:tblCellMar>
            <w:top w:w="0" w:type="dxa"/>
            <w:left w:w="108" w:type="dxa"/>
            <w:bottom w:w="0" w:type="dxa"/>
            <w:right w:w="108" w:type="dxa"/>
          </w:tblCellMar>
        </w:tblPrEx>
        <w:trPr>
          <w:trHeight w:val="360" w:hRule="atLeast"/>
        </w:trPr>
        <w:tc>
          <w:tcPr>
            <w:tcW w:w="3340" w:type="dxa"/>
            <w:tcBorders>
              <w:top w:val="nil"/>
              <w:left w:val="single" w:color="000000" w:sz="8" w:space="0"/>
              <w:bottom w:val="single" w:color="000000" w:sz="8" w:space="0"/>
              <w:right w:val="single" w:color="auto" w:sz="4" w:space="0"/>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文化站</w:t>
            </w:r>
          </w:p>
        </w:tc>
        <w:tc>
          <w:tcPr>
            <w:tcW w:w="3580" w:type="dxa"/>
            <w:tcBorders>
              <w:top w:val="single" w:color="auto" w:sz="4" w:space="0"/>
              <w:left w:val="single" w:color="auto" w:sz="4" w:space="0"/>
              <w:bottom w:val="single" w:color="auto" w:sz="6"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事业</w:t>
            </w:r>
          </w:p>
        </w:tc>
        <w:tc>
          <w:tcPr>
            <w:tcW w:w="3100" w:type="dxa"/>
            <w:tcBorders>
              <w:top w:val="single" w:color="auto" w:sz="4" w:space="0"/>
              <w:left w:val="single" w:color="auto" w:sz="4" w:space="0"/>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股级</w:t>
            </w:r>
          </w:p>
        </w:tc>
        <w:tc>
          <w:tcPr>
            <w:tcW w:w="2740" w:type="dxa"/>
            <w:tcBorders>
              <w:top w:val="single" w:color="auto" w:sz="4" w:space="0"/>
              <w:left w:val="single" w:color="auto" w:sz="4" w:space="0"/>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财政性资金基本保证</w:t>
            </w:r>
          </w:p>
        </w:tc>
      </w:tr>
      <w:tr>
        <w:tblPrEx>
          <w:tblCellMar>
            <w:top w:w="0" w:type="dxa"/>
            <w:left w:w="108" w:type="dxa"/>
            <w:bottom w:w="0" w:type="dxa"/>
            <w:right w:w="108" w:type="dxa"/>
          </w:tblCellMar>
        </w:tblPrEx>
        <w:trPr>
          <w:trHeight w:val="360" w:hRule="atLeast"/>
        </w:trPr>
        <w:tc>
          <w:tcPr>
            <w:tcW w:w="3340" w:type="dxa"/>
            <w:tcBorders>
              <w:top w:val="single" w:color="auto" w:sz="4" w:space="0"/>
              <w:left w:val="single" w:color="auto" w:sz="4" w:space="0"/>
              <w:bottom w:val="single" w:color="auto" w:sz="4" w:space="0"/>
              <w:right w:val="nil"/>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计生办</w:t>
            </w:r>
          </w:p>
        </w:tc>
        <w:tc>
          <w:tcPr>
            <w:tcW w:w="3580" w:type="dxa"/>
            <w:tcBorders>
              <w:top w:val="single" w:color="auto" w:sz="6" w:space="0"/>
              <w:left w:val="single" w:color="auto" w:sz="4" w:space="0"/>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事业</w:t>
            </w:r>
          </w:p>
        </w:tc>
        <w:tc>
          <w:tcPr>
            <w:tcW w:w="3100" w:type="dxa"/>
            <w:tcBorders>
              <w:top w:val="single" w:color="auto" w:sz="4" w:space="0"/>
              <w:left w:val="nil"/>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股级</w:t>
            </w:r>
          </w:p>
        </w:tc>
        <w:tc>
          <w:tcPr>
            <w:tcW w:w="2740" w:type="dxa"/>
            <w:tcBorders>
              <w:top w:val="single" w:color="auto" w:sz="4" w:space="0"/>
              <w:left w:val="nil"/>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财政性资金基本保证</w:t>
            </w:r>
          </w:p>
        </w:tc>
      </w:tr>
      <w:tr>
        <w:tblPrEx>
          <w:tblCellMar>
            <w:top w:w="0" w:type="dxa"/>
            <w:left w:w="108" w:type="dxa"/>
            <w:bottom w:w="0" w:type="dxa"/>
            <w:right w:w="108" w:type="dxa"/>
          </w:tblCellMar>
        </w:tblPrEx>
        <w:trPr>
          <w:trHeight w:val="360" w:hRule="atLeast"/>
        </w:trPr>
        <w:tc>
          <w:tcPr>
            <w:tcW w:w="3340" w:type="dxa"/>
            <w:tcBorders>
              <w:top w:val="single" w:color="auto" w:sz="4" w:space="0"/>
              <w:left w:val="single" w:color="auto" w:sz="4" w:space="0"/>
              <w:bottom w:val="single" w:color="auto" w:sz="4" w:space="0"/>
              <w:right w:val="nil"/>
            </w:tcBorders>
            <w:vAlign w:val="bottom"/>
          </w:tcPr>
          <w:p>
            <w:pPr>
              <w:widowControl/>
              <w:jc w:val="left"/>
              <w:rPr>
                <w:rFonts w:ascii="方正书宋_GBK" w:hAnsi="宋体" w:eastAsia="方正书宋_GBK" w:cs="宋体"/>
                <w:kern w:val="0"/>
                <w:szCs w:val="21"/>
              </w:rPr>
            </w:pPr>
            <w:r>
              <w:rPr>
                <w:rFonts w:hint="eastAsia" w:ascii="方正书宋_GBK" w:hAnsi="宋体" w:eastAsia="方正书宋_GBK" w:cs="宋体"/>
                <w:kern w:val="0"/>
                <w:szCs w:val="21"/>
              </w:rPr>
              <w:t>林业站</w:t>
            </w:r>
          </w:p>
        </w:tc>
        <w:tc>
          <w:tcPr>
            <w:tcW w:w="3580" w:type="dxa"/>
            <w:tcBorders>
              <w:top w:val="nil"/>
              <w:left w:val="single" w:color="auto" w:sz="4" w:space="0"/>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事业</w:t>
            </w:r>
          </w:p>
        </w:tc>
        <w:tc>
          <w:tcPr>
            <w:tcW w:w="3100" w:type="dxa"/>
            <w:tcBorders>
              <w:top w:val="nil"/>
              <w:left w:val="nil"/>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股级</w:t>
            </w:r>
          </w:p>
        </w:tc>
        <w:tc>
          <w:tcPr>
            <w:tcW w:w="2740" w:type="dxa"/>
            <w:tcBorders>
              <w:top w:val="nil"/>
              <w:left w:val="nil"/>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财政性资金基本保证</w:t>
            </w:r>
          </w:p>
        </w:tc>
      </w:tr>
      <w:tr>
        <w:tblPrEx>
          <w:tblCellMar>
            <w:top w:w="0" w:type="dxa"/>
            <w:left w:w="108" w:type="dxa"/>
            <w:bottom w:w="0" w:type="dxa"/>
            <w:right w:w="108" w:type="dxa"/>
          </w:tblCellMar>
        </w:tblPrEx>
        <w:trPr>
          <w:trHeight w:val="360" w:hRule="atLeast"/>
        </w:trPr>
        <w:tc>
          <w:tcPr>
            <w:tcW w:w="3340" w:type="dxa"/>
            <w:tcBorders>
              <w:top w:val="single" w:color="auto" w:sz="4" w:space="0"/>
              <w:left w:val="single" w:color="auto" w:sz="4" w:space="0"/>
              <w:bottom w:val="single" w:color="auto" w:sz="4" w:space="0"/>
              <w:right w:val="nil"/>
            </w:tcBorders>
            <w:vAlign w:val="bottom"/>
          </w:tcPr>
          <w:p>
            <w:pPr>
              <w:widowControl/>
              <w:jc w:val="left"/>
              <w:rPr>
                <w:rFonts w:ascii="方正书宋_GBK" w:hAnsi="宋体" w:eastAsia="方正书宋_GBK" w:cs="宋体"/>
                <w:kern w:val="0"/>
                <w:szCs w:val="21"/>
              </w:rPr>
            </w:pPr>
            <w:r>
              <w:rPr>
                <w:rFonts w:hint="eastAsia" w:ascii="仿宋_GB2312" w:hAnsi="Arial" w:eastAsia="仿宋_GB2312" w:cs="Arial"/>
                <w:kern w:val="0"/>
                <w:szCs w:val="21"/>
              </w:rPr>
              <w:t>城乡社区事务</w:t>
            </w:r>
          </w:p>
        </w:tc>
        <w:tc>
          <w:tcPr>
            <w:tcW w:w="3580" w:type="dxa"/>
            <w:tcBorders>
              <w:top w:val="nil"/>
              <w:left w:val="single" w:color="auto" w:sz="4" w:space="0"/>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事业</w:t>
            </w:r>
          </w:p>
        </w:tc>
        <w:tc>
          <w:tcPr>
            <w:tcW w:w="3100" w:type="dxa"/>
            <w:tcBorders>
              <w:top w:val="nil"/>
              <w:left w:val="nil"/>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股级</w:t>
            </w:r>
          </w:p>
        </w:tc>
        <w:tc>
          <w:tcPr>
            <w:tcW w:w="2740" w:type="dxa"/>
            <w:tcBorders>
              <w:top w:val="nil"/>
              <w:left w:val="nil"/>
              <w:bottom w:val="single" w:color="auto" w:sz="4" w:space="0"/>
              <w:right w:val="single" w:color="auto" w:sz="4" w:space="0"/>
            </w:tcBorders>
            <w:vAlign w:val="bottom"/>
          </w:tcPr>
          <w:p>
            <w:pPr>
              <w:widowControl/>
              <w:jc w:val="center"/>
              <w:rPr>
                <w:rFonts w:ascii="方正书宋_GBK" w:hAnsi="宋体" w:eastAsia="方正书宋_GBK" w:cs="宋体"/>
                <w:kern w:val="0"/>
                <w:szCs w:val="21"/>
              </w:rPr>
            </w:pPr>
            <w:r>
              <w:rPr>
                <w:rFonts w:hint="eastAsia" w:ascii="方正书宋_GBK" w:hAnsi="宋体" w:eastAsia="方正书宋_GBK" w:cs="宋体"/>
                <w:kern w:val="0"/>
                <w:szCs w:val="21"/>
              </w:rPr>
              <w:t>财政性资金基本保证</w:t>
            </w:r>
          </w:p>
        </w:tc>
      </w:tr>
    </w:tbl>
    <w:p>
      <w:pPr>
        <w:rPr>
          <w:rFonts w:ascii="黑体" w:hAnsi="黑体" w:eastAsia="黑体"/>
          <w:sz w:val="32"/>
          <w:szCs w:val="32"/>
        </w:rPr>
      </w:pPr>
    </w:p>
    <w:p>
      <w:pPr>
        <w:rPr>
          <w:rFonts w:ascii="Times New Roman" w:hAnsi="Times New Roman" w:eastAsia="方正仿宋_GBK"/>
          <w:sz w:val="32"/>
          <w:szCs w:val="32"/>
        </w:rPr>
      </w:pPr>
    </w:p>
    <w:p>
      <w:pPr>
        <w:rPr>
          <w:rFonts w:ascii="黑体" w:hAnsi="黑体" w:eastAsia="黑体"/>
          <w:sz w:val="32"/>
          <w:szCs w:val="32"/>
        </w:rPr>
      </w:pPr>
      <w:r>
        <w:rPr>
          <w:rFonts w:hint="eastAsia" w:ascii="黑体" w:hAnsi="黑体" w:eastAsia="黑体"/>
          <w:sz w:val="32"/>
          <w:szCs w:val="32"/>
        </w:rPr>
        <w:t>二、部门预算安排的总体情况</w:t>
      </w:r>
    </w:p>
    <w:p>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按照预算管理有关规定，目前我市部门预算的编制实行综合预算制度，即全部收入和支出都反</w:t>
      </w:r>
      <w:r>
        <w:rPr>
          <w:rFonts w:hint="eastAsia" w:ascii="仿宋_GB2312" w:hAnsi="仿宋_GB2312" w:eastAsia="仿宋_GB2312" w:cs="仿宋_GB2312"/>
          <w:sz w:val="32"/>
          <w:szCs w:val="32"/>
          <w:highlight w:val="none"/>
        </w:rPr>
        <w:t>映的预算中。</w:t>
      </w:r>
    </w:p>
    <w:p>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1、收入说明</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反映本部门当年全部收入。2020年收入预算共计2719.19万元,其中：其中：一般公共预算收入2177.95万元，政府性基金收入541.24万元，财政专户收入</w:t>
      </w:r>
      <w:r>
        <w:rPr>
          <w:rFonts w:ascii="仿宋_GB2312" w:hAnsi="仿宋_GB2312" w:eastAsia="仿宋_GB2312" w:cs="仿宋_GB2312"/>
          <w:sz w:val="32"/>
          <w:szCs w:val="32"/>
          <w:highlight w:val="none"/>
        </w:rPr>
        <w:t>0</w:t>
      </w:r>
      <w:r>
        <w:rPr>
          <w:rFonts w:hint="eastAsia" w:ascii="仿宋_GB2312" w:hAnsi="仿宋_GB2312" w:eastAsia="仿宋_GB2312" w:cs="仿宋_GB2312"/>
          <w:sz w:val="32"/>
          <w:szCs w:val="32"/>
          <w:highlight w:val="none"/>
        </w:rPr>
        <w:t>万元，</w:t>
      </w:r>
      <w:r>
        <w:rPr>
          <w:rFonts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t>其他来源收入</w:t>
      </w:r>
      <w:r>
        <w:rPr>
          <w:rFonts w:ascii="仿宋_GB2312" w:hAnsi="仿宋_GB2312" w:eastAsia="仿宋_GB2312" w:cs="仿宋_GB2312"/>
          <w:sz w:val="32"/>
          <w:szCs w:val="32"/>
          <w:highlight w:val="none"/>
        </w:rPr>
        <w:t>0</w:t>
      </w:r>
      <w:r>
        <w:rPr>
          <w:rFonts w:hint="eastAsia" w:ascii="仿宋_GB2312" w:hAnsi="仿宋_GB2312" w:eastAsia="仿宋_GB2312" w:cs="仿宋_GB2312"/>
          <w:sz w:val="32"/>
          <w:szCs w:val="32"/>
          <w:highlight w:val="none"/>
        </w:rPr>
        <w:t>万元。</w:t>
      </w:r>
    </w:p>
    <w:p>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2、支出说明</w:t>
      </w:r>
    </w:p>
    <w:p>
      <w:pPr>
        <w:ind w:firstLine="64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收支预算总表支出栏、基本支出表、项目支出表按经济分类和支出功能分类科目编制，</w:t>
      </w:r>
      <w:r>
        <w:rPr>
          <w:rFonts w:hint="eastAsia" w:ascii="仿宋_GB2312" w:hAnsi="仿宋_GB2312" w:eastAsia="仿宋_GB2312" w:cs="仿宋_GB2312"/>
          <w:sz w:val="32"/>
          <w:szCs w:val="32"/>
          <w:highlight w:val="none"/>
          <w:lang w:eastAsia="zh-CN"/>
        </w:rPr>
        <w:t>滦州市</w:t>
      </w:r>
      <w:r>
        <w:rPr>
          <w:rFonts w:hint="eastAsia" w:ascii="仿宋_GB2312" w:hAnsi="仿宋_GB2312" w:eastAsia="仿宋_GB2312" w:cs="仿宋_GB2312"/>
          <w:sz w:val="32"/>
          <w:szCs w:val="32"/>
          <w:highlight w:val="none"/>
        </w:rPr>
        <w:t>雷庄镇人民政府年度部门预算中支出预算的总体情况。2020年支出预算共计2719.19万元，其中人员经费支出预算1625.79万元，日常公用经费支出预算83.96万元，项目支出1009.44万元。</w:t>
      </w:r>
      <w:r>
        <w:rPr>
          <w:rFonts w:hint="eastAsia" w:ascii="仿宋_GB2312" w:hAnsi="仿宋_GB2312" w:eastAsia="仿宋_GB2312" w:cs="仿宋_GB2312"/>
          <w:sz w:val="32"/>
          <w:szCs w:val="32"/>
          <w:highlight w:val="none"/>
          <w:lang w:eastAsia="zh-CN"/>
        </w:rPr>
        <w:t>主要包括</w:t>
      </w:r>
      <w:r>
        <w:rPr>
          <w:rFonts w:hint="eastAsia" w:ascii="仿宋_GB2312" w:hAnsi="仿宋_GB2312" w:eastAsia="仿宋_GB2312" w:cs="仿宋_GB2312"/>
          <w:sz w:val="32"/>
          <w:szCs w:val="32"/>
          <w:highlight w:val="none"/>
        </w:rPr>
        <w:t>国防公路建设工役制人员生活补助</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军队退役人员公益岗工资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滦城办土地巡查员工资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2019年电代煤架线占地补偿款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福州路占地补偿款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妇联专项活动经费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环保巡查工作经费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基层武装阵地建设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滦古路占地补偿款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年度重点工作专项经费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农产品质量安全监管工作经费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人大专项经费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团委活动专项经费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维稳工作经费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五子山绿化占地补偿款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新高线两侧违建拆除及建筑垃圾清运项目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新高线占地补偿款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占补平衡项目工作经费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征收工作经费</w:t>
      </w:r>
      <w:r>
        <w:rPr>
          <w:rFonts w:hint="eastAsia" w:ascii="仿宋_GB2312" w:hAnsi="仿宋_GB2312" w:eastAsia="仿宋_GB2312" w:cs="仿宋_GB2312"/>
          <w:sz w:val="32"/>
          <w:szCs w:val="32"/>
          <w:highlight w:val="none"/>
          <w:lang w:eastAsia="zh-CN"/>
        </w:rPr>
        <w:t>等项目。</w:t>
      </w:r>
    </w:p>
    <w:p>
      <w:pPr>
        <w:ind w:firstLine="640"/>
        <w:rPr>
          <w:rFonts w:hint="eastAsia" w:ascii="仿宋_GB2312" w:hAnsi="仿宋_GB2312" w:eastAsia="仿宋_GB2312" w:cs="仿宋_GB2312"/>
          <w:sz w:val="32"/>
          <w:szCs w:val="32"/>
          <w:highlight w:val="none"/>
          <w:lang w:eastAsia="zh-CN"/>
        </w:rPr>
      </w:pP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3、比上年增减情况</w:t>
      </w:r>
    </w:p>
    <w:p>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经过对比测算，2020年财政拨款预算比2019年减少244</w:t>
      </w:r>
      <w:r>
        <w:rPr>
          <w:rFonts w:hint="eastAsia" w:ascii="仿宋_GB2312" w:hAnsi="仿宋_GB2312" w:eastAsia="仿宋_GB2312" w:cs="仿宋_GB2312"/>
          <w:sz w:val="32"/>
          <w:szCs w:val="32"/>
          <w:highlight w:val="none"/>
        </w:rPr>
        <w:t>68.93万元，其中：日常公用经费减少8.98万元，人员经费减少29.22万元（主要原因是人员的调出、退休等），项目支出减少 24430.73万元主要原因是</w:t>
      </w:r>
      <w:r>
        <w:rPr>
          <w:rFonts w:hint="eastAsia" w:ascii="仿宋_GB2312" w:hAnsi="仿宋_GB2312" w:eastAsia="仿宋_GB2312" w:cs="仿宋_GB2312"/>
          <w:sz w:val="32"/>
          <w:szCs w:val="32"/>
          <w:highlight w:val="none"/>
          <w:lang w:eastAsia="zh-CN"/>
        </w:rPr>
        <w:t>较上年预算</w:t>
      </w:r>
      <w:r>
        <w:rPr>
          <w:rFonts w:hint="eastAsia" w:ascii="仿宋_GB2312" w:hAnsi="仿宋_GB2312" w:eastAsia="仿宋_GB2312" w:cs="仿宋_GB2312"/>
          <w:sz w:val="32"/>
          <w:szCs w:val="32"/>
          <w:highlight w:val="none"/>
        </w:rPr>
        <w:t>项目减少。</w:t>
      </w:r>
    </w:p>
    <w:p>
      <w:pPr>
        <w:autoSpaceDE w:val="0"/>
        <w:autoSpaceDN w:val="0"/>
        <w:adjustRightInd w:val="0"/>
        <w:ind w:firstLine="800" w:firstLineChars="250"/>
        <w:jc w:val="left"/>
        <w:rPr>
          <w:rFonts w:ascii="黑体" w:hAnsi="黑体" w:eastAsia="黑体"/>
          <w:sz w:val="32"/>
          <w:szCs w:val="32"/>
        </w:rPr>
      </w:pPr>
      <w:r>
        <w:rPr>
          <w:rFonts w:hint="eastAsia" w:ascii="黑体" w:hAnsi="黑体" w:eastAsia="黑体"/>
          <w:sz w:val="32"/>
          <w:szCs w:val="32"/>
        </w:rPr>
        <w:t>三、机关运行经费安排情况</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机关运行经费共计安排83.96万元，主要用于保证正常办公的基本需要和维持单位日常业务运转，包括：办公费10.1万元、水费2万元、电费2万元、差旅费3.5万元、公务接待费0.5万元、劳务费7.2万元、取暖费15.9万元、工会经费10.7万元、公务用车运行维护费5万元、公务交通补贴27.06万元。</w:t>
      </w:r>
    </w:p>
    <w:p>
      <w:pPr>
        <w:autoSpaceDE w:val="0"/>
        <w:autoSpaceDN w:val="0"/>
        <w:adjustRightInd w:val="0"/>
        <w:ind w:left="198" w:firstLine="640" w:firstLineChars="200"/>
        <w:jc w:val="left"/>
        <w:rPr>
          <w:rFonts w:ascii="黑体" w:hAnsi="黑体" w:eastAsia="黑体"/>
          <w:sz w:val="32"/>
          <w:szCs w:val="32"/>
        </w:rPr>
      </w:pPr>
      <w:r>
        <w:rPr>
          <w:rFonts w:hint="eastAsia" w:ascii="黑体" w:hAnsi="黑体" w:eastAsia="黑体"/>
          <w:sz w:val="32"/>
          <w:szCs w:val="32"/>
        </w:rPr>
        <w:t>四、财政拨款“三公”经费预算情况及增减变化原因</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2020年，财政拨款“三公”经费预算安排5.5万元，与2019年相比无变化，其中：因公出国（境）费0万元，与上年持平；公务用车购置及运维费5万元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与上年持平（其中：公务用车购置费为0，与上年持平；公务用车运行费5万元，与上年持平)；公务接待费0.5万元，与上年持平。</w:t>
      </w:r>
    </w:p>
    <w:p>
      <w:pPr>
        <w:autoSpaceDE w:val="0"/>
        <w:autoSpaceDN w:val="0"/>
        <w:adjustRightInd w:val="0"/>
        <w:ind w:firstLine="640" w:firstLineChars="200"/>
        <w:jc w:val="left"/>
        <w:rPr>
          <w:rFonts w:ascii="黑体" w:hAnsi="黑体" w:eastAsia="黑体"/>
          <w:sz w:val="32"/>
          <w:szCs w:val="32"/>
        </w:rPr>
      </w:pPr>
      <w:r>
        <w:rPr>
          <w:rFonts w:hint="eastAsia" w:ascii="黑体" w:hAnsi="黑体" w:eastAsia="黑体"/>
          <w:sz w:val="32"/>
          <w:szCs w:val="32"/>
        </w:rPr>
        <w:t>五、绩效预算信息</w:t>
      </w:r>
    </w:p>
    <w:p>
      <w:pPr>
        <w:autoSpaceDE w:val="0"/>
        <w:autoSpaceDN w:val="0"/>
        <w:adjustRightInd w:val="0"/>
        <w:ind w:firstLine="482" w:firstLineChars="15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总体绩效目标</w:t>
      </w:r>
      <w:r>
        <w:rPr>
          <w:rFonts w:ascii="仿宋_GB2312" w:hAnsi="仿宋_GB2312" w:eastAsia="仿宋_GB2312" w:cs="仿宋_GB2312"/>
          <w:b/>
          <w:sz w:val="32"/>
          <w:szCs w:val="32"/>
        </w:rPr>
        <w:fldChar w:fldCharType="begin"/>
      </w:r>
      <w:r>
        <w:rPr>
          <w:rFonts w:ascii="仿宋_GB2312" w:hAnsi="仿宋_GB2312" w:eastAsia="仿宋_GB2312" w:cs="仿宋_GB2312"/>
          <w:b/>
          <w:sz w:val="32"/>
          <w:szCs w:val="32"/>
        </w:rPr>
        <w:instrText xml:space="preserve"> </w:instrText>
      </w:r>
      <w:r>
        <w:rPr>
          <w:rFonts w:hint="eastAsia" w:ascii="仿宋_GB2312" w:hAnsi="仿宋_GB2312" w:eastAsia="仿宋_GB2312" w:cs="仿宋_GB2312"/>
          <w:b/>
          <w:sz w:val="32"/>
          <w:szCs w:val="32"/>
        </w:rPr>
        <w:instrText xml:space="preserve">TC </w:instrText>
      </w:r>
      <w:bookmarkStart w:id="0" w:name="_Toc29981184"/>
      <w:r>
        <w:rPr>
          <w:rFonts w:hint="eastAsia" w:ascii="仿宋_GB2312" w:hAnsi="仿宋_GB2312" w:eastAsia="仿宋_GB2312" w:cs="仿宋_GB2312"/>
          <w:b/>
          <w:sz w:val="32"/>
          <w:szCs w:val="32"/>
        </w:rPr>
        <w:instrText xml:space="preserve">总体绩效目标</w:instrText>
      </w:r>
      <w:bookmarkEnd w:id="0"/>
      <w:r>
        <w:rPr>
          <w:rFonts w:hint="eastAsia" w:ascii="仿宋_GB2312" w:hAnsi="仿宋_GB2312" w:eastAsia="仿宋_GB2312" w:cs="仿宋_GB2312"/>
          <w:b/>
          <w:sz w:val="32"/>
          <w:szCs w:val="32"/>
        </w:rPr>
        <w:instrText xml:space="preserve"> \f A \l 1</w:instrText>
      </w:r>
      <w:r>
        <w:rPr>
          <w:rFonts w:ascii="仿宋_GB2312" w:hAnsi="仿宋_GB2312" w:eastAsia="仿宋_GB2312" w:cs="仿宋_GB2312"/>
          <w:b/>
          <w:sz w:val="32"/>
          <w:szCs w:val="32"/>
        </w:rPr>
        <w:instrText xml:space="preserve"> </w:instrText>
      </w:r>
      <w:r>
        <w:rPr>
          <w:rFonts w:ascii="仿宋_GB2312" w:hAnsi="仿宋_GB2312" w:eastAsia="仿宋_GB2312" w:cs="仿宋_GB2312"/>
          <w:b/>
          <w:sz w:val="32"/>
          <w:szCs w:val="32"/>
        </w:rPr>
        <w:fldChar w:fldCharType="end"/>
      </w:r>
    </w:p>
    <w:p>
      <w:pPr>
        <w:autoSpaceDE w:val="0"/>
        <w:autoSpaceDN w:val="0"/>
        <w:adjustRightInd w:val="0"/>
        <w:ind w:left="197" w:leftChars="94" w:firstLine="800" w:firstLineChars="250"/>
        <w:jc w:val="left"/>
        <w:rPr>
          <w:rFonts w:ascii="仿宋_GB2312" w:hAnsi="仿宋_GB2312" w:eastAsia="仿宋_GB2312" w:cs="仿宋_GB2312"/>
          <w:sz w:val="32"/>
          <w:szCs w:val="32"/>
        </w:rPr>
      </w:pPr>
      <w:r>
        <w:rPr>
          <w:rFonts w:ascii="仿宋_GB2312" w:hAnsi="仿宋_GB2312" w:eastAsia="仿宋_GB2312" w:cs="仿宋_GB2312"/>
          <w:sz w:val="32"/>
          <w:szCs w:val="32"/>
        </w:rPr>
        <w:t>2020年我街道将继续以党的十九大精神为指引，以“滦州市争当唐山市县域经济发展‘排头兵’、走在全省前列”的发展目标为引领，在经济增长、社会发展、队伍建设等方面锐意进取、稳中求进，努力实现我街道经济社会全面提升，力争实现新的更大跨越，为实现全县总体目标贡献力量。</w:t>
      </w:r>
    </w:p>
    <w:p>
      <w:pPr>
        <w:autoSpaceDE w:val="0"/>
        <w:autoSpaceDN w:val="0"/>
        <w:adjustRightInd w:val="0"/>
        <w:ind w:firstLine="482" w:firstLineChars="15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分项绩效目标</w:t>
      </w:r>
      <w:r>
        <w:rPr>
          <w:rFonts w:ascii="仿宋_GB2312" w:hAnsi="仿宋_GB2312" w:eastAsia="仿宋_GB2312" w:cs="仿宋_GB2312"/>
          <w:b/>
          <w:sz w:val="32"/>
          <w:szCs w:val="32"/>
        </w:rPr>
        <w:fldChar w:fldCharType="begin"/>
      </w:r>
      <w:r>
        <w:rPr>
          <w:rFonts w:ascii="仿宋_GB2312" w:hAnsi="仿宋_GB2312" w:eastAsia="仿宋_GB2312" w:cs="仿宋_GB2312"/>
          <w:b/>
          <w:sz w:val="32"/>
          <w:szCs w:val="32"/>
        </w:rPr>
        <w:instrText xml:space="preserve"> </w:instrText>
      </w:r>
      <w:r>
        <w:rPr>
          <w:rFonts w:hint="eastAsia" w:ascii="仿宋_GB2312" w:hAnsi="仿宋_GB2312" w:eastAsia="仿宋_GB2312" w:cs="仿宋_GB2312"/>
          <w:b/>
          <w:sz w:val="32"/>
          <w:szCs w:val="32"/>
        </w:rPr>
        <w:instrText xml:space="preserve">TC </w:instrText>
      </w:r>
      <w:bookmarkStart w:id="1" w:name="_Toc29981185"/>
      <w:r>
        <w:rPr>
          <w:rFonts w:hint="eastAsia" w:ascii="仿宋_GB2312" w:hAnsi="仿宋_GB2312" w:eastAsia="仿宋_GB2312" w:cs="仿宋_GB2312"/>
          <w:b/>
          <w:sz w:val="32"/>
          <w:szCs w:val="32"/>
        </w:rPr>
        <w:instrText xml:space="preserve">分项绩效目标</w:instrText>
      </w:r>
      <w:bookmarkEnd w:id="1"/>
      <w:r>
        <w:rPr>
          <w:rFonts w:hint="eastAsia" w:ascii="仿宋_GB2312" w:hAnsi="仿宋_GB2312" w:eastAsia="仿宋_GB2312" w:cs="仿宋_GB2312"/>
          <w:b/>
          <w:sz w:val="32"/>
          <w:szCs w:val="32"/>
        </w:rPr>
        <w:instrText xml:space="preserve"> \f A \l 1</w:instrText>
      </w:r>
      <w:r>
        <w:rPr>
          <w:rFonts w:ascii="仿宋_GB2312" w:hAnsi="仿宋_GB2312" w:eastAsia="仿宋_GB2312" w:cs="仿宋_GB2312"/>
          <w:b/>
          <w:sz w:val="32"/>
          <w:szCs w:val="32"/>
        </w:rPr>
        <w:instrText xml:space="preserve"> </w:instrText>
      </w:r>
      <w:r>
        <w:rPr>
          <w:rFonts w:ascii="仿宋_GB2312" w:hAnsi="仿宋_GB2312" w:eastAsia="仿宋_GB2312" w:cs="仿宋_GB2312"/>
          <w:b/>
          <w:sz w:val="32"/>
          <w:szCs w:val="32"/>
        </w:rPr>
        <w:fldChar w:fldCharType="end"/>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（一）、政府机关</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政府机关一般由办事处综合办负责，主要工作有政务公开、会议管理、政务联络及综合业务管理。</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通过指导和协调办事处政务公开工作，使全街道信息公开业务队伍素质不断提高，业务水平进一步提升；政府政务信息公开范围不断扩大，公开内容得到进一步细化。</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协助办事处领导组织由办事处政府召开的各项会议，做好会议记录及签到工作，做好会议室的卫生工作。</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在政务联络方面，做好办事处领导、办事处有关部门与上级政府及有关部门的政务往来服务保障工作。</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组织起草或审核相关公文；组织起草办事处领导重要讲话及其他重要文稿；及时办理各类文电，确保事项在第一时间得到领导批示意见；高质量起草领导的重要讲话及重要文稿。</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（二）、计生机关及计生事业</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通过提供各类计划生育技术服务，建立利益导向机制，开展出生人口性别比治理以及流动人口计划生育管理等各项工作，以达到稳定适度的低生育水平，有效保障计划生育家庭生活水平，提高妇女生殖健康水平，降低出生缺陷的发生，有效遏制出生人口性别比偏高问题，从而增强群众自觉实行计划生育的积极性，稳定适度的低生育水平，提高计划生育家庭发展能力，增强计划生育家庭的凝聚力及成员幸福感。</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（三）、共产党员机关</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 xml:space="preserve"> 1、信息收集与督查调研。通过围绕办事处党委总体工作部署开展综合调研，收集和处理信息，反映动态；督导检查办事处党委重要工作部署的贯彻落实，以及落实上级领导和办事处党委领导批示件的传达和催办，协调和指导办事处党委系统信息网络，切实达到信息真实完整，领导满意，批示率高的目标。</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2、党员和党组织建设、干部管理。办事处党组织负责办事处机关及辖区企业两级党组织建设，指导街道党员教育工作，从而不断提高执政能力和领导水平。同时组织落实培养选拔后备干部、妇女干部。</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（四）、城乡规划及建设管理</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 xml:space="preserve"> 1、城乡规划。加强和改进规划管理技术手段，对依法批准的城乡规划进行监督实施，以完成本级规划编制，健全规划体系。</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 xml:space="preserve"> 2、城乡建设管理。推进城市人居环境改善，协调和指导推进城市化工作，从而加强街居建设，改善人居环境，实现城乡统筹发展。</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（五）、文化站。</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办事处文化站负责对新城范围内的广播影视、文化宣传教育、科普培训、体育健身和青少年校外活动,服务于当地群众，以确保各项文化业务工作谋划到位、顺利开展。</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（六）、社保事业。</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办事处社保站负责各类保险的筹集、支付、管理；负责离退休人员的工资审核工作。</w:t>
      </w:r>
    </w:p>
    <w:p>
      <w:pPr>
        <w:autoSpaceDE w:val="0"/>
        <w:autoSpaceDN w:val="0"/>
        <w:adjustRightInd w:val="0"/>
        <w:ind w:left="198"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工作保障措施</w:t>
      </w:r>
      <w:r>
        <w:rPr>
          <w:rFonts w:ascii="仿宋_GB2312" w:hAnsi="仿宋_GB2312" w:eastAsia="仿宋_GB2312" w:cs="仿宋_GB2312"/>
          <w:b/>
          <w:sz w:val="32"/>
          <w:szCs w:val="32"/>
        </w:rPr>
        <w:fldChar w:fldCharType="begin"/>
      </w:r>
      <w:r>
        <w:rPr>
          <w:rFonts w:ascii="仿宋_GB2312" w:hAnsi="仿宋_GB2312" w:eastAsia="仿宋_GB2312" w:cs="仿宋_GB2312"/>
          <w:b/>
          <w:sz w:val="32"/>
          <w:szCs w:val="32"/>
        </w:rPr>
        <w:instrText xml:space="preserve"> </w:instrText>
      </w:r>
      <w:r>
        <w:rPr>
          <w:rFonts w:hint="eastAsia" w:ascii="仿宋_GB2312" w:hAnsi="仿宋_GB2312" w:eastAsia="仿宋_GB2312" w:cs="仿宋_GB2312"/>
          <w:b/>
          <w:sz w:val="32"/>
          <w:szCs w:val="32"/>
        </w:rPr>
        <w:instrText xml:space="preserve">TC </w:instrText>
      </w:r>
      <w:bookmarkStart w:id="2" w:name="_Toc29981186"/>
      <w:r>
        <w:rPr>
          <w:rFonts w:hint="eastAsia" w:ascii="仿宋_GB2312" w:hAnsi="仿宋_GB2312" w:eastAsia="仿宋_GB2312" w:cs="仿宋_GB2312"/>
          <w:b/>
          <w:sz w:val="32"/>
          <w:szCs w:val="32"/>
        </w:rPr>
        <w:instrText xml:space="preserve">工作保障措施</w:instrText>
      </w:r>
      <w:bookmarkEnd w:id="2"/>
      <w:r>
        <w:rPr>
          <w:rFonts w:hint="eastAsia" w:ascii="仿宋_GB2312" w:hAnsi="仿宋_GB2312" w:eastAsia="仿宋_GB2312" w:cs="仿宋_GB2312"/>
          <w:b/>
          <w:sz w:val="32"/>
          <w:szCs w:val="32"/>
        </w:rPr>
        <w:instrText xml:space="preserve"> \f A \l 1</w:instrText>
      </w:r>
      <w:r>
        <w:rPr>
          <w:rFonts w:ascii="仿宋_GB2312" w:hAnsi="仿宋_GB2312" w:eastAsia="仿宋_GB2312" w:cs="仿宋_GB2312"/>
          <w:b/>
          <w:sz w:val="32"/>
          <w:szCs w:val="32"/>
        </w:rPr>
        <w:instrText xml:space="preserve"> </w:instrText>
      </w:r>
      <w:r>
        <w:rPr>
          <w:rFonts w:ascii="仿宋_GB2312" w:hAnsi="仿宋_GB2312" w:eastAsia="仿宋_GB2312" w:cs="仿宋_GB2312"/>
          <w:b/>
          <w:sz w:val="32"/>
          <w:szCs w:val="32"/>
        </w:rPr>
        <w:fldChar w:fldCharType="end"/>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（一）继续发扬钉子精神，持之以恒、真抓实干，千方百计做好新时期党建工作。</w:t>
      </w:r>
    </w:p>
    <w:p>
      <w:pPr>
        <w:autoSpaceDE w:val="0"/>
        <w:autoSpaceDN w:val="0"/>
        <w:adjustRightInd w:val="0"/>
        <w:ind w:left="198"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（二）继续发扬首创精神，开拓进取、主动作为，千方百计开展“规范化建设巩固年”活动。</w:t>
      </w:r>
    </w:p>
    <w:p>
      <w:pPr>
        <w:autoSpaceDE w:val="0"/>
        <w:autoSpaceDN w:val="0"/>
        <w:adjustRightInd w:val="0"/>
        <w:ind w:left="198" w:firstLine="640" w:firstLineChars="200"/>
        <w:jc w:val="left"/>
        <w:rPr>
          <w:rFonts w:ascii="仿宋_GB2312" w:hAnsi="仿宋_GB2312" w:eastAsia="仿宋_GB2312" w:cs="仿宋_GB2312"/>
          <w:sz w:val="32"/>
          <w:szCs w:val="32"/>
        </w:rPr>
      </w:pPr>
    </w:p>
    <w:p>
      <w:pPr>
        <w:rPr>
          <w:rFonts w:hAnsi="宋体"/>
        </w:rPr>
        <w:sectPr>
          <w:footerReference r:id="rId3" w:type="default"/>
          <w:pgSz w:w="16839" w:h="11907" w:orient="landscape"/>
          <w:pgMar w:top="1304" w:right="1984" w:bottom="1304" w:left="1134" w:header="851" w:footer="992" w:gutter="0"/>
          <w:pgNumType w:start="1"/>
          <w:cols w:space="425" w:num="1"/>
          <w:docGrid w:type="lines" w:linePitch="312" w:charSpace="0"/>
        </w:sectPr>
      </w:pPr>
    </w:p>
    <w:p>
      <w:pPr>
        <w:autoSpaceDE w:val="0"/>
        <w:autoSpaceDN w:val="0"/>
        <w:adjustRightInd w:val="0"/>
        <w:ind w:left="198"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专项资金绩效目标</w:t>
      </w:r>
    </w:p>
    <w:p>
      <w:pPr>
        <w:jc w:val="left"/>
        <w:outlineLvl w:val="1"/>
        <w:rPr>
          <w:rFonts w:hint="eastAsia" w:ascii="方正仿宋_GBK" w:eastAsia="方正仿宋_GBK"/>
          <w:b/>
          <w:sz w:val="28"/>
        </w:rPr>
      </w:pPr>
    </w:p>
    <w:p>
      <w:pPr>
        <w:jc w:val="left"/>
        <w:outlineLvl w:val="1"/>
        <w:rPr>
          <w:rFonts w:hAnsi="宋体"/>
          <w:b/>
          <w:sz w:val="28"/>
        </w:rPr>
      </w:pPr>
      <w:r>
        <w:rPr>
          <w:rFonts w:hint="eastAsia" w:ascii="方正仿宋_GBK" w:eastAsia="方正仿宋_GBK"/>
          <w:b/>
          <w:sz w:val="28"/>
        </w:rPr>
        <w:t>1、国防公路建设工役制人员生活补助1—060绩效目标表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3" w:name="_Toc29981187"/>
      <w:r>
        <w:rPr>
          <w:rFonts w:hint="eastAsia" w:ascii="方正仿宋_GBK" w:eastAsia="方正仿宋_GBK"/>
          <w:b/>
          <w:sz w:val="28"/>
        </w:rPr>
        <w:instrText xml:space="preserve">1、国防公路建设工役制人员生活补助1—060绩效目标表</w:instrText>
      </w:r>
      <w:bookmarkEnd w:id="3"/>
      <w:r>
        <w:rPr>
          <w:rFonts w:hint="eastAsia" w:ascii="方正仿宋_GBK" w:eastAsia="方正仿宋_GBK"/>
          <w:b/>
          <w:sz w:val="28"/>
        </w:rPr>
        <w:instrText xml:space="preserve"> \f B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000-9999-JSN-HNX8</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专项资金名称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国防公路建设工役制人员生活补助</w:t>
            </w:r>
            <w:r>
              <w:rPr>
                <w:rFonts w:ascii="方正书宋_GBK" w:eastAsia="方正书宋_GBK"/>
              </w:rPr>
              <w:t>1—060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12.00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12.00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ascii="方正书宋_GBK" w:eastAsia="方正书宋_GBK"/>
              </w:rPr>
              <w:t>11</w:t>
            </w:r>
            <w:r>
              <w:rPr>
                <w:rFonts w:hint="eastAsia" w:ascii="方正书宋_GBK" w:eastAsia="方正书宋_GBK"/>
              </w:rPr>
              <w:t>名健在国防公路建设工役制人员，每人每月生活补助资金</w:t>
            </w:r>
            <w:r>
              <w:rPr>
                <w:rFonts w:ascii="方正书宋_GBK" w:eastAsia="方正书宋_GBK"/>
              </w:rPr>
              <w:t>800</w:t>
            </w:r>
            <w:r>
              <w:rPr>
                <w:rFonts w:hint="eastAsia" w:ascii="方正书宋_GBK" w:eastAsia="方正书宋_GBK"/>
              </w:rPr>
              <w:t>元；国防公路建设工役制人员遗属</w:t>
            </w:r>
            <w:r>
              <w:rPr>
                <w:rFonts w:ascii="方正书宋_GBK" w:eastAsia="方正书宋_GBK"/>
              </w:rPr>
              <w:t>6</w:t>
            </w:r>
            <w:r>
              <w:rPr>
                <w:rFonts w:hint="eastAsia" w:ascii="方正书宋_GBK" w:eastAsia="方正书宋_GBK"/>
              </w:rPr>
              <w:t>人每人每月生活补助资金</w:t>
            </w:r>
            <w:r>
              <w:rPr>
                <w:rFonts w:ascii="方正书宋_GBK" w:eastAsia="方正书宋_GBK"/>
              </w:rPr>
              <w:t>200</w:t>
            </w:r>
            <w:r>
              <w:rPr>
                <w:rFonts w:hint="eastAsia" w:ascii="方正书宋_GBK" w:eastAsia="方正书宋_GBK"/>
              </w:rPr>
              <w:t>元，按时发放。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、每月按时发放生活补助，保障国防公路建设工役制人员基本生活。</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、使国防工役制人员在生活、医疗、护理、教育等方面的情况得到改善。</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补助个人（家庭）数量（人</w:t>
            </w:r>
            <w:r>
              <w:rPr>
                <w:rFonts w:ascii="方正书宋_GBK" w:eastAsia="方正书宋_GBK"/>
              </w:rPr>
              <w:t>/</w:t>
            </w:r>
            <w:r>
              <w:rPr>
                <w:rFonts w:hint="eastAsia" w:ascii="方正书宋_GBK" w:eastAsia="方正书宋_GBK"/>
              </w:rPr>
              <w:t>户）</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补助的人数或户数</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按核对好的补助人数发放</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补助金发放率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实际发放的补助金金额占计划发放金额的比率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按时发放补助</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已补助人数占应补助人群的比率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按时发放补助</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补助覆盖需要补助人群</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缓解国防公里建设工役制人员生活困难</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按时发放补助</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补助发放率及时</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按时发放补助</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按时发放补助</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补助金额按规定发放</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缓解生活困难问题</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按时发放补助</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提高居民满意程度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接受基本公共卫生服务的重点人群对基层医疗卫生机构所提供服务的满意程度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群众对补贴满意度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ind w:firstLine="560" w:firstLineChars="200"/>
        <w:jc w:val="left"/>
        <w:outlineLvl w:val="1"/>
        <w:rPr>
          <w:rFonts w:hAnsi="宋体"/>
          <w:b/>
          <w:sz w:val="28"/>
        </w:rPr>
      </w:pPr>
      <w:r>
        <w:rPr>
          <w:rFonts w:hint="eastAsia" w:ascii="方正仿宋_GBK" w:eastAsia="方正仿宋_GBK"/>
          <w:b/>
          <w:sz w:val="28"/>
        </w:rPr>
        <w:t>2、军队退役人员公益岗工资1—124绩效目标表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4" w:name="_Toc29981188"/>
      <w:r>
        <w:rPr>
          <w:rFonts w:hint="eastAsia" w:ascii="方正仿宋_GBK" w:eastAsia="方正仿宋_GBK"/>
          <w:b/>
          <w:sz w:val="28"/>
        </w:rPr>
        <w:instrText xml:space="preserve">2、军队退役人员公益岗工资1—124绩效目标表</w:instrText>
      </w:r>
      <w:bookmarkEnd w:id="4"/>
      <w:r>
        <w:rPr>
          <w:rFonts w:hint="eastAsia" w:ascii="方正仿宋_GBK" w:eastAsia="方正仿宋_GBK"/>
          <w:b/>
          <w:sz w:val="28"/>
        </w:rPr>
        <w:instrText xml:space="preserve"> \f B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000-9999-JSN-0H48</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专项资金名称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军队退役人员公益岗工资</w:t>
            </w:r>
            <w:r>
              <w:rPr>
                <w:rFonts w:ascii="方正书宋_GBK" w:eastAsia="方正书宋_GBK"/>
              </w:rPr>
              <w:t>1—124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57.00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57.00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每月按时发放军队退役人员公益岗工资。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、每月按时发放军队退役人员公益岗工资，确保公益岗人员的基本权益。</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、促进社会和谐稳定</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相关单位人员满意度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相关单位人员对人事管理工作的满意情况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教育培训补助率（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教育培训补助人数占应补助人数的比率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就业服务到位率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为失业人员提供免费的职业指导、职业介绍、家庭服务业对接、就业创业服务等公共就业服务，且免费率达到</w:t>
            </w:r>
            <w:r>
              <w:rPr>
                <w:rFonts w:ascii="方正书宋_GBK" w:eastAsia="方正书宋_GBK"/>
              </w:rPr>
              <w:t>100%</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促进社会稳定水平逐步提高</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职业培训就业率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职业培训后就业人数占培训总人数的比例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退役安置满意度（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对退役安置满意和较满意的人数占调查总人数的比率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退役安置满意度（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对退役安置满意和较满意的人数占调查总人数的比率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接受公益岗工作的人群满意程度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就业岗位满意度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岗位满意</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使大多数公益岗人员满意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根据工作内容、性质</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ind w:firstLine="560" w:firstLineChars="200"/>
        <w:jc w:val="left"/>
        <w:outlineLvl w:val="1"/>
        <w:rPr>
          <w:rFonts w:hAnsi="宋体"/>
          <w:b/>
          <w:sz w:val="28"/>
        </w:rPr>
      </w:pPr>
      <w:r>
        <w:rPr>
          <w:rFonts w:hint="eastAsia" w:ascii="方正仿宋_GBK" w:eastAsia="方正仿宋_GBK"/>
          <w:b/>
          <w:sz w:val="28"/>
        </w:rPr>
        <w:t>3、滦城办土地巡查员工资1—059绩效目标表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5" w:name="_Toc29981189"/>
      <w:r>
        <w:rPr>
          <w:rFonts w:hint="eastAsia" w:ascii="方正仿宋_GBK" w:eastAsia="方正仿宋_GBK"/>
          <w:b/>
          <w:sz w:val="28"/>
        </w:rPr>
        <w:instrText xml:space="preserve">3、滦城办土地巡查员工资1—059绩效目标表</w:instrText>
      </w:r>
      <w:bookmarkEnd w:id="5"/>
      <w:r>
        <w:rPr>
          <w:rFonts w:hint="eastAsia" w:ascii="方正仿宋_GBK" w:eastAsia="方正仿宋_GBK"/>
          <w:b/>
          <w:sz w:val="28"/>
        </w:rPr>
        <w:instrText xml:space="preserve"> \f B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000-9999-JSN-HB44</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专项资金名称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滦城办土地巡查员工资</w:t>
            </w:r>
            <w:r>
              <w:rPr>
                <w:rFonts w:ascii="方正书宋_GBK" w:eastAsia="方正书宋_GBK"/>
              </w:rPr>
              <w:t>1—059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11.80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11.80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对责任区域内的土地使用情况进行巡查，登记巡查人员要及时发现并制止各种土地违法行为。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、强化国土资源的管理，规范用地行为。</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、落实基本农田保护制度和措施，确保及时发现土地违法行为并将其处理在萌芽状态。</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举报线索处置率（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ascii="方正书宋_GBK" w:eastAsia="方正书宋_GBK"/>
              </w:rPr>
              <w:t>12336</w:t>
            </w:r>
            <w:r>
              <w:rPr>
                <w:rFonts w:hint="eastAsia" w:ascii="方正书宋_GBK" w:eastAsia="方正书宋_GBK"/>
              </w:rPr>
              <w:t>违法举报处置线索数量占违法线索总量的比率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有效排查隐患</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监测数据有效利用率（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有效利用的监测数据数与监测数据总数的比率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有效排查隐患</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监测数据有效利用率（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有效利用的监测数据数与监测数据总数的比率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有效排查隐患</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隐患排查率（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实际隐患排查数量占隐患总数的比例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有效排查隐患</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隐患排查率（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实际隐患排查数量占隐患总数的比例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有效排查隐患</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隐患排查率（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实际隐患排查数量占隐患总数的比例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有效排查隐患</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农民满意度（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调查中满意和较满意农民数量占全部调查人数的比率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农民满意度（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调查中满意和较满意农民数量占全部调查人数的比率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农民满意度（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调查中满意和较满意农民数量占全部调查人数的比率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jc w:val="left"/>
        <w:sectPr>
          <w:pgSz w:w="11907" w:h="16839"/>
          <w:pgMar w:top="1984" w:right="1304" w:bottom="1134" w:left="1304" w:header="851" w:footer="992" w:gutter="0"/>
          <w:cols w:space="425" w:num="1"/>
          <w:docGrid w:type="lines" w:linePitch="312" w:charSpace="0"/>
        </w:sectPr>
      </w:pPr>
    </w:p>
    <w:p>
      <w:pPr>
        <w:widowControl/>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预算项目绩效目标</w:t>
      </w:r>
    </w:p>
    <w:p/>
    <w:p>
      <w:pPr>
        <w:ind w:firstLine="560" w:firstLineChars="200"/>
        <w:jc w:val="left"/>
        <w:outlineLvl w:val="1"/>
        <w:rPr>
          <w:rFonts w:hAnsi="宋体"/>
          <w:b/>
          <w:sz w:val="28"/>
        </w:rPr>
      </w:pPr>
      <w:r>
        <w:rPr>
          <w:rFonts w:hint="eastAsia" w:ascii="方正仿宋_GBK" w:eastAsia="方正仿宋_GBK"/>
          <w:b/>
          <w:sz w:val="28"/>
        </w:rPr>
        <w:t>1、2019年电代煤架线占地补偿款5-111绩效目标表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6" w:name="_Toc29981190"/>
      <w:r>
        <w:rPr>
          <w:rFonts w:hint="eastAsia" w:ascii="方正仿宋_GBK" w:eastAsia="方正仿宋_GBK"/>
          <w:b/>
          <w:sz w:val="28"/>
        </w:rPr>
        <w:instrText xml:space="preserve">1、2019年电代煤架线占地补偿款5-111绩效目标表</w:instrText>
      </w:r>
      <w:bookmarkEnd w:id="6"/>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812-0301-YXN-U7U8</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ascii="方正书宋_GBK" w:eastAsia="方正书宋_GBK"/>
              </w:rPr>
              <w:t>2019</w:t>
            </w:r>
            <w:r>
              <w:rPr>
                <w:rFonts w:hint="eastAsia" w:ascii="方正书宋_GBK" w:eastAsia="方正书宋_GBK"/>
              </w:rPr>
              <w:t>年电代煤架线占地补偿款</w:t>
            </w:r>
            <w:r>
              <w:rPr>
                <w:rFonts w:ascii="方正书宋_GBK" w:eastAsia="方正书宋_GBK"/>
              </w:rPr>
              <w:t>5-111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345.00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345.00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按时发放沈官营二村等占地补偿款。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、按时发放沈官营二村等占地补偿款。</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、及时完成电代煤改造。</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补助个人（家庭）数量（人</w:t>
            </w:r>
            <w:r>
              <w:rPr>
                <w:rFonts w:ascii="方正书宋_GBK" w:eastAsia="方正书宋_GBK"/>
              </w:rPr>
              <w:t>/</w:t>
            </w:r>
            <w:r>
              <w:rPr>
                <w:rFonts w:hint="eastAsia" w:ascii="方正书宋_GBK" w:eastAsia="方正书宋_GBK"/>
              </w:rPr>
              <w:t>户）</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补助的人数或户数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按照核对好的人数和户数发放占地补偿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已补助人数占应补助人群的比率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补助金发放率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实际发放的补助金金额占计划发放金额的比率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pPr>
    </w:p>
    <w:p/>
    <w:p/>
    <w:p>
      <w:pPr>
        <w:ind w:firstLine="560" w:firstLineChars="200"/>
        <w:jc w:val="left"/>
        <w:outlineLvl w:val="1"/>
        <w:rPr>
          <w:rFonts w:hAnsi="宋体"/>
          <w:b/>
          <w:sz w:val="28"/>
        </w:rPr>
      </w:pPr>
      <w:r>
        <w:rPr>
          <w:rFonts w:hint="eastAsia" w:ascii="方正仿宋_GBK" w:eastAsia="方正仿宋_GBK"/>
          <w:b/>
          <w:sz w:val="28"/>
        </w:rPr>
        <w:t>2、福州路占地补偿款5-109绩效目标表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7" w:name="_Toc29981191"/>
      <w:r>
        <w:rPr>
          <w:rFonts w:hint="eastAsia" w:ascii="方正仿宋_GBK" w:eastAsia="方正仿宋_GBK"/>
          <w:b/>
          <w:sz w:val="28"/>
        </w:rPr>
        <w:instrText xml:space="preserve">2、福州路占地补偿款5-109绩效目标表</w:instrText>
      </w:r>
      <w:bookmarkEnd w:id="7"/>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812-0301-JXN-1G8C</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福州路占地补偿款</w:t>
            </w:r>
            <w:r>
              <w:rPr>
                <w:rFonts w:ascii="方正书宋_GBK" w:eastAsia="方正书宋_GBK"/>
              </w:rPr>
              <w:t>5-109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54.00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54.00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此项工作已完工，按年拨付占地补偿款。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、推进城乡化工作，使城乡规模提升、建筑能效提升，全面提升城镇建设质量和水平。</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、按时发放占地补偿款，改善群众的生活，使受益群众满意。</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补助个人（家庭）数量（人</w:t>
            </w:r>
            <w:r>
              <w:rPr>
                <w:rFonts w:ascii="方正书宋_GBK" w:eastAsia="方正书宋_GBK"/>
              </w:rPr>
              <w:t>/</w:t>
            </w:r>
            <w:r>
              <w:rPr>
                <w:rFonts w:hint="eastAsia" w:ascii="方正书宋_GBK" w:eastAsia="方正书宋_GBK"/>
              </w:rPr>
              <w:t>户）</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补助的人数或户数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按照核对好的人数和户数发放占地补偿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已补助人数占应补助人群的比率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补助金发放率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实际发放的补助金金额占计划发放金额的比率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pPr>
    </w:p>
    <w:p/>
    <w:p/>
    <w:p>
      <w:pPr>
        <w:ind w:firstLine="560" w:firstLineChars="200"/>
        <w:jc w:val="left"/>
        <w:outlineLvl w:val="1"/>
        <w:rPr>
          <w:rFonts w:hAnsi="宋体"/>
          <w:b/>
          <w:sz w:val="28"/>
        </w:rPr>
      </w:pPr>
      <w:r>
        <w:rPr>
          <w:rFonts w:hint="eastAsia" w:ascii="方正仿宋_GBK" w:eastAsia="方正仿宋_GBK"/>
          <w:b/>
          <w:sz w:val="28"/>
        </w:rPr>
        <w:t>3、妇联专项活动经费3-749绩效目标表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8" w:name="_Toc29981192"/>
      <w:r>
        <w:rPr>
          <w:rFonts w:hint="eastAsia" w:ascii="方正仿宋_GBK" w:eastAsia="方正仿宋_GBK"/>
          <w:b/>
          <w:sz w:val="28"/>
        </w:rPr>
        <w:instrText xml:space="preserve">3、妇联专项活动经费3-749绩效目标表</w:instrText>
      </w:r>
      <w:bookmarkEnd w:id="8"/>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812-0805-JXN-OCE6</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妇联专项活动经费</w:t>
            </w:r>
            <w:r>
              <w:rPr>
                <w:rFonts w:ascii="方正书宋_GBK" w:eastAsia="方正书宋_GBK"/>
              </w:rPr>
              <w:t>3-749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0.40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0.40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抓住与妇女群众生产生活密切相关的问题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、妇女群众素质得到提升、妇联干部能力得到锻炼、妇联组织影响力得到增强。</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、保证妇女在社会主义民主生活中发挥作用。</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妇女群众素质提升率（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通过学习培训，素质较以往提升度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妇女群众素质得到提升、妇联干部能力得到锻炼</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培训效果产生率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组织各村妇女培训</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妇女群众素质得到提升、妇联干部能力得到锻炼</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评比宣传效果率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宣传效果良好</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妇女群众素质得到提升、妇联干部能力得到锻炼</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妇联干部培训完成率（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妇联干部培训完成人次数占计划完成人次数的比例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妇女群众素质得到提升、妇联干部能力得到锻炼</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长期使用性</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能够长期较好地开展展演、展映、展播、展示，长期满足人民群众对精神文化的需求。</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妇女群众素质得到提升、妇联干部能力得到锻炼</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通过实施妇联活动促进社会稳定水平逐步提高</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妇女群众素质得到提升、妇联干部能力得到锻炼</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妇女群众对提供服务的满意程度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接受培训妇女对培训内容满意程度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群众对当年评比整体满意度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4、环保巡查工作经费3-752绩效目标表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9" w:name="_Toc29981193"/>
      <w:r>
        <w:rPr>
          <w:rFonts w:hint="eastAsia" w:ascii="方正仿宋_GBK" w:eastAsia="方正仿宋_GBK"/>
          <w:b/>
          <w:sz w:val="28"/>
        </w:rPr>
        <w:instrText xml:space="preserve">4、环保巡查工作经费3-752绩效目标表</w:instrText>
      </w:r>
      <w:bookmarkEnd w:id="9"/>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812-0805-JXN-L232</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环保巡查工作经费</w:t>
            </w:r>
            <w:r>
              <w:rPr>
                <w:rFonts w:ascii="方正书宋_GBK" w:eastAsia="方正书宋_GBK"/>
              </w:rPr>
              <w:t>3-752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建立全方位、全天候环保监查制度，严格按照规定的巡查内容进行巡查。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、及时发现和处理各种危害环境因素，切实维护人民环境权益。</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、最大限度的减少环境污染，保持环境干净整洁。</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排污申报率（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进行排污申报企业数占应申报企业数的比率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完成重点污染工程治理</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空气自动监测站综合运行率（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实际运行站点数占应运行站点数的比率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完成重点污染工程治理</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重点污染治理工程数量</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完成的重点污染治理工程数量</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完成重点污染工程治理</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重点污染物降低率（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重点污染物同比降低的比率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完成重点污染工程治理</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重大环保事件及时发现率（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在规定时间内督查发现的重大环保事件数占重大环保事件总数的比率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完成重点污染工程治理</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加强环境巡视检查</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起到及时防范</w:t>
            </w:r>
            <w:r>
              <w:rPr>
                <w:rFonts w:ascii="方正书宋_GBK" w:eastAsia="方正书宋_GBK"/>
              </w:rPr>
              <w:t>,</w:t>
            </w:r>
            <w:r>
              <w:rPr>
                <w:rFonts w:hint="eastAsia" w:ascii="方正书宋_GBK" w:eastAsia="方正书宋_GBK"/>
              </w:rPr>
              <w:t>有问题及时解决</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完成重点污染工程治理</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公众满意度（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调查中满意和较满意的公众人数占全部调查人数的比率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加强环境巡视检查</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起到及时防范</w:t>
            </w:r>
            <w:r>
              <w:rPr>
                <w:rFonts w:ascii="方正书宋_GBK" w:eastAsia="方正书宋_GBK"/>
              </w:rPr>
              <w:t>,</w:t>
            </w:r>
            <w:r>
              <w:rPr>
                <w:rFonts w:hint="eastAsia" w:ascii="方正书宋_GBK" w:eastAsia="方正书宋_GBK"/>
              </w:rPr>
              <w:t>有问题及时解决</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整体调查提升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村镇环境得到改善</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5、基层武装阵地建设3-756绩效目标表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0" w:name="_Toc29981194"/>
      <w:r>
        <w:rPr>
          <w:rFonts w:hint="eastAsia" w:ascii="方正仿宋_GBK" w:eastAsia="方正仿宋_GBK"/>
          <w:b/>
          <w:sz w:val="28"/>
        </w:rPr>
        <w:instrText xml:space="preserve">5、基层武装阵地建设3-756绩效目标表</w:instrText>
      </w:r>
      <w:bookmarkEnd w:id="10"/>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812-0805-YXN-BR3C</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基层武装阵地建设</w:t>
            </w:r>
            <w:r>
              <w:rPr>
                <w:rFonts w:ascii="方正书宋_GBK" w:eastAsia="方正书宋_GBK"/>
              </w:rPr>
              <w:t>3-756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建设范庄村党管武装工作试点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、建设范庄村党管武装工作试点</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、加强基层武装阵地建设</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工程量完成率（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实际完成工程量占计划完成工程量的比率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完成基层武装阵地建设</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建设、改造、修缮工程量（平米、公里、个数、亩等）</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基础设施建设、改造、修缮的平米数、公里数、个数、亩数等</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完成基层武装阵地建设</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综合利用率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基础设施建成后的利用、使用情况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基础设施建成后得到很好利用</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综合利用率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基础设施建成后的利用、使用情况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基础设施建成后得到很好利用</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综合利用率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基础设施建成后的利用、使用情况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基础设施建成后得到很好利用</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6、滦古路占地补偿款5-107绩效目标表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1" w:name="_Toc29981195"/>
      <w:r>
        <w:rPr>
          <w:rFonts w:hint="eastAsia" w:ascii="方正仿宋_GBK" w:eastAsia="方正仿宋_GBK"/>
          <w:b/>
          <w:sz w:val="28"/>
        </w:rPr>
        <w:instrText xml:space="preserve">6、滦古路占地补偿款5-107绩效目标表</w:instrText>
      </w:r>
      <w:bookmarkEnd w:id="11"/>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812-0301-JXN-KL7C</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滦古路占地补偿款</w:t>
            </w:r>
            <w:r>
              <w:rPr>
                <w:rFonts w:ascii="方正书宋_GBK" w:eastAsia="方正书宋_GBK"/>
              </w:rPr>
              <w:t>5-107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21.00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21.00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此项工作已完工，按年拨付占地补偿款。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、推进城乡化工作，使城乡规模提升、建筑能效提升，全面提升城镇建设质量和水平。</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、按时发放占地补偿款，改善群众的生活，使受益群众满意。</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已补助人数占应补助人群的比率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补助实际发放情况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补助金发放率（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实际发放的补助金金额占计划发放金额的比率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补助实际发放情况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数量指标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补助个人（家庭）数量（人</w:t>
            </w:r>
            <w:r>
              <w:rPr>
                <w:rFonts w:ascii="方正书宋_GBK" w:eastAsia="方正书宋_GBK"/>
              </w:rPr>
              <w:t>/</w:t>
            </w:r>
            <w:r>
              <w:rPr>
                <w:rFonts w:hint="eastAsia" w:ascii="方正书宋_GBK" w:eastAsia="方正书宋_GBK"/>
              </w:rPr>
              <w:t>户）</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补助的人数或户数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按照核对好的人数和户数发放占地补偿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补助实际发放情况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p>
            <w:pPr>
              <w:spacing w:line="300" w:lineRule="exact"/>
              <w:jc w:val="left"/>
              <w:rPr>
                <w:rFonts w:ascii="方正书宋_GBK" w:eastAsia="方正书宋_GBK"/>
              </w:rPr>
            </w:pP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补助实际发放情况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p>
            <w:pPr>
              <w:spacing w:line="300" w:lineRule="exact"/>
              <w:jc w:val="left"/>
              <w:rPr>
                <w:rFonts w:ascii="方正书宋_GBK" w:eastAsia="方正书宋_GBK"/>
              </w:rPr>
            </w:pP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补助实际发放情况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7、年度重点工作专项经费3-753绩效目标表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2" w:name="_Toc29981196"/>
      <w:r>
        <w:rPr>
          <w:rFonts w:hint="eastAsia" w:ascii="方正仿宋_GBK" w:eastAsia="方正仿宋_GBK"/>
          <w:b/>
          <w:sz w:val="28"/>
        </w:rPr>
        <w:instrText xml:space="preserve">7、年度重点工作专项经费3-753绩效目标表</w:instrText>
      </w:r>
      <w:bookmarkEnd w:id="12"/>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812-0805-JXN-Q60X</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年度重点工作专项经费</w:t>
            </w:r>
            <w:r>
              <w:rPr>
                <w:rFonts w:ascii="方正书宋_GBK" w:eastAsia="方正书宋_GBK"/>
              </w:rPr>
              <w:t>3-753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15.00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15.00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用于维稳经费的支出，保证信访维稳工作正常运行。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、保证社会和谐稳定，营造良好两会氛围。</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、资金落实到位，确保工作的顺利开展。</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重大安保任务完成率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完成的安保任务占任务总数的比率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维护社会治安稳定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协调督导事项化解率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化解事项占督导事项总数的比率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维护社会治安稳定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群体性事件成功处置率（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成功处置群体性事件数占全部案发数的比率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维护社会治安稳定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重大活动突发事件发生率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发生突发事件的重大活动数量占全部重大活动的比率（反向指标）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95</w:t>
            </w:r>
            <w:r>
              <w:rPr>
                <w:rFonts w:hint="eastAsia" w:ascii="方正书宋_GBK" w:eastAsia="方正书宋_GBK"/>
              </w:rPr>
              <w:t>维护社会治安稳定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立体化社会治安防控体系覆盖率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立体化社会治安防控体系在全镇覆盖情况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维护社会治安稳定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公众安全感指数</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对治安管理满意的人数査调查总人数的比率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维护社会治安稳定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群众对整体工作满意度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提高居民满意程度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8、农产品质量安全监管工作经费3-754绩效目标表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3" w:name="_Toc29981197"/>
      <w:r>
        <w:rPr>
          <w:rFonts w:hint="eastAsia" w:ascii="方正仿宋_GBK" w:eastAsia="方正仿宋_GBK"/>
          <w:b/>
          <w:sz w:val="28"/>
        </w:rPr>
        <w:instrText xml:space="preserve">8、农产品质量安全监管工作经费3-754绩效目标表</w:instrText>
      </w:r>
      <w:bookmarkEnd w:id="13"/>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812-0805-JXN-371U</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农产品质量安全监管工作经费</w:t>
            </w:r>
            <w:r>
              <w:rPr>
                <w:rFonts w:ascii="方正书宋_GBK" w:eastAsia="方正书宋_GBK"/>
              </w:rPr>
              <w:t>3-754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8.50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8.50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成立农产品质量安全监管机构，组建村级协管队伍，负责农产品质量安全宣传培训、日常巡查、产品测速、指导服务等工作。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、加大农产品质量安全培训工作，加强日常巡查，认真实施产品测速，把好农产品质量安全关。</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、成立农产品质量安全监管机构，组建村级协管队伍，负责农产品质量安全宣传培训、日常巡查、产品测速、指导服务等工作。</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年度监测任务完成率（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年度内监测任务完成情况占计划监测开展情况的比率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提高农产品质量，维护市场健康运行</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以前年度资金使用效率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市场合理运行率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维护市场健康运转运行</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提高农产品质量，维护市场健康运行</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以前年度资金使用效率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提高农产品质量，约束农商生产种植</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提高农产品质量，维护市场健康运行</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以前年度资金使用效率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安全培训达标率（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安全人员培训、特种作业人员安全操作能力考试培训达标人数占培训人数的比率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提高农产品质量，维护市场健康运行</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以前年度资金使用效率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市场健康性</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维护市场健康运转运行</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提高农产品质量，维护市场健康运行</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以前年度资金使用效率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基本公共卫生服务水平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对农产品进入市场的把关和检测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提高农产品质量，维护市场健康运行</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以前年度资金使用效率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农民满意度（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调查中满意和较满意农民数量占全部调查人数的比率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隐患整改率（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已整改隐患数占执法发现的隐患总数的比率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群众对当年农产品质量检测的整体满意度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9、人大专项经费3-747绩效目标表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4" w:name="_Toc29981198"/>
      <w:r>
        <w:rPr>
          <w:rFonts w:hint="eastAsia" w:ascii="方正仿宋_GBK" w:eastAsia="方正仿宋_GBK"/>
          <w:b/>
          <w:sz w:val="28"/>
        </w:rPr>
        <w:instrText xml:space="preserve">9、人大专项经费3-747绩效目标表</w:instrText>
      </w:r>
      <w:bookmarkEnd w:id="14"/>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812-0805-JXN-IU64</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人大专项经费</w:t>
            </w:r>
            <w:r>
              <w:rPr>
                <w:rFonts w:ascii="方正书宋_GBK" w:eastAsia="方正书宋_GBK"/>
              </w:rPr>
              <w:t>3-747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按计划每季度进行人大工作建设。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、进一步推进我县（镇）人大工作和建设。</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、建设高标准的</w:t>
            </w:r>
            <w:r>
              <w:rPr>
                <w:rFonts w:hint="cs" w:ascii="方正书宋_GBK" w:eastAsia="方正书宋_GBK"/>
              </w:rPr>
              <w:t>“</w:t>
            </w:r>
            <w:r>
              <w:rPr>
                <w:rFonts w:hint="eastAsia" w:ascii="方正书宋_GBK" w:eastAsia="方正书宋_GBK"/>
              </w:rPr>
              <w:t>代表之家（联络站）</w:t>
            </w:r>
            <w:r>
              <w:rPr>
                <w:rFonts w:hint="cs" w:ascii="方正书宋_GBK" w:eastAsia="方正书宋_GBK"/>
              </w:rPr>
              <w:t>”</w:t>
            </w:r>
            <w:r>
              <w:rPr>
                <w:rFonts w:hint="eastAsia" w:ascii="方正书宋_GBK" w:eastAsia="方正书宋_GBK"/>
              </w:rPr>
              <w:t>提升人大工作整体水平。</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cs" w:ascii="方正书宋_GBK" w:eastAsia="方正书宋_GBK"/>
              </w:rPr>
              <w:t>“</w:t>
            </w:r>
            <w:r>
              <w:rPr>
                <w:rFonts w:hint="eastAsia" w:ascii="方正书宋_GBK" w:eastAsia="方正书宋_GBK"/>
              </w:rPr>
              <w:t>代表之家</w:t>
            </w:r>
            <w:r>
              <w:rPr>
                <w:rFonts w:hint="cs" w:ascii="方正书宋_GBK" w:eastAsia="方正书宋_GBK"/>
              </w:rPr>
              <w:t>”</w:t>
            </w:r>
            <w:r>
              <w:rPr>
                <w:rFonts w:hint="eastAsia" w:ascii="方正书宋_GBK" w:eastAsia="方正书宋_GBK"/>
              </w:rPr>
              <w:t>建设率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把</w:t>
            </w:r>
            <w:r>
              <w:rPr>
                <w:rFonts w:hint="cs" w:ascii="方正书宋_GBK" w:eastAsia="方正书宋_GBK"/>
              </w:rPr>
              <w:t>“</w:t>
            </w:r>
            <w:r>
              <w:rPr>
                <w:rFonts w:hint="eastAsia" w:ascii="方正书宋_GBK" w:eastAsia="方正书宋_GBK"/>
              </w:rPr>
              <w:t>代表之家</w:t>
            </w:r>
            <w:r>
              <w:rPr>
                <w:rFonts w:hint="cs" w:ascii="方正书宋_GBK" w:eastAsia="方正书宋_GBK"/>
              </w:rPr>
              <w:t>”</w:t>
            </w:r>
            <w:r>
              <w:rPr>
                <w:rFonts w:hint="eastAsia" w:ascii="方正书宋_GBK" w:eastAsia="方正书宋_GBK"/>
              </w:rPr>
              <w:t>建设成为学习培训的课堂、联系选民的桥梁、履行职能的平台、服务群众的窗口和民主法治建设的阵地。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更好开展人大工作</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加强全镇全体人员参与工作的一线意识</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进一步加强全镇全体人员参与工作的一线意识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更好开展人大工作</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推进人大事务的顺利开展率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为推进镇人大事务的顺利开展</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更好开展人大工作</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通过开展人大活动促进社会稳定水平逐步提高</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更好开展人大工作</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可持续影响指标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长期使用性</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能够长期较好地开展展演、展映、展播、展示，长期满足人民群众对精神文化的需求。</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更好开展人大工作</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社会影响力</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在全镇产生重要影响，得到广大受众的充分认可。</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更好开展人大工作</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群众对人大活动整体满意度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接受人大服务满意程度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10、团委活动专项经费3-748绩效目标表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5" w:name="_Toc29981199"/>
      <w:r>
        <w:rPr>
          <w:rFonts w:hint="eastAsia" w:ascii="方正仿宋_GBK" w:eastAsia="方正仿宋_GBK"/>
          <w:b/>
          <w:sz w:val="28"/>
        </w:rPr>
        <w:instrText xml:space="preserve">10、团委活动专项经费3-748绩效目标表</w:instrText>
      </w:r>
      <w:bookmarkEnd w:id="15"/>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812-0805-JXN-11RG</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团委活动专项经费</w:t>
            </w:r>
            <w:r>
              <w:rPr>
                <w:rFonts w:ascii="方正书宋_GBK" w:eastAsia="方正书宋_GBK"/>
              </w:rPr>
              <w:t>3-748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2.00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每年定期开展团委活动。</w:t>
            </w:r>
            <w:r>
              <w:rPr>
                <w:rFonts w:ascii="方正书宋_GBK" w:eastAsia="方正书宋_GBK"/>
              </w:rPr>
              <w:t>1</w:t>
            </w:r>
            <w:r>
              <w:rPr>
                <w:rFonts w:hint="eastAsia" w:ascii="方正书宋_GBK" w:eastAsia="方正书宋_GBK"/>
              </w:rPr>
              <w:t>、少先队辅导员培训</w:t>
            </w:r>
            <w:r>
              <w:rPr>
                <w:rFonts w:ascii="方正书宋_GBK" w:eastAsia="方正书宋_GBK"/>
              </w:rPr>
              <w:t>3700</w:t>
            </w:r>
            <w:r>
              <w:rPr>
                <w:rFonts w:hint="eastAsia" w:ascii="方正书宋_GBK" w:eastAsia="方正书宋_GBK"/>
              </w:rPr>
              <w:t>元。</w:t>
            </w:r>
            <w:r>
              <w:rPr>
                <w:rFonts w:ascii="方正书宋_GBK" w:eastAsia="方正书宋_GBK"/>
              </w:rPr>
              <w:t>2</w:t>
            </w:r>
            <w:r>
              <w:rPr>
                <w:rFonts w:hint="eastAsia" w:ascii="方正书宋_GBK" w:eastAsia="方正书宋_GBK"/>
              </w:rPr>
              <w:t>、少先队活动</w:t>
            </w:r>
            <w:r>
              <w:rPr>
                <w:rFonts w:ascii="方正书宋_GBK" w:eastAsia="方正书宋_GBK"/>
              </w:rPr>
              <w:t>4500</w:t>
            </w:r>
            <w:r>
              <w:rPr>
                <w:rFonts w:hint="eastAsia" w:ascii="方正书宋_GBK" w:eastAsia="方正书宋_GBK"/>
              </w:rPr>
              <w:t>元。</w:t>
            </w:r>
            <w:r>
              <w:rPr>
                <w:rFonts w:ascii="方正书宋_GBK" w:eastAsia="方正书宋_GBK"/>
              </w:rPr>
              <w:t>3</w:t>
            </w:r>
            <w:r>
              <w:rPr>
                <w:rFonts w:hint="eastAsia" w:ascii="方正书宋_GBK" w:eastAsia="方正书宋_GBK"/>
              </w:rPr>
              <w:t>、团员五四青年节活动费用</w:t>
            </w:r>
            <w:r>
              <w:rPr>
                <w:rFonts w:ascii="方正书宋_GBK" w:eastAsia="方正书宋_GBK"/>
              </w:rPr>
              <w:t>2400</w:t>
            </w:r>
            <w:r>
              <w:rPr>
                <w:rFonts w:hint="eastAsia" w:ascii="方正书宋_GBK" w:eastAsia="方正书宋_GBK"/>
              </w:rPr>
              <w:t>元。</w:t>
            </w:r>
            <w:r>
              <w:rPr>
                <w:rFonts w:ascii="方正书宋_GBK" w:eastAsia="方正书宋_GBK"/>
              </w:rPr>
              <w:t>4</w:t>
            </w:r>
            <w:r>
              <w:rPr>
                <w:rFonts w:hint="eastAsia" w:ascii="方正书宋_GBK" w:eastAsia="方正书宋_GBK"/>
              </w:rPr>
              <w:t>、学雷锋活动费用</w:t>
            </w:r>
            <w:r>
              <w:rPr>
                <w:rFonts w:ascii="方正书宋_GBK" w:eastAsia="方正书宋_GBK"/>
              </w:rPr>
              <w:t>5800</w:t>
            </w:r>
            <w:r>
              <w:rPr>
                <w:rFonts w:hint="eastAsia" w:ascii="方正书宋_GBK" w:eastAsia="方正书宋_GBK"/>
              </w:rPr>
              <w:t>元。</w:t>
            </w:r>
            <w:r>
              <w:rPr>
                <w:rFonts w:ascii="方正书宋_GBK" w:eastAsia="方正书宋_GBK"/>
              </w:rPr>
              <w:t>5</w:t>
            </w:r>
            <w:r>
              <w:rPr>
                <w:rFonts w:hint="eastAsia" w:ascii="方正书宋_GBK" w:eastAsia="方正书宋_GBK"/>
              </w:rPr>
              <w:t>、慰问敬老院活动</w:t>
            </w:r>
            <w:r>
              <w:rPr>
                <w:rFonts w:ascii="方正书宋_GBK" w:eastAsia="方正书宋_GBK"/>
              </w:rPr>
              <w:t>1600</w:t>
            </w:r>
            <w:r>
              <w:rPr>
                <w:rFonts w:hint="eastAsia" w:ascii="方正书宋_GBK" w:eastAsia="方正书宋_GBK"/>
              </w:rPr>
              <w:t>元。</w:t>
            </w:r>
            <w:r>
              <w:rPr>
                <w:rFonts w:ascii="方正书宋_GBK" w:eastAsia="方正书宋_GBK"/>
              </w:rPr>
              <w:t>6</w:t>
            </w:r>
            <w:r>
              <w:rPr>
                <w:rFonts w:hint="eastAsia" w:ascii="方正书宋_GBK" w:eastAsia="方正书宋_GBK"/>
              </w:rPr>
              <w:t>慰问贫困儿童活动</w:t>
            </w:r>
            <w:r>
              <w:rPr>
                <w:rFonts w:ascii="方正书宋_GBK" w:eastAsia="方正书宋_GBK"/>
              </w:rPr>
              <w:t>2000</w:t>
            </w:r>
            <w:r>
              <w:rPr>
                <w:rFonts w:hint="eastAsia" w:ascii="方正书宋_GBK" w:eastAsia="方正书宋_GBK"/>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、基层团支部积极开展活动，促进共青团事业健康发展。</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、培训合格的学员，壮大共青团队伍。</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按照要求和计划完成研究任务的项目在所有立项项目中的比例（百分比）</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促进共青团事业发展</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优良率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结项鉴定优秀等级项目数量占结项总数量的比例（百分比）</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促进共青团事业发展</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产生重要影响的作品数量</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培训产生影响</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促进共青团事业发展</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通过实施计划促进社会稳定水平逐步提高</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促进共青团事业发展</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长期使用性</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能够长期较好地开展展演、展映、展播、展示，长期满足人民群众对精神文化的需求。</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促进共青团事业发展</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以往年度资金利用率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群众对展开活动整体满意度</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11、维稳工作经费3-750绩效目标表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6" w:name="_Toc29981200"/>
      <w:r>
        <w:rPr>
          <w:rFonts w:hint="eastAsia" w:ascii="方正仿宋_GBK" w:eastAsia="方正仿宋_GBK"/>
          <w:b/>
          <w:sz w:val="28"/>
        </w:rPr>
        <w:instrText xml:space="preserve">11、维稳工作经费3-750绩效目标表</w:instrText>
      </w:r>
      <w:bookmarkEnd w:id="16"/>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812-0805-JXN-99LE</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维稳工作经费</w:t>
            </w:r>
            <w:r>
              <w:rPr>
                <w:rFonts w:ascii="方正书宋_GBK" w:eastAsia="方正书宋_GBK"/>
              </w:rPr>
              <w:t>3-750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30.00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按时支付维稳经费，保证信访维稳工作正常运行。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、保证社会和谐稳定，营造良好两会氛围。</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、确保基层稳定，人民安居乐业。</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重点人口管控率（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实际管控人数占应列管人数的比率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涉稳舆情处置率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处置的涉稳舆情数占涉稳网络舆情总数的比率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北京、石家庄、唐山、北戴河值班完成率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顺利完成维稳工作</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重大安保任务完成率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完成的安保任务占任务总数的比率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维护稳定</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有效完成接访工作</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维护社会治安稳定</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保障两会完成</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保障两会完成</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顺利完成北京、石家庄、唐山、北戴河值班</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顺利完成北京、石家庄、唐山、北戴河值班</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有效维护社会稳定</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根据具体工作内容、性质</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12、五子山绿化占地补偿款5-110绩效目标表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7" w:name="_Toc29981201"/>
      <w:r>
        <w:rPr>
          <w:rFonts w:hint="eastAsia" w:ascii="方正仿宋_GBK" w:eastAsia="方正仿宋_GBK"/>
          <w:b/>
          <w:sz w:val="28"/>
        </w:rPr>
        <w:instrText xml:space="preserve">12、五子山绿化占地补偿款5-110绩效目标表</w:instrText>
      </w:r>
      <w:bookmarkEnd w:id="17"/>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812-0301-JXN-E6NN</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五子山绿化占地补偿款</w:t>
            </w:r>
            <w:r>
              <w:rPr>
                <w:rFonts w:ascii="方正书宋_GBK" w:eastAsia="方正书宋_GBK"/>
              </w:rPr>
              <w:t>5-110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8.60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8.60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此项工作已完工，按年拨付占地补偿款。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、推进城乡化工作，使城乡规模提升、建筑能效提升，全面提升城镇建设质量和水平。</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、按时发放占地补偿款，改善群众的生活，使受益群众满意。</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补助个人（家庭）数量（人</w:t>
            </w:r>
            <w:r>
              <w:rPr>
                <w:rFonts w:ascii="方正书宋_GBK" w:eastAsia="方正书宋_GBK"/>
              </w:rPr>
              <w:t>/</w:t>
            </w:r>
            <w:r>
              <w:rPr>
                <w:rFonts w:hint="eastAsia" w:ascii="方正书宋_GBK" w:eastAsia="方正书宋_GBK"/>
              </w:rPr>
              <w:t>户）</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补助的人数或户数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按照核对好的人数和户数发放占地补偿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已补助人数占应补助人群的比率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补助金发放率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实际发放的补助金金额占计划发放金额的比率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13、新高线两侧违建拆除及建筑垃圾清运项目5-113绩效目标表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8" w:name="_Toc29981202"/>
      <w:r>
        <w:rPr>
          <w:rFonts w:hint="eastAsia" w:ascii="方正仿宋_GBK" w:eastAsia="方正仿宋_GBK"/>
          <w:b/>
          <w:sz w:val="28"/>
        </w:rPr>
        <w:instrText xml:space="preserve">13、新高线两侧违建拆除及建筑垃圾清运项目5-113绩效目标表</w:instrText>
      </w:r>
      <w:bookmarkEnd w:id="18"/>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812-0805-YXN-8LG4</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新高线两侧违建拆除及建筑垃圾清运项目</w:t>
            </w:r>
            <w:r>
              <w:rPr>
                <w:rFonts w:ascii="方正书宋_GBK" w:eastAsia="方正书宋_GBK"/>
              </w:rPr>
              <w:t>5-113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97.14</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97.14</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对新高线两侧违建进行拆除及建筑物垃圾进行清运。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、对新高线两侧违建进行拆除及建筑物垃圾进行清运。</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、保护城市容貌，维护城市建设。</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建设、改造、修缮工程量（平米、公里、个数、亩等）</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基础设施建设、改造、修缮的平米数、公里数、个数、亩数等</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对违建垃圾进行清运</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工程量完成率（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实际完成工程量占计划完成工程量的比率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对违建垃圾进行清运</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工程验收合格率（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通过验收的工程量占建设、改造、修缮总量的比率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对违建垃圾进行清运</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综合利用率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基础设施建成后的利用、使用情况</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对违建垃圾进行清运</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可持续影响指标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隐患消除情况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通过维护改造，消除安全隐患的项数或情况</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对违建垃圾进行清运</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可持续影响指标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隐患消除情况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通过维护改造，消除安全隐患的项数或情况</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对违建垃圾进行清运</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14、新高线占地补偿款5-108绩效目标表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9" w:name="_Toc29981203"/>
      <w:r>
        <w:rPr>
          <w:rFonts w:hint="eastAsia" w:ascii="方正仿宋_GBK" w:eastAsia="方正仿宋_GBK"/>
          <w:b/>
          <w:sz w:val="28"/>
        </w:rPr>
        <w:instrText xml:space="preserve">14、新高线占地补偿款5-108绩效目标表</w:instrText>
      </w:r>
      <w:bookmarkEnd w:id="19"/>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812-0301-JXN-3KP3</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新高线占地补偿款</w:t>
            </w:r>
            <w:r>
              <w:rPr>
                <w:rFonts w:ascii="方正书宋_GBK" w:eastAsia="方正书宋_GBK"/>
              </w:rPr>
              <w:t>5-108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15.50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15.50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此项工作已完工，按年拨付占地补偿款。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、推进城乡化工作，使城乡规模提升、建筑能效提升，全面提升城镇建设质量和水平。</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、按时发放占地补偿款，改善群众的生活，使受益群众满意。</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补助个人（家庭）数量（人</w:t>
            </w:r>
            <w:r>
              <w:rPr>
                <w:rFonts w:ascii="方正书宋_GBK" w:eastAsia="方正书宋_GBK"/>
              </w:rPr>
              <w:t>/</w:t>
            </w:r>
            <w:r>
              <w:rPr>
                <w:rFonts w:hint="eastAsia" w:ascii="方正书宋_GBK" w:eastAsia="方正书宋_GBK"/>
              </w:rPr>
              <w:t>户）</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补助的人数或户数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按照核对好的人数和户数发放占地补偿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补助覆盖率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已补助人数占应补助人群的比率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补助金发放率</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实际发放的补助金金额占计划发放金额的比率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按时发放占地补偿</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补助人群生活改善情况</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补助人群在生活、医疗、护理、教育等方面的改善情况</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补助人群在生活、医疗、护理、教育等方面得到明显改善</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受益对象满意度</w:t>
            </w:r>
            <w:r>
              <w:rPr>
                <w:rFonts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通过问卷调查，满意和较满意的受益对象占全部调研对象的比例</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使大多数群众满意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15、占补平衡项目工作经费3-755绩效目标表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20" w:name="_Toc29981204"/>
      <w:r>
        <w:rPr>
          <w:rFonts w:hint="eastAsia" w:ascii="方正仿宋_GBK" w:eastAsia="方正仿宋_GBK"/>
          <w:b/>
          <w:sz w:val="28"/>
        </w:rPr>
        <w:instrText xml:space="preserve">15、占补平衡项目工作经费3-755绩效目标表</w:instrText>
      </w:r>
      <w:bookmarkEnd w:id="20"/>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812-0805-JXN-GW6V</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占补平衡项目工作经费</w:t>
            </w:r>
            <w:r>
              <w:rPr>
                <w:rFonts w:ascii="方正书宋_GBK" w:eastAsia="方正书宋_GBK"/>
              </w:rPr>
              <w:t>3-755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11.50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11.50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按照年度预算安排，使用专项资金。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、严格按照资金规章制度支出资金。</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、保证耕地占补平衡制度的落实。</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按照要求和计划完成研究任务的项目在所有立项项目中的比例（百分比）</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按照资金规章制度支出资金</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资金支出率（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支出资金占总资金的比率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按照资金规章制度支出资金</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按照要求和计划完成占卜平衡任务的项目在所有立项项目中的比例（百分比）</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按照资金规章制度支出资金</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社会影响力</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得到广大受众的充分认可。</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按照资金规章制度支出资金</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可持续影响指标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长期使用性</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能够长期较好地开展展演、展映、展播、展示，长期满足人民群众对精神文化的需求。</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按照资金规章制度支出资金</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通过实施学习活动促进社会稳定水平逐步提高</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按照资金规章制度支出资金</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受益群体调查中，满意和较满意的人数占全部调查人数的比率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接受占补平衡制度人群满意程度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群众对当年占补平衡制度整体满意度</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spacing w:line="300" w:lineRule="exact"/>
        <w:ind w:firstLine="420" w:firstLineChars="200"/>
        <w:jc w:val="left"/>
        <w:sectPr>
          <w:pgSz w:w="11907" w:h="16839"/>
          <w:pgMar w:top="1984" w:right="1304" w:bottom="1134" w:left="1304" w:header="851" w:footer="992" w:gutter="0"/>
          <w:cols w:space="425" w:num="1"/>
          <w:docGrid w:type="lines" w:linePitch="312" w:charSpace="0"/>
        </w:sectPr>
      </w:pPr>
    </w:p>
    <w:p>
      <w:pPr>
        <w:spacing w:line="300" w:lineRule="exact"/>
        <w:ind w:firstLine="420" w:firstLineChars="200"/>
        <w:jc w:val="left"/>
      </w:pPr>
    </w:p>
    <w:p>
      <w:pPr>
        <w:ind w:firstLine="560" w:firstLineChars="200"/>
        <w:jc w:val="left"/>
        <w:outlineLvl w:val="1"/>
        <w:rPr>
          <w:rFonts w:hAnsi="宋体"/>
          <w:b/>
          <w:sz w:val="28"/>
        </w:rPr>
      </w:pPr>
      <w:r>
        <w:rPr>
          <w:rFonts w:hint="eastAsia" w:ascii="方正仿宋_GBK" w:eastAsia="方正仿宋_GBK"/>
          <w:b/>
          <w:sz w:val="28"/>
        </w:rPr>
        <w:t>16、征收工作经费3-751绩效目标表</w:t>
      </w:r>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21" w:name="_Toc29981205"/>
      <w:r>
        <w:rPr>
          <w:rFonts w:hint="eastAsia" w:ascii="方正仿宋_GBK" w:eastAsia="方正仿宋_GBK"/>
          <w:b/>
          <w:sz w:val="28"/>
        </w:rPr>
        <w:instrText xml:space="preserve">16、征收工作经费3-751绩效目标表</w:instrText>
      </w:r>
      <w:bookmarkEnd w:id="21"/>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书宋_GBK" w:eastAsia="方正书宋_GBK"/>
                <w:b/>
              </w:rPr>
            </w:pPr>
            <w:r>
              <w:rPr>
                <w:rFonts w:ascii="方正书宋_GBK" w:eastAsia="方正书宋_GBK"/>
                <w:b/>
              </w:rPr>
              <w:t>812002</w:t>
            </w:r>
            <w:r>
              <w:rPr>
                <w:rFonts w:hint="eastAsia" w:ascii="方正书宋_GBK" w:eastAsia="方正书宋_GBK"/>
                <w:b/>
              </w:rPr>
              <w:t>滦州市滦城街道办事处</w:t>
            </w:r>
          </w:p>
        </w:tc>
        <w:tc>
          <w:tcPr>
            <w:tcW w:w="1701" w:type="dxa"/>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pPr>
              <w:spacing w:line="300" w:lineRule="exact"/>
              <w:jc w:val="left"/>
              <w:rPr>
                <w:rFonts w:ascii="方正书宋_GBK" w:eastAsia="方正书宋_GBK"/>
              </w:rPr>
            </w:pPr>
            <w:r>
              <w:rPr>
                <w:rFonts w:ascii="方正书宋_GBK" w:eastAsia="方正书宋_GBK"/>
              </w:rPr>
              <w:t>812-0805-JXN-QXTX</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pPr>
              <w:spacing w:line="300" w:lineRule="exact"/>
              <w:jc w:val="left"/>
              <w:rPr>
                <w:rFonts w:ascii="方正书宋_GBK" w:eastAsia="方正书宋_GBK"/>
              </w:rPr>
            </w:pPr>
            <w:r>
              <w:rPr>
                <w:rFonts w:hint="eastAsia" w:ascii="方正书宋_GBK" w:eastAsia="方正书宋_GBK"/>
              </w:rPr>
              <w:t>征收工作经费</w:t>
            </w:r>
            <w:r>
              <w:rPr>
                <w:rFonts w:ascii="方正书宋_GBK" w:eastAsia="方正书宋_GBK"/>
              </w:rPr>
              <w:t>3-751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300.00</w:t>
            </w:r>
          </w:p>
        </w:tc>
        <w:tc>
          <w:tcPr>
            <w:tcW w:w="158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pPr>
              <w:spacing w:line="300" w:lineRule="exact"/>
              <w:jc w:val="left"/>
              <w:rPr>
                <w:rFonts w:ascii="方正书宋_GBK" w:eastAsia="方正书宋_GBK"/>
              </w:rPr>
            </w:pPr>
            <w:r>
              <w:rPr>
                <w:rFonts w:ascii="方正书宋_GBK" w:eastAsia="方正书宋_GBK"/>
              </w:rPr>
              <w:t>300.00</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pPr>
              <w:spacing w:line="300" w:lineRule="exact"/>
              <w:jc w:val="left"/>
              <w:outlineLvl w:val="1"/>
            </w:pPr>
          </w:p>
        </w:tc>
        <w:tc>
          <w:tcPr>
            <w:tcW w:w="8278" w:type="dxa"/>
            <w:gridSpan w:val="6"/>
            <w:shd w:val="clear" w:color="auto" w:fill="auto"/>
            <w:vAlign w:val="center"/>
          </w:tcPr>
          <w:p>
            <w:pPr>
              <w:spacing w:line="300" w:lineRule="exact"/>
              <w:jc w:val="left"/>
              <w:rPr>
                <w:rFonts w:ascii="方正书宋_GBK" w:eastAsia="方正书宋_GBK"/>
              </w:rPr>
            </w:pPr>
            <w:r>
              <w:rPr>
                <w:rFonts w:hint="eastAsia" w:ascii="方正书宋_GBK" w:eastAsia="方正书宋_GBK"/>
              </w:rPr>
              <w:t>按照年度预算安排，用于镇政府经费的各项支出。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pPr>
              <w:spacing w:line="300" w:lineRule="exact"/>
              <w:jc w:val="left"/>
              <w:outlineLvl w:val="1"/>
            </w:pPr>
          </w:p>
        </w:tc>
        <w:tc>
          <w:tcPr>
            <w:tcW w:w="2410"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、严格按照预算法及资金制度支出。</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、用于镇政府经费的各项支出，保证镇政府的正常运转。</w:t>
            </w:r>
          </w:p>
        </w:tc>
      </w:tr>
    </w:tbl>
    <w:p>
      <w:pPr>
        <w:spacing w:line="14" w:lineRule="exact"/>
        <w:ind w:firstLine="420" w:firstLineChars="200"/>
        <w:jc w:val="center"/>
        <w:rPr>
          <w:rFonts w:hAnsi="宋体"/>
        </w:rPr>
      </w:pPr>
      <w:r>
        <w:rPr>
          <w:rFonts w:ascii="方正书宋_GBK" w:eastAsia="方正书宋_GBK"/>
        </w:rPr>
        <w:t xml:space="preserve"> </w:t>
      </w:r>
    </w:p>
    <w:tbl>
      <w:tblPr>
        <w:tblStyle w:val="6"/>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政府采购率（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实际政府采购数量占应实施政府采购数量的比率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保证镇政府的正常运转</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资金支出进度（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实际支出资金占资金总额的比率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保证镇政府的正常运转</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任务完成率</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任务完成占当年应完成比例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保证镇政府的正常运转</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效果指标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社会稳定水平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促进社会稳定水平逐步提高</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保证镇政府的正常运转</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加强村镇建设</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提高居民生活水平</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保证镇政府的正常运转</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提高政务公开水平</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进行政务监督</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保证镇政府的正常运转</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根据实际工作情况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使用人员满意度（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调查中使用人员满意和较满意的数量占调查总人数的比率</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保质保量完成税收任务</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pPr>
              <w:spacing w:line="300" w:lineRule="exact"/>
              <w:jc w:val="center"/>
              <w:rPr>
                <w:rFonts w:ascii="方正书宋_GBK" w:eastAsia="方正书宋_GBK"/>
              </w:rPr>
            </w:pPr>
          </w:p>
        </w:tc>
        <w:tc>
          <w:tcPr>
            <w:tcW w:w="113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c>
          <w:tcPr>
            <w:tcW w:w="289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改善镇区生活质量</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w:t>
            </w:r>
            <w:r>
              <w:rPr>
                <w:rFonts w:hint="eastAsia" w:ascii="方正书宋_GBK" w:eastAsia="方正书宋_GBK"/>
              </w:rPr>
              <w:t>使群众满意</w:t>
            </w:r>
          </w:p>
        </w:tc>
        <w:tc>
          <w:tcPr>
            <w:tcW w:w="170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群众满意度</w:t>
            </w:r>
          </w:p>
        </w:tc>
      </w:tr>
    </w:tbl>
    <w:p>
      <w:pPr>
        <w:ind w:firstLine="420" w:firstLineChars="200"/>
      </w:pPr>
    </w:p>
    <w:p>
      <w:pPr>
        <w:sectPr>
          <w:pgSz w:w="11907" w:h="16839"/>
          <w:pgMar w:top="1984" w:right="1304" w:bottom="1134" w:left="1304" w:header="851" w:footer="992" w:gutter="0"/>
          <w:cols w:space="425" w:num="1"/>
          <w:docGrid w:type="lines" w:linePitch="312" w:charSpace="0"/>
        </w:sectPr>
      </w:pPr>
    </w:p>
    <w:p>
      <w:pPr>
        <w:numPr>
          <w:ilvl w:val="0"/>
          <w:numId w:val="1"/>
        </w:numPr>
        <w:autoSpaceDE w:val="0"/>
        <w:autoSpaceDN w:val="0"/>
        <w:adjustRightInd w:val="0"/>
        <w:ind w:firstLine="640" w:firstLineChars="200"/>
        <w:jc w:val="left"/>
        <w:rPr>
          <w:rFonts w:hint="eastAsia" w:ascii="黑体" w:hAnsi="黑体" w:eastAsia="黑体"/>
          <w:sz w:val="32"/>
          <w:szCs w:val="32"/>
          <w:highlight w:val="none"/>
        </w:rPr>
      </w:pPr>
      <w:r>
        <w:rPr>
          <w:rFonts w:hint="eastAsia" w:ascii="黑体" w:hAnsi="黑体" w:eastAsia="黑体"/>
          <w:sz w:val="32"/>
          <w:szCs w:val="32"/>
          <w:highlight w:val="none"/>
        </w:rPr>
        <w:t>政府采购预算情况</w:t>
      </w:r>
    </w:p>
    <w:p>
      <w:pPr>
        <w:spacing w:line="400" w:lineRule="exact"/>
        <w:outlineLvl w:val="0"/>
        <w:rPr>
          <w:rFonts w:hint="eastAsia" w:ascii="黑体" w:hAnsi="黑体" w:eastAsia="黑体"/>
          <w:sz w:val="32"/>
          <w:szCs w:val="32"/>
          <w:highlight w:val="yellow"/>
        </w:rPr>
      </w:pPr>
      <w:r>
        <w:rPr>
          <w:rFonts w:ascii="仿宋" w:hAnsi="仿宋" w:eastAsia="仿宋" w:cs="仿宋"/>
          <w:sz w:val="32"/>
          <w:szCs w:val="32"/>
        </w:rPr>
        <w:t>2020</w:t>
      </w:r>
      <w:r>
        <w:rPr>
          <w:rFonts w:hint="eastAsia" w:ascii="仿宋" w:hAnsi="仿宋" w:eastAsia="仿宋" w:cs="仿宋"/>
          <w:sz w:val="32"/>
          <w:szCs w:val="32"/>
        </w:rPr>
        <w:t>年，我单位政府采购预算</w:t>
      </w:r>
      <w:r>
        <w:rPr>
          <w:rFonts w:hint="eastAsia" w:ascii="仿宋" w:hAnsi="仿宋" w:eastAsia="仿宋" w:cs="仿宋"/>
          <w:sz w:val="32"/>
          <w:szCs w:val="32"/>
          <w:lang w:val="en-US" w:eastAsia="zh-CN"/>
        </w:rPr>
        <w:t>378.71</w:t>
      </w:r>
      <w:r>
        <w:rPr>
          <w:rFonts w:hint="eastAsia" w:ascii="仿宋" w:hAnsi="仿宋" w:eastAsia="仿宋" w:cs="仿宋"/>
          <w:sz w:val="32"/>
          <w:szCs w:val="32"/>
        </w:rPr>
        <w:t>万元，具体内容见下表。</w:t>
      </w:r>
    </w:p>
    <w:p>
      <w:pPr>
        <w:ind w:firstLine="640" w:firstLineChars="200"/>
        <w:jc w:val="center"/>
        <w:outlineLvl w:val="0"/>
        <w:rPr>
          <w:rFonts w:ascii="Times New Roman" w:hAnsi="宋体" w:cs="宋体"/>
          <w:b/>
          <w:sz w:val="32"/>
        </w:rPr>
      </w:pPr>
      <w:bookmarkStart w:id="22" w:name="_Toc471398468"/>
      <w:r>
        <w:rPr>
          <w:rFonts w:hint="eastAsia" w:ascii="仿宋_GB2312" w:hAnsi="仿宋_GB2312" w:eastAsia="仿宋_GB2312" w:cs="仿宋_GB2312"/>
          <w:sz w:val="32"/>
          <w:szCs w:val="24"/>
        </w:rPr>
        <w:t xml:space="preserve">   </w:t>
      </w:r>
      <w:r>
        <w:rPr>
          <w:rFonts w:hint="eastAsia" w:ascii="方正小标宋_GBK" w:hAnsi="方正小标宋_GBK" w:eastAsia="方正小标宋_GBK" w:cs="方正小标宋_GBK"/>
          <w:b/>
          <w:sz w:val="32"/>
        </w:rPr>
        <w:t>部门政府采购预算</w:t>
      </w:r>
      <w:bookmarkStart w:id="23" w:name="_Toc22804"/>
      <w:bookmarkStart w:id="24" w:name="_Toc26487"/>
      <w:r>
        <w:rPr>
          <w:rFonts w:hint="eastAsia"/>
        </w:rPr>
        <w:fldChar w:fldCharType="begin"/>
      </w:r>
      <w:r>
        <w:rPr>
          <w:rFonts w:hint="eastAsia" w:ascii="方正小标宋_GBK" w:hAnsi="方正小标宋_GBK" w:eastAsia="方正小标宋_GBK" w:cs="方正小标宋_GBK"/>
          <w:b/>
          <w:sz w:val="32"/>
        </w:rPr>
        <w:instrText xml:space="preserve"> TC 部门政府采购预算 \f A \l 1 </w:instrText>
      </w:r>
      <w:r>
        <w:rPr>
          <w:rFonts w:hint="eastAsia" w:ascii="方正小标宋_GBK" w:hAnsi="方正小标宋_GBK" w:eastAsia="方正小标宋_GBK" w:cs="方正小标宋_GBK"/>
          <w:b/>
          <w:sz w:val="32"/>
        </w:rPr>
        <w:fldChar w:fldCharType="end"/>
      </w:r>
      <w:bookmarkEnd w:id="23"/>
      <w:bookmarkEnd w:id="24"/>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8703" w:type="dxa"/>
            <w:gridSpan w:val="7"/>
            <w:tcBorders>
              <w:top w:val="single" w:color="FFFFFF" w:sz="6" w:space="0"/>
              <w:left w:val="single" w:color="FFFFFF" w:sz="6" w:space="0"/>
              <w:right w:val="single" w:color="FFFFFF" w:sz="6" w:space="0"/>
            </w:tcBorders>
            <w:vAlign w:val="center"/>
          </w:tcPr>
          <w:p>
            <w:pPr>
              <w:spacing w:line="300" w:lineRule="exact"/>
              <w:jc w:val="left"/>
              <w:rPr>
                <w:rFonts w:ascii="方正小标宋_GBK" w:hAnsi="方正小标宋_GBK" w:eastAsia="方正小标宋_GBK" w:cs="方正小标宋_GBK"/>
                <w:b/>
                <w:sz w:val="24"/>
              </w:rPr>
            </w:pPr>
            <w:r>
              <w:rPr>
                <w:rFonts w:hint="eastAsia" w:ascii="方正小标宋_GBK" w:hAnsi="方正小标宋_GBK" w:eastAsia="方正小标宋_GBK" w:cs="方正小标宋_GBK"/>
                <w:b/>
                <w:sz w:val="24"/>
              </w:rPr>
              <w:t>812滦城街道办</w:t>
            </w:r>
          </w:p>
        </w:tc>
        <w:tc>
          <w:tcPr>
            <w:tcW w:w="6804" w:type="dxa"/>
            <w:gridSpan w:val="6"/>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sz w:val="24"/>
              </w:rPr>
            </w:pPr>
            <w:r>
              <w:rPr>
                <w:rFonts w:hint="eastAsia" w:ascii="方正书宋_GBK" w:hAnsi="方正书宋_GBK" w:eastAsia="方正书宋_GBK" w:cs="方正书宋_GBK"/>
                <w:b/>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3118"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政府采购项目来源</w:t>
            </w:r>
          </w:p>
        </w:tc>
        <w:tc>
          <w:tcPr>
            <w:tcW w:w="1531"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采购物品名称</w:t>
            </w:r>
          </w:p>
        </w:tc>
        <w:tc>
          <w:tcPr>
            <w:tcW w:w="1531"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政府采购目录序号</w:t>
            </w:r>
          </w:p>
        </w:tc>
        <w:tc>
          <w:tcPr>
            <w:tcW w:w="709"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计量  单位</w:t>
            </w:r>
          </w:p>
        </w:tc>
        <w:tc>
          <w:tcPr>
            <w:tcW w:w="907"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数量</w:t>
            </w:r>
          </w:p>
        </w:tc>
        <w:tc>
          <w:tcPr>
            <w:tcW w:w="907"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单价</w:t>
            </w:r>
          </w:p>
        </w:tc>
        <w:tc>
          <w:tcPr>
            <w:tcW w:w="6804" w:type="dxa"/>
            <w:gridSpan w:val="6"/>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98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项目名称</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预算资金</w:t>
            </w:r>
          </w:p>
        </w:tc>
        <w:tc>
          <w:tcPr>
            <w:tcW w:w="1531" w:type="dxa"/>
            <w:vMerge w:val="continue"/>
          </w:tcPr>
          <w:p>
            <w:pPr>
              <w:spacing w:line="300" w:lineRule="exact"/>
              <w:jc w:val="left"/>
              <w:outlineLvl w:val="0"/>
              <w:rPr>
                <w:rFonts w:ascii="方正小标宋_GBK" w:hAnsi="方正小标宋_GBK" w:eastAsia="方正小标宋_GBK" w:cs="方正小标宋_GBK"/>
                <w:b/>
                <w:sz w:val="32"/>
              </w:rPr>
            </w:pPr>
          </w:p>
        </w:tc>
        <w:tc>
          <w:tcPr>
            <w:tcW w:w="1531" w:type="dxa"/>
            <w:vMerge w:val="continue"/>
          </w:tcPr>
          <w:p>
            <w:pPr>
              <w:spacing w:line="300" w:lineRule="exact"/>
              <w:jc w:val="left"/>
              <w:outlineLvl w:val="0"/>
              <w:rPr>
                <w:rFonts w:ascii="方正小标宋_GBK" w:hAnsi="方正小标宋_GBK" w:eastAsia="方正小标宋_GBK" w:cs="方正小标宋_GBK"/>
                <w:b/>
                <w:sz w:val="32"/>
              </w:rPr>
            </w:pPr>
          </w:p>
        </w:tc>
        <w:tc>
          <w:tcPr>
            <w:tcW w:w="709" w:type="dxa"/>
            <w:vMerge w:val="continue"/>
          </w:tcPr>
          <w:p>
            <w:pPr>
              <w:spacing w:line="300" w:lineRule="exact"/>
              <w:jc w:val="left"/>
              <w:outlineLvl w:val="0"/>
              <w:rPr>
                <w:rFonts w:ascii="方正小标宋_GBK" w:hAnsi="方正小标宋_GBK" w:eastAsia="方正小标宋_GBK" w:cs="方正小标宋_GBK"/>
                <w:b/>
                <w:sz w:val="32"/>
              </w:rPr>
            </w:pPr>
          </w:p>
        </w:tc>
        <w:tc>
          <w:tcPr>
            <w:tcW w:w="907" w:type="dxa"/>
            <w:vMerge w:val="continue"/>
          </w:tcPr>
          <w:p>
            <w:pPr>
              <w:spacing w:line="300" w:lineRule="exact"/>
              <w:jc w:val="left"/>
              <w:outlineLvl w:val="0"/>
              <w:rPr>
                <w:rFonts w:ascii="方正小标宋_GBK" w:hAnsi="方正小标宋_GBK" w:eastAsia="方正小标宋_GBK" w:cs="方正小标宋_GBK"/>
                <w:b/>
                <w:sz w:val="32"/>
              </w:rPr>
            </w:pPr>
          </w:p>
        </w:tc>
        <w:tc>
          <w:tcPr>
            <w:tcW w:w="907" w:type="dxa"/>
            <w:vMerge w:val="continue"/>
          </w:tcPr>
          <w:p>
            <w:pPr>
              <w:spacing w:line="300" w:lineRule="exact"/>
              <w:jc w:val="left"/>
              <w:outlineLvl w:val="0"/>
              <w:rPr>
                <w:rFonts w:ascii="方正小标宋_GBK" w:hAnsi="方正小标宋_GBK" w:eastAsia="方正小标宋_GBK" w:cs="方正小标宋_GBK"/>
                <w:b/>
                <w:sz w:val="32"/>
              </w:rPr>
            </w:pP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合计</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一般公共预算拨款</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基金预算拨款</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国有资本经营预算拨款</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财政专户核拨</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其他来源收入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滦州市滦城街道办事处小计</w:t>
            </w:r>
          </w:p>
        </w:tc>
        <w:tc>
          <w:tcPr>
            <w:tcW w:w="1134" w:type="dxa"/>
            <w:vAlign w:val="center"/>
          </w:tcPr>
          <w:p>
            <w:pPr>
              <w:spacing w:line="300" w:lineRule="exact"/>
              <w:jc w:val="right"/>
              <w:rPr>
                <w:rFonts w:ascii="方正书宋_GBK" w:hAnsi="方正书宋_GBK" w:eastAsia="方正书宋_GBK" w:cs="方正书宋_GBK"/>
                <w:b/>
              </w:rPr>
            </w:pPr>
          </w:p>
        </w:tc>
        <w:tc>
          <w:tcPr>
            <w:tcW w:w="1531" w:type="dxa"/>
            <w:vAlign w:val="center"/>
          </w:tcPr>
          <w:p>
            <w:pPr>
              <w:spacing w:line="300" w:lineRule="exact"/>
              <w:jc w:val="left"/>
              <w:rPr>
                <w:rFonts w:ascii="方正书宋_GBK" w:hAnsi="方正书宋_GBK" w:eastAsia="方正书宋_GBK" w:cs="方正书宋_GBK"/>
                <w:b/>
              </w:rPr>
            </w:pPr>
          </w:p>
        </w:tc>
        <w:tc>
          <w:tcPr>
            <w:tcW w:w="1531" w:type="dxa"/>
            <w:vAlign w:val="center"/>
          </w:tcPr>
          <w:p>
            <w:pPr>
              <w:spacing w:line="300" w:lineRule="exact"/>
              <w:jc w:val="left"/>
              <w:rPr>
                <w:rFonts w:ascii="方正书宋_GBK" w:hAnsi="方正书宋_GBK" w:eastAsia="方正书宋_GBK" w:cs="方正书宋_GBK"/>
                <w:b/>
              </w:rPr>
            </w:pPr>
          </w:p>
        </w:tc>
        <w:tc>
          <w:tcPr>
            <w:tcW w:w="709" w:type="dxa"/>
            <w:vAlign w:val="center"/>
          </w:tcPr>
          <w:p>
            <w:pPr>
              <w:spacing w:line="300" w:lineRule="exact"/>
              <w:jc w:val="center"/>
              <w:rPr>
                <w:rFonts w:ascii="方正书宋_GBK" w:hAnsi="方正书宋_GBK" w:eastAsia="方正书宋_GBK" w:cs="方正书宋_GBK"/>
                <w:b/>
              </w:rPr>
            </w:pPr>
          </w:p>
        </w:tc>
        <w:tc>
          <w:tcPr>
            <w:tcW w:w="907" w:type="dxa"/>
            <w:vAlign w:val="center"/>
          </w:tcPr>
          <w:p>
            <w:pPr>
              <w:spacing w:line="300" w:lineRule="exact"/>
              <w:jc w:val="right"/>
              <w:rPr>
                <w:rFonts w:ascii="方正书宋_GBK" w:hAnsi="方正书宋_GBK" w:eastAsia="方正书宋_GBK" w:cs="方正书宋_GBK"/>
                <w:b/>
              </w:rPr>
            </w:pPr>
          </w:p>
        </w:tc>
        <w:tc>
          <w:tcPr>
            <w:tcW w:w="907"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378.71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281.57</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97.14</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复印纸</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A090101</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箱</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480.00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0.02</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9.60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9.60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鼓粉盒</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A090201</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0.10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文具</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A090401</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生活饮用水</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A14040201</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箱</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房屋修缮</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B0801</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0.34</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6.80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6.80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其他印刷品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A080299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700.00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0.05</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35.00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35.00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空调机组</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A02052305</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4.00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1.50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空调机组</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A02052305</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14.00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14.00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14.00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工程设备租赁（带操作员）</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B09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120.00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0.50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60.00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其他椅凳类</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A060399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把</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0.02</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其他印刷品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A080299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17.00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1.40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23.80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23.80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舞台设备</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A033503</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4.00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0.30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1.20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1.20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征收工作经费3-751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其他印刷品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A080299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39.00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1.40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54.60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54.60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环保巡查工作经费3-752</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工程设备租赁（带操作员）</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B09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基层武装阵地建设3-756</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木制台、桌类</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A060205</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张</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4.00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0.09</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0.36</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0.36</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基层武装阵地建设3-756</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其他柜类</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A060599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4.00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0.10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0.40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0.40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基层武装阵地建设3-756</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其他被服装具</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A070399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件</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0.02</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基层武装阵地建设3-756</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活动辅助设备</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A033708</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张</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基层武装阵地建设3-756</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其他印刷品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A080299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套</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1.24</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1.24</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1.24</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占补平衡项目工作经费3-755</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11.50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房屋修缮</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B0801</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11.50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11.50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11.50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妇联专项活动经费3-749</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0.40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其他办公消耗用品及类似物品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A0999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30.00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0.30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0.30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人大专项经费3-747</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其他办公消耗用品及类似物品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A0999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0.50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5.00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团委活动专项经费3-748</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其他办公消耗用品及类似物品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A0999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27.00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0.27</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0.27</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团委活动专项经费3-748</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2.00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其他建筑物施工</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B0199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农产品质量安全监管工作经费3-754</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8.50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其他农作物副产品</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A12021199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个</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70.00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0.70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0.70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农产品质量安全监管工作经费3-754</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8.50</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其他农业服务</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C210199</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人</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780.00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0.01</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7.80</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7.80</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新高线两侧违建拆除及建筑垃圾清运项目5-113</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97.14</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拆除工程</w:t>
            </w:r>
          </w:p>
        </w:tc>
        <w:tc>
          <w:tcPr>
            <w:tcW w:w="153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B0303</w:t>
            </w:r>
          </w:p>
        </w:tc>
        <w:tc>
          <w:tcPr>
            <w:tcW w:w="709"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907"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97.14</w:t>
            </w: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97.14</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97.14</w:t>
            </w: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c>
          <w:tcPr>
            <w:tcW w:w="1134" w:type="dxa"/>
            <w:vAlign w:val="center"/>
          </w:tcPr>
          <w:p>
            <w:pPr>
              <w:spacing w:line="300" w:lineRule="exact"/>
              <w:jc w:val="right"/>
              <w:rPr>
                <w:rFonts w:ascii="方正书宋_GBK" w:hAnsi="方正书宋_GBK" w:eastAsia="方正书宋_GBK" w:cs="方正书宋_GBK"/>
                <w:b/>
              </w:rPr>
            </w:pPr>
          </w:p>
        </w:tc>
      </w:tr>
      <w:bookmarkEnd w:id="22"/>
    </w:tbl>
    <w:p>
      <w:pPr>
        <w:autoSpaceDE w:val="0"/>
        <w:autoSpaceDN w:val="0"/>
        <w:adjustRightInd w:val="0"/>
        <w:ind w:firstLine="640" w:firstLineChars="200"/>
        <w:jc w:val="left"/>
        <w:rPr>
          <w:rFonts w:hint="eastAsia" w:ascii="黑体" w:hAnsi="黑体" w:eastAsia="黑体"/>
          <w:sz w:val="32"/>
          <w:szCs w:val="32"/>
        </w:rPr>
      </w:pPr>
    </w:p>
    <w:p>
      <w:pPr>
        <w:autoSpaceDE w:val="0"/>
        <w:autoSpaceDN w:val="0"/>
        <w:adjustRightInd w:val="0"/>
        <w:ind w:firstLine="640" w:firstLineChars="200"/>
        <w:jc w:val="left"/>
        <w:rPr>
          <w:rFonts w:hint="eastAsia" w:ascii="黑体" w:hAnsi="黑体" w:eastAsia="黑体"/>
          <w:sz w:val="32"/>
          <w:szCs w:val="32"/>
        </w:rPr>
      </w:pPr>
    </w:p>
    <w:p>
      <w:pPr>
        <w:autoSpaceDE w:val="0"/>
        <w:autoSpaceDN w:val="0"/>
        <w:adjustRightInd w:val="0"/>
        <w:ind w:firstLine="640" w:firstLineChars="200"/>
        <w:jc w:val="left"/>
        <w:rPr>
          <w:rFonts w:hint="eastAsia" w:ascii="黑体" w:hAnsi="黑体" w:eastAsia="黑体"/>
          <w:sz w:val="32"/>
          <w:szCs w:val="32"/>
        </w:rPr>
      </w:pPr>
    </w:p>
    <w:p>
      <w:pPr>
        <w:autoSpaceDE w:val="0"/>
        <w:autoSpaceDN w:val="0"/>
        <w:adjustRightInd w:val="0"/>
        <w:ind w:firstLine="640" w:firstLineChars="200"/>
        <w:jc w:val="left"/>
        <w:rPr>
          <w:rFonts w:ascii="黑体" w:hAnsi="黑体" w:eastAsia="黑体"/>
          <w:sz w:val="32"/>
          <w:szCs w:val="32"/>
        </w:rPr>
      </w:pPr>
      <w:r>
        <w:rPr>
          <w:rFonts w:hint="eastAsia" w:ascii="黑体" w:hAnsi="黑体" w:eastAsia="黑体"/>
          <w:sz w:val="32"/>
          <w:szCs w:val="32"/>
        </w:rPr>
        <w:t>七、国有资产信息</w:t>
      </w:r>
    </w:p>
    <w:p>
      <w:pPr>
        <w:widowControl/>
        <w:ind w:firstLine="640"/>
        <w:jc w:val="left"/>
        <w:rPr>
          <w:rFonts w:ascii="仿宋_GB2312" w:hAnsi="宋体" w:eastAsia="仿宋_GB2312" w:cs="仿宋_GB2312"/>
          <w:color w:val="000000"/>
          <w:kern w:val="0"/>
          <w:sz w:val="32"/>
          <w:szCs w:val="32"/>
        </w:rPr>
      </w:pPr>
      <w:r>
        <w:rPr>
          <w:rFonts w:hint="eastAsia" w:ascii="仿宋_GB2312" w:hAnsi="黑体" w:eastAsia="仿宋_GB2312"/>
          <w:sz w:val="32"/>
          <w:szCs w:val="32"/>
        </w:rPr>
        <w:t>上年末固定资产金额为803.84万元（详见下表）。</w:t>
      </w:r>
      <w:r>
        <w:rPr>
          <w:rFonts w:hint="eastAsia" w:ascii="仿宋_GB2312" w:hAnsi="宋体" w:eastAsia="仿宋_GB2312" w:cs="仿宋_GB2312"/>
          <w:color w:val="000000"/>
          <w:kern w:val="0"/>
          <w:sz w:val="32"/>
          <w:szCs w:val="32"/>
        </w:rPr>
        <w:t>本年度</w:t>
      </w:r>
      <w:r>
        <w:rPr>
          <w:rFonts w:ascii="仿宋_GB2312" w:hAnsi="宋体" w:eastAsia="仿宋_GB2312" w:cs="仿宋_GB2312"/>
          <w:color w:val="000000"/>
          <w:kern w:val="0"/>
          <w:sz w:val="32"/>
          <w:szCs w:val="32"/>
        </w:rPr>
        <w:t>拟购置固定资产总额为</w:t>
      </w:r>
      <w:r>
        <w:rPr>
          <w:rFonts w:hint="eastAsia" w:ascii="仿宋_GB2312" w:hAnsi="宋体" w:eastAsia="仿宋_GB2312" w:cs="仿宋_GB2312"/>
          <w:color w:val="000000"/>
          <w:kern w:val="0"/>
          <w:sz w:val="32"/>
          <w:szCs w:val="32"/>
        </w:rPr>
        <w:t>32</w:t>
      </w:r>
      <w:r>
        <w:rPr>
          <w:rFonts w:ascii="仿宋_GB2312" w:hAnsi="宋体" w:eastAsia="仿宋_GB2312" w:cs="仿宋_GB2312"/>
          <w:color w:val="000000"/>
          <w:kern w:val="0"/>
          <w:sz w:val="32"/>
          <w:szCs w:val="32"/>
        </w:rPr>
        <w:t>万元，主要为空调家具等，已列入政府采购预算，详见政府采购预算表。</w:t>
      </w:r>
    </w:p>
    <w:tbl>
      <w:tblPr>
        <w:tblStyle w:val="6"/>
        <w:tblW w:w="13482" w:type="dxa"/>
        <w:tblInd w:w="93" w:type="dxa"/>
        <w:tblLayout w:type="fixed"/>
        <w:tblCellMar>
          <w:top w:w="0" w:type="dxa"/>
          <w:left w:w="108" w:type="dxa"/>
          <w:bottom w:w="0" w:type="dxa"/>
          <w:right w:w="108" w:type="dxa"/>
        </w:tblCellMar>
      </w:tblPr>
      <w:tblGrid>
        <w:gridCol w:w="5224"/>
        <w:gridCol w:w="3155"/>
        <w:gridCol w:w="5103"/>
      </w:tblGrid>
      <w:tr>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pPr>
              <w:widowControl/>
              <w:jc w:val="center"/>
              <w:rPr>
                <w:rFonts w:ascii="宋体" w:cs="宋体"/>
                <w:b/>
                <w:bCs/>
                <w:kern w:val="0"/>
                <w:sz w:val="32"/>
                <w:szCs w:val="32"/>
              </w:rPr>
            </w:pPr>
            <w:r>
              <w:rPr>
                <w:rFonts w:hint="eastAsia" w:ascii="宋体" w:hAnsi="宋体" w:cs="宋体"/>
                <w:b/>
                <w:bCs/>
                <w:kern w:val="0"/>
                <w:sz w:val="32"/>
                <w:szCs w:val="32"/>
              </w:rPr>
              <w:t>滦州市滦城街道办事处固定资产占用情况表</w:t>
            </w:r>
          </w:p>
        </w:tc>
      </w:tr>
      <w:tr>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pPr>
              <w:widowControl/>
              <w:jc w:val="left"/>
              <w:rPr>
                <w:rFonts w:ascii="宋体" w:cs="宋体"/>
                <w:kern w:val="0"/>
                <w:sz w:val="22"/>
              </w:rPr>
            </w:pPr>
            <w:r>
              <w:rPr>
                <w:rFonts w:hint="eastAsia" w:ascii="宋体" w:hAnsi="宋体" w:cs="宋体"/>
                <w:kern w:val="0"/>
                <w:sz w:val="22"/>
              </w:rPr>
              <w:t>编制部门：滦州市滦城街道办事处</w:t>
            </w:r>
          </w:p>
        </w:tc>
        <w:tc>
          <w:tcPr>
            <w:tcW w:w="5103" w:type="dxa"/>
            <w:tcBorders>
              <w:top w:val="nil"/>
              <w:left w:val="nil"/>
              <w:bottom w:val="nil"/>
              <w:right w:val="nil"/>
            </w:tcBorders>
            <w:vAlign w:val="center"/>
          </w:tcPr>
          <w:p>
            <w:pPr>
              <w:widowControl/>
              <w:jc w:val="left"/>
              <w:rPr>
                <w:rFonts w:ascii="宋体" w:cs="宋体"/>
                <w:kern w:val="0"/>
                <w:sz w:val="22"/>
              </w:rPr>
            </w:pPr>
            <w:r>
              <w:rPr>
                <w:rFonts w:hint="eastAsia" w:ascii="宋体" w:hAnsi="宋体" w:cs="宋体"/>
                <w:kern w:val="0"/>
                <w:sz w:val="22"/>
              </w:rPr>
              <w:t>截止时间：</w:t>
            </w:r>
            <w:r>
              <w:rPr>
                <w:rFonts w:ascii="宋体" w:hAnsi="宋体" w:cs="宋体"/>
                <w:kern w:val="0"/>
                <w:sz w:val="22"/>
              </w:rPr>
              <w:t>201</w:t>
            </w:r>
            <w:r>
              <w:rPr>
                <w:rFonts w:hint="eastAsia" w:ascii="宋体" w:hAnsi="宋体" w:cs="宋体"/>
                <w:kern w:val="0"/>
                <w:sz w:val="22"/>
              </w:rPr>
              <w:t>9年</w:t>
            </w:r>
            <w:r>
              <w:rPr>
                <w:rFonts w:ascii="宋体" w:hAnsi="宋体" w:cs="宋体"/>
                <w:kern w:val="0"/>
                <w:sz w:val="22"/>
              </w:rPr>
              <w:t>12</w:t>
            </w:r>
            <w:r>
              <w:rPr>
                <w:rFonts w:hint="eastAsia" w:ascii="宋体" w:hAnsi="宋体" w:cs="宋体"/>
                <w:kern w:val="0"/>
                <w:sz w:val="22"/>
              </w:rPr>
              <w:t>月</w:t>
            </w:r>
            <w:r>
              <w:rPr>
                <w:rFonts w:ascii="宋体" w:hAnsi="宋体" w:cs="宋体"/>
                <w:kern w:val="0"/>
                <w:sz w:val="22"/>
              </w:rPr>
              <w:t>31</w:t>
            </w:r>
            <w:r>
              <w:rPr>
                <w:rFonts w:hint="eastAsia" w:ascii="宋体" w:hAnsi="宋体" w:cs="宋体"/>
                <w:kern w:val="0"/>
                <w:sz w:val="22"/>
              </w:rPr>
              <w:t>日</w:t>
            </w:r>
            <w:r>
              <w:rPr>
                <w:rFonts w:ascii="宋体" w:hAnsi="宋体" w:cs="宋体"/>
                <w:kern w:val="0"/>
                <w:sz w:val="22"/>
              </w:rPr>
              <w:t xml:space="preserve">  </w:t>
            </w:r>
          </w:p>
        </w:tc>
      </w:tr>
      <w:tr>
        <w:tblPrEx>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b/>
                <w:bCs/>
                <w:kern w:val="0"/>
                <w:sz w:val="22"/>
              </w:rPr>
            </w:pPr>
            <w:r>
              <w:rPr>
                <w:rFonts w:hint="eastAsia" w:ascii="宋体" w:hAnsi="宋体" w:cs="宋体"/>
                <w:b/>
                <w:bCs/>
                <w:kern w:val="0"/>
                <w:sz w:val="22"/>
              </w:rPr>
              <w:t>项</w:t>
            </w:r>
            <w:r>
              <w:rPr>
                <w:rFonts w:ascii="宋体" w:hAnsi="宋体" w:cs="宋体"/>
                <w:b/>
                <w:bCs/>
                <w:kern w:val="0"/>
                <w:sz w:val="22"/>
              </w:rPr>
              <w:t xml:space="preserve">   </w:t>
            </w:r>
            <w:r>
              <w:rPr>
                <w:rFonts w:hint="eastAsia" w:ascii="宋体" w:hAnsi="宋体" w:cs="宋体"/>
                <w:b/>
                <w:bCs/>
                <w:kern w:val="0"/>
                <w:sz w:val="22"/>
              </w:rPr>
              <w:t>目</w:t>
            </w:r>
          </w:p>
        </w:tc>
        <w:tc>
          <w:tcPr>
            <w:tcW w:w="3155"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2"/>
              </w:rPr>
            </w:pPr>
            <w:r>
              <w:rPr>
                <w:rFonts w:hint="eastAsia" w:ascii="宋体" w:hAnsi="宋体" w:cs="宋体"/>
                <w:b/>
                <w:bCs/>
                <w:kern w:val="0"/>
                <w:sz w:val="22"/>
              </w:rPr>
              <w:t>数量</w:t>
            </w:r>
          </w:p>
        </w:tc>
        <w:tc>
          <w:tcPr>
            <w:tcW w:w="5103"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2"/>
              </w:rPr>
            </w:pPr>
            <w:r>
              <w:rPr>
                <w:rFonts w:hint="eastAsia" w:ascii="宋体" w:hAnsi="宋体" w:cs="宋体"/>
                <w:b/>
                <w:bCs/>
                <w:kern w:val="0"/>
                <w:sz w:val="22"/>
              </w:rPr>
              <w:t>价值（金额单位：万元）</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Arial"/>
                <w:color w:val="000000"/>
                <w:kern w:val="0"/>
                <w:sz w:val="22"/>
              </w:rPr>
            </w:pPr>
            <w:r>
              <w:rPr>
                <w:rFonts w:hint="eastAsia" w:ascii="宋体" w:hAnsi="宋体" w:cs="Arial"/>
                <w:color w:val="000000"/>
                <w:kern w:val="0"/>
                <w:sz w:val="22"/>
              </w:rPr>
              <w:t>资产总额</w:t>
            </w:r>
            <w:r>
              <w:rPr>
                <w:rFonts w:ascii="宋体" w:hAnsi="宋体" w:cs="Arial"/>
                <w:color w:val="000000"/>
                <w:kern w:val="0"/>
                <w:sz w:val="22"/>
              </w:rPr>
              <w:t xml:space="preserve"> </w:t>
            </w:r>
          </w:p>
        </w:tc>
        <w:tc>
          <w:tcPr>
            <w:tcW w:w="3155" w:type="dxa"/>
            <w:tcBorders>
              <w:top w:val="nil"/>
              <w:left w:val="nil"/>
              <w:bottom w:val="single" w:color="auto" w:sz="4" w:space="0"/>
              <w:right w:val="single" w:color="auto" w:sz="4" w:space="0"/>
            </w:tcBorders>
            <w:vAlign w:val="center"/>
          </w:tcPr>
          <w:p>
            <w:pPr>
              <w:widowControl/>
              <w:jc w:val="center"/>
              <w:rPr>
                <w:rFonts w:ascii="宋体" w:cs="宋体"/>
                <w:kern w:val="0"/>
                <w:sz w:val="22"/>
              </w:rPr>
            </w:pPr>
            <w:r>
              <w:rPr>
                <w:rFonts w:hint="eastAsia" w:ascii="宋体" w:hAnsi="宋体" w:cs="宋体"/>
                <w:kern w:val="0"/>
                <w:sz w:val="22"/>
              </w:rPr>
              <w:t>21421</w:t>
            </w:r>
          </w:p>
        </w:tc>
        <w:tc>
          <w:tcPr>
            <w:tcW w:w="510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cs="宋体"/>
                <w:kern w:val="0"/>
                <w:sz w:val="24"/>
                <w:szCs w:val="24"/>
              </w:rPr>
              <w:t>803.84</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Arial"/>
                <w:color w:val="000000"/>
                <w:kern w:val="0"/>
                <w:sz w:val="22"/>
              </w:rPr>
            </w:pPr>
            <w:r>
              <w:rPr>
                <w:rFonts w:ascii="宋体" w:hAnsi="宋体" w:cs="Arial"/>
                <w:color w:val="000000"/>
                <w:kern w:val="0"/>
                <w:sz w:val="22"/>
              </w:rPr>
              <w:t xml:space="preserve">  </w:t>
            </w:r>
            <w:r>
              <w:rPr>
                <w:rFonts w:hint="eastAsia" w:ascii="宋体" w:hAnsi="宋体" w:cs="Arial"/>
                <w:color w:val="000000"/>
                <w:kern w:val="0"/>
                <w:sz w:val="22"/>
              </w:rPr>
              <w:t>（一）房屋（平方米）</w:t>
            </w:r>
          </w:p>
        </w:tc>
        <w:tc>
          <w:tcPr>
            <w:tcW w:w="3155" w:type="dxa"/>
            <w:tcBorders>
              <w:top w:val="nil"/>
              <w:left w:val="nil"/>
              <w:bottom w:val="single" w:color="auto" w:sz="4" w:space="0"/>
              <w:right w:val="single" w:color="auto" w:sz="4" w:space="0"/>
            </w:tcBorders>
            <w:vAlign w:val="center"/>
          </w:tcPr>
          <w:p>
            <w:pPr>
              <w:widowControl/>
              <w:jc w:val="center"/>
              <w:rPr>
                <w:rFonts w:ascii="宋体" w:cs="宋体"/>
                <w:kern w:val="0"/>
                <w:sz w:val="22"/>
              </w:rPr>
            </w:pPr>
            <w:r>
              <w:rPr>
                <w:rFonts w:hint="eastAsia" w:ascii="宋体" w:hAnsi="宋体" w:cs="宋体"/>
                <w:color w:val="000000"/>
                <w:kern w:val="0"/>
                <w:sz w:val="24"/>
                <w:szCs w:val="24"/>
              </w:rPr>
              <w:t>21000</w:t>
            </w:r>
          </w:p>
        </w:tc>
        <w:tc>
          <w:tcPr>
            <w:tcW w:w="510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color w:val="000000"/>
                <w:kern w:val="0"/>
                <w:sz w:val="24"/>
                <w:szCs w:val="24"/>
              </w:rPr>
              <w:t>680</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Arial"/>
                <w:color w:val="000000"/>
                <w:kern w:val="0"/>
                <w:sz w:val="22"/>
              </w:rPr>
            </w:pPr>
            <w:r>
              <w:rPr>
                <w:rFonts w:ascii="宋体" w:hAnsi="宋体" w:cs="Arial"/>
                <w:color w:val="000000"/>
                <w:kern w:val="0"/>
                <w:sz w:val="22"/>
              </w:rPr>
              <w:t xml:space="preserve">  </w:t>
            </w:r>
            <w:r>
              <w:rPr>
                <w:rFonts w:hint="eastAsia" w:ascii="宋体" w:hAnsi="宋体" w:cs="Arial"/>
                <w:color w:val="000000"/>
                <w:kern w:val="0"/>
                <w:sz w:val="22"/>
              </w:rPr>
              <w:t>（二）汽车（台、辆）</w:t>
            </w:r>
          </w:p>
        </w:tc>
        <w:tc>
          <w:tcPr>
            <w:tcW w:w="3155" w:type="dxa"/>
            <w:tcBorders>
              <w:top w:val="nil"/>
              <w:left w:val="nil"/>
              <w:bottom w:val="single" w:color="auto" w:sz="4" w:space="0"/>
              <w:right w:val="single" w:color="auto" w:sz="4" w:space="0"/>
            </w:tcBorders>
            <w:vAlign w:val="center"/>
          </w:tcPr>
          <w:p>
            <w:pPr>
              <w:widowControl/>
              <w:jc w:val="center"/>
              <w:rPr>
                <w:rFonts w:ascii="宋体" w:cs="宋体"/>
                <w:kern w:val="0"/>
                <w:sz w:val="22"/>
              </w:rPr>
            </w:pPr>
            <w:r>
              <w:rPr>
                <w:rFonts w:hint="eastAsia" w:ascii="宋体" w:hAnsi="宋体" w:cs="宋体"/>
                <w:color w:val="000000"/>
                <w:kern w:val="0"/>
                <w:sz w:val="24"/>
                <w:szCs w:val="24"/>
              </w:rPr>
              <w:t>2</w:t>
            </w:r>
          </w:p>
        </w:tc>
        <w:tc>
          <w:tcPr>
            <w:tcW w:w="510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color w:val="000000"/>
                <w:kern w:val="0"/>
                <w:sz w:val="24"/>
                <w:szCs w:val="24"/>
              </w:rPr>
              <w:t>22.86</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Arial"/>
                <w:color w:val="000000"/>
                <w:kern w:val="0"/>
                <w:sz w:val="22"/>
              </w:rPr>
            </w:pPr>
            <w:r>
              <w:rPr>
                <w:rFonts w:ascii="宋体" w:hAnsi="宋体" w:cs="Arial"/>
                <w:color w:val="000000"/>
                <w:kern w:val="0"/>
                <w:sz w:val="22"/>
              </w:rPr>
              <w:t xml:space="preserve">  </w:t>
            </w:r>
            <w:r>
              <w:rPr>
                <w:rFonts w:hint="eastAsia" w:ascii="宋体" w:hAnsi="宋体" w:cs="Arial"/>
                <w:color w:val="000000"/>
                <w:kern w:val="0"/>
                <w:sz w:val="22"/>
              </w:rPr>
              <w:t>（三）单价在</w:t>
            </w:r>
            <w:r>
              <w:rPr>
                <w:rFonts w:ascii="宋体" w:hAnsi="宋体" w:cs="Arial"/>
                <w:color w:val="000000"/>
                <w:kern w:val="0"/>
                <w:sz w:val="22"/>
              </w:rPr>
              <w:t>20</w:t>
            </w:r>
            <w:r>
              <w:rPr>
                <w:rFonts w:hint="eastAsia" w:ascii="宋体" w:hAnsi="宋体" w:cs="Arial"/>
                <w:color w:val="000000"/>
                <w:kern w:val="0"/>
                <w:sz w:val="22"/>
              </w:rPr>
              <w:t>万元以上的设备（台、套…）</w:t>
            </w:r>
          </w:p>
        </w:tc>
        <w:tc>
          <w:tcPr>
            <w:tcW w:w="3155" w:type="dxa"/>
            <w:tcBorders>
              <w:top w:val="nil"/>
              <w:left w:val="nil"/>
              <w:bottom w:val="single" w:color="auto" w:sz="4" w:space="0"/>
              <w:right w:val="single" w:color="auto" w:sz="4" w:space="0"/>
            </w:tcBorders>
            <w:vAlign w:val="center"/>
          </w:tcPr>
          <w:p>
            <w:pPr>
              <w:widowControl/>
              <w:jc w:val="center"/>
              <w:rPr>
                <w:rFonts w:ascii="宋体" w:cs="宋体"/>
                <w:kern w:val="0"/>
                <w:sz w:val="22"/>
              </w:rPr>
            </w:pPr>
          </w:p>
        </w:tc>
        <w:tc>
          <w:tcPr>
            <w:tcW w:w="510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Arial"/>
                <w:color w:val="000000"/>
                <w:kern w:val="0"/>
                <w:sz w:val="22"/>
              </w:rPr>
            </w:pPr>
            <w:r>
              <w:rPr>
                <w:rFonts w:ascii="宋体" w:hAnsi="宋体" w:cs="Arial"/>
                <w:color w:val="000000"/>
                <w:kern w:val="0"/>
                <w:sz w:val="22"/>
              </w:rPr>
              <w:t xml:space="preserve">  </w:t>
            </w:r>
            <w:r>
              <w:rPr>
                <w:rFonts w:hint="eastAsia" w:ascii="宋体" w:hAnsi="宋体" w:cs="Arial"/>
                <w:color w:val="000000"/>
                <w:kern w:val="0"/>
                <w:sz w:val="22"/>
              </w:rPr>
              <w:t>（四）其他固定资产</w:t>
            </w:r>
          </w:p>
        </w:tc>
        <w:tc>
          <w:tcPr>
            <w:tcW w:w="3155"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419</w:t>
            </w:r>
          </w:p>
        </w:tc>
        <w:tc>
          <w:tcPr>
            <w:tcW w:w="510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color w:val="000000"/>
                <w:kern w:val="0"/>
                <w:sz w:val="24"/>
                <w:szCs w:val="24"/>
              </w:rPr>
              <w:t>100.98</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Arial"/>
                <w:color w:val="000000"/>
                <w:kern w:val="0"/>
                <w:sz w:val="22"/>
              </w:rPr>
            </w:pPr>
          </w:p>
        </w:tc>
        <w:tc>
          <w:tcPr>
            <w:tcW w:w="3155" w:type="dxa"/>
            <w:tcBorders>
              <w:top w:val="nil"/>
              <w:left w:val="nil"/>
              <w:bottom w:val="single" w:color="auto" w:sz="4" w:space="0"/>
              <w:right w:val="single" w:color="auto" w:sz="4" w:space="0"/>
            </w:tcBorders>
            <w:vAlign w:val="center"/>
          </w:tcPr>
          <w:p>
            <w:pPr>
              <w:widowControl/>
              <w:jc w:val="center"/>
              <w:rPr>
                <w:rFonts w:ascii="宋体" w:cs="宋体"/>
                <w:kern w:val="0"/>
                <w:sz w:val="22"/>
              </w:rPr>
            </w:pPr>
            <w:r>
              <w:rPr>
                <w:rFonts w:ascii="宋体" w:hAnsi="宋体" w:cs="宋体"/>
                <w:kern w:val="0"/>
                <w:sz w:val="22"/>
              </w:rPr>
              <w:t>——</w:t>
            </w:r>
          </w:p>
        </w:tc>
        <w:tc>
          <w:tcPr>
            <w:tcW w:w="5103" w:type="dxa"/>
            <w:tcBorders>
              <w:top w:val="nil"/>
              <w:left w:val="nil"/>
              <w:bottom w:val="single" w:color="auto" w:sz="4" w:space="0"/>
              <w:right w:val="single" w:color="auto" w:sz="4" w:space="0"/>
            </w:tcBorders>
            <w:vAlign w:val="center"/>
          </w:tcPr>
          <w:p>
            <w:pPr>
              <w:widowControl/>
              <w:jc w:val="center"/>
              <w:rPr>
                <w:rFonts w:ascii="宋体" w:cs="宋体"/>
                <w:kern w:val="0"/>
                <w:sz w:val="22"/>
              </w:rPr>
            </w:pPr>
          </w:p>
        </w:tc>
      </w:tr>
    </w:tbl>
    <w:p>
      <w:pPr>
        <w:rPr>
          <w:rFonts w:ascii="仿宋_GB2312" w:hAnsi="黑体" w:eastAsia="仿宋_GB2312"/>
          <w:color w:val="FF0000"/>
          <w:sz w:val="32"/>
          <w:szCs w:val="32"/>
        </w:rPr>
      </w:pPr>
    </w:p>
    <w:p>
      <w:pPr>
        <w:autoSpaceDE w:val="0"/>
        <w:autoSpaceDN w:val="0"/>
        <w:adjustRightInd w:val="0"/>
        <w:ind w:left="198" w:firstLine="640" w:firstLineChars="200"/>
        <w:jc w:val="left"/>
        <w:rPr>
          <w:rFonts w:hint="eastAsia" w:ascii="黑体" w:hAnsi="黑体" w:eastAsia="黑体"/>
          <w:sz w:val="32"/>
          <w:szCs w:val="32"/>
        </w:rPr>
      </w:pPr>
    </w:p>
    <w:p>
      <w:pPr>
        <w:autoSpaceDE w:val="0"/>
        <w:autoSpaceDN w:val="0"/>
        <w:adjustRightInd w:val="0"/>
        <w:ind w:left="198" w:firstLine="640" w:firstLineChars="200"/>
        <w:jc w:val="left"/>
        <w:rPr>
          <w:rFonts w:ascii="黑体" w:hAnsi="黑体" w:eastAsia="黑体"/>
          <w:sz w:val="32"/>
          <w:szCs w:val="32"/>
        </w:rPr>
      </w:pPr>
      <w:r>
        <w:rPr>
          <w:rFonts w:hint="eastAsia" w:ascii="黑体" w:hAnsi="黑体" w:eastAsia="黑体"/>
          <w:sz w:val="32"/>
          <w:szCs w:val="32"/>
        </w:rPr>
        <w:t>八、名词解释</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1</w:t>
      </w:r>
      <w:r>
        <w:rPr>
          <w:rFonts w:hint="eastAsia" w:ascii="楷体_GB2312" w:hAnsi="楷体_GB2312" w:eastAsia="楷体_GB2312" w:cs="楷体_GB2312"/>
          <w:b/>
          <w:bCs/>
          <w:sz w:val="32"/>
          <w:szCs w:val="32"/>
        </w:rPr>
        <w:t>、一般公共预算拨款收入：</w:t>
      </w:r>
      <w:r>
        <w:rPr>
          <w:rFonts w:hint="eastAsia" w:ascii="仿宋_GB2312" w:hAnsi="仿宋_GB2312" w:eastAsia="仿宋_GB2312" w:cs="仿宋_GB2312"/>
          <w:sz w:val="32"/>
          <w:szCs w:val="32"/>
        </w:rPr>
        <w:t>指财政当年拨付的资金。</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2</w:t>
      </w:r>
      <w:r>
        <w:rPr>
          <w:rFonts w:hint="eastAsia" w:ascii="楷体_GB2312" w:hAnsi="楷体_GB2312" w:eastAsia="楷体_GB2312" w:cs="楷体_GB2312"/>
          <w:b/>
          <w:bCs/>
          <w:sz w:val="32"/>
          <w:szCs w:val="32"/>
        </w:rPr>
        <w:t>、事业收入：</w:t>
      </w:r>
      <w:r>
        <w:rPr>
          <w:rFonts w:hint="eastAsia" w:ascii="仿宋_GB2312" w:hAnsi="仿宋_GB2312" w:eastAsia="仿宋_GB2312" w:cs="仿宋_GB2312"/>
          <w:sz w:val="32"/>
          <w:szCs w:val="32"/>
        </w:rPr>
        <w:t>指事业单位开展专业业务活动及辅助活动所取得的收入。</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3</w:t>
      </w:r>
      <w:r>
        <w:rPr>
          <w:rFonts w:hint="eastAsia" w:ascii="楷体_GB2312" w:hAnsi="楷体_GB2312" w:eastAsia="楷体_GB2312" w:cs="楷体_GB2312"/>
          <w:b/>
          <w:bCs/>
          <w:sz w:val="32"/>
          <w:szCs w:val="32"/>
        </w:rPr>
        <w:t>、其他收入：</w:t>
      </w:r>
      <w:r>
        <w:rPr>
          <w:rFonts w:hint="eastAsia" w:ascii="仿宋_GB2312" w:hAnsi="仿宋_GB2312" w:eastAsia="仿宋_GB2312" w:cs="仿宋_GB2312"/>
          <w:sz w:val="32"/>
          <w:szCs w:val="32"/>
        </w:rPr>
        <w:t>指除“一般公共预算拨款收入”、“事业收入”等以外的收入。主要是按规定动用的租房收入、存款利息收入等。</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4</w:t>
      </w:r>
      <w:r>
        <w:rPr>
          <w:rFonts w:hint="eastAsia" w:ascii="楷体_GB2312" w:hAnsi="楷体_GB2312" w:eastAsia="楷体_GB2312" w:cs="楷体_GB2312"/>
          <w:b/>
          <w:bCs/>
          <w:sz w:val="32"/>
          <w:szCs w:val="32"/>
        </w:rPr>
        <w:t>、基本支出：</w:t>
      </w:r>
      <w:r>
        <w:rPr>
          <w:rFonts w:hint="eastAsia" w:ascii="仿宋_GB2312" w:hAnsi="仿宋_GB2312" w:eastAsia="仿宋_GB2312" w:cs="仿宋_GB2312"/>
          <w:sz w:val="32"/>
          <w:szCs w:val="32"/>
        </w:rPr>
        <w:t>指为保障机构正常运转、完成日常工作任务而发生的人员支出和公用支出。</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5</w:t>
      </w:r>
      <w:r>
        <w:rPr>
          <w:rFonts w:hint="eastAsia" w:ascii="楷体_GB2312" w:hAnsi="楷体_GB2312" w:eastAsia="楷体_GB2312" w:cs="楷体_GB2312"/>
          <w:b/>
          <w:bCs/>
          <w:sz w:val="32"/>
          <w:szCs w:val="32"/>
        </w:rPr>
        <w:t>、项目支出：</w:t>
      </w:r>
      <w:r>
        <w:rPr>
          <w:rFonts w:hint="eastAsia" w:ascii="仿宋_GB2312" w:hAnsi="仿宋_GB2312" w:eastAsia="仿宋_GB2312" w:cs="仿宋_GB2312"/>
          <w:sz w:val="32"/>
          <w:szCs w:val="32"/>
        </w:rPr>
        <w:t>指在基本支出之外为完成特定行政任务和事业发展目标所发生的支出。</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6</w:t>
      </w:r>
      <w:r>
        <w:rPr>
          <w:rFonts w:hint="eastAsia" w:ascii="楷体_GB2312" w:hAnsi="楷体_GB2312" w:eastAsia="楷体_GB2312" w:cs="楷体_GB2312"/>
          <w:b/>
          <w:bCs/>
          <w:sz w:val="32"/>
          <w:szCs w:val="32"/>
        </w:rPr>
        <w:t>、上缴上级支出：</w:t>
      </w:r>
      <w:r>
        <w:rPr>
          <w:rFonts w:hint="eastAsia" w:ascii="仿宋_GB2312" w:hAnsi="仿宋_GB2312" w:eastAsia="仿宋_GB2312" w:cs="仿宋_GB2312"/>
          <w:sz w:val="32"/>
          <w:szCs w:val="32"/>
        </w:rPr>
        <w:t>指下级单位上缴上级的支出。</w:t>
      </w:r>
    </w:p>
    <w:p>
      <w:pPr>
        <w:ind w:firstLine="643" w:firstLineChars="200"/>
        <w:rPr>
          <w:rFonts w:ascii="楷体_GB2312" w:hAnsi="楷体_GB2312" w:eastAsia="楷体_GB2312" w:cs="楷体_GB2312"/>
          <w:b/>
          <w:bCs/>
          <w:sz w:val="32"/>
          <w:szCs w:val="32"/>
        </w:rPr>
      </w:pPr>
      <w:r>
        <w:rPr>
          <w:rFonts w:ascii="楷体_GB2312" w:hAnsi="楷体_GB2312" w:eastAsia="楷体_GB2312" w:cs="楷体_GB2312"/>
          <w:b/>
          <w:bCs/>
          <w:sz w:val="32"/>
          <w:szCs w:val="32"/>
        </w:rPr>
        <w:t>7</w:t>
      </w:r>
      <w:r>
        <w:rPr>
          <w:rFonts w:hint="eastAsia" w:ascii="楷体_GB2312" w:hAnsi="楷体_GB2312" w:eastAsia="楷体_GB2312" w:cs="楷体_GB2312"/>
          <w:b/>
          <w:bCs/>
          <w:sz w:val="32"/>
          <w:szCs w:val="32"/>
        </w:rPr>
        <w:t>、“三公”经费：</w:t>
      </w:r>
      <w:r>
        <w:rPr>
          <w:rFonts w:hint="eastAsia" w:ascii="仿宋_GB2312" w:hAnsi="仿宋_GB2312" w:eastAsia="仿宋_GB2312" w:cs="仿宋_GB2312"/>
          <w:sz w:val="32"/>
          <w:szCs w:val="32"/>
        </w:rPr>
        <w:t>纳入财政预算管理的“三公”经费，是指各</w:t>
      </w:r>
      <w:r>
        <w:rPr>
          <w:rFonts w:hint="eastAsia" w:ascii="仿宋_GB2312" w:hAnsi="仿宋_GB2312" w:eastAsia="仿宋_GB2312" w:cs="仿宋_GB2312"/>
          <w:sz w:val="32"/>
          <w:szCs w:val="32"/>
          <w:lang w:eastAsia="zh-CN"/>
        </w:rPr>
        <w:t>预算</w:t>
      </w:r>
      <w:r>
        <w:rPr>
          <w:rFonts w:hint="eastAsia" w:ascii="仿宋_GB2312" w:hAnsi="仿宋_GB2312" w:eastAsia="仿宋_GB2312" w:cs="仿宋_GB2312"/>
          <w:sz w:val="32"/>
          <w:szCs w:val="32"/>
        </w:rPr>
        <w:t>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8</w:t>
      </w:r>
      <w:r>
        <w:rPr>
          <w:rFonts w:hint="eastAsia" w:ascii="楷体_GB2312" w:hAnsi="楷体_GB2312" w:eastAsia="楷体_GB2312" w:cs="楷体_GB2312"/>
          <w:b/>
          <w:bCs/>
          <w:sz w:val="32"/>
          <w:szCs w:val="32"/>
        </w:rPr>
        <w:t>、机关运行经费：</w:t>
      </w:r>
      <w:r>
        <w:rPr>
          <w:rFonts w:hint="eastAsia" w:ascii="仿宋_GB2312" w:hAnsi="仿宋_GB2312" w:eastAsia="仿宋_GB2312" w:cs="仿宋_GB2312"/>
          <w:sz w:val="32"/>
          <w:szCs w:val="32"/>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9</w:t>
      </w:r>
      <w:r>
        <w:rPr>
          <w:rFonts w:hint="eastAsia" w:ascii="楷体_GB2312" w:hAnsi="楷体_GB2312" w:eastAsia="楷体_GB2312" w:cs="楷体_GB2312"/>
          <w:b/>
          <w:bCs/>
          <w:sz w:val="32"/>
          <w:szCs w:val="32"/>
        </w:rPr>
        <w:t>、上年结转：</w:t>
      </w:r>
      <w:r>
        <w:rPr>
          <w:rFonts w:hint="eastAsia" w:ascii="仿宋_GB2312" w:hAnsi="仿宋_GB2312" w:eastAsia="仿宋_GB2312" w:cs="仿宋_GB2312"/>
          <w:sz w:val="32"/>
          <w:szCs w:val="32"/>
        </w:rPr>
        <w:t>指以前年度尚未完成、结转到本年仍按原规定用途继续使用的资金。</w:t>
      </w:r>
    </w:p>
    <w:p>
      <w:pPr>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10</w:t>
      </w:r>
      <w:r>
        <w:rPr>
          <w:rFonts w:hint="eastAsia" w:ascii="楷体_GB2312" w:hAnsi="楷体_GB2312" w:eastAsia="楷体_GB2312" w:cs="楷体_GB2312"/>
          <w:b/>
          <w:bCs/>
          <w:sz w:val="32"/>
          <w:szCs w:val="32"/>
        </w:rPr>
        <w:t>、事业单位经营支出：</w:t>
      </w:r>
      <w:r>
        <w:rPr>
          <w:rFonts w:hint="eastAsia" w:ascii="仿宋_GB2312" w:hAnsi="仿宋_GB2312" w:eastAsia="仿宋_GB2312" w:cs="仿宋_GB2312"/>
          <w:sz w:val="32"/>
          <w:szCs w:val="32"/>
        </w:rPr>
        <w:t>指事业单位在专业业务活动及其辅助活动之外开展非独立核算经营活动发生的支出。</w:t>
      </w:r>
    </w:p>
    <w:p/>
    <w:p>
      <w:pPr>
        <w:autoSpaceDE w:val="0"/>
        <w:autoSpaceDN w:val="0"/>
        <w:adjustRightInd w:val="0"/>
        <w:ind w:left="198"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九、其他需要说明的事项</w:t>
      </w:r>
    </w:p>
    <w:p>
      <w:pPr>
        <w:adjustRightInd w:val="0"/>
        <w:snapToGrid w:val="0"/>
        <w:spacing w:line="560" w:lineRule="exact"/>
        <w:ind w:firstLine="640" w:firstLineChars="200"/>
        <w:rPr>
          <w:rFonts w:ascii="仿宋_GB2312" w:hAnsi="仿宋_GB2312" w:eastAsia="仿宋_GB2312" w:cs="仿宋_GB2312"/>
          <w:sz w:val="32"/>
          <w:szCs w:val="32"/>
        </w:rPr>
        <w:sectPr>
          <w:pgSz w:w="16839" w:h="11907" w:orient="landscape"/>
          <w:pgMar w:top="1304" w:right="1984" w:bottom="1304" w:left="1134" w:header="851" w:footer="992" w:gutter="0"/>
          <w:cols w:space="425" w:num="1"/>
          <w:docGrid w:type="lines" w:linePitch="312" w:charSpace="0"/>
        </w:sect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、滦州市滦城街道办事处</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20年部门预算中未安排国有资本经营预算，故国有资本经营预算支出表空表列示。</w:t>
      </w:r>
    </w:p>
    <w:p>
      <w:pPr>
        <w:autoSpaceDE w:val="0"/>
        <w:autoSpaceDN w:val="0"/>
        <w:adjustRightInd w:val="0"/>
        <w:jc w:val="left"/>
        <w:rPr>
          <w:rFonts w:ascii="黑体" w:hAnsi="黑体" w:eastAsia="黑体"/>
          <w:sz w:val="32"/>
          <w:szCs w:val="32"/>
        </w:rPr>
      </w:pPr>
    </w:p>
    <w:sectPr>
      <w:headerReference r:id="rId4" w:type="default"/>
      <w:pgSz w:w="16839" w:h="11907" w:orient="landscape"/>
      <w:pgMar w:top="1361" w:right="1020" w:bottom="1361" w:left="10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8"/>
      </w:rPr>
    </w:pPr>
    <w:r>
      <w:rPr>
        <w:rStyle w:val="8"/>
      </w:rPr>
      <w:fldChar w:fldCharType="begin"/>
    </w:r>
    <w:r>
      <w:rPr>
        <w:rStyle w:val="8"/>
      </w:rPr>
      <w:instrText xml:space="preserve">PAGE  </w:instrText>
    </w:r>
    <w:r>
      <w:rPr>
        <w:rStyle w:val="8"/>
      </w:rPr>
      <w:fldChar w:fldCharType="separate"/>
    </w:r>
    <w:r>
      <w:rPr>
        <w:rStyle w:val="8"/>
      </w:rPr>
      <w:t>37</w:t>
    </w:r>
    <w:r>
      <w:rPr>
        <w:rStyle w:val="8"/>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3678FE"/>
    <w:multiLevelType w:val="singleLevel"/>
    <w:tmpl w:val="173678FE"/>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667"/>
    <w:rsid w:val="000455BD"/>
    <w:rsid w:val="000634EA"/>
    <w:rsid w:val="000667D4"/>
    <w:rsid w:val="000C0383"/>
    <w:rsid w:val="000D0D4D"/>
    <w:rsid w:val="000E2E60"/>
    <w:rsid w:val="000F3307"/>
    <w:rsid w:val="00123EFF"/>
    <w:rsid w:val="001342B6"/>
    <w:rsid w:val="001A796A"/>
    <w:rsid w:val="001D3BE4"/>
    <w:rsid w:val="00216A5D"/>
    <w:rsid w:val="002E01B6"/>
    <w:rsid w:val="002E5D00"/>
    <w:rsid w:val="00303C4A"/>
    <w:rsid w:val="003061F6"/>
    <w:rsid w:val="00330659"/>
    <w:rsid w:val="00373ECF"/>
    <w:rsid w:val="003858EA"/>
    <w:rsid w:val="003913FD"/>
    <w:rsid w:val="003975FC"/>
    <w:rsid w:val="003C5667"/>
    <w:rsid w:val="003D7DE9"/>
    <w:rsid w:val="00463BEB"/>
    <w:rsid w:val="004C30B0"/>
    <w:rsid w:val="004F75B0"/>
    <w:rsid w:val="0053351A"/>
    <w:rsid w:val="005864A8"/>
    <w:rsid w:val="005F2B40"/>
    <w:rsid w:val="0060000D"/>
    <w:rsid w:val="00622096"/>
    <w:rsid w:val="00630A06"/>
    <w:rsid w:val="00643712"/>
    <w:rsid w:val="006520C9"/>
    <w:rsid w:val="00660D6A"/>
    <w:rsid w:val="00664BED"/>
    <w:rsid w:val="00671BEF"/>
    <w:rsid w:val="006B2EE5"/>
    <w:rsid w:val="006F11AF"/>
    <w:rsid w:val="00701994"/>
    <w:rsid w:val="0071068C"/>
    <w:rsid w:val="00712C98"/>
    <w:rsid w:val="00765C55"/>
    <w:rsid w:val="007866D3"/>
    <w:rsid w:val="00797650"/>
    <w:rsid w:val="007A3A14"/>
    <w:rsid w:val="007B4873"/>
    <w:rsid w:val="008029A4"/>
    <w:rsid w:val="008226CF"/>
    <w:rsid w:val="00823197"/>
    <w:rsid w:val="008268D5"/>
    <w:rsid w:val="0083161A"/>
    <w:rsid w:val="00841598"/>
    <w:rsid w:val="00896DF3"/>
    <w:rsid w:val="008A0AAC"/>
    <w:rsid w:val="008A4589"/>
    <w:rsid w:val="00954D7F"/>
    <w:rsid w:val="00A00D7B"/>
    <w:rsid w:val="00A155AE"/>
    <w:rsid w:val="00A65A59"/>
    <w:rsid w:val="00A66C03"/>
    <w:rsid w:val="00AA45DE"/>
    <w:rsid w:val="00AB5C33"/>
    <w:rsid w:val="00B03949"/>
    <w:rsid w:val="00B26B05"/>
    <w:rsid w:val="00B91BBF"/>
    <w:rsid w:val="00BC5D90"/>
    <w:rsid w:val="00C339C6"/>
    <w:rsid w:val="00CB7239"/>
    <w:rsid w:val="00CD2934"/>
    <w:rsid w:val="00CD5EAE"/>
    <w:rsid w:val="00CF356E"/>
    <w:rsid w:val="00D72774"/>
    <w:rsid w:val="00DD158F"/>
    <w:rsid w:val="00DE444D"/>
    <w:rsid w:val="00EC465B"/>
    <w:rsid w:val="00ED34D3"/>
    <w:rsid w:val="00F303FC"/>
    <w:rsid w:val="00F36759"/>
    <w:rsid w:val="00F70E71"/>
    <w:rsid w:val="00F84E15"/>
    <w:rsid w:val="00FB4B81"/>
    <w:rsid w:val="00FD27EC"/>
    <w:rsid w:val="12BE2EA2"/>
    <w:rsid w:val="33063667"/>
    <w:rsid w:val="3AB150EE"/>
    <w:rsid w:val="418E7BE1"/>
    <w:rsid w:val="4D254B64"/>
    <w:rsid w:val="5E145CD3"/>
    <w:rsid w:val="77655C38"/>
    <w:rsid w:val="78911F33"/>
    <w:rsid w:val="7B734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0"/>
    <w:pPr>
      <w:tabs>
        <w:tab w:val="center" w:pos="4153"/>
        <w:tab w:val="right" w:pos="8306"/>
      </w:tabs>
      <w:snapToGrid w:val="0"/>
      <w:jc w:val="left"/>
    </w:pPr>
    <w:rPr>
      <w:sz w:val="18"/>
      <w:szCs w:val="18"/>
    </w:rPr>
  </w:style>
  <w:style w:type="paragraph" w:styleId="3">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semiHidden/>
    <w:qFormat/>
    <w:uiPriority w:val="0"/>
    <w:rPr>
      <w:rFonts w:ascii="Times New Roman" w:hAnsi="Times New Roman" w:eastAsia="宋体" w:cs="Times New Roman"/>
      <w:szCs w:val="24"/>
    </w:rPr>
  </w:style>
  <w:style w:type="paragraph" w:styleId="5">
    <w:name w:val="footnote text"/>
    <w:basedOn w:val="1"/>
    <w:link w:val="12"/>
    <w:semiHidden/>
    <w:qFormat/>
    <w:uiPriority w:val="0"/>
    <w:pPr>
      <w:snapToGrid w:val="0"/>
      <w:jc w:val="left"/>
    </w:pPr>
    <w:rPr>
      <w:rFonts w:ascii="Times New Roman" w:hAnsi="Times New Roman" w:eastAsia="宋体" w:cs="Times New Roman"/>
      <w:sz w:val="18"/>
      <w:szCs w:val="18"/>
    </w:rPr>
  </w:style>
  <w:style w:type="character" w:styleId="8">
    <w:name w:val="page number"/>
    <w:basedOn w:val="7"/>
    <w:qFormat/>
    <w:uiPriority w:val="0"/>
  </w:style>
  <w:style w:type="character" w:styleId="9">
    <w:name w:val="Hyperlink"/>
    <w:basedOn w:val="7"/>
    <w:qFormat/>
    <w:uiPriority w:val="0"/>
    <w:rPr>
      <w:color w:val="0000FF"/>
      <w:u w:val="single"/>
    </w:rPr>
  </w:style>
  <w:style w:type="character" w:styleId="10">
    <w:name w:val="footnote reference"/>
    <w:basedOn w:val="7"/>
    <w:semiHidden/>
    <w:qFormat/>
    <w:uiPriority w:val="0"/>
    <w:rPr>
      <w:vertAlign w:val="superscript"/>
    </w:rPr>
  </w:style>
  <w:style w:type="character" w:customStyle="1" w:styleId="11">
    <w:name w:val="页眉 Char"/>
    <w:basedOn w:val="7"/>
    <w:link w:val="3"/>
    <w:qFormat/>
    <w:uiPriority w:val="99"/>
    <w:rPr>
      <w:sz w:val="18"/>
      <w:szCs w:val="18"/>
    </w:rPr>
  </w:style>
  <w:style w:type="character" w:customStyle="1" w:styleId="12">
    <w:name w:val="脚注文本 Char"/>
    <w:basedOn w:val="7"/>
    <w:link w:val="5"/>
    <w:semiHidden/>
    <w:qFormat/>
    <w:uiPriority w:val="0"/>
    <w:rPr>
      <w:rFonts w:ascii="Times New Roman" w:hAnsi="Times New Roman" w:eastAsia="宋体" w:cs="Times New Roman"/>
      <w:sz w:val="18"/>
      <w:szCs w:val="18"/>
    </w:rPr>
  </w:style>
  <w:style w:type="character" w:customStyle="1" w:styleId="13">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Pages>
  <Words>3433</Words>
  <Characters>19572</Characters>
  <Lines>163</Lines>
  <Paragraphs>45</Paragraphs>
  <TotalTime>6</TotalTime>
  <ScaleCrop>false</ScaleCrop>
  <LinksUpToDate>false</LinksUpToDate>
  <CharactersWithSpaces>22960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2019-02-02T08:49:00Z</dcterms:created>
  <dc:creator>Windows 用户</dc:creator>
  <cp:lastModifiedBy>Administrator</cp:lastModifiedBy>
  <dcterms:modified xsi:type="dcterms:W3CDTF">2024-03-22T06:58:42Z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D07DE5F746F84ECB9BFE1D5776857004</vt:lpwstr>
  </property>
</Properties>
</file>