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4" w:line="261" w:lineRule="auto"/>
        <w:ind w:left="3784" w:right="154" w:hanging="3707"/>
        <w:jc w:val="center"/>
        <w:rPr>
          <w:rFonts w:ascii="宋体" w:hAnsi="宋体" w:eastAsia="宋体" w:cs="宋体"/>
          <w:color w:val="333333"/>
          <w:spacing w:val="-53"/>
          <w:sz w:val="36"/>
          <w:szCs w:val="36"/>
        </w:rPr>
      </w:pPr>
      <w:r>
        <w:rPr>
          <w:rFonts w:ascii="宋体" w:hAnsi="宋体" w:eastAsia="宋体" w:cs="宋体"/>
          <w:color w:val="333333"/>
          <w:spacing w:val="8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滦州市人力资源和社会保障局</w:t>
      </w:r>
    </w:p>
    <w:p>
      <w:pPr>
        <w:spacing w:before="144" w:line="261" w:lineRule="auto"/>
        <w:ind w:left="3784" w:right="154" w:hanging="3707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color w:val="333333"/>
          <w:spacing w:val="8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202</w:t>
      </w:r>
      <w:r>
        <w:rPr>
          <w:rFonts w:hint="eastAsia" w:ascii="宋体" w:hAnsi="宋体" w:eastAsia="宋体" w:cs="宋体"/>
          <w:color w:val="333333"/>
          <w:spacing w:val="8"/>
          <w:sz w:val="36"/>
          <w:szCs w:val="36"/>
          <w:lang w:val="en-US" w:eastAsia="zh-CN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3</w:t>
      </w:r>
      <w:r>
        <w:rPr>
          <w:rFonts w:ascii="宋体" w:hAnsi="宋体" w:eastAsia="宋体" w:cs="宋体"/>
          <w:color w:val="333333"/>
          <w:spacing w:val="8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年政府信息公开工</w:t>
      </w:r>
      <w:r>
        <w:rPr>
          <w:rFonts w:ascii="宋体" w:hAnsi="宋体" w:eastAsia="宋体" w:cs="宋体"/>
          <w:color w:val="333333"/>
          <w:spacing w:val="5"/>
          <w:sz w:val="36"/>
          <w:szCs w:val="36"/>
          <w14:textOutline w14:w="6537" w14:cap="sq" w14:cmpd="sng">
            <w14:solidFill>
              <w14:srgbClr w14:val="333333"/>
            </w14:solidFill>
            <w14:prstDash w14:val="solid"/>
            <w14:bevel/>
          </w14:textOutline>
        </w:rPr>
        <w:t>作报告</w:t>
      </w:r>
    </w:p>
    <w:p>
      <w:pPr>
        <w:spacing w:before="240" w:line="228" w:lineRule="auto"/>
        <w:ind w:firstLine="484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8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一、总体情况</w:t>
      </w:r>
    </w:p>
    <w:p>
      <w:pPr>
        <w:spacing w:before="80" w:line="300" w:lineRule="auto"/>
        <w:ind w:firstLine="48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202</w:t>
      </w:r>
      <w:bookmarkStart w:id="0" w:name="_GoBack"/>
      <w:bookmarkEnd w:id="0"/>
      <w:r>
        <w:rPr>
          <w:rFonts w:hint="eastAsia" w:ascii="宋体" w:hAnsi="宋体" w:eastAsia="宋体" w:cs="宋体"/>
          <w:spacing w:val="7"/>
          <w:sz w:val="23"/>
          <w:szCs w:val="23"/>
          <w:lang w:val="en-US" w:eastAsia="zh-CN"/>
        </w:rPr>
        <w:t>3</w:t>
      </w:r>
      <w:r>
        <w:rPr>
          <w:rFonts w:ascii="宋体" w:hAnsi="宋体" w:eastAsia="宋体" w:cs="宋体"/>
          <w:spacing w:val="7"/>
          <w:sz w:val="23"/>
          <w:szCs w:val="23"/>
        </w:rPr>
        <w:t>年以来，滦州市人力资源和社会保障局高度重视政府信息公开工作，认真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3"/>
          <w:sz w:val="23"/>
          <w:szCs w:val="23"/>
        </w:rPr>
        <w:t>贯彻落实《中华人民共和国政府信息公开条例》</w:t>
      </w:r>
      <w:r>
        <w:rPr>
          <w:rFonts w:ascii="宋体" w:hAnsi="宋体" w:eastAsia="宋体" w:cs="宋体"/>
          <w:spacing w:val="-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3"/>
          <w:sz w:val="23"/>
          <w:szCs w:val="23"/>
        </w:rPr>
        <w:t>及有关文件精神，按照公开、公正、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规范、高效、便民的基本要求，坚持依法公开、真实公正、讲求实效、利于监督的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原则，不断拓展公开内容，完善公开制度，扎实推进政府信息公开工作，为社会提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供方便、快捷的政府信息公开服务。以“公开为原则，不公开为例外”为准则，对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于行政决策、执行、管理、服务方面的信息，全面、准确、及时地做好公开工作。</w:t>
      </w:r>
    </w:p>
    <w:p>
      <w:pPr>
        <w:spacing w:before="120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（一）主动公开情况。</w:t>
      </w:r>
    </w:p>
    <w:p>
      <w:pPr>
        <w:spacing w:before="234" w:line="302" w:lineRule="auto"/>
        <w:ind w:right="80" w:firstLine="50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围绕</w:t>
      </w:r>
      <w:r>
        <w:rPr>
          <w:rFonts w:hint="eastAsia" w:ascii="宋体" w:hAnsi="宋体" w:eastAsia="宋体" w:cs="宋体"/>
          <w:spacing w:val="9"/>
          <w:sz w:val="23"/>
          <w:szCs w:val="23"/>
          <w:lang w:eastAsia="zh-CN"/>
        </w:rPr>
        <w:t>劳动执法、</w:t>
      </w:r>
      <w:r>
        <w:rPr>
          <w:rFonts w:ascii="宋体" w:hAnsi="宋体" w:eastAsia="宋体" w:cs="宋体"/>
          <w:spacing w:val="9"/>
          <w:sz w:val="23"/>
          <w:szCs w:val="23"/>
        </w:rPr>
        <w:t>人事人才、社会保险、就业创业、减负稳岗扩就业等方面信</w:t>
      </w:r>
      <w:r>
        <w:rPr>
          <w:rFonts w:ascii="宋体" w:hAnsi="宋体" w:eastAsia="宋体" w:cs="宋体"/>
          <w:spacing w:val="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息发布和精准推送，通过市政府门户网站集中发布，并运用图文、视频、音频、媒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体报道、发布会等多种形式解读。</w:t>
      </w:r>
    </w:p>
    <w:p>
      <w:pPr>
        <w:spacing w:before="124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（二）依申请公开情况。</w:t>
      </w:r>
    </w:p>
    <w:p>
      <w:pPr>
        <w:spacing w:before="236" w:line="305" w:lineRule="auto"/>
        <w:ind w:right="80" w:firstLine="48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做到应公开的全部公开，政策公开，方便社会各界快捷了解人社法律、法规和</w:t>
      </w:r>
      <w:r>
        <w:rPr>
          <w:rFonts w:ascii="宋体" w:hAnsi="宋体" w:eastAsia="宋体" w:cs="宋体"/>
          <w:spacing w:val="2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政策，并认真抓好各项制度的落实，使政府信息公开工作做到了有章可循。</w:t>
      </w:r>
    </w:p>
    <w:p>
      <w:pPr>
        <w:spacing w:before="124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sz w:val="23"/>
          <w:szCs w:val="23"/>
        </w:rPr>
        <w:t>（三）</w:t>
      </w:r>
      <w:r>
        <w:rPr>
          <w:rFonts w:ascii="宋体" w:hAnsi="宋体" w:eastAsia="宋体" w:cs="宋体"/>
          <w:spacing w:val="-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2"/>
          <w:sz w:val="23"/>
          <w:szCs w:val="23"/>
        </w:rPr>
        <w:t>政府信息管理情况。</w:t>
      </w:r>
    </w:p>
    <w:p>
      <w:pPr>
        <w:spacing w:before="237" w:line="305" w:lineRule="auto"/>
        <w:ind w:left="1" w:right="80" w:firstLine="47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健全政府信息管理动态调整机制，不断完善政府信息公开功能，充分发挥了网</w:t>
      </w:r>
      <w:r>
        <w:rPr>
          <w:rFonts w:ascii="宋体" w:hAnsi="宋体" w:eastAsia="宋体" w:cs="宋体"/>
          <w:spacing w:val="2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站作为政务公开第一平台，服务基层、对外宣传和展示形象的作用。</w:t>
      </w:r>
    </w:p>
    <w:p>
      <w:pPr>
        <w:spacing w:before="124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"/>
          <w:sz w:val="23"/>
          <w:szCs w:val="23"/>
        </w:rPr>
        <w:t>（四）</w:t>
      </w:r>
      <w:r>
        <w:rPr>
          <w:rFonts w:ascii="宋体" w:hAnsi="宋体" w:eastAsia="宋体" w:cs="宋体"/>
          <w:spacing w:val="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"/>
          <w:sz w:val="23"/>
          <w:szCs w:val="23"/>
        </w:rPr>
        <w:t>政府信息公开平台建设。</w:t>
      </w:r>
    </w:p>
    <w:p>
      <w:pPr>
        <w:spacing w:before="235" w:line="302" w:lineRule="auto"/>
        <w:ind w:left="1" w:right="80" w:firstLine="48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强化门户网站公开主阵地功能，开设了动态信息、办事指南、政策法规、公告</w:t>
      </w:r>
      <w:r>
        <w:rPr>
          <w:rFonts w:ascii="宋体" w:hAnsi="宋体" w:eastAsia="宋体" w:cs="宋体"/>
          <w:spacing w:val="18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公示、人事考试等专栏，按照信息公开目录，逐一上网发布。设立互动交流平台，</w:t>
      </w:r>
      <w:r>
        <w:rPr>
          <w:rFonts w:ascii="宋体" w:hAnsi="宋体" w:eastAsia="宋体" w:cs="宋体"/>
          <w:spacing w:val="2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专门接受群众咨询、投诉、建议，提高了人力资源和社会保障各项工作的透明度和</w:t>
      </w:r>
      <w:r>
        <w:rPr>
          <w:rFonts w:ascii="宋体" w:hAnsi="宋体" w:eastAsia="宋体" w:cs="宋体"/>
          <w:spacing w:val="2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时效性。</w:t>
      </w:r>
    </w:p>
    <w:p>
      <w:pPr>
        <w:spacing w:before="119" w:line="227" w:lineRule="auto"/>
        <w:ind w:firstLine="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5"/>
          <w:sz w:val="23"/>
          <w:szCs w:val="23"/>
        </w:rPr>
        <w:t>（五）</w:t>
      </w:r>
      <w:r>
        <w:rPr>
          <w:rFonts w:ascii="宋体" w:hAnsi="宋体" w:eastAsia="宋体" w:cs="宋体"/>
          <w:spacing w:val="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5"/>
          <w:sz w:val="23"/>
          <w:szCs w:val="23"/>
        </w:rPr>
        <w:t>监督保障情况。</w:t>
      </w:r>
    </w:p>
    <w:p>
      <w:pPr>
        <w:spacing w:before="233" w:line="302" w:lineRule="auto"/>
        <w:ind w:right="80" w:firstLine="72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202</w:t>
      </w:r>
      <w:r>
        <w:rPr>
          <w:rFonts w:hint="eastAsia" w:ascii="宋体" w:hAnsi="宋体" w:eastAsia="宋体" w:cs="宋体"/>
          <w:spacing w:val="7"/>
          <w:sz w:val="23"/>
          <w:szCs w:val="23"/>
          <w:lang w:val="en-US" w:eastAsia="zh-CN"/>
        </w:rPr>
        <w:t>3</w:t>
      </w:r>
      <w:r>
        <w:rPr>
          <w:rFonts w:ascii="宋体" w:hAnsi="宋体" w:eastAsia="宋体" w:cs="宋体"/>
          <w:spacing w:val="-4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年，我局健全了政务公开工作的组织领导和工作保障。局长办公会议专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题研究审议，高位推动。制定政务公开工作要点，明确全年目标任务，并由分管局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领导牵头召开年度会议，传达国家和本市要求，布置具体工作，工作合力和效能显</w:t>
      </w:r>
      <w:r>
        <w:rPr>
          <w:rFonts w:ascii="宋体" w:hAnsi="宋体" w:eastAsia="宋体" w:cs="宋体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著提升。</w:t>
      </w:r>
    </w:p>
    <w:p>
      <w:pPr>
        <w:sectPr>
          <w:pgSz w:w="12240" w:h="15840"/>
          <w:pgMar w:top="1346" w:right="1719" w:bottom="0" w:left="1808" w:header="0" w:footer="0" w:gutter="0"/>
          <w:cols w:space="720" w:num="1"/>
        </w:sectPr>
      </w:pPr>
    </w:p>
    <w:p>
      <w:pPr>
        <w:spacing w:before="127" w:line="227" w:lineRule="auto"/>
        <w:ind w:firstLine="996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二、主动公开政府信息情况</w:t>
      </w:r>
    </w:p>
    <w:p/>
    <w:p>
      <w:pPr>
        <w:spacing w:line="64" w:lineRule="exact"/>
      </w:pPr>
    </w:p>
    <w:tbl>
      <w:tblPr>
        <w:tblStyle w:val="4"/>
        <w:tblW w:w="9744" w:type="dxa"/>
        <w:tblInd w:w="1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1"/>
        <w:gridCol w:w="2431"/>
        <w:gridCol w:w="2431"/>
        <w:gridCol w:w="24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85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第二十条第（</w:t>
            </w:r>
            <w:r>
              <w:rPr>
                <w:rFonts w:ascii="宋体" w:hAnsi="宋体" w:eastAsia="宋体" w:cs="宋体"/>
                <w:spacing w:val="-4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一）项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7" w:lineRule="auto"/>
              <w:ind w:firstLine="6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本年制发件数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7" w:lineRule="auto"/>
              <w:ind w:firstLine="6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本年废止件数</w:t>
            </w:r>
          </w:p>
        </w:tc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8" w:lineRule="auto"/>
              <w:ind w:firstLine="6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现行有效件数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7" w:lineRule="auto"/>
              <w:ind w:firstLine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规章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91" w:lineRule="auto"/>
              <w:ind w:firstLine="1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191" w:lineRule="auto"/>
              <w:ind w:firstLine="1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86" w:lineRule="auto"/>
              <w:ind w:firstLine="116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8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行政规范性文件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91" w:lineRule="auto"/>
              <w:ind w:firstLine="1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91" w:lineRule="auto"/>
              <w:ind w:firstLine="1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86" w:lineRule="auto"/>
              <w:ind w:firstLine="116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79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第二十条第（五）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firstLine="28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行政许可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6" w:lineRule="auto"/>
              <w:ind w:firstLine="359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80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第二十条第（六）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firstLine="28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行政处罚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91" w:lineRule="auto"/>
              <w:ind w:firstLine="35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行政强制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91" w:lineRule="auto"/>
              <w:ind w:firstLine="35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744" w:type="dxa"/>
            <w:gridSpan w:val="4"/>
            <w:tcBorders>
              <w:top w:val="single" w:color="000000" w:sz="2" w:space="0"/>
              <w:bottom w:val="single" w:color="000000" w:sz="2" w:space="0"/>
            </w:tcBorders>
            <w:shd w:val="clear" w:color="auto" w:fill="C6D9F1"/>
            <w:vAlign w:val="top"/>
          </w:tcPr>
          <w:p>
            <w:pPr>
              <w:spacing w:before="80" w:line="228" w:lineRule="auto"/>
              <w:ind w:firstLine="39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第二十条第（八）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8" w:lineRule="auto"/>
              <w:ind w:firstLine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信息内容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7" w:lineRule="auto"/>
              <w:ind w:firstLine="23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本年收费金额（单位：</w:t>
            </w:r>
            <w:r>
              <w:rPr>
                <w:rFonts w:ascii="宋体" w:hAnsi="宋体" w:eastAsia="宋体" w:cs="宋体"/>
                <w:spacing w:val="4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4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firstLine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行政事业性收费</w:t>
            </w:r>
          </w:p>
        </w:tc>
        <w:tc>
          <w:tcPr>
            <w:tcW w:w="730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91" w:lineRule="auto"/>
              <w:ind w:firstLine="35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spacing w:before="275" w:line="227" w:lineRule="auto"/>
        <w:ind w:firstLine="992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10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三、收到和处理政府信息公开申请情况</w:t>
      </w:r>
    </w:p>
    <w:p/>
    <w:p>
      <w:pPr>
        <w:spacing w:line="64" w:lineRule="exact"/>
      </w:pPr>
    </w:p>
    <w:tbl>
      <w:tblPr>
        <w:tblStyle w:val="4"/>
        <w:tblW w:w="97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942"/>
        <w:gridCol w:w="3215"/>
        <w:gridCol w:w="687"/>
        <w:gridCol w:w="687"/>
        <w:gridCol w:w="687"/>
        <w:gridCol w:w="687"/>
        <w:gridCol w:w="687"/>
        <w:gridCol w:w="687"/>
        <w:gridCol w:w="69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4" w:hRule="atLeast"/>
        </w:trPr>
        <w:tc>
          <w:tcPr>
            <w:tcW w:w="4933" w:type="dxa"/>
            <w:gridSpan w:val="3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1" w:line="263" w:lineRule="auto"/>
              <w:ind w:left="120" w:right="102" w:firstLine="6"/>
              <w:rPr>
                <w:rFonts w:ascii="楷体" w:hAnsi="楷体" w:eastAsia="楷体" w:cs="楷体"/>
                <w:sz w:val="19"/>
                <w:szCs w:val="19"/>
              </w:rPr>
            </w:pPr>
            <w:r>
              <w:rPr>
                <w:rFonts w:ascii="楷体" w:hAnsi="楷体" w:eastAsia="楷体" w:cs="楷体"/>
                <w:spacing w:val="1"/>
                <w:sz w:val="19"/>
                <w:szCs w:val="19"/>
              </w:rPr>
              <w:t>（本列数据的勾稽关系为：</w:t>
            </w:r>
            <w:r>
              <w:rPr>
                <w:rFonts w:ascii="楷体" w:hAnsi="楷体" w:eastAsia="楷体" w:cs="楷体"/>
                <w:spacing w:val="8"/>
                <w:w w:val="101"/>
                <w:sz w:val="19"/>
                <w:szCs w:val="19"/>
              </w:rPr>
              <w:t xml:space="preserve"> </w:t>
            </w:r>
            <w:r>
              <w:rPr>
                <w:rFonts w:ascii="楷体" w:hAnsi="楷体" w:eastAsia="楷体" w:cs="楷体"/>
                <w:spacing w:val="1"/>
                <w:sz w:val="19"/>
                <w:szCs w:val="19"/>
              </w:rPr>
              <w:t>第一项加第二项之和，等于</w:t>
            </w:r>
            <w:r>
              <w:rPr>
                <w:rFonts w:ascii="楷体" w:hAnsi="楷体" w:eastAsia="楷体" w:cs="楷体"/>
                <w:sz w:val="19"/>
                <w:szCs w:val="19"/>
              </w:rPr>
              <w:t xml:space="preserve"> </w:t>
            </w:r>
            <w:r>
              <w:rPr>
                <w:rFonts w:ascii="楷体" w:hAnsi="楷体" w:eastAsia="楷体" w:cs="楷体"/>
                <w:spacing w:val="7"/>
                <w:sz w:val="19"/>
                <w:szCs w:val="19"/>
              </w:rPr>
              <w:t>第三项加第四项之和）</w:t>
            </w:r>
          </w:p>
        </w:tc>
        <w:tc>
          <w:tcPr>
            <w:tcW w:w="4819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28" w:lineRule="auto"/>
              <w:ind w:firstLine="19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93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2" w:line="259" w:lineRule="exact"/>
              <w:ind w:firstLine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2"/>
                <w:position w:val="4"/>
                <w:sz w:val="19"/>
                <w:szCs w:val="19"/>
              </w:rPr>
              <w:t>自然</w:t>
            </w:r>
          </w:p>
          <w:p>
            <w:pPr>
              <w:spacing w:line="230" w:lineRule="auto"/>
              <w:ind w:firstLine="2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人</w:t>
            </w:r>
          </w:p>
        </w:tc>
        <w:tc>
          <w:tcPr>
            <w:tcW w:w="343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26" w:lineRule="auto"/>
              <w:ind w:firstLine="10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62" w:line="230" w:lineRule="auto"/>
              <w:ind w:firstLine="1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4933" w:type="dxa"/>
            <w:gridSpan w:val="3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59" w:lineRule="exact"/>
              <w:ind w:firstLine="1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4"/>
                <w:sz w:val="19"/>
                <w:szCs w:val="19"/>
              </w:rPr>
              <w:t>商业</w:t>
            </w:r>
          </w:p>
          <w:p>
            <w:pPr>
              <w:spacing w:line="238" w:lineRule="auto"/>
              <w:ind w:firstLine="1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企业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59" w:lineRule="exact"/>
              <w:ind w:firstLine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19"/>
                <w:szCs w:val="19"/>
              </w:rPr>
              <w:t>科研</w:t>
            </w:r>
          </w:p>
          <w:p>
            <w:pPr>
              <w:spacing w:line="227" w:lineRule="auto"/>
              <w:ind w:firstLine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机构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44" w:lineRule="auto"/>
              <w:ind w:left="149" w:righ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公益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组织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44" w:lineRule="auto"/>
              <w:ind w:left="146" w:right="13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法律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服务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机构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5" w:line="226" w:lineRule="auto"/>
              <w:ind w:firstLine="1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4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7" w:lineRule="auto"/>
              <w:ind w:firstLine="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27" w:lineRule="auto"/>
              <w:ind w:firstLine="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3" w:hRule="atLeast"/>
        </w:trPr>
        <w:tc>
          <w:tcPr>
            <w:tcW w:w="77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62" w:lineRule="auto"/>
              <w:ind w:left="59" w:righ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三、本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年度办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理结果</w:t>
            </w:r>
          </w:p>
        </w:tc>
        <w:tc>
          <w:tcPr>
            <w:tcW w:w="4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24" w:lineRule="auto"/>
              <w:ind w:firstLine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（一）予以公开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38" w:lineRule="auto"/>
              <w:ind w:left="53" w:firstLine="7"/>
              <w:rPr>
                <w:rFonts w:ascii="楷体" w:hAnsi="楷体" w:eastAsia="楷体" w:cs="楷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（二）部分公开</w:t>
            </w:r>
            <w:r>
              <w:rPr>
                <w:rFonts w:ascii="楷体" w:hAnsi="楷体" w:eastAsia="楷体" w:cs="楷体"/>
                <w:spacing w:val="4"/>
                <w:sz w:val="19"/>
                <w:szCs w:val="19"/>
              </w:rPr>
              <w:t>（区分处理的，只计这一情形，</w:t>
            </w:r>
            <w:r>
              <w:rPr>
                <w:rFonts w:ascii="楷体" w:hAnsi="楷体" w:eastAsia="楷体" w:cs="楷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楷体" w:hAnsi="楷体" w:eastAsia="楷体" w:cs="楷体"/>
                <w:spacing w:val="7"/>
                <w:sz w:val="19"/>
                <w:szCs w:val="19"/>
              </w:rPr>
              <w:t>不计其他情形）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3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2" w:line="266" w:lineRule="auto"/>
              <w:ind w:left="57" w:right="8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（三）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予公开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22" w:lineRule="auto"/>
              <w:ind w:firstLine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1.属于国家秘密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21" w:lineRule="auto"/>
              <w:ind w:firstLine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2.其他法律行政法规禁止公开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21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w w:val="103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w w:val="103"/>
                <w:sz w:val="19"/>
                <w:szCs w:val="19"/>
              </w:rPr>
              <w:t>危及“三安全一稳定”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28" w:lineRule="auto"/>
              <w:ind w:firstLine="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4.保护第三方合法权益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28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5.属于三类内部事务信息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6" w:lineRule="auto"/>
              <w:ind w:firstLine="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6.属于四类过程性信息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7" w:lineRule="auto"/>
              <w:ind w:firstLine="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7.属于行政执法案卷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5" w:lineRule="auto"/>
              <w:ind w:firstLine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8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属于行政查询事项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2" w:line="266" w:lineRule="auto"/>
              <w:ind w:left="52" w:right="84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（四）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无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法提供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7" w:lineRule="auto"/>
              <w:ind w:firstLine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1.本机关不掌握相关政府信息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3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28" w:lineRule="auto"/>
              <w:ind w:firstLine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2.没有现成信息需要另行制作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28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3.补正后申请内容仍不明确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47" w:line="241" w:lineRule="auto"/>
              <w:ind w:left="57" w:right="8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（五）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予处理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27" w:lineRule="auto"/>
              <w:ind w:firstLine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1.信访举报投诉类申请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9" w:hRule="atLeast"/>
        </w:trPr>
        <w:tc>
          <w:tcPr>
            <w:tcW w:w="77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28" w:lineRule="auto"/>
              <w:ind w:firstLine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2.重复申请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1346" w:right="1236" w:bottom="0" w:left="1236" w:header="0" w:footer="0" w:gutter="0"/>
          <w:cols w:space="720" w:num="1"/>
        </w:sectPr>
      </w:pPr>
    </w:p>
    <w:p>
      <w:pPr>
        <w:spacing w:line="93" w:lineRule="exact"/>
      </w:pPr>
    </w:p>
    <w:tbl>
      <w:tblPr>
        <w:tblStyle w:val="4"/>
        <w:tblW w:w="97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942"/>
        <w:gridCol w:w="3215"/>
        <w:gridCol w:w="687"/>
        <w:gridCol w:w="687"/>
        <w:gridCol w:w="687"/>
        <w:gridCol w:w="687"/>
        <w:gridCol w:w="687"/>
        <w:gridCol w:w="687"/>
        <w:gridCol w:w="69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8" w:hRule="atLeast"/>
        </w:trPr>
        <w:tc>
          <w:tcPr>
            <w:tcW w:w="776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51" w:line="227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3.要求提供公开出版物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8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28" w:lineRule="auto"/>
              <w:ind w:firstLine="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4.无正当理由大量反复申请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66" w:lineRule="auto"/>
              <w:ind w:left="55" w:right="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w w:val="103"/>
                <w:sz w:val="19"/>
                <w:szCs w:val="19"/>
              </w:rPr>
              <w:t>5.要求行政机关确认或重新出具已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获取信息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62" w:line="267" w:lineRule="auto"/>
              <w:ind w:left="51" w:right="84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（六）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他处理</w:t>
            </w: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43" w:lineRule="auto"/>
              <w:ind w:left="51" w:right="49" w:firstLine="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1.申请人无正当理由逾期不补正、行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>政机关不再处理其政府信息公开申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92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44" w:lineRule="auto"/>
              <w:ind w:left="54" w:righ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w w:val="102"/>
                <w:sz w:val="19"/>
                <w:szCs w:val="19"/>
              </w:rPr>
              <w:t>2.</w:t>
            </w:r>
            <w:r>
              <w:rPr>
                <w:rFonts w:ascii="宋体" w:hAnsi="宋体" w:eastAsia="宋体" w:cs="宋体"/>
                <w:spacing w:val="-5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w w:val="102"/>
                <w:sz w:val="19"/>
                <w:szCs w:val="19"/>
              </w:rPr>
              <w:t>申请人逾期未按收费通知要求缴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纳费用、行政机关不再处理其政府信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息公开申请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4" w:hRule="atLeast"/>
        </w:trPr>
        <w:tc>
          <w:tcPr>
            <w:tcW w:w="7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6" w:lineRule="auto"/>
              <w:ind w:firstLine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3.其他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5" w:hRule="atLeast"/>
        </w:trPr>
        <w:tc>
          <w:tcPr>
            <w:tcW w:w="77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8" w:lineRule="auto"/>
              <w:ind w:firstLine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（七）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总计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3" w:hRule="atLeast"/>
        </w:trPr>
        <w:tc>
          <w:tcPr>
            <w:tcW w:w="4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27" w:lineRule="auto"/>
              <w:ind w:firstLine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四、结转下年度继续办理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9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191" w:lineRule="auto"/>
              <w:ind w:firstLine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before="75" w:line="227" w:lineRule="auto"/>
        <w:ind w:firstLine="1015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四、政府信息公开行政复议、行政诉讼情况</w:t>
      </w:r>
    </w:p>
    <w:p/>
    <w:p>
      <w:pPr>
        <w:spacing w:line="64" w:lineRule="exact"/>
      </w:pPr>
    </w:p>
    <w:tbl>
      <w:tblPr>
        <w:tblStyle w:val="4"/>
        <w:tblW w:w="97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48"/>
        <w:gridCol w:w="648"/>
        <w:gridCol w:w="648"/>
        <w:gridCol w:w="648"/>
        <w:gridCol w:w="648"/>
        <w:gridCol w:w="648"/>
        <w:gridCol w:w="649"/>
        <w:gridCol w:w="649"/>
        <w:gridCol w:w="649"/>
        <w:gridCol w:w="650"/>
        <w:gridCol w:w="650"/>
        <w:gridCol w:w="650"/>
        <w:gridCol w:w="650"/>
        <w:gridCol w:w="65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2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9" w:lineRule="auto"/>
              <w:ind w:firstLine="1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行政复议</w:t>
            </w:r>
          </w:p>
        </w:tc>
        <w:tc>
          <w:tcPr>
            <w:tcW w:w="6502" w:type="dxa"/>
            <w:gridSpan w:val="10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9" w:lineRule="auto"/>
              <w:ind w:firstLine="28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5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7" w:line="266" w:lineRule="auto"/>
              <w:ind w:left="129" w:right="125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维持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5" w:line="267" w:lineRule="auto"/>
              <w:ind w:left="121" w:righ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纠正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5" w:line="267" w:lineRule="auto"/>
              <w:ind w:left="122" w:right="123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5" w:line="267" w:lineRule="auto"/>
              <w:ind w:left="129" w:right="123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尚未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1" w:line="230" w:lineRule="auto"/>
              <w:ind w:firstLine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  <w:tc>
          <w:tcPr>
            <w:tcW w:w="3243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28" w:lineRule="auto"/>
              <w:ind w:firstLine="8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未经复议直接起诉</w:t>
            </w:r>
          </w:p>
        </w:tc>
        <w:tc>
          <w:tcPr>
            <w:tcW w:w="3259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29" w:lineRule="auto"/>
              <w:ind w:firstLine="1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65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24" w:right="121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维持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26" w:righ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纠正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27" w:right="119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5" w:right="118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尚未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0" w:lineRule="auto"/>
              <w:ind w:firstLine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1" w:right="116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维持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3" w:right="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纠正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2" w:right="115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结果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/>
              <w:ind w:left="139" w:right="115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尚未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0" w:lineRule="auto"/>
              <w:ind w:firstLine="1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91" w:lineRule="auto"/>
              <w:ind w:firstLine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spacing w:before="277" w:line="227" w:lineRule="auto"/>
        <w:ind w:firstLine="996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五、存在的主要问题及改进情况</w:t>
      </w:r>
    </w:p>
    <w:p>
      <w:pPr>
        <w:spacing w:before="27" w:line="250" w:lineRule="auto"/>
        <w:ind w:left="572" w:right="563" w:firstLine="48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7"/>
          <w:sz w:val="23"/>
          <w:szCs w:val="23"/>
        </w:rPr>
        <w:t>202</w:t>
      </w:r>
      <w:r>
        <w:rPr>
          <w:rFonts w:hint="eastAsia" w:ascii="宋体" w:hAnsi="宋体" w:eastAsia="宋体" w:cs="宋体"/>
          <w:color w:val="333333"/>
          <w:spacing w:val="7"/>
          <w:sz w:val="23"/>
          <w:szCs w:val="23"/>
          <w:lang w:val="en-US" w:eastAsia="zh-CN"/>
        </w:rPr>
        <w:t>3</w:t>
      </w:r>
      <w:r>
        <w:rPr>
          <w:rFonts w:ascii="宋体" w:hAnsi="宋体" w:eastAsia="宋体" w:cs="宋体"/>
          <w:color w:val="333333"/>
          <w:spacing w:val="-40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7"/>
          <w:sz w:val="23"/>
          <w:szCs w:val="23"/>
        </w:rPr>
        <w:t>年，滦州市人社局政府信息公开工作取得一定成效，也存在一些不足，主</w:t>
      </w:r>
      <w:r>
        <w:rPr>
          <w:rFonts w:ascii="宋体" w:hAnsi="宋体" w:eastAsia="宋体" w:cs="宋体"/>
          <w:color w:val="333333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-1"/>
          <w:sz w:val="23"/>
          <w:szCs w:val="23"/>
        </w:rPr>
        <w:t>要表现在：</w:t>
      </w:r>
      <w:r>
        <w:rPr>
          <w:rFonts w:ascii="宋体" w:hAnsi="宋体" w:eastAsia="宋体" w:cs="宋体"/>
          <w:color w:val="333333"/>
          <w:spacing w:val="87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-1"/>
          <w:sz w:val="23"/>
          <w:szCs w:val="23"/>
        </w:rPr>
        <w:t>一是重大政策文件解读的质量、效果还有待提升；</w:t>
      </w:r>
      <w:r>
        <w:rPr>
          <w:rFonts w:ascii="宋体" w:hAnsi="宋体" w:eastAsia="宋体" w:cs="宋体"/>
          <w:color w:val="333333"/>
          <w:spacing w:val="69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-1"/>
          <w:sz w:val="23"/>
          <w:szCs w:val="23"/>
        </w:rPr>
        <w:t>二是政务公开队伍建</w:t>
      </w:r>
      <w:r>
        <w:rPr>
          <w:rFonts w:ascii="宋体" w:hAnsi="宋体" w:eastAsia="宋体" w:cs="宋体"/>
          <w:color w:val="333333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2"/>
          <w:sz w:val="23"/>
          <w:szCs w:val="23"/>
        </w:rPr>
        <w:t>设有待加强。202</w:t>
      </w:r>
      <w:r>
        <w:rPr>
          <w:rFonts w:hint="eastAsia" w:ascii="宋体" w:hAnsi="宋体" w:eastAsia="宋体" w:cs="宋体"/>
          <w:color w:val="333333"/>
          <w:spacing w:val="2"/>
          <w:sz w:val="23"/>
          <w:szCs w:val="23"/>
          <w:lang w:val="en-US" w:eastAsia="zh-CN"/>
        </w:rPr>
        <w:t>4</w:t>
      </w:r>
      <w:r>
        <w:rPr>
          <w:rFonts w:ascii="宋体" w:hAnsi="宋体" w:eastAsia="宋体" w:cs="宋体"/>
          <w:color w:val="333333"/>
          <w:spacing w:val="2"/>
          <w:sz w:val="23"/>
          <w:szCs w:val="23"/>
        </w:rPr>
        <w:t>年，滦州市人社局政务公开工作将在以下方面持续发力：</w:t>
      </w:r>
      <w:r>
        <w:rPr>
          <w:rFonts w:ascii="宋体" w:hAnsi="宋体" w:eastAsia="宋体" w:cs="宋体"/>
          <w:color w:val="333333"/>
          <w:spacing w:val="54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2"/>
          <w:sz w:val="23"/>
          <w:szCs w:val="23"/>
        </w:rPr>
        <w:t>一是继</w:t>
      </w:r>
      <w:r>
        <w:rPr>
          <w:rFonts w:ascii="宋体" w:hAnsi="宋体" w:eastAsia="宋体" w:cs="宋体"/>
          <w:color w:val="333333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9"/>
          <w:sz w:val="23"/>
          <w:szCs w:val="23"/>
        </w:rPr>
        <w:t>续探索创新多渠道、全方位、立体式政策解读工作方式，持续提升政策解读工作质</w:t>
      </w:r>
      <w:r>
        <w:rPr>
          <w:rFonts w:ascii="宋体" w:hAnsi="宋体" w:eastAsia="宋体" w:cs="宋体"/>
          <w:color w:val="333333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9"/>
          <w:sz w:val="23"/>
          <w:szCs w:val="23"/>
        </w:rPr>
        <w:t>量和效果。二是进一步加强平台建设管理，定期开展风险隐患排查，确保政府网站</w:t>
      </w:r>
      <w:r>
        <w:rPr>
          <w:rFonts w:ascii="宋体" w:hAnsi="宋体" w:eastAsia="宋体" w:cs="宋体"/>
          <w:color w:val="333333"/>
          <w:spacing w:val="26"/>
          <w:sz w:val="23"/>
          <w:szCs w:val="23"/>
        </w:rPr>
        <w:t xml:space="preserve"> </w:t>
      </w:r>
      <w:r>
        <w:rPr>
          <w:rFonts w:ascii="宋体" w:hAnsi="宋体" w:eastAsia="宋体" w:cs="宋体"/>
          <w:color w:val="333333"/>
          <w:spacing w:val="8"/>
          <w:sz w:val="23"/>
          <w:szCs w:val="23"/>
        </w:rPr>
        <w:t>和政务新媒体运行安全。</w:t>
      </w:r>
    </w:p>
    <w:p>
      <w:pPr>
        <w:spacing w:line="225" w:lineRule="auto"/>
        <w:ind w:firstLine="994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color w:val="333333"/>
          <w:spacing w:val="9"/>
          <w:sz w:val="23"/>
          <w:szCs w:val="23"/>
          <w14:textOutline w14:w="4358" w14:cap="sq" w14:cmpd="sng">
            <w14:solidFill>
              <w14:srgbClr w14:val="333333"/>
            </w14:solidFill>
            <w14:prstDash w14:val="solid"/>
            <w14:bevel/>
          </w14:textOutline>
        </w:rPr>
        <w:t>六、其他需要报告的事项</w:t>
      </w:r>
    </w:p>
    <w:p>
      <w:pPr>
        <w:spacing w:before="186" w:line="52" w:lineRule="exact"/>
        <w:ind w:firstLine="1316"/>
        <w:rPr>
          <w:rFonts w:ascii="宋体" w:hAnsi="宋体" w:eastAsia="宋体" w:cs="宋体"/>
          <w:sz w:val="23"/>
          <w:szCs w:val="23"/>
        </w:rPr>
      </w:pPr>
      <w:r>
        <w:pict>
          <v:shape id="_x0000_s1026" o:spid="_x0000_s1026" o:spt="202" type="#_x0000_t202" style="position:absolute;left:0pt;margin-left:51.7pt;margin-top:0.55pt;height:16.25pt;width:13.4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8" w:lineRule="auto"/>
                    <w:ind w:firstLine="20"/>
                    <w:rPr>
                      <w:rFonts w:ascii="宋体" w:hAnsi="宋体" w:eastAsia="宋体" w:cs="宋体"/>
                      <w:sz w:val="23"/>
                      <w:szCs w:val="23"/>
                    </w:rPr>
                  </w:pPr>
                  <w:r>
                    <w:rPr>
                      <w:rFonts w:ascii="宋体" w:hAnsi="宋体" w:eastAsia="宋体" w:cs="宋体"/>
                      <w:color w:val="333333"/>
                      <w:sz w:val="23"/>
                      <w:szCs w:val="23"/>
                    </w:rPr>
                    <w:t>无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color w:val="333333"/>
          <w:position w:val="-1"/>
          <w:sz w:val="23"/>
          <w:szCs w:val="23"/>
        </w:rPr>
        <w:t>。</w:t>
      </w:r>
    </w:p>
    <w:sectPr>
      <w:pgSz w:w="12240" w:h="15840"/>
      <w:pgMar w:top="1346" w:right="1236" w:bottom="0" w:left="12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7224785"/>
    <w:rsid w:val="7A8D54F1"/>
    <w:rsid w:val="7F4632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Office_11.8.2.11542_F1E327BC-269C-435d-A152-05C5408002CA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2023-01-31T14:57:00Z</dcterms:created>
  <dc:creator>Administrator</dc:creator>
  <cp:lastModifiedBy>Administrator</cp:lastModifiedBy>
  <dcterms:modified xsi:type="dcterms:W3CDTF">2024-01-23T06:32:52Z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2023-02-06T18:48:19Z</vt:filetime>
  </property>
  <property fmtid="{D5CDD505-2E9C-101B-9397-08002B2CF9AE}" pid="4" name="KSOProductBuildVer">
    <vt:lpwstr>2052-11.8.2.11542</vt:lpwstr>
  </property>
  <property fmtid="{D5CDD505-2E9C-101B-9397-08002B2CF9AE}" pid="5" name="ICV">
    <vt:lpwstr>CF1571C39F66402DABDF6873D3553DD7</vt:lpwstr>
  </property>
</Properties>
</file>