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36" w:rsidRDefault="00181D15">
      <w:pPr>
        <w:jc w:val="center"/>
        <w:rPr>
          <w:rFonts w:ascii="宋体" w:hAnsi="宋体"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边境管理区通行证</w:t>
      </w:r>
      <w:r w:rsidR="007C3C18">
        <w:rPr>
          <w:rFonts w:hint="eastAsia"/>
          <w:b/>
          <w:color w:val="000000"/>
          <w:sz w:val="36"/>
          <w:szCs w:val="36"/>
        </w:rPr>
        <w:t>服务指南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8"/>
        <w:gridCol w:w="815"/>
        <w:gridCol w:w="625"/>
        <w:gridCol w:w="180"/>
        <w:gridCol w:w="360"/>
        <w:gridCol w:w="180"/>
        <w:gridCol w:w="1153"/>
        <w:gridCol w:w="647"/>
        <w:gridCol w:w="1482"/>
        <w:gridCol w:w="138"/>
        <w:gridCol w:w="1662"/>
        <w:gridCol w:w="1398"/>
      </w:tblGrid>
      <w:tr w:rsidR="00B82536">
        <w:trPr>
          <w:trHeight w:val="762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事项名称</w:t>
            </w:r>
          </w:p>
        </w:tc>
        <w:tc>
          <w:tcPr>
            <w:tcW w:w="8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181D15">
              <w:rPr>
                <w:rFonts w:ascii="宋体" w:hAnsi="宋体" w:hint="eastAsia"/>
                <w:b/>
                <w:color w:val="000000"/>
                <w:szCs w:val="21"/>
              </w:rPr>
              <w:t>边境管理区通行证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核发</w:t>
            </w:r>
          </w:p>
        </w:tc>
      </w:tr>
      <w:tr w:rsidR="00B82536">
        <w:trPr>
          <w:trHeight w:val="608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单位名称</w:t>
            </w:r>
          </w:p>
        </w:tc>
        <w:tc>
          <w:tcPr>
            <w:tcW w:w="8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 w:rsidP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滦</w:t>
            </w:r>
            <w:r>
              <w:rPr>
                <w:rFonts w:ascii="宋体" w:hAnsi="宋体" w:hint="eastAsia"/>
                <w:color w:val="000000"/>
                <w:szCs w:val="21"/>
              </w:rPr>
              <w:t>州市</w:t>
            </w:r>
            <w:r w:rsidR="00181D15">
              <w:rPr>
                <w:rFonts w:ascii="宋体" w:hAnsi="宋体" w:hint="eastAsia"/>
                <w:color w:val="000000"/>
                <w:szCs w:val="21"/>
              </w:rPr>
              <w:t>公安局户政中队</w:t>
            </w:r>
          </w:p>
        </w:tc>
      </w:tr>
      <w:tr w:rsidR="00B82536">
        <w:trPr>
          <w:trHeight w:val="616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设定依据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法律及条款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</w:t>
            </w:r>
            <w:r w:rsidR="00181D15" w:rsidRPr="00181D15">
              <w:rPr>
                <w:rFonts w:ascii="宋体" w:hAnsi="宋体" w:hint="eastAsia"/>
                <w:color w:val="000000"/>
                <w:szCs w:val="21"/>
              </w:rPr>
              <w:t>《中华人民共和国边境管理区通行证管理办法》第九条　凡年满十六周岁的中国公民前往边境管理区，依照本办法第二章之规定，具有下列情形之一的，应当申领《边境通行证》：(一)参加科技、文化、体育交流或者业务培训、会议，从事考察、采访、创作等活动的；(二)从事勘探、承包工程、劳务、生产技术合作或者贸易洽谈等活动的；(三)应聘、调动、分配工作或者就医、就学的；(四)探亲、访友、经商、旅游的；(五)有其他正当事由必须前往的。</w:t>
            </w:r>
          </w:p>
        </w:tc>
      </w:tr>
      <w:tr w:rsidR="00B82536">
        <w:trPr>
          <w:trHeight w:val="1268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法规（规章）及条款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pStyle w:val="a5"/>
              <w:spacing w:before="90" w:beforeAutospacing="0" w:after="0" w:afterAutospacing="0" w:line="300" w:lineRule="atLeast"/>
              <w:ind w:left="45" w:right="45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</w:t>
            </w:r>
          </w:p>
        </w:tc>
      </w:tr>
      <w:tr w:rsidR="00B82536">
        <w:trPr>
          <w:trHeight w:val="690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申请条件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申请条件的法律依据及条款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 w:rsidRPr="00181D15">
              <w:rPr>
                <w:rFonts w:ascii="宋体" w:hAnsi="宋体" w:hint="eastAsia"/>
                <w:color w:val="000000"/>
                <w:szCs w:val="21"/>
              </w:rPr>
              <w:t>《中华人民共和国边境管理区通行证管理办法》</w:t>
            </w:r>
          </w:p>
        </w:tc>
      </w:tr>
      <w:tr w:rsidR="00B82536">
        <w:trPr>
          <w:trHeight w:val="529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条件具体内容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ind w:firstLineChars="200" w:firstLine="42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B82536">
        <w:trPr>
          <w:trHeight w:val="481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申报材料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申请材料的法律依据及条款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ind w:firstLineChars="200" w:firstLine="420"/>
              <w:jc w:val="left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181D15">
              <w:rPr>
                <w:rFonts w:ascii="宋体" w:hAnsi="宋体" w:hint="eastAsia"/>
                <w:color w:val="000000"/>
                <w:szCs w:val="21"/>
              </w:rPr>
              <w:t>《中华人民共和国边境管理区通行证管理办法》</w:t>
            </w:r>
            <w:r>
              <w:rPr>
                <w:rFonts w:ascii="宋体" w:hAnsi="宋体" w:hint="eastAsia"/>
                <w:color w:val="000000"/>
                <w:szCs w:val="21"/>
              </w:rPr>
              <w:t>第十条</w:t>
            </w:r>
          </w:p>
        </w:tc>
      </w:tr>
      <w:tr w:rsidR="00B82536">
        <w:trPr>
          <w:trHeight w:val="614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材料具体内容</w:t>
            </w:r>
          </w:p>
        </w:tc>
        <w:tc>
          <w:tcPr>
            <w:tcW w:w="7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ind w:firstLineChars="200" w:firstLine="42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 w:rsidR="00181D15">
              <w:rPr>
                <w:rFonts w:ascii="宋体" w:hAnsi="宋体" w:hint="eastAsia"/>
                <w:color w:val="000000"/>
                <w:szCs w:val="21"/>
              </w:rPr>
              <w:t>本人身份证</w:t>
            </w:r>
          </w:p>
          <w:p w:rsidR="00B82536" w:rsidRDefault="007C3C18">
            <w:pPr>
              <w:ind w:firstLineChars="200" w:firstLine="42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、</w:t>
            </w:r>
            <w:r w:rsidR="00181D15">
              <w:rPr>
                <w:rFonts w:ascii="宋体" w:hAnsi="宋体" w:hint="eastAsia"/>
                <w:color w:val="000000"/>
                <w:szCs w:val="21"/>
              </w:rPr>
              <w:t>三张一寸免冠彩色照片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</w:p>
          <w:p w:rsidR="00B82536" w:rsidRDefault="00B82536">
            <w:pPr>
              <w:ind w:firstLineChars="200" w:firstLine="420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B82536">
        <w:trPr>
          <w:trHeight w:val="608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审批流程</w:t>
            </w: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分类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环节名称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承办主体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审查内容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审批结果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时限</w:t>
            </w:r>
          </w:p>
        </w:tc>
      </w:tr>
      <w:tr w:rsidR="00B82536">
        <w:trPr>
          <w:trHeight w:val="460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一般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环节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受理</w:t>
            </w:r>
            <w:r w:rsidR="00181D15">
              <w:rPr>
                <w:rFonts w:ascii="宋体" w:hAnsi="宋体" w:hint="eastAsia"/>
                <w:szCs w:val="21"/>
              </w:rPr>
              <w:t>、办结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户政中队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审查申请资料是否齐全、真实。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当场出具边境管理区通行证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hint="eastAsia"/>
                <w:color w:val="000000"/>
                <w:szCs w:val="21"/>
              </w:rPr>
              <w:t>个工作日</w:t>
            </w:r>
          </w:p>
        </w:tc>
      </w:tr>
      <w:tr w:rsidR="00B82536">
        <w:trPr>
          <w:trHeight w:val="442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特殊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环节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●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无〇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专家评审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B82536">
        <w:trPr>
          <w:trHeight w:val="462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听证、公示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B82536">
        <w:trPr>
          <w:trHeight w:val="455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集体研究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B82536">
        <w:trPr>
          <w:trHeight w:val="609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审批时限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法定时限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7C3C18">
              <w:rPr>
                <w:rFonts w:ascii="宋体" w:hAnsi="宋体" w:hint="eastAsia"/>
                <w:color w:val="000000"/>
                <w:szCs w:val="21"/>
              </w:rPr>
              <w:t>个工作日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承诺时限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="007C3C18">
              <w:rPr>
                <w:rFonts w:ascii="宋体" w:hAnsi="宋体" w:hint="eastAsia"/>
                <w:color w:val="000000"/>
                <w:szCs w:val="21"/>
              </w:rPr>
              <w:t>个工作日</w:t>
            </w:r>
          </w:p>
        </w:tc>
      </w:tr>
      <w:tr w:rsidR="00B82536">
        <w:trPr>
          <w:trHeight w:val="607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收费情况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有〇无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收费依据</w:t>
            </w:r>
          </w:p>
        </w:tc>
        <w:tc>
          <w:tcPr>
            <w:tcW w:w="7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615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收费标准</w:t>
            </w:r>
          </w:p>
        </w:tc>
        <w:tc>
          <w:tcPr>
            <w:tcW w:w="7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639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收费性质</w:t>
            </w:r>
          </w:p>
        </w:tc>
        <w:tc>
          <w:tcPr>
            <w:tcW w:w="7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617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批准证件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名称</w:t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边境管理区通行证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有效期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三个月、一年</w:t>
            </w:r>
          </w:p>
        </w:tc>
      </w:tr>
      <w:tr w:rsidR="00B82536">
        <w:trPr>
          <w:trHeight w:val="617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前置审批情况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●</w:t>
            </w:r>
            <w:r>
              <w:rPr>
                <w:rFonts w:ascii="宋体" w:hAnsi="宋体" w:hint="eastAsia"/>
                <w:color w:val="000000"/>
                <w:szCs w:val="21"/>
              </w:rPr>
              <w:t>无〇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前置审批事项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 w:rsidP="00181D1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="00181D15"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768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前置审批机关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 w:rsidP="00181D1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 w:rsidR="00181D15"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764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设定前置审批依据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181D15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758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进入审批过程行业协会中介机构情况</w:t>
            </w:r>
          </w:p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有〇无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●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行业协会、中介机构和其他组织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783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设定的法律依据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765"/>
          <w:jc w:val="center"/>
        </w:trPr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B82536">
            <w:pPr>
              <w:widowControl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承担工作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B82536">
        <w:trPr>
          <w:trHeight w:val="617"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监督部门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0C6CE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滦州市公安局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7C3C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监督电话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536" w:rsidRDefault="000C6CE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7122654</w:t>
            </w:r>
          </w:p>
        </w:tc>
      </w:tr>
    </w:tbl>
    <w:p w:rsidR="00B82536" w:rsidRDefault="00B82536">
      <w:pPr>
        <w:rPr>
          <w:szCs w:val="21"/>
        </w:rPr>
      </w:pPr>
    </w:p>
    <w:p w:rsidR="00B82536" w:rsidRDefault="00B82536">
      <w:pPr>
        <w:jc w:val="center"/>
        <w:rPr>
          <w:b/>
          <w:color w:val="000000"/>
          <w:szCs w:val="21"/>
        </w:rPr>
      </w:pPr>
    </w:p>
    <w:p w:rsidR="00B82536" w:rsidRDefault="00B82536">
      <w:pPr>
        <w:jc w:val="center"/>
        <w:rPr>
          <w:b/>
          <w:color w:val="000000"/>
          <w:szCs w:val="21"/>
        </w:rPr>
      </w:pPr>
    </w:p>
    <w:p w:rsidR="00B82536" w:rsidRDefault="00B82536">
      <w:pPr>
        <w:jc w:val="center"/>
        <w:rPr>
          <w:b/>
          <w:color w:val="000000"/>
          <w:szCs w:val="21"/>
        </w:rPr>
      </w:pPr>
    </w:p>
    <w:p w:rsidR="00B82536" w:rsidRDefault="00B82536"/>
    <w:sectPr w:rsidR="00B82536" w:rsidSect="00B82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C18" w:rsidRPr="00D8315B" w:rsidRDefault="007C3C18" w:rsidP="00181D15">
      <w:r>
        <w:separator/>
      </w:r>
    </w:p>
  </w:endnote>
  <w:endnote w:type="continuationSeparator" w:id="0">
    <w:p w:rsidR="007C3C18" w:rsidRPr="00D8315B" w:rsidRDefault="007C3C18" w:rsidP="00181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C18" w:rsidRPr="00D8315B" w:rsidRDefault="007C3C18" w:rsidP="00181D15">
      <w:r>
        <w:separator/>
      </w:r>
    </w:p>
  </w:footnote>
  <w:footnote w:type="continuationSeparator" w:id="0">
    <w:p w:rsidR="007C3C18" w:rsidRPr="00D8315B" w:rsidRDefault="007C3C18" w:rsidP="00181D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2E20"/>
    <w:rsid w:val="00024B11"/>
    <w:rsid w:val="00046E64"/>
    <w:rsid w:val="00047F6A"/>
    <w:rsid w:val="000851FA"/>
    <w:rsid w:val="000A6913"/>
    <w:rsid w:val="000C156D"/>
    <w:rsid w:val="000C6CEB"/>
    <w:rsid w:val="00107861"/>
    <w:rsid w:val="00116EAA"/>
    <w:rsid w:val="00137465"/>
    <w:rsid w:val="00163DE9"/>
    <w:rsid w:val="0017733D"/>
    <w:rsid w:val="00181D15"/>
    <w:rsid w:val="00182C0E"/>
    <w:rsid w:val="00221077"/>
    <w:rsid w:val="00243E13"/>
    <w:rsid w:val="00292097"/>
    <w:rsid w:val="002B6C4B"/>
    <w:rsid w:val="00361465"/>
    <w:rsid w:val="003B7869"/>
    <w:rsid w:val="003D4E6A"/>
    <w:rsid w:val="00425A40"/>
    <w:rsid w:val="004909B0"/>
    <w:rsid w:val="004C0F62"/>
    <w:rsid w:val="004C75FA"/>
    <w:rsid w:val="004D21D3"/>
    <w:rsid w:val="0050695A"/>
    <w:rsid w:val="005B0EB4"/>
    <w:rsid w:val="005D037A"/>
    <w:rsid w:val="005D0B8C"/>
    <w:rsid w:val="005D3F66"/>
    <w:rsid w:val="005E3F3F"/>
    <w:rsid w:val="00647C23"/>
    <w:rsid w:val="006C591A"/>
    <w:rsid w:val="006E43D6"/>
    <w:rsid w:val="006E552E"/>
    <w:rsid w:val="006F3C43"/>
    <w:rsid w:val="007310FC"/>
    <w:rsid w:val="007507D0"/>
    <w:rsid w:val="007A7243"/>
    <w:rsid w:val="007C2E20"/>
    <w:rsid w:val="007C3C18"/>
    <w:rsid w:val="00825F2E"/>
    <w:rsid w:val="00853A77"/>
    <w:rsid w:val="00884E70"/>
    <w:rsid w:val="008959D1"/>
    <w:rsid w:val="008F226A"/>
    <w:rsid w:val="00970ACC"/>
    <w:rsid w:val="009A5561"/>
    <w:rsid w:val="00A33D8C"/>
    <w:rsid w:val="00AC0FA3"/>
    <w:rsid w:val="00AE179F"/>
    <w:rsid w:val="00B54718"/>
    <w:rsid w:val="00B72321"/>
    <w:rsid w:val="00B82536"/>
    <w:rsid w:val="00B852B3"/>
    <w:rsid w:val="00B86B89"/>
    <w:rsid w:val="00BB261D"/>
    <w:rsid w:val="00BD0242"/>
    <w:rsid w:val="00C01108"/>
    <w:rsid w:val="00C51126"/>
    <w:rsid w:val="00CB724A"/>
    <w:rsid w:val="00CE256F"/>
    <w:rsid w:val="00CE33AB"/>
    <w:rsid w:val="00D71DB3"/>
    <w:rsid w:val="00D92C32"/>
    <w:rsid w:val="00DC0B10"/>
    <w:rsid w:val="00DF75CD"/>
    <w:rsid w:val="00E07E86"/>
    <w:rsid w:val="00E80CFF"/>
    <w:rsid w:val="00F12303"/>
    <w:rsid w:val="00FD2638"/>
    <w:rsid w:val="00FE09AC"/>
    <w:rsid w:val="034B385E"/>
    <w:rsid w:val="1A542439"/>
    <w:rsid w:val="275B3751"/>
    <w:rsid w:val="2E901A8B"/>
    <w:rsid w:val="37123497"/>
    <w:rsid w:val="411D1EFE"/>
    <w:rsid w:val="5572648B"/>
    <w:rsid w:val="6D6E0669"/>
    <w:rsid w:val="74AC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3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825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82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B825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B82536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B8253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825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119</Words>
  <Characters>680</Characters>
  <Application>Microsoft Office Word</Application>
  <DocSecurity>0</DocSecurity>
  <Lines>5</Lines>
  <Paragraphs>1</Paragraphs>
  <ScaleCrop>false</ScaleCrop>
  <Company>微软中国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gaoyingnan</dc:creator>
  <cp:lastModifiedBy>PC</cp:lastModifiedBy>
  <cp:revision>2</cp:revision>
  <cp:lastPrinted>2017-06-30T03:43:00Z</cp:lastPrinted>
  <dcterms:created xsi:type="dcterms:W3CDTF">2021-11-19T01:56:00Z</dcterms:created>
  <dcterms:modified xsi:type="dcterms:W3CDTF">2021-11-19T01:56:00Z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