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黑体" w:hAnsi="黑体" w:eastAsia="黑体"/>
          <w:b/>
          <w:sz w:val="72"/>
          <w:szCs w:val="72"/>
        </w:rPr>
      </w:pPr>
      <w:r>
        <w:pict>
          <v:shape id="图片 7" o:spid="_x0000_s1026" o:spt="75" type="#_x0000_t75" style="position:absolute;left:0pt;margin-left:-50.25pt;margin-top:-131.45pt;height:850.15pt;width:596.6pt;z-index:-251656192;mso-width-relative:page;mso-height-relative:page;" filled="f" o:preferrelative="t" stroked="f" coordsize="21600,21600">
            <v:path/>
            <v:fill on="f" focussize="0,0"/>
            <v:stroke on="f" joinstyle="miter"/>
            <v:imagedata r:id="rId6" o:title=""/>
            <o:lock v:ext="edit" aspectratio="t"/>
          </v:shape>
        </w:pict>
      </w:r>
    </w:p>
    <w:p>
      <w:pPr>
        <w:widowControl/>
        <w:jc w:val="center"/>
        <w:rPr>
          <w:rFonts w:ascii="黑体" w:hAnsi="宋体" w:eastAsia="黑体"/>
          <w:color w:val="002060"/>
          <w:sz w:val="72"/>
          <w:szCs w:val="72"/>
        </w:rPr>
      </w:pPr>
      <w:r>
        <w:pict>
          <v:rect id="文本框 8" o:spid="_x0000_s1027" o:spt="1" style="position:absolute;left:0pt;margin-left:-83.1pt;margin-top:43.25pt;height:166.25pt;width:596.2pt;z-index:251666432;mso-width-relative:page;mso-height-relative:page;" filled="f" stroked="f" coordsize="21600,21600">
            <v:path/>
            <v:fill on="f" focussize="0,0"/>
            <v:stroke on="f"/>
            <v:imagedata o:title=""/>
            <o:lock v:ext="edit"/>
            <v:textbox>
              <w:txbxContent>
                <w:p>
                  <w:pPr>
                    <w:widowControl/>
                    <w:spacing w:line="1200" w:lineRule="exact"/>
                    <w:jc w:val="center"/>
                    <w:rPr>
                      <w:rFonts w:ascii="黑体" w:hAnsi="宋体" w:eastAsia="黑体"/>
                      <w:color w:val="FDEFBE"/>
                      <w:sz w:val="96"/>
                      <w:szCs w:val="96"/>
                    </w:rPr>
                  </w:pPr>
                  <w:r>
                    <w:rPr>
                      <w:rFonts w:hint="eastAsia" w:ascii="黑体" w:hAnsi="宋体" w:eastAsia="黑体"/>
                      <w:color w:val="FDEFBE"/>
                      <w:sz w:val="96"/>
                      <w:szCs w:val="96"/>
                    </w:rPr>
                    <w:t>滦州市古马镇人民政府</w:t>
                  </w:r>
                </w:p>
                <w:p>
                  <w:pPr>
                    <w:widowControl/>
                    <w:spacing w:line="1200" w:lineRule="exact"/>
                    <w:jc w:val="center"/>
                    <w:rPr>
                      <w:color w:val="FDEFBE"/>
                      <w:sz w:val="96"/>
                      <w:szCs w:val="96"/>
                    </w:rPr>
                  </w:pPr>
                  <w:r>
                    <w:rPr>
                      <w:rFonts w:ascii="黑体" w:hAnsi="宋体" w:eastAsia="黑体"/>
                      <w:color w:val="FDEFBE"/>
                      <w:sz w:val="96"/>
                      <w:szCs w:val="96"/>
                    </w:rPr>
                    <w:t>2018</w:t>
                  </w:r>
                  <w:r>
                    <w:rPr>
                      <w:rFonts w:hint="eastAsia" w:ascii="黑体" w:hAnsi="宋体" w:eastAsia="黑体"/>
                      <w:color w:val="FDEFBE"/>
                      <w:sz w:val="96"/>
                      <w:szCs w:val="96"/>
                    </w:rPr>
                    <w:t>年度部门决算</w:t>
                  </w:r>
                </w:p>
                <w:p>
                  <w:pPr>
                    <w:rPr>
                      <w:color w:val="FDEFBE"/>
                      <w:sz w:val="96"/>
                      <w:szCs w:val="96"/>
                    </w:rPr>
                  </w:pPr>
                </w:p>
              </w:txbxContent>
            </v:textbox>
          </v:rect>
        </w:pict>
      </w: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黑体" w:hAnsi="黑体" w:eastAsia="黑体"/>
          <w:b/>
          <w:sz w:val="72"/>
          <w:szCs w:val="72"/>
        </w:rPr>
      </w:pPr>
    </w:p>
    <w:p>
      <w:pPr>
        <w:widowControl/>
        <w:jc w:val="center"/>
        <w:rPr>
          <w:rFonts w:ascii="楷体" w:hAnsi="楷体" w:eastAsia="楷体" w:cs="楷体"/>
          <w:b/>
          <w:sz w:val="44"/>
          <w:szCs w:val="44"/>
        </w:rPr>
        <w:sectPr>
          <w:pgSz w:w="11906" w:h="16838"/>
          <w:pgMar w:top="2098" w:right="1474" w:bottom="1985" w:left="1588" w:header="851" w:footer="992" w:gutter="0"/>
          <w:cols w:space="425" w:num="1"/>
          <w:docGrid w:type="lines" w:linePitch="312" w:charSpace="0"/>
        </w:sectPr>
      </w:pPr>
      <w:r>
        <w:rPr>
          <w:rFonts w:hint="eastAsia" w:ascii="楷体" w:hAnsi="楷体" w:eastAsia="楷体" w:cs="楷体"/>
          <w:b/>
          <w:sz w:val="44"/>
          <w:szCs w:val="44"/>
        </w:rPr>
        <w:t>二〇一九年八月</w:t>
      </w:r>
    </w:p>
    <w:p>
      <w:pPr>
        <w:widowControl/>
        <w:spacing w:line="240" w:lineRule="auto"/>
        <w:ind w:firstLine="640" w:firstLineChars="200"/>
        <w:jc w:val="center"/>
        <w:rPr>
          <w:rFonts w:ascii="方正仿宋_GBK" w:hAnsi="方正仿宋_GBK" w:eastAsia="方正仿宋_GBK" w:cs="方正仿宋_GBK"/>
          <w:color w:val="333333"/>
          <w:sz w:val="32"/>
          <w:szCs w:val="32"/>
          <w:shd w:val="clear" w:color="auto" w:fill="FFFFFF"/>
        </w:rPr>
      </w:pPr>
      <w:r>
        <w:rPr>
          <w:rFonts w:ascii="方正仿宋_GBK" w:hAnsi="方正仿宋_GBK" w:eastAsia="方正仿宋_GBK" w:cs="方正仿宋_GBK"/>
          <w:color w:val="333333"/>
          <w:sz w:val="32"/>
          <w:szCs w:val="32"/>
          <w:shd w:val="clear" w:color="auto" w:fill="FFFFFF"/>
        </w:rPr>
        <w:pict>
          <v:shape id="_x0000_i1025" o:spt="75" type="#_x0000_t75" style="height:561.75pt;width:421.5pt;" filled="f" o:preferrelative="t" stroked="f" coordsize="21600,21600">
            <v:path/>
            <v:fill on="f" focussize="0,0"/>
            <v:stroke on="f" joinstyle="miter"/>
            <v:imagedata r:id="rId7" o:title=""/>
            <o:lock v:ext="edit" aspectratio="t"/>
            <w10:wrap type="none"/>
            <w10:anchorlock/>
          </v:shape>
        </w:pict>
      </w:r>
    </w:p>
    <w:p>
      <w:pPr>
        <w:spacing w:beforeLines="200" w:after="0" w:line="1000" w:lineRule="exact"/>
        <w:jc w:val="center"/>
        <w:rPr>
          <w:rFonts w:ascii="黑体" w:eastAsia="黑体"/>
          <w:sz w:val="48"/>
          <w:szCs w:val="48"/>
        </w:rPr>
      </w:pPr>
      <w:r>
        <w:pict>
          <v:group id="组合 179" o:spid="_x0000_s1028" o:spt="203" style="position:absolute;left:0pt;margin-left:-80.75pt;margin-top:40pt;height:46.7pt;width:250.05pt;mso-position-vertical-relative:page;z-index:251667456;mso-width-relative:page;mso-height-relative:page;" coordorigin="4551,52615" coordsize="8546,1398203">
            <o:lock v:ext="edit"/>
            <v:rect id="_x0000_s1029" o:spid="_x0000_s1029" o:spt="1" style="position:absolute;left:4551;top:52615;height:1175;width:8546;" fillcolor="#D8D8D8" filled="t" stroked="f" coordsize="21600,21600">
              <v:path/>
              <v:fill on="t" focussize="0,0"/>
              <v:stroke on="f"/>
              <v:imagedata o:title=""/>
              <o:lock v:ext="edit"/>
            </v:rect>
            <v:rect id="_x0000_s1030" o:spid="_x0000_s1030"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6"/>
                        <w:szCs w:val="36"/>
                      </w:rPr>
                    </w:pPr>
                    <w:r>
                      <w:rPr>
                        <w:rFonts w:ascii="楷体" w:hAnsi="楷体" w:eastAsia="楷体" w:cs="楷体"/>
                        <w:b/>
                        <w:bCs/>
                        <w:color w:val="FDEFBE"/>
                        <w:kern w:val="0"/>
                        <w:sz w:val="36"/>
                        <w:szCs w:val="36"/>
                      </w:rPr>
                      <w:t>2018</w:t>
                    </w:r>
                    <w:r>
                      <w:rPr>
                        <w:rFonts w:hint="eastAsia" w:ascii="楷体" w:hAnsi="楷体" w:eastAsia="楷体" w:cs="楷体"/>
                        <w:b/>
                        <w:bCs/>
                        <w:color w:val="FDEFBE"/>
                        <w:kern w:val="0"/>
                        <w:sz w:val="36"/>
                        <w:szCs w:val="36"/>
                      </w:rPr>
                      <w:t>年度部门决算</w:t>
                    </w:r>
                    <w:r>
                      <w:rPr>
                        <w:rFonts w:hint="eastAsia" w:ascii="MS Gothic" w:hAnsi="MS Gothic" w:eastAsia="MS Gothic" w:cs="MS Gothic"/>
                        <w:b/>
                        <w:bCs/>
                        <w:color w:val="FDEFBE"/>
                        <w:kern w:val="0"/>
                        <w:sz w:val="36"/>
                        <w:szCs w:val="36"/>
                      </w:rPr>
                      <w:t>☞</w:t>
                    </w:r>
                    <w:r>
                      <w:rPr>
                        <w:rFonts w:hint="eastAsia" w:ascii="楷体" w:hAnsi="楷体" w:eastAsia="楷体" w:cs="楷体"/>
                        <w:b/>
                        <w:bCs/>
                        <w:color w:val="FDEFBE"/>
                        <w:kern w:val="0"/>
                        <w:sz w:val="36"/>
                        <w:szCs w:val="36"/>
                      </w:rPr>
                      <w:t>目</w:t>
                    </w:r>
                    <w:r>
                      <w:rPr>
                        <w:rFonts w:ascii="楷体" w:hAnsi="楷体" w:eastAsia="楷体" w:cs="楷体"/>
                        <w:b/>
                        <w:bCs/>
                        <w:color w:val="FDEFBE"/>
                        <w:kern w:val="0"/>
                        <w:sz w:val="36"/>
                        <w:szCs w:val="36"/>
                      </w:rPr>
                      <w:t xml:space="preserve"> </w:t>
                    </w:r>
                    <w:r>
                      <w:rPr>
                        <w:rFonts w:hint="eastAsia" w:ascii="楷体" w:hAnsi="楷体" w:eastAsia="楷体" w:cs="楷体"/>
                        <w:b/>
                        <w:bCs/>
                        <w:color w:val="FDEFBE"/>
                        <w:kern w:val="0"/>
                        <w:sz w:val="36"/>
                        <w:szCs w:val="36"/>
                      </w:rPr>
                      <w:t>录</w:t>
                    </w:r>
                  </w:p>
                  <w:p>
                    <w:pPr>
                      <w:jc w:val="center"/>
                    </w:pPr>
                  </w:p>
                </w:txbxContent>
              </v:textbox>
            </v:rect>
            <w10:anchorlock/>
          </v:group>
        </w:pict>
      </w:r>
      <w:r>
        <w:rPr>
          <w:rFonts w:hint="eastAsia" w:ascii="黑体" w:eastAsia="黑体"/>
          <w:sz w:val="48"/>
          <w:szCs w:val="48"/>
        </w:rPr>
        <w:t>目</w:t>
      </w:r>
      <w:r>
        <w:rPr>
          <w:rFonts w:ascii="黑体" w:eastAsia="黑体"/>
          <w:sz w:val="48"/>
          <w:szCs w:val="48"/>
        </w:rPr>
        <w:t xml:space="preserve">    </w:t>
      </w:r>
      <w:r>
        <w:rPr>
          <w:rFonts w:hint="eastAsia" w:ascii="黑体" w:eastAsia="黑体"/>
          <w:sz w:val="48"/>
          <w:szCs w:val="48"/>
        </w:rPr>
        <w:t>录</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仿宋_GB2312"/>
          <w:sz w:val="24"/>
          <w:szCs w:val="32"/>
        </w:rPr>
      </w:pPr>
      <w:r>
        <w:rPr>
          <w:rFonts w:hint="eastAsia" w:eastAsia="黑体"/>
          <w:sz w:val="32"/>
          <w:szCs w:val="32"/>
        </w:rPr>
        <w:t>第一部分</w:t>
      </w:r>
      <w:r>
        <w:rPr>
          <w:rFonts w:eastAsia="黑体"/>
          <w:sz w:val="32"/>
          <w:szCs w:val="32"/>
        </w:rPr>
        <w:t xml:space="preserve">   </w:t>
      </w:r>
      <w:r>
        <w:rPr>
          <w:rFonts w:hint="eastAsia" w:eastAsia="黑体"/>
          <w:sz w:val="32"/>
          <w:szCs w:val="32"/>
        </w:rPr>
        <w:t>部门概况</w:t>
      </w:r>
      <w:r>
        <w:rPr>
          <w:rFonts w:eastAsia="仿宋_GB2312"/>
          <w:sz w:val="24"/>
          <w:szCs w:val="32"/>
        </w:rPr>
        <w:t xml:space="preserve"> </w:t>
      </w:r>
    </w:p>
    <w:p>
      <w:pPr>
        <w:widowControl/>
        <w:spacing w:line="580" w:lineRule="exact"/>
        <w:ind w:firstLine="1273" w:firstLineChars="398"/>
        <w:rPr>
          <w:rFonts w:eastAsia="仿宋_GB2312"/>
          <w:sz w:val="32"/>
          <w:szCs w:val="32"/>
        </w:rPr>
      </w:pPr>
      <w:r>
        <w:rPr>
          <w:rFonts w:hint="eastAsia" w:eastAsia="仿宋_GB2312"/>
          <w:sz w:val="32"/>
          <w:szCs w:val="32"/>
        </w:rPr>
        <w:t>一、部门职责</w:t>
      </w:r>
    </w:p>
    <w:p>
      <w:pPr>
        <w:widowControl/>
        <w:spacing w:line="580" w:lineRule="exact"/>
        <w:ind w:firstLine="1273" w:firstLineChars="398"/>
        <w:rPr>
          <w:rFonts w:eastAsia="仿宋_GB2312"/>
          <w:sz w:val="32"/>
          <w:szCs w:val="32"/>
        </w:rPr>
      </w:pPr>
      <w:r>
        <w:rPr>
          <w:rFonts w:hint="eastAsia" w:eastAsia="仿宋_GB2312"/>
          <w:sz w:val="32"/>
          <w:szCs w:val="32"/>
        </w:rPr>
        <w:t>二、机构设置</w:t>
      </w:r>
    </w:p>
    <w:p>
      <w:pPr>
        <w:widowControl/>
        <w:spacing w:line="580" w:lineRule="exact"/>
        <w:ind w:firstLine="640" w:firstLineChars="200"/>
        <w:rPr>
          <w:rFonts w:eastAsia="仿宋_GB2312"/>
          <w:sz w:val="20"/>
          <w:szCs w:val="32"/>
        </w:rPr>
      </w:pPr>
      <w:r>
        <w:rPr>
          <w:rFonts w:hint="eastAsia" w:eastAsia="黑体"/>
          <w:sz w:val="32"/>
          <w:szCs w:val="32"/>
        </w:rPr>
        <w:t>第二部分</w:t>
      </w:r>
      <w:r>
        <w:rPr>
          <w:rFonts w:eastAsia="黑体"/>
          <w:sz w:val="32"/>
          <w:szCs w:val="32"/>
        </w:rPr>
        <w:t xml:space="preserve">   2018</w:t>
      </w:r>
      <w:r>
        <w:rPr>
          <w:rFonts w:hint="eastAsia" w:eastAsia="黑体"/>
          <w:sz w:val="32"/>
          <w:szCs w:val="32"/>
        </w:rPr>
        <w:t>年度部门决算报表</w:t>
      </w:r>
    </w:p>
    <w:p>
      <w:pPr>
        <w:widowControl/>
        <w:spacing w:line="580" w:lineRule="exact"/>
        <w:ind w:left="640" w:firstLine="640" w:firstLineChars="200"/>
        <w:rPr>
          <w:rFonts w:eastAsia="仿宋_GB2312"/>
          <w:sz w:val="32"/>
          <w:szCs w:val="32"/>
        </w:rPr>
      </w:pPr>
      <w:r>
        <w:rPr>
          <w:rFonts w:hint="eastAsia" w:eastAsia="仿宋_GB2312"/>
          <w:sz w:val="32"/>
          <w:szCs w:val="32"/>
        </w:rPr>
        <w:t>一、收入支出决算总表</w:t>
      </w:r>
    </w:p>
    <w:p>
      <w:pPr>
        <w:widowControl/>
        <w:spacing w:line="580" w:lineRule="exact"/>
        <w:ind w:left="640" w:firstLine="640" w:firstLineChars="200"/>
        <w:rPr>
          <w:rFonts w:eastAsia="仿宋_GB2312"/>
          <w:sz w:val="32"/>
          <w:szCs w:val="32"/>
        </w:rPr>
      </w:pPr>
      <w:r>
        <w:rPr>
          <w:rFonts w:hint="eastAsia" w:eastAsia="仿宋_GB2312"/>
          <w:sz w:val="32"/>
          <w:szCs w:val="32"/>
        </w:rPr>
        <w:t>二、收入决算表</w:t>
      </w:r>
    </w:p>
    <w:p>
      <w:pPr>
        <w:widowControl/>
        <w:spacing w:line="580" w:lineRule="exact"/>
        <w:ind w:left="640" w:firstLine="640" w:firstLineChars="200"/>
        <w:rPr>
          <w:rFonts w:eastAsia="仿宋_GB2312"/>
          <w:sz w:val="32"/>
          <w:szCs w:val="32"/>
        </w:rPr>
      </w:pPr>
      <w:r>
        <w:rPr>
          <w:rFonts w:hint="eastAsia" w:eastAsia="仿宋_GB2312"/>
          <w:sz w:val="32"/>
          <w:szCs w:val="32"/>
        </w:rPr>
        <w:t>三、支出决算表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四、财政拨款收入支出决算总表</w:t>
      </w:r>
    </w:p>
    <w:p>
      <w:pPr>
        <w:widowControl/>
        <w:spacing w:line="580" w:lineRule="exact"/>
        <w:ind w:left="640" w:firstLine="640" w:firstLineChars="200"/>
        <w:rPr>
          <w:rFonts w:eastAsia="仿宋_GB2312"/>
          <w:sz w:val="32"/>
          <w:szCs w:val="32"/>
        </w:rPr>
      </w:pPr>
      <w:r>
        <w:rPr>
          <w:rFonts w:hint="eastAsia" w:eastAsia="仿宋_GB2312"/>
          <w:sz w:val="32"/>
          <w:szCs w:val="32"/>
        </w:rPr>
        <w:t>五、一般公共预算财政拨款支出决算表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六、一般公共预算财政拨款基本支出决算表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七、一般公共预算财政拨款</w:t>
      </w:r>
      <w:r>
        <w:rPr>
          <w:rFonts w:eastAsia="仿宋_GB2312"/>
          <w:sz w:val="32"/>
          <w:szCs w:val="32"/>
        </w:rPr>
        <w:t>“</w:t>
      </w:r>
      <w:r>
        <w:rPr>
          <w:rFonts w:hint="eastAsia" w:eastAsia="仿宋_GB2312"/>
          <w:sz w:val="32"/>
          <w:szCs w:val="32"/>
        </w:rPr>
        <w:t>三公</w:t>
      </w:r>
      <w:r>
        <w:rPr>
          <w:rFonts w:eastAsia="仿宋_GB2312"/>
          <w:sz w:val="32"/>
          <w:szCs w:val="32"/>
        </w:rPr>
        <w:t>”</w:t>
      </w:r>
      <w:r>
        <w:rPr>
          <w:rFonts w:hint="eastAsia" w:eastAsia="仿宋_GB2312"/>
          <w:sz w:val="32"/>
          <w:szCs w:val="32"/>
        </w:rPr>
        <w:t>经费支出决算表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八、政府性基金预算财政拨款收入支出决算表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九、国有资本经营预算支出决算表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十、政府采购情况表</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r>
        <w:rPr>
          <w:rFonts w:hint="eastAsia" w:eastAsia="黑体"/>
          <w:sz w:val="32"/>
          <w:szCs w:val="32"/>
        </w:rPr>
        <w:t>第三部分</w:t>
      </w:r>
      <w:r>
        <w:rPr>
          <w:rFonts w:eastAsia="黑体"/>
          <w:sz w:val="32"/>
          <w:szCs w:val="32"/>
        </w:rPr>
        <w:t xml:space="preserve">  </w:t>
      </w:r>
      <w:r>
        <w:rPr>
          <w:rFonts w:hint="eastAsia" w:eastAsia="黑体"/>
          <w:sz w:val="32"/>
          <w:szCs w:val="32"/>
        </w:rPr>
        <w:t>古马镇人民政府</w:t>
      </w:r>
      <w:r>
        <w:rPr>
          <w:rFonts w:eastAsia="黑体"/>
          <w:sz w:val="32"/>
          <w:szCs w:val="32"/>
        </w:rPr>
        <w:t>2018</w:t>
      </w:r>
      <w:r>
        <w:rPr>
          <w:rFonts w:hint="eastAsia" w:eastAsia="黑体"/>
          <w:sz w:val="32"/>
          <w:szCs w:val="32"/>
        </w:rPr>
        <w:t>年部门决算情况说明</w:t>
      </w:r>
      <w:r>
        <w:pict>
          <v:group id="组合 176" o:spid="_x0000_s1031" o:spt="203" style="position:absolute;left:0pt;margin-left:-80.75pt;margin-top:38.95pt;height:46.7pt;width:222.8pt;mso-position-vertical-relative:page;z-index:251668480;mso-width-relative:page;mso-height-relative:page;" coordorigin="4551,52615" coordsize="8546,1398203">
            <o:lock v:ext="edit"/>
            <v:rect id="_x0000_s1032" o:spid="_x0000_s1032" o:spt="1" style="position:absolute;left:4551;top:52615;height:1175;width:8546;" fillcolor="#D8D8D8" filled="t" stroked="f" coordsize="21600,21600">
              <v:path/>
              <v:fill on="t" focussize="0,0"/>
              <v:stroke on="f"/>
              <v:imagedata o:title=""/>
              <o:lock v:ext="edit"/>
            </v:rect>
            <v:rect id="_x0000_s1033" o:spid="_x0000_s1033"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2"/>
                        <w:szCs w:val="32"/>
                      </w:rPr>
                    </w:pPr>
                    <w:r>
                      <w:rPr>
                        <w:rFonts w:ascii="楷体" w:hAnsi="楷体" w:eastAsia="楷体" w:cs="楷体"/>
                        <w:b/>
                        <w:bCs/>
                        <w:color w:val="FDEFBE"/>
                        <w:kern w:val="0"/>
                        <w:sz w:val="32"/>
                        <w:szCs w:val="32"/>
                      </w:rPr>
                      <w:t>2018</w:t>
                    </w:r>
                    <w:r>
                      <w:rPr>
                        <w:rFonts w:hint="eastAsia" w:ascii="楷体" w:hAnsi="楷体" w:eastAsia="楷体" w:cs="楷体"/>
                        <w:b/>
                        <w:bCs/>
                        <w:color w:val="FDEFBE"/>
                        <w:kern w:val="0"/>
                        <w:sz w:val="32"/>
                        <w:szCs w:val="32"/>
                      </w:rPr>
                      <w:t>年度部门决算</w:t>
                    </w:r>
                    <w:r>
                      <w:rPr>
                        <w:rFonts w:hint="eastAsia" w:ascii="MS Gothic" w:hAnsi="MS Gothic" w:eastAsia="MS Gothic" w:cs="MS Gothic"/>
                        <w:b/>
                        <w:bCs/>
                        <w:color w:val="FDEFBE"/>
                        <w:kern w:val="0"/>
                        <w:sz w:val="32"/>
                        <w:szCs w:val="32"/>
                      </w:rPr>
                      <w:t>☞</w:t>
                    </w:r>
                    <w:r>
                      <w:rPr>
                        <w:rFonts w:hint="eastAsia" w:ascii="楷体" w:hAnsi="楷体" w:eastAsia="楷体" w:cs="楷体"/>
                        <w:b/>
                        <w:bCs/>
                        <w:color w:val="FDEFBE"/>
                        <w:kern w:val="0"/>
                        <w:sz w:val="32"/>
                        <w:szCs w:val="32"/>
                      </w:rPr>
                      <w:t>目</w:t>
                    </w:r>
                    <w:r>
                      <w:rPr>
                        <w:rFonts w:ascii="楷体" w:hAnsi="楷体" w:eastAsia="楷体" w:cs="楷体"/>
                        <w:b/>
                        <w:bCs/>
                        <w:color w:val="FDEFBE"/>
                        <w:kern w:val="0"/>
                        <w:sz w:val="32"/>
                        <w:szCs w:val="32"/>
                      </w:rPr>
                      <w:t xml:space="preserve"> </w:t>
                    </w:r>
                    <w:r>
                      <w:rPr>
                        <w:rFonts w:hint="eastAsia" w:ascii="楷体" w:hAnsi="楷体" w:eastAsia="楷体" w:cs="楷体"/>
                        <w:b/>
                        <w:bCs/>
                        <w:color w:val="FDEFBE"/>
                        <w:kern w:val="0"/>
                        <w:sz w:val="32"/>
                        <w:szCs w:val="32"/>
                      </w:rPr>
                      <w:t>录</w:t>
                    </w:r>
                  </w:p>
                  <w:p>
                    <w:pPr>
                      <w:jc w:val="center"/>
                    </w:pPr>
                  </w:p>
                </w:txbxContent>
              </v:textbox>
            </v:rect>
            <w10:anchorlock/>
          </v:group>
        </w:pict>
      </w:r>
    </w:p>
    <w:p>
      <w:pPr>
        <w:widowControl/>
        <w:spacing w:line="580" w:lineRule="exact"/>
        <w:ind w:left="640" w:firstLine="640" w:firstLineChars="200"/>
        <w:rPr>
          <w:rFonts w:eastAsia="仿宋_GB2312"/>
          <w:sz w:val="32"/>
          <w:szCs w:val="32"/>
        </w:rPr>
      </w:pPr>
      <w:r>
        <w:rPr>
          <w:rFonts w:hint="eastAsia" w:eastAsia="仿宋_GB2312"/>
          <w:sz w:val="32"/>
          <w:szCs w:val="32"/>
        </w:rPr>
        <w:t>一、收入支出决算总体情况说明</w:t>
      </w:r>
    </w:p>
    <w:p>
      <w:pPr>
        <w:widowControl/>
        <w:spacing w:line="580" w:lineRule="exact"/>
        <w:ind w:left="640" w:firstLine="640" w:firstLineChars="200"/>
        <w:rPr>
          <w:rFonts w:eastAsia="仿宋_GB2312"/>
          <w:sz w:val="32"/>
          <w:szCs w:val="32"/>
        </w:rPr>
      </w:pPr>
      <w:r>
        <w:rPr>
          <w:rFonts w:hint="eastAsia" w:eastAsia="仿宋_GB2312"/>
          <w:sz w:val="32"/>
          <w:szCs w:val="32"/>
        </w:rPr>
        <w:t>二、收入决算情况说明</w:t>
      </w:r>
    </w:p>
    <w:p>
      <w:pPr>
        <w:widowControl/>
        <w:spacing w:line="580" w:lineRule="exact"/>
        <w:ind w:left="640" w:firstLine="640" w:firstLineChars="200"/>
        <w:rPr>
          <w:rFonts w:eastAsia="仿宋_GB2312"/>
          <w:sz w:val="32"/>
          <w:szCs w:val="32"/>
        </w:rPr>
      </w:pPr>
      <w:r>
        <w:rPr>
          <w:rFonts w:hint="eastAsia" w:eastAsia="仿宋_GB2312"/>
          <w:sz w:val="32"/>
          <w:szCs w:val="32"/>
        </w:rPr>
        <w:t>三、支出决算情况说明</w:t>
      </w:r>
    </w:p>
    <w:p>
      <w:pPr>
        <w:widowControl/>
        <w:spacing w:line="580" w:lineRule="exact"/>
        <w:ind w:left="640" w:firstLine="640" w:firstLineChars="200"/>
        <w:rPr>
          <w:rFonts w:eastAsia="仿宋_GB2312"/>
          <w:sz w:val="32"/>
          <w:szCs w:val="32"/>
        </w:rPr>
      </w:pPr>
      <w:r>
        <w:rPr>
          <w:rFonts w:hint="eastAsia" w:eastAsia="仿宋_GB2312"/>
          <w:sz w:val="32"/>
          <w:szCs w:val="32"/>
        </w:rPr>
        <w:t>四、财政拨款收入支出决算总体情况说明</w:t>
      </w:r>
    </w:p>
    <w:p>
      <w:pPr>
        <w:widowControl/>
        <w:spacing w:line="580" w:lineRule="exact"/>
        <w:ind w:left="640" w:firstLine="640" w:firstLineChars="200"/>
        <w:rPr>
          <w:rFonts w:eastAsia="仿宋_GB2312"/>
          <w:sz w:val="32"/>
          <w:szCs w:val="32"/>
        </w:rPr>
      </w:pPr>
      <w:r>
        <w:rPr>
          <w:rFonts w:hint="eastAsia" w:eastAsia="仿宋_GB2312"/>
          <w:sz w:val="32"/>
          <w:szCs w:val="32"/>
        </w:rPr>
        <w:t>五、一般公共预算</w:t>
      </w:r>
      <w:r>
        <w:rPr>
          <w:rFonts w:eastAsia="仿宋_GB2312"/>
          <w:sz w:val="32"/>
          <w:szCs w:val="32"/>
        </w:rPr>
        <w:t>“</w:t>
      </w:r>
      <w:r>
        <w:rPr>
          <w:rFonts w:hint="eastAsia" w:eastAsia="仿宋_GB2312"/>
          <w:sz w:val="32"/>
          <w:szCs w:val="32"/>
        </w:rPr>
        <w:t>三公</w:t>
      </w:r>
      <w:r>
        <w:rPr>
          <w:rFonts w:eastAsia="仿宋_GB2312"/>
          <w:sz w:val="32"/>
          <w:szCs w:val="32"/>
        </w:rPr>
        <w:t>”</w:t>
      </w:r>
      <w:r>
        <w:rPr>
          <w:rFonts w:hint="eastAsia" w:eastAsia="仿宋_GB2312"/>
          <w:sz w:val="32"/>
          <w:szCs w:val="32"/>
        </w:rPr>
        <w:t>经费支出决算情况说明</w:t>
      </w:r>
    </w:p>
    <w:p>
      <w:pPr>
        <w:widowControl/>
        <w:spacing w:line="580" w:lineRule="exact"/>
        <w:ind w:left="640" w:firstLine="640" w:firstLineChars="200"/>
        <w:rPr>
          <w:rFonts w:eastAsia="仿宋_GB2312"/>
          <w:sz w:val="32"/>
          <w:szCs w:val="32"/>
        </w:rPr>
      </w:pPr>
      <w:r>
        <w:rPr>
          <w:rFonts w:hint="eastAsia" w:eastAsia="仿宋_GB2312"/>
          <w:sz w:val="32"/>
          <w:szCs w:val="32"/>
        </w:rPr>
        <w:t>六、预算绩效情况说明</w:t>
      </w:r>
    </w:p>
    <w:p>
      <w:pPr>
        <w:widowControl/>
        <w:spacing w:line="580" w:lineRule="exact"/>
        <w:ind w:left="640" w:firstLine="640" w:firstLineChars="200"/>
        <w:rPr>
          <w:rFonts w:eastAsia="仿宋_GB2312"/>
          <w:sz w:val="32"/>
          <w:szCs w:val="32"/>
        </w:rPr>
      </w:pPr>
      <w:r>
        <w:rPr>
          <w:rFonts w:hint="eastAsia" w:eastAsia="仿宋_GB2312"/>
          <w:sz w:val="32"/>
          <w:szCs w:val="32"/>
        </w:rPr>
        <w:t>七、其他重要事项的说明</w:t>
      </w:r>
    </w:p>
    <w:p>
      <w:pPr>
        <w:widowControl/>
        <w:spacing w:line="580" w:lineRule="exact"/>
        <w:ind w:firstLine="640" w:firstLineChars="200"/>
        <w:rPr>
          <w:rFonts w:eastAsia="黑体"/>
          <w:sz w:val="32"/>
          <w:szCs w:val="32"/>
        </w:rPr>
      </w:pPr>
      <w:r>
        <w:rPr>
          <w:rFonts w:hint="eastAsia" w:eastAsia="黑体"/>
          <w:sz w:val="32"/>
          <w:szCs w:val="32"/>
        </w:rPr>
        <w:t>第四部分</w:t>
      </w:r>
      <w:r>
        <w:rPr>
          <w:rFonts w:eastAsia="黑体"/>
          <w:sz w:val="32"/>
          <w:szCs w:val="32"/>
        </w:rPr>
        <w:t xml:space="preserve">  </w:t>
      </w:r>
      <w:r>
        <w:rPr>
          <w:rFonts w:hint="eastAsia" w:eastAsia="黑体"/>
          <w:sz w:val="32"/>
          <w:szCs w:val="32"/>
        </w:rPr>
        <w:t>名词解释</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r>
        <w:br w:type="page"/>
      </w:r>
    </w:p>
    <w:p>
      <w:r>
        <w:pict>
          <v:shape id="图片 12" o:spid="_x0000_s1034" o:spt="75" type="#_x0000_t75" style="position:absolute;left:0pt;margin-left:-80.65pt;margin-top:-106.45pt;height:844.65pt;width:597.3pt;z-index:-251655168;mso-width-relative:page;mso-height-relative:page;" filled="f" o:preferrelative="t" stroked="f" coordsize="21600,21600">
            <v:path/>
            <v:fill on="f" focussize="0,0"/>
            <v:stroke on="f" joinstyle="miter"/>
            <v:imagedata r:id="rId8" o:title=""/>
            <o:lock v:ext="edit" aspectratio="t"/>
          </v:shape>
        </w:pict>
      </w:r>
      <w:r>
        <w:pict>
          <v:rect id="文本框 118" o:spid="_x0000_s1035" o:spt="1" style="position:absolute;left:0pt;margin-left:-97.3pt;margin-top:259.1pt;height:81.7pt;width:613.65pt;z-index:251669504;mso-width-relative:page;mso-height-relative:page;" filled="f" stroked="f" coordsize="21600,21600">
            <v:path/>
            <v:fill on="f" focussize="0,0"/>
            <v:stroke on="f"/>
            <v:imagedata o:title=""/>
            <o:lock v:ext="edit"/>
            <v:textbox>
              <w:txbxContent>
                <w:p>
                  <w:pPr>
                    <w:widowControl/>
                    <w:jc w:val="center"/>
                    <w:rPr>
                      <w:color w:val="FDEFBE"/>
                      <w:sz w:val="96"/>
                      <w:szCs w:val="96"/>
                    </w:rPr>
                  </w:pPr>
                  <w:r>
                    <w:rPr>
                      <w:rFonts w:hint="eastAsia" w:ascii="黑体" w:hAnsi="宋体" w:eastAsia="黑体"/>
                      <w:color w:val="FDEFBE"/>
                      <w:sz w:val="96"/>
                      <w:szCs w:val="96"/>
                    </w:rPr>
                    <w:t>第一部分</w:t>
                  </w:r>
                  <w:r>
                    <w:rPr>
                      <w:rFonts w:ascii="黑体" w:hAnsi="宋体" w:eastAsia="黑体"/>
                      <w:color w:val="FDEFBE"/>
                      <w:sz w:val="96"/>
                      <w:szCs w:val="96"/>
                    </w:rPr>
                    <w:t xml:space="preserve">  </w:t>
                  </w:r>
                  <w:r>
                    <w:rPr>
                      <w:rFonts w:hint="eastAsia" w:ascii="黑体" w:hAnsi="宋体" w:eastAsia="黑体"/>
                      <w:color w:val="FDEFBE"/>
                      <w:sz w:val="96"/>
                      <w:szCs w:val="96"/>
                    </w:rPr>
                    <w:t>部门概况</w:t>
                  </w:r>
                </w:p>
              </w:txbxContent>
            </v:textbox>
          </v:rect>
        </w:pict>
      </w:r>
    </w:p>
    <w:p/>
    <w:p/>
    <w:p/>
    <w:p/>
    <w:p/>
    <w:p/>
    <w:p/>
    <w:p/>
    <w:p/>
    <w:p/>
    <w:p/>
    <w:p/>
    <w:p/>
    <w:p/>
    <w:p/>
    <w:p>
      <w:pPr>
        <w:pStyle w:val="2"/>
        <w:spacing w:before="0" w:after="0" w:line="600" w:lineRule="exact"/>
        <w:jc w:val="left"/>
        <w:rPr>
          <w:rFonts w:ascii="黑体" w:hAnsi="Cambria" w:eastAsia="黑体" w:cs="黑体"/>
          <w:b w:val="0"/>
          <w:bCs w:val="0"/>
          <w:kern w:val="0"/>
          <w:sz w:val="32"/>
          <w:szCs w:val="32"/>
        </w:rPr>
      </w:pPr>
      <w:r>
        <w:pict>
          <v:group id="组合 15" o:spid="_x0000_s1036" o:spt="203" style="position:absolute;left:0pt;margin-left:-80.75pt;margin-top:39.5pt;height:26.4pt;width:217.25pt;mso-position-vertical-relative:page;z-index:251670528;mso-width-relative:page;mso-height-relative:page;" coordorigin="4551,52615" coordsize="8546,1398203">
            <o:lock v:ext="edit"/>
            <v:rect id="_x0000_s1037" o:spid="_x0000_s1037" o:spt="1" style="position:absolute;left:4551;top:52615;height:1175;width:8546;" fillcolor="#D8D8D8" filled="t" stroked="f" coordsize="21600,21600">
              <v:path/>
              <v:fill on="t" focussize="0,0"/>
              <v:stroke on="f"/>
              <v:imagedata o:title=""/>
              <o:lock v:ext="edit"/>
            </v:rect>
            <v:rect id="_x0000_s1038" o:spid="_x0000_s1038"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2"/>
                        <w:szCs w:val="32"/>
                      </w:rPr>
                    </w:pPr>
                    <w:r>
                      <w:rPr>
                        <w:rFonts w:ascii="楷体" w:hAnsi="楷体" w:eastAsia="楷体" w:cs="楷体"/>
                        <w:b/>
                        <w:bCs/>
                        <w:color w:val="FDEFBE"/>
                        <w:kern w:val="0"/>
                        <w:sz w:val="32"/>
                        <w:szCs w:val="32"/>
                      </w:rPr>
                      <w:t>2018</w:t>
                    </w:r>
                    <w:r>
                      <w:rPr>
                        <w:rFonts w:hint="eastAsia" w:ascii="楷体" w:hAnsi="楷体" w:eastAsia="楷体" w:cs="楷体"/>
                        <w:b/>
                        <w:bCs/>
                        <w:color w:val="FDEFBE"/>
                        <w:kern w:val="0"/>
                        <w:sz w:val="32"/>
                        <w:szCs w:val="32"/>
                      </w:rPr>
                      <w:t>年度部门决算</w:t>
                    </w:r>
                    <w:r>
                      <w:rPr>
                        <w:rFonts w:hint="eastAsia" w:ascii="MS Gothic" w:hAnsi="MS Gothic" w:eastAsia="MS Gothic" w:cs="MS Gothic"/>
                        <w:b/>
                        <w:bCs/>
                        <w:color w:val="FDEFBE"/>
                        <w:kern w:val="0"/>
                        <w:sz w:val="32"/>
                        <w:szCs w:val="32"/>
                      </w:rPr>
                      <w:t>☞</w:t>
                    </w:r>
                    <w:r>
                      <w:rPr>
                        <w:rFonts w:hint="eastAsia" w:ascii="楷体" w:hAnsi="楷体" w:eastAsia="楷体" w:cs="楷体"/>
                        <w:b/>
                        <w:bCs/>
                        <w:color w:val="FDEFBE"/>
                        <w:kern w:val="0"/>
                        <w:sz w:val="32"/>
                        <w:szCs w:val="32"/>
                      </w:rPr>
                      <w:t>部门概况</w:t>
                    </w:r>
                  </w:p>
                  <w:p>
                    <w:pPr>
                      <w:jc w:val="center"/>
                    </w:pPr>
                  </w:p>
                </w:txbxContent>
              </v:textbox>
            </v:rect>
            <w10:anchorlock/>
          </v:group>
        </w:pict>
      </w:r>
      <w:r>
        <w:rPr>
          <w:rFonts w:hint="eastAsia" w:ascii="黑体" w:hAnsi="Cambria" w:eastAsia="黑体" w:cs="黑体"/>
          <w:b w:val="0"/>
          <w:bCs w:val="0"/>
          <w:kern w:val="0"/>
          <w:sz w:val="32"/>
          <w:szCs w:val="32"/>
        </w:rPr>
        <w:t>一、部门职责</w:t>
      </w:r>
    </w:p>
    <w:p>
      <w:pPr>
        <w:spacing w:after="0" w:line="560" w:lineRule="exact"/>
        <w:ind w:firstLine="640" w:firstLineChars="200"/>
        <w:rPr>
          <w:rFonts w:hint="eastAsia" w:ascii="仿宋_GB2312" w:hAnsi="Cambria" w:eastAsia="仿宋_GB2312" w:cs="ArialUnicodeMS"/>
          <w:kern w:val="0"/>
          <w:sz w:val="32"/>
          <w:szCs w:val="32"/>
        </w:rPr>
      </w:pPr>
      <w:r>
        <w:rPr>
          <w:rFonts w:hint="eastAsia" w:ascii="仿宋_GB2312" w:hAnsi="Cambria" w:eastAsia="仿宋_GB2312" w:cs="ArialUnicodeMS"/>
          <w:kern w:val="0"/>
          <w:sz w:val="32"/>
          <w:szCs w:val="32"/>
        </w:rPr>
        <w:t>（一）促进经济发展。主要包括：（1）依据市国民经济和社会发展汇总长期和年度规划，结合乡镇实际科学制定本地经济和社会发展规划及发展模式。（2）以市场为到乡，积极组织引导农民进行产业结构调整，大力发展适合本地特点的农业产业化路子，促进农民持续稳定增产、增收。（3）大力发展民营经济，促进中小企业相对集中，培育和发展农民专业合作组织和中介组织，壮大第二、第三产业，加快城镇化进程。（4）营造良好的发展环境，促进招商引资和项目建设。</w:t>
      </w:r>
    </w:p>
    <w:p>
      <w:pPr>
        <w:spacing w:after="0" w:line="560" w:lineRule="exact"/>
        <w:ind w:firstLine="640" w:firstLineChars="200"/>
        <w:rPr>
          <w:rFonts w:hint="eastAsia" w:ascii="仿宋_GB2312" w:hAnsi="Cambria" w:eastAsia="仿宋_GB2312" w:cs="ArialUnicodeMS"/>
          <w:kern w:val="0"/>
          <w:sz w:val="32"/>
          <w:szCs w:val="32"/>
        </w:rPr>
      </w:pPr>
      <w:r>
        <w:rPr>
          <w:rFonts w:hint="eastAsia" w:ascii="仿宋_GB2312" w:hAnsi="Cambria" w:eastAsia="仿宋_GB2312" w:cs="ArialUnicodeMS"/>
          <w:kern w:val="0"/>
          <w:sz w:val="32"/>
          <w:szCs w:val="32"/>
        </w:rPr>
        <w:t>（二）加强社会管理。主要包括：（1）组织、监督国家法律和基本公共政策在农村的实施，制定社会主义新农村和文明生态村建设的规划和措施，加强基础设施建设，改善农民生活环境；加强镇村财政资金监管和镇村建设等社会事务的行政管理，促进各项社会事业的发展；协助县直有关部门做好民政、国土资源管理、环境保护、农业、水利、林业、动物防疫等工作。（2）保障法律法规赋予公民的经济、政治、文化权利，落实公民在选举、决策、管理和监督方面的民主权利，依法行政。（3）加强农村党组织建设，依法推进村民组织自治，加强农村文化宣传及统战工作，抓好农村的思想政治建设和精神文明建设。（4）加强安全生产管理，做好各项安全生产工作的监督检查、隐患排查，落实安全生产责任制。</w:t>
      </w:r>
    </w:p>
    <w:p>
      <w:pPr>
        <w:spacing w:after="0" w:line="560" w:lineRule="exact"/>
        <w:ind w:firstLine="640" w:firstLineChars="200"/>
        <w:rPr>
          <w:rFonts w:hint="eastAsia" w:ascii="仿宋_GB2312" w:hAnsi="Cambria" w:eastAsia="仿宋_GB2312" w:cs="ArialUnicodeMS"/>
          <w:kern w:val="0"/>
          <w:sz w:val="32"/>
          <w:szCs w:val="32"/>
        </w:rPr>
      </w:pPr>
      <w:r>
        <w:rPr>
          <w:rFonts w:hint="eastAsia" w:ascii="仿宋_GB2312" w:hAnsi="Cambria" w:eastAsia="仿宋_GB2312" w:cs="ArialUnicodeMS"/>
          <w:kern w:val="0"/>
          <w:sz w:val="32"/>
          <w:szCs w:val="32"/>
        </w:rPr>
        <w:t>（三）提供公共服务。主要包括：（1）加强农村市场设施建设和管理，增强市场服务功能。（2）加强农田水利基本建设，增强农业抗御自然灾害的能力。（3）组织好科技、信息服务和农业技术推广工作，不断提高农民现代信息技术水平；加强对农村劳动力的职业培训，扩大农村富余劳动力就业。（4）建立健全农村社会保障体系，解除农民后顾之忧，促进农村经济社会协调发展。</w:t>
      </w:r>
    </w:p>
    <w:p>
      <w:pPr>
        <w:spacing w:after="0" w:line="560" w:lineRule="exact"/>
        <w:ind w:firstLine="640" w:firstLineChars="200"/>
        <w:rPr>
          <w:rFonts w:hint="eastAsia" w:ascii="仿宋_GB2312" w:hAnsi="Cambria" w:eastAsia="仿宋_GB2312" w:cs="ArialUnicodeMS"/>
          <w:kern w:val="0"/>
          <w:sz w:val="32"/>
          <w:szCs w:val="32"/>
        </w:rPr>
      </w:pPr>
      <w:r>
        <w:rPr>
          <w:rFonts w:hint="eastAsia" w:ascii="仿宋_GB2312" w:hAnsi="Cambria" w:eastAsia="仿宋_GB2312" w:cs="ArialUnicodeMS"/>
          <w:kern w:val="0"/>
          <w:sz w:val="32"/>
          <w:szCs w:val="32"/>
        </w:rPr>
        <w:t>（四）维护农村稳定。主要包括：（1）贯彻执行国家法律法规和政策，搞好农村普法宣传教育工作，增强农民法律意识，教育农民知法、懂法、守法。（2）认真做好人民群众的来信来访工作，维护、保障人民群众的合法权益。（3）建立完善协调联动机制，搞好农村矛盾纠纷排查调处，加强社会治安综合治理，维护社会安全秩序。（4）完善预警机制，妥善处理公共性、土法性、群体性事件；协调公安、司法部门做好社会治安综合治理工作，打击各类刑事犯罪活动。</w:t>
      </w:r>
    </w:p>
    <w:p>
      <w:pPr>
        <w:pStyle w:val="2"/>
        <w:spacing w:before="0" w:after="0" w:line="600" w:lineRule="exact"/>
        <w:jc w:val="left"/>
        <w:rPr>
          <w:rFonts w:ascii="黑体" w:hAnsi="Cambria" w:eastAsia="黑体" w:cs="黑体"/>
          <w:b w:val="0"/>
          <w:bCs w:val="0"/>
          <w:kern w:val="0"/>
          <w:sz w:val="32"/>
          <w:szCs w:val="32"/>
        </w:rPr>
      </w:pPr>
      <w:r>
        <w:rPr>
          <w:rFonts w:hint="eastAsia" w:ascii="黑体" w:hAnsi="Cambria" w:eastAsia="黑体" w:cs="黑体"/>
          <w:b w:val="0"/>
          <w:bCs w:val="0"/>
          <w:kern w:val="0"/>
          <w:sz w:val="32"/>
          <w:szCs w:val="32"/>
        </w:rPr>
        <w:t>二、机构设置</w:t>
      </w:r>
    </w:p>
    <w:p>
      <w:pPr>
        <w:spacing w:after="0" w:line="560" w:lineRule="exact"/>
        <w:ind w:firstLine="640" w:firstLineChars="200"/>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t>从决算编报单位构成看，纳入</w:t>
      </w:r>
      <w:r>
        <w:rPr>
          <w:rFonts w:ascii="仿宋_GB2312" w:hAnsi="Cambria" w:eastAsia="仿宋_GB2312" w:cs="ArialUnicodeMS"/>
          <w:kern w:val="0"/>
          <w:sz w:val="32"/>
          <w:szCs w:val="32"/>
        </w:rPr>
        <w:t xml:space="preserve">2018 </w:t>
      </w:r>
      <w:r>
        <w:rPr>
          <w:rFonts w:hint="eastAsia" w:ascii="仿宋_GB2312" w:hAnsi="Cambria" w:eastAsia="仿宋_GB2312" w:cs="ArialUnicodeMS"/>
          <w:kern w:val="0"/>
          <w:sz w:val="32"/>
          <w:szCs w:val="32"/>
        </w:rPr>
        <w:t>年度本部门决算汇编范围的独立核算单位（以下简称“单位”）共</w:t>
      </w:r>
      <w:r>
        <w:rPr>
          <w:rFonts w:ascii="仿宋_GB2312" w:hAnsi="Cambria" w:eastAsia="仿宋_GB2312" w:cs="ArialUnicodeMS"/>
          <w:kern w:val="0"/>
          <w:sz w:val="32"/>
          <w:szCs w:val="32"/>
        </w:rPr>
        <w:t>2</w:t>
      </w:r>
      <w:r>
        <w:rPr>
          <w:rFonts w:hint="eastAsia" w:ascii="仿宋_GB2312" w:hAnsi="Cambria" w:eastAsia="仿宋_GB2312" w:cs="ArialUnicodeMS"/>
          <w:kern w:val="0"/>
          <w:sz w:val="32"/>
          <w:szCs w:val="32"/>
        </w:rPr>
        <w:t>个，具体情况如下：</w:t>
      </w:r>
    </w:p>
    <w:tbl>
      <w:tblPr>
        <w:tblStyle w:val="12"/>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588"/>
        <w:gridCol w:w="2342"/>
        <w:gridCol w:w="2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序号</w:t>
            </w:r>
          </w:p>
        </w:tc>
        <w:tc>
          <w:tcPr>
            <w:tcW w:w="3588" w:type="dxa"/>
            <w:vAlign w:val="center"/>
          </w:tcPr>
          <w:p>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单位名称</w:t>
            </w:r>
          </w:p>
        </w:tc>
        <w:tc>
          <w:tcPr>
            <w:tcW w:w="2342" w:type="dxa"/>
            <w:vAlign w:val="center"/>
          </w:tcPr>
          <w:p>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单位基本性质</w:t>
            </w:r>
          </w:p>
        </w:tc>
        <w:tc>
          <w:tcPr>
            <w:tcW w:w="2665" w:type="dxa"/>
            <w:vAlign w:val="center"/>
          </w:tcPr>
          <w:p>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经费形式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hAnsi="Cambria" w:eastAsia="仿宋_GB2312" w:cs="ArialUnicodeMS"/>
                <w:kern w:val="0"/>
                <w:sz w:val="28"/>
                <w:szCs w:val="28"/>
              </w:rPr>
            </w:pPr>
            <w:r>
              <w:rPr>
                <w:rFonts w:ascii="仿宋_GB2312" w:hAnsi="Cambria" w:eastAsia="仿宋_GB2312" w:cs="ArialUnicodeMS"/>
                <w:kern w:val="0"/>
                <w:sz w:val="28"/>
                <w:szCs w:val="28"/>
              </w:rPr>
              <w:t>1</w:t>
            </w:r>
          </w:p>
        </w:tc>
        <w:tc>
          <w:tcPr>
            <w:tcW w:w="3588" w:type="dxa"/>
          </w:tcPr>
          <w:p>
            <w:pPr>
              <w:spacing w:after="0" w:line="560" w:lineRule="exact"/>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滦州市古马镇人民政府</w:t>
            </w:r>
          </w:p>
        </w:tc>
        <w:tc>
          <w:tcPr>
            <w:tcW w:w="2342" w:type="dxa"/>
          </w:tcPr>
          <w:p>
            <w:pPr>
              <w:spacing w:after="0" w:line="560" w:lineRule="exact"/>
              <w:jc w:val="center"/>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行政单位</w:t>
            </w:r>
          </w:p>
        </w:tc>
        <w:tc>
          <w:tcPr>
            <w:tcW w:w="2665" w:type="dxa"/>
          </w:tcPr>
          <w:p>
            <w:pPr>
              <w:spacing w:after="0" w:line="560" w:lineRule="exact"/>
              <w:jc w:val="center"/>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985" w:type="dxa"/>
          </w:tcPr>
          <w:p>
            <w:pPr>
              <w:spacing w:after="0" w:line="560" w:lineRule="exact"/>
              <w:jc w:val="center"/>
              <w:rPr>
                <w:rFonts w:ascii="仿宋_GB2312" w:hAnsi="Cambria" w:eastAsia="仿宋_GB2312" w:cs="ArialUnicodeMS"/>
                <w:kern w:val="0"/>
                <w:sz w:val="28"/>
                <w:szCs w:val="28"/>
              </w:rPr>
            </w:pPr>
            <w:r>
              <w:rPr>
                <w:rFonts w:ascii="仿宋_GB2312" w:hAnsi="Cambria" w:eastAsia="仿宋_GB2312" w:cs="ArialUnicodeMS"/>
                <w:kern w:val="0"/>
                <w:sz w:val="28"/>
                <w:szCs w:val="28"/>
              </w:rPr>
              <w:t>2</w:t>
            </w:r>
          </w:p>
        </w:tc>
        <w:tc>
          <w:tcPr>
            <w:tcW w:w="3588" w:type="dxa"/>
          </w:tcPr>
          <w:p>
            <w:pPr>
              <w:spacing w:after="0" w:line="560" w:lineRule="exact"/>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滦州市财政局古马镇财政所</w:t>
            </w:r>
          </w:p>
        </w:tc>
        <w:tc>
          <w:tcPr>
            <w:tcW w:w="2342" w:type="dxa"/>
          </w:tcPr>
          <w:p>
            <w:pPr>
              <w:spacing w:after="0" w:line="560" w:lineRule="exact"/>
              <w:jc w:val="center"/>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参公事业单位</w:t>
            </w:r>
          </w:p>
        </w:tc>
        <w:tc>
          <w:tcPr>
            <w:tcW w:w="2665" w:type="dxa"/>
          </w:tcPr>
          <w:p>
            <w:pPr>
              <w:spacing w:after="0" w:line="560" w:lineRule="exact"/>
              <w:jc w:val="center"/>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财政拨款</w:t>
            </w:r>
          </w:p>
        </w:tc>
      </w:tr>
    </w:tbl>
    <w:p>
      <w:pPr>
        <w:widowControl/>
        <w:spacing w:line="560" w:lineRule="exact"/>
        <w:jc w:val="both"/>
        <w:rPr>
          <w:rFonts w:ascii="黑体" w:hAnsi="Cambria" w:eastAsia="黑体" w:cs="MS-UIGothic,Bold"/>
          <w:bCs/>
          <w:kern w:val="0"/>
          <w:sz w:val="52"/>
          <w:szCs w:val="52"/>
        </w:rPr>
      </w:pPr>
    </w:p>
    <w:p>
      <w:pPr>
        <w:widowControl/>
        <w:spacing w:line="560" w:lineRule="exact"/>
        <w:jc w:val="center"/>
        <w:rPr>
          <w:rFonts w:ascii="黑体" w:hAnsi="Cambria" w:eastAsia="黑体" w:cs="MS-UIGothic,Bold"/>
          <w:bCs/>
          <w:kern w:val="0"/>
          <w:sz w:val="52"/>
          <w:szCs w:val="52"/>
        </w:rPr>
        <w:sectPr>
          <w:pgSz w:w="11906" w:h="16838"/>
          <w:pgMar w:top="2098" w:right="1474" w:bottom="1984" w:left="1588" w:header="851" w:footer="992" w:gutter="0"/>
          <w:cols w:space="0" w:num="1"/>
          <w:docGrid w:type="lines" w:linePitch="312" w:charSpace="0"/>
        </w:sectPr>
      </w:pPr>
    </w:p>
    <w:p>
      <w:pPr>
        <w:widowControl/>
        <w:spacing w:line="560" w:lineRule="exact"/>
        <w:jc w:val="center"/>
        <w:rPr>
          <w:rFonts w:ascii="黑体" w:hAnsi="Cambria" w:eastAsia="黑体" w:cs="MS-UIGothic,Bold"/>
          <w:bCs/>
          <w:kern w:val="0"/>
          <w:sz w:val="52"/>
          <w:szCs w:val="52"/>
        </w:rPr>
      </w:pPr>
      <w:r>
        <w:pict>
          <v:shape id="图片 16" o:spid="_x0000_s1039" o:spt="75" type="#_x0000_t75" style="position:absolute;left:0pt;margin-left:-80.6pt;margin-top:-104.5pt;height:840.95pt;width:596.15pt;z-index:-251654144;mso-width-relative:page;mso-height-relative:page;" filled="f" o:preferrelative="t" stroked="f" coordsize="21600,21600">
            <v:path/>
            <v:fill on="f" focussize="0,0"/>
            <v:stroke on="f" joinstyle="miter"/>
            <v:imagedata r:id="rId8" o:title=""/>
            <o:lock v:ext="edit" aspectratio="t"/>
          </v:shape>
        </w:pict>
      </w:r>
    </w:p>
    <w:p>
      <w:pPr>
        <w:widowControl/>
        <w:spacing w:line="560" w:lineRule="exact"/>
        <w:jc w:val="center"/>
        <w:rPr>
          <w:rFonts w:ascii="黑体" w:hAnsi="Cambria" w:eastAsia="黑体" w:cs="MS-UIGothic,Bold"/>
          <w:bCs/>
          <w:kern w:val="0"/>
          <w:sz w:val="52"/>
          <w:szCs w:val="52"/>
        </w:rPr>
      </w:pPr>
    </w:p>
    <w:p>
      <w:pPr>
        <w:rPr>
          <w:rFonts w:ascii="宋体" w:cs="ArialUnicodeMS"/>
          <w:color w:val="000000"/>
          <w:kern w:val="0"/>
        </w:rPr>
      </w:pPr>
    </w:p>
    <w:p>
      <w:pPr>
        <w:rPr>
          <w:rFonts w:ascii="宋体" w:cs="ArialUnicodeMS"/>
          <w:color w:val="000000"/>
          <w:kern w:val="0"/>
        </w:rPr>
        <w:sectPr>
          <w:pgSz w:w="11906" w:h="16838"/>
          <w:pgMar w:top="2098" w:right="1474" w:bottom="1984" w:left="1588" w:header="851" w:footer="992" w:gutter="0"/>
          <w:cols w:space="0" w:num="1"/>
          <w:docGrid w:type="lines" w:linePitch="312" w:charSpace="0"/>
        </w:sectPr>
      </w:pPr>
      <w:r>
        <w:pict>
          <v:rect id="文本框 17" o:spid="_x0000_s1040" o:spt="1" style="position:absolute;left:0pt;margin-left:-74.2pt;margin-top:120.3pt;height:159.1pt;width:596.2pt;z-index:251671552;mso-width-relative:page;mso-height-relative:page;" filled="f" stroked="f" coordsize="21600,21600">
            <v:path/>
            <v:fill on="f" focussize="0,0"/>
            <v:stroke on="f"/>
            <v:imagedata o:title=""/>
            <o:lock v:ext="edit"/>
            <v:textbox>
              <w:txbxContent>
                <w:p>
                  <w:pPr>
                    <w:widowControl/>
                    <w:spacing w:line="1200" w:lineRule="exact"/>
                    <w:jc w:val="center"/>
                    <w:rPr>
                      <w:rFonts w:ascii="黑体" w:hAnsi="宋体" w:eastAsia="黑体"/>
                      <w:color w:val="FDEFBE"/>
                      <w:sz w:val="96"/>
                      <w:szCs w:val="96"/>
                    </w:rPr>
                  </w:pPr>
                  <w:r>
                    <w:rPr>
                      <w:rFonts w:hint="eastAsia" w:ascii="黑体" w:hAnsi="宋体" w:eastAsia="黑体"/>
                      <w:color w:val="FDEFBE"/>
                      <w:sz w:val="96"/>
                      <w:szCs w:val="96"/>
                    </w:rPr>
                    <w:t>第二部分</w:t>
                  </w:r>
                </w:p>
                <w:p>
                  <w:pPr>
                    <w:widowControl/>
                    <w:spacing w:line="1200" w:lineRule="exact"/>
                    <w:jc w:val="center"/>
                    <w:rPr>
                      <w:color w:val="FDEFBE"/>
                      <w:sz w:val="96"/>
                      <w:szCs w:val="96"/>
                    </w:rPr>
                  </w:pPr>
                  <w:r>
                    <w:rPr>
                      <w:rFonts w:ascii="黑体" w:hAnsi="宋体" w:eastAsia="黑体"/>
                      <w:color w:val="FDEFBE"/>
                      <w:sz w:val="96"/>
                      <w:szCs w:val="96"/>
                    </w:rPr>
                    <w:t>2018</w:t>
                  </w:r>
                  <w:r>
                    <w:rPr>
                      <w:rFonts w:hint="eastAsia" w:ascii="黑体" w:hAnsi="宋体" w:eastAsia="黑体"/>
                      <w:color w:val="FDEFBE"/>
                      <w:sz w:val="96"/>
                      <w:szCs w:val="96"/>
                    </w:rPr>
                    <w:t>年度部门决算报表</w:t>
                  </w:r>
                </w:p>
              </w:txbxContent>
            </v:textbox>
          </v:rect>
        </w:pict>
      </w:r>
    </w:p>
    <w:p>
      <w:pPr>
        <w:rPr>
          <w:rFonts w:ascii="宋体" w:cs="ArialUnicodeMS"/>
          <w:color w:val="000000"/>
          <w:kern w:val="0"/>
        </w:rPr>
      </w:pPr>
    </w:p>
    <w:p>
      <w:pPr>
        <w:rPr>
          <w:rFonts w:ascii="宋体" w:cs="ArialUnicodeMS"/>
          <w:color w:val="000000"/>
          <w:kern w:val="0"/>
        </w:rPr>
      </w:pPr>
    </w:p>
    <w:p>
      <w:pPr>
        <w:jc w:val="center"/>
        <w:rPr>
          <w:rFonts w:ascii="仿宋_GB2312" w:hAnsi="宋体" w:eastAsia="仿宋_GB2312"/>
          <w:bCs/>
          <w:sz w:val="56"/>
          <w:szCs w:val="56"/>
          <w:highlight w:val="yellow"/>
        </w:rPr>
      </w:pPr>
    </w:p>
    <w:p>
      <w:pPr>
        <w:widowControl/>
        <w:spacing w:line="580" w:lineRule="exact"/>
        <w:rPr>
          <w:rFonts w:ascii="仿宋_GB2312" w:hAnsi="宋体" w:eastAsia="仿宋_GB2312"/>
          <w:b/>
          <w:color w:val="000000"/>
          <w:sz w:val="56"/>
          <w:szCs w:val="56"/>
        </w:rPr>
      </w:pPr>
      <w:r>
        <w:rPr>
          <w:rFonts w:hint="eastAsia" w:ascii="仿宋_GB2312" w:hAnsi="宋体" w:eastAsia="仿宋_GB2312"/>
          <w:b/>
          <w:color w:val="000000"/>
          <w:sz w:val="56"/>
          <w:szCs w:val="56"/>
        </w:rPr>
        <w:t>（</w:t>
      </w:r>
      <w:r>
        <w:rPr>
          <w:rFonts w:hint="eastAsia" w:ascii="仿宋_GB2312" w:hAnsi="仿宋_GB2312" w:eastAsia="仿宋_GB2312" w:cs="仿宋_GB2312"/>
          <w:b/>
          <w:color w:val="000000"/>
          <w:sz w:val="56"/>
          <w:szCs w:val="56"/>
        </w:rPr>
        <w:t>部门决算公开</w:t>
      </w:r>
      <w:r>
        <w:rPr>
          <w:rFonts w:ascii="仿宋_GB2312" w:hAnsi="仿宋_GB2312" w:eastAsia="仿宋_GB2312" w:cs="仿宋_GB2312"/>
          <w:b/>
          <w:color w:val="000000"/>
          <w:sz w:val="56"/>
          <w:szCs w:val="56"/>
        </w:rPr>
        <w:t>01</w:t>
      </w:r>
      <w:r>
        <w:rPr>
          <w:rFonts w:hint="eastAsia" w:ascii="仿宋_GB2312" w:hAnsi="仿宋_GB2312" w:eastAsia="仿宋_GB2312" w:cs="仿宋_GB2312"/>
          <w:b/>
          <w:color w:val="000000"/>
          <w:sz w:val="56"/>
          <w:szCs w:val="56"/>
        </w:rPr>
        <w:t>表</w:t>
      </w:r>
      <w:r>
        <w:rPr>
          <w:rFonts w:ascii="仿宋_GB2312" w:hAnsi="仿宋_GB2312" w:eastAsia="仿宋_GB2312" w:cs="仿宋_GB2312"/>
          <w:b/>
          <w:color w:val="000000"/>
          <w:sz w:val="56"/>
          <w:szCs w:val="56"/>
        </w:rPr>
        <w:t>——</w:t>
      </w:r>
      <w:r>
        <w:rPr>
          <w:rFonts w:hint="eastAsia" w:ascii="仿宋_GB2312" w:hAnsi="仿宋_GB2312" w:eastAsia="仿宋_GB2312" w:cs="仿宋_GB2312"/>
          <w:b/>
          <w:color w:val="000000"/>
          <w:sz w:val="56"/>
          <w:szCs w:val="56"/>
        </w:rPr>
        <w:t>公开</w:t>
      </w:r>
      <w:r>
        <w:rPr>
          <w:rFonts w:ascii="仿宋_GB2312" w:hAnsi="仿宋_GB2312" w:eastAsia="仿宋_GB2312" w:cs="仿宋_GB2312"/>
          <w:b/>
          <w:color w:val="000000"/>
          <w:sz w:val="56"/>
          <w:szCs w:val="56"/>
        </w:rPr>
        <w:t>10</w:t>
      </w:r>
      <w:r>
        <w:rPr>
          <w:rFonts w:hint="eastAsia" w:ascii="仿宋_GB2312" w:hAnsi="仿宋_GB2312" w:eastAsia="仿宋_GB2312" w:cs="仿宋_GB2312"/>
          <w:b/>
          <w:color w:val="000000"/>
          <w:sz w:val="56"/>
          <w:szCs w:val="56"/>
        </w:rPr>
        <w:t>表</w:t>
      </w:r>
      <w:r>
        <w:rPr>
          <w:rFonts w:hint="eastAsia" w:ascii="仿宋_GB2312" w:hAnsi="宋体" w:eastAsia="仿宋_GB2312"/>
          <w:b/>
          <w:color w:val="000000"/>
          <w:sz w:val="56"/>
          <w:szCs w:val="56"/>
        </w:rPr>
        <w:t>见附件）</w:t>
      </w:r>
    </w:p>
    <w:p>
      <w:pPr>
        <w:jc w:val="center"/>
        <w:rPr>
          <w:rFonts w:ascii="仿宋_GB2312" w:hAnsi="宋体" w:eastAsia="仿宋_GB2312"/>
          <w:b/>
          <w:sz w:val="56"/>
          <w:szCs w:val="56"/>
          <w:highlight w:val="yellow"/>
        </w:rPr>
      </w:pPr>
    </w:p>
    <w:p>
      <w:pPr>
        <w:jc w:val="center"/>
        <w:rPr>
          <w:rFonts w:ascii="仿宋_GB2312" w:hAnsi="宋体" w:eastAsia="仿宋_GB2312"/>
          <w:b/>
          <w:sz w:val="56"/>
          <w:szCs w:val="56"/>
          <w:highlight w:val="yellow"/>
        </w:rPr>
      </w:pPr>
    </w:p>
    <w:p>
      <w:pPr>
        <w:jc w:val="center"/>
        <w:rPr>
          <w:rFonts w:ascii="仿宋_GB2312" w:hAnsi="宋体" w:eastAsia="仿宋_GB2312"/>
          <w:b/>
          <w:sz w:val="56"/>
          <w:szCs w:val="56"/>
          <w:highlight w:val="yellow"/>
        </w:rPr>
      </w:pPr>
    </w:p>
    <w:p>
      <w:pPr>
        <w:jc w:val="center"/>
        <w:rPr>
          <w:rFonts w:ascii="仿宋_GB2312" w:hAnsi="宋体" w:eastAsia="仿宋_GB2312"/>
          <w:b/>
          <w:sz w:val="56"/>
          <w:szCs w:val="56"/>
          <w:highlight w:val="yellow"/>
        </w:rPr>
      </w:pPr>
    </w:p>
    <w:p>
      <w:pPr>
        <w:jc w:val="center"/>
        <w:rPr>
          <w:rFonts w:ascii="仿宋_GB2312" w:hAnsi="宋体" w:eastAsia="仿宋_GB2312"/>
          <w:b/>
          <w:sz w:val="56"/>
          <w:szCs w:val="56"/>
          <w:highlight w:val="yellow"/>
        </w:rPr>
      </w:pPr>
    </w:p>
    <w:p>
      <w:pPr>
        <w:jc w:val="center"/>
        <w:rPr>
          <w:rFonts w:ascii="仿宋_GB2312" w:hAnsi="宋体" w:eastAsia="仿宋_GB2312"/>
          <w:b/>
          <w:sz w:val="56"/>
          <w:szCs w:val="56"/>
          <w:highlight w:val="yellow"/>
        </w:rPr>
      </w:pPr>
    </w:p>
    <w:p>
      <w:pPr>
        <w:jc w:val="center"/>
        <w:rPr>
          <w:rFonts w:ascii="仿宋_GB2312" w:hAnsi="宋体" w:eastAsia="仿宋_GB2312"/>
          <w:b/>
          <w:sz w:val="56"/>
          <w:szCs w:val="56"/>
          <w:highlight w:val="yellow"/>
        </w:rPr>
      </w:pPr>
    </w:p>
    <w:p>
      <w:pPr>
        <w:jc w:val="center"/>
        <w:rPr>
          <w:rFonts w:ascii="仿宋_GB2312" w:hAnsi="宋体" w:eastAsia="仿宋_GB2312"/>
          <w:b/>
          <w:sz w:val="56"/>
          <w:szCs w:val="56"/>
          <w:highlight w:val="yellow"/>
        </w:rPr>
      </w:pPr>
    </w:p>
    <w:p>
      <w:pPr>
        <w:jc w:val="center"/>
        <w:rPr>
          <w:rFonts w:ascii="仿宋_GB2312" w:hAnsi="宋体" w:eastAsia="仿宋_GB2312"/>
          <w:b/>
          <w:sz w:val="56"/>
          <w:szCs w:val="56"/>
          <w:highlight w:val="yellow"/>
        </w:rPr>
      </w:pPr>
    </w:p>
    <w:p>
      <w:pPr>
        <w:rPr>
          <w:rFonts w:ascii="宋体" w:cs="ArialUnicodeMS"/>
          <w:color w:val="000000"/>
          <w:kern w:val="0"/>
        </w:rPr>
        <w:sectPr>
          <w:pgSz w:w="11906" w:h="16838"/>
          <w:pgMar w:top="2098" w:right="1474" w:bottom="1984" w:left="1588" w:header="851" w:footer="992" w:gutter="0"/>
          <w:cols w:space="0" w:num="1"/>
          <w:docGrid w:type="lines" w:linePitch="312" w:charSpace="0"/>
        </w:sectPr>
      </w:pPr>
      <w:r>
        <w:pict>
          <v:shape id="图片 4" o:spid="_x0000_s1041" o:spt="75" type="#_x0000_t75" style="position:absolute;left:0pt;margin-left:-79.45pt;margin-top:-105.35pt;height:840.95pt;width:594.5pt;z-index:-251653120;mso-width-relative:page;mso-height-relative:page;" filled="f" o:preferrelative="t" stroked="f" coordsize="21600,21600">
            <v:path/>
            <v:fill on="f" focussize="0,0"/>
            <v:stroke on="f" joinstyle="miter"/>
            <v:imagedata r:id="rId8" o:title=""/>
            <o:lock v:ext="edit" aspectratio="t"/>
          </v:shape>
        </w:pict>
      </w:r>
      <w:r>
        <w:pict>
          <v:rect id="文本框 5" o:spid="_x0000_s1042" o:spt="1" style="position:absolute;left:0pt;margin-left:-78.7pt;margin-top:232.8pt;height:159.1pt;width:596.2pt;z-index:251671552;mso-width-relative:page;mso-height-relative:page;" filled="f" stroked="f" coordsize="21600,21600">
            <v:path/>
            <v:fill on="f" focussize="0,0"/>
            <v:stroke on="f"/>
            <v:imagedata o:title=""/>
            <o:lock v:ext="edit"/>
            <v:textbox>
              <w:txbxContent>
                <w:p>
                  <w:pPr>
                    <w:widowControl/>
                    <w:spacing w:line="1200" w:lineRule="exact"/>
                    <w:jc w:val="center"/>
                    <w:rPr>
                      <w:rFonts w:ascii="黑体" w:hAnsi="宋体" w:eastAsia="黑体"/>
                      <w:color w:val="FDEFBE"/>
                      <w:sz w:val="96"/>
                      <w:szCs w:val="96"/>
                    </w:rPr>
                  </w:pPr>
                  <w:r>
                    <w:rPr>
                      <w:rFonts w:hint="eastAsia" w:ascii="黑体" w:hAnsi="宋体" w:eastAsia="黑体"/>
                      <w:color w:val="FDEFBE"/>
                      <w:sz w:val="96"/>
                      <w:szCs w:val="96"/>
                    </w:rPr>
                    <w:t>第三部分</w:t>
                  </w:r>
                </w:p>
                <w:p>
                  <w:pPr>
                    <w:widowControl/>
                    <w:spacing w:line="1200" w:lineRule="exact"/>
                    <w:jc w:val="center"/>
                    <w:rPr>
                      <w:color w:val="FDEFBE"/>
                      <w:sz w:val="96"/>
                      <w:szCs w:val="96"/>
                    </w:rPr>
                  </w:pPr>
                  <w:r>
                    <w:rPr>
                      <w:rFonts w:hint="eastAsia" w:ascii="黑体" w:hAnsi="宋体" w:eastAsia="黑体"/>
                      <w:color w:val="FDEFBE"/>
                      <w:sz w:val="96"/>
                      <w:szCs w:val="96"/>
                    </w:rPr>
                    <w:t>部门决算情况说明</w:t>
                  </w:r>
                </w:p>
              </w:txbxContent>
            </v:textbox>
          </v:rect>
        </w:pict>
      </w:r>
    </w:p>
    <w:p>
      <w:pPr>
        <w:pStyle w:val="3"/>
        <w:spacing w:before="0" w:after="0" w:line="580" w:lineRule="exact"/>
        <w:ind w:firstLine="640" w:firstLineChars="200"/>
        <w:rPr>
          <w:rFonts w:ascii="黑体" w:eastAsia="黑体"/>
          <w:b w:val="0"/>
          <w:bCs w:val="0"/>
        </w:rPr>
      </w:pPr>
      <w:r>
        <w:rPr>
          <w:rFonts w:hint="eastAsia" w:ascii="黑体" w:eastAsia="黑体"/>
          <w:b w:val="0"/>
          <w:bCs w:val="0"/>
        </w:rPr>
        <w:t>一、收入</w:t>
      </w:r>
      <w:r>
        <w:rPr>
          <w:rFonts w:hint="eastAsia" w:ascii="黑体" w:hAnsi="Cambria" w:eastAsia="黑体" w:cs="黑体"/>
          <w:b w:val="0"/>
          <w:bCs w:val="0"/>
          <w:kern w:val="0"/>
        </w:rPr>
        <w:t>支出</w:t>
      </w:r>
      <w:r>
        <w:rPr>
          <w:rFonts w:hint="eastAsia" w:ascii="黑体" w:eastAsia="黑体"/>
          <w:b w:val="0"/>
          <w:bCs w:val="0"/>
        </w:rPr>
        <w:t>决算总体情况说明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w:t>
      </w:r>
      <w:r>
        <w:rPr>
          <w:rFonts w:ascii="仿宋_GB2312" w:eastAsia="仿宋_GB2312" w:cs="DengXian-Regular"/>
          <w:sz w:val="32"/>
          <w:szCs w:val="32"/>
        </w:rPr>
        <w:t>2018</w:t>
      </w:r>
      <w:r>
        <w:rPr>
          <w:rFonts w:hint="eastAsia" w:ascii="仿宋_GB2312" w:eastAsia="仿宋_GB2312" w:cs="DengXian-Regular"/>
          <w:sz w:val="32"/>
          <w:szCs w:val="32"/>
        </w:rPr>
        <w:t>年度收支总计（含结转和结余）</w:t>
      </w:r>
      <w:r>
        <w:rPr>
          <w:rFonts w:ascii="仿宋_GB2312" w:eastAsia="仿宋_GB2312" w:cs="DengXian-Regular"/>
          <w:sz w:val="32"/>
          <w:szCs w:val="32"/>
        </w:rPr>
        <w:t>13764.44</w:t>
      </w:r>
      <w:r>
        <w:rPr>
          <w:rFonts w:hint="eastAsia" w:ascii="仿宋_GB2312" w:eastAsia="仿宋_GB2312" w:cs="DengXian-Regular"/>
          <w:sz w:val="32"/>
          <w:szCs w:val="32"/>
        </w:rPr>
        <w:t>万元。与</w:t>
      </w:r>
      <w:r>
        <w:rPr>
          <w:rFonts w:ascii="仿宋_GB2312" w:eastAsia="仿宋_GB2312" w:cs="DengXian-Regular"/>
          <w:sz w:val="32"/>
          <w:szCs w:val="32"/>
        </w:rPr>
        <w:t>2017</w:t>
      </w:r>
      <w:r>
        <w:rPr>
          <w:rFonts w:hint="eastAsia" w:ascii="仿宋_GB2312" w:eastAsia="仿宋_GB2312" w:cs="DengXian-Regular"/>
          <w:sz w:val="32"/>
          <w:szCs w:val="32"/>
        </w:rPr>
        <w:t>年度决算相比，收支各增加</w:t>
      </w:r>
      <w:r>
        <w:rPr>
          <w:rFonts w:ascii="仿宋_GB2312" w:eastAsia="仿宋_GB2312" w:cs="DengXian-Regular"/>
          <w:sz w:val="32"/>
          <w:szCs w:val="32"/>
        </w:rPr>
        <w:t>12642.64</w:t>
      </w:r>
      <w:r>
        <w:rPr>
          <w:rFonts w:hint="eastAsia" w:ascii="仿宋_GB2312" w:eastAsia="仿宋_GB2312" w:cs="DengXian-Regular"/>
          <w:sz w:val="32"/>
          <w:szCs w:val="32"/>
        </w:rPr>
        <w:t>万元，增长</w:t>
      </w:r>
      <w:r>
        <w:rPr>
          <w:rFonts w:ascii="仿宋_GB2312" w:eastAsia="仿宋_GB2312" w:cs="DengXian-Regular"/>
          <w:sz w:val="32"/>
          <w:szCs w:val="32"/>
        </w:rPr>
        <w:t>1127.0%</w:t>
      </w:r>
      <w:r>
        <w:rPr>
          <w:rFonts w:hint="eastAsia" w:ascii="仿宋_GB2312" w:eastAsia="仿宋_GB2312" w:cs="DengXian-Regular"/>
          <w:sz w:val="32"/>
          <w:szCs w:val="32"/>
        </w:rPr>
        <w:t>，主要原因是原钢联项目征地补偿款增加。</w:t>
      </w:r>
    </w:p>
    <w:p>
      <w:pPr>
        <w:pStyle w:val="3"/>
        <w:spacing w:before="0" w:after="0" w:line="580" w:lineRule="exact"/>
        <w:ind w:firstLine="640" w:firstLineChars="200"/>
        <w:rPr>
          <w:rFonts w:ascii="黑体" w:eastAsia="黑体"/>
          <w:b w:val="0"/>
          <w:bCs w:val="0"/>
        </w:rPr>
      </w:pPr>
      <w:r>
        <w:rPr>
          <w:rFonts w:hint="eastAsia" w:ascii="黑体" w:eastAsia="黑体"/>
          <w:b w:val="0"/>
          <w:bCs w:val="0"/>
        </w:rPr>
        <w:t>二、收入决算情况说明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w:t>
      </w:r>
      <w:r>
        <w:rPr>
          <w:rFonts w:ascii="仿宋_GB2312" w:eastAsia="仿宋_GB2312" w:cs="DengXian-Regular"/>
          <w:sz w:val="32"/>
          <w:szCs w:val="32"/>
        </w:rPr>
        <w:t>2018</w:t>
      </w:r>
      <w:r>
        <w:rPr>
          <w:rFonts w:hint="eastAsia" w:ascii="仿宋_GB2312" w:eastAsia="仿宋_GB2312" w:cs="DengXian-Regular"/>
          <w:sz w:val="32"/>
          <w:szCs w:val="32"/>
        </w:rPr>
        <w:t>年度本年收入合计</w:t>
      </w:r>
      <w:r>
        <w:rPr>
          <w:rFonts w:ascii="仿宋_GB2312" w:eastAsia="仿宋_GB2312" w:cs="DengXian-Regular"/>
          <w:sz w:val="32"/>
          <w:szCs w:val="32"/>
        </w:rPr>
        <w:t>13739.59</w:t>
      </w:r>
      <w:r>
        <w:rPr>
          <w:rFonts w:hint="eastAsia" w:ascii="仿宋_GB2312" w:eastAsia="仿宋_GB2312" w:cs="DengXian-Regular"/>
          <w:sz w:val="32"/>
          <w:szCs w:val="32"/>
        </w:rPr>
        <w:t>万元，其中：财政拨款收入</w:t>
      </w:r>
      <w:r>
        <w:rPr>
          <w:rFonts w:ascii="仿宋_GB2312" w:eastAsia="仿宋_GB2312" w:cs="DengXian-Regular"/>
          <w:sz w:val="32"/>
          <w:szCs w:val="32"/>
        </w:rPr>
        <w:t>13739.59</w:t>
      </w:r>
      <w:r>
        <w:rPr>
          <w:rFonts w:hint="eastAsia" w:ascii="仿宋_GB2312" w:eastAsia="仿宋_GB2312" w:cs="DengXian-Regular"/>
          <w:sz w:val="32"/>
          <w:szCs w:val="32"/>
        </w:rPr>
        <w:t>万元，占</w:t>
      </w:r>
      <w:r>
        <w:rPr>
          <w:rFonts w:ascii="仿宋_GB2312" w:eastAsia="仿宋_GB2312" w:cs="DengXian-Regular"/>
          <w:sz w:val="32"/>
          <w:szCs w:val="32"/>
        </w:rPr>
        <w:t>100%</w:t>
      </w:r>
      <w:r>
        <w:rPr>
          <w:rFonts w:hint="eastAsia" w:ascii="仿宋_GB2312" w:eastAsia="仿宋_GB2312" w:cs="DengXian-Regular"/>
          <w:sz w:val="32"/>
          <w:szCs w:val="32"/>
        </w:rPr>
        <w:t>。如图所示：</w:t>
      </w:r>
    </w:p>
    <w:p>
      <w:pPr>
        <w:adjustRightInd w:val="0"/>
        <w:snapToGrid w:val="0"/>
        <w:spacing w:after="0" w:line="580" w:lineRule="exact"/>
        <w:ind w:firstLine="640" w:firstLineChars="200"/>
        <w:rPr>
          <w:rFonts w:ascii="仿宋_GB2312" w:eastAsia="仿宋_GB2312" w:cs="DengXian-Regular"/>
          <w:sz w:val="32"/>
          <w:szCs w:val="32"/>
        </w:rPr>
      </w:pPr>
    </w:p>
    <w:p>
      <w:pPr>
        <w:adjustRightInd w:val="0"/>
        <w:snapToGrid w:val="0"/>
        <w:spacing w:after="0"/>
        <w:rPr>
          <w:rFonts w:ascii="仿宋_GB2312" w:eastAsia="仿宋_GB2312" w:cs="DengXian-Regular"/>
          <w:sz w:val="32"/>
          <w:szCs w:val="32"/>
        </w:rPr>
      </w:pPr>
      <w:r>
        <w:rPr>
          <w:rFonts w:ascii="仿宋_GB2312" w:eastAsia="仿宋_GB2312" w:cs="DengXian-Regular"/>
          <w:sz w:val="32"/>
          <w:szCs w:val="32"/>
        </w:rPr>
        <w:object>
          <v:shape id="_x0000_i1026" o:spt="75" type="#_x0000_t75" style="height:223.5pt;width:420.75pt;" o:ole="t" filled="f" o:preferrelative="t" stroked="f" coordsize="21600,21600">
            <v:path/>
            <v:fill on="f" focussize="0,0"/>
            <v:stroke on="f" joinstyle="miter"/>
            <v:imagedata r:id="rId10" cropbottom="-15f" o:title=""/>
            <o:lock v:ext="edit" aspectratio="f"/>
            <w10:wrap type="none"/>
            <w10:anchorlock/>
          </v:shape>
          <o:OLEObject Type="Embed" ProgID="Excel.Chart.8" ShapeID="_x0000_i1026" DrawAspect="Content" ObjectID="_1468075725" r:id="rId9">
            <o:LockedField>false</o:LockedField>
          </o:OLEObject>
        </w:object>
      </w:r>
    </w:p>
    <w:p>
      <w:pPr>
        <w:pStyle w:val="3"/>
        <w:spacing w:before="0" w:after="0" w:line="580" w:lineRule="exact"/>
        <w:ind w:firstLine="640" w:firstLineChars="200"/>
        <w:rPr>
          <w:rFonts w:ascii="黑体" w:eastAsia="黑体"/>
          <w:b w:val="0"/>
          <w:bCs w:val="0"/>
        </w:rPr>
      </w:pPr>
      <w:r>
        <w:rPr>
          <w:rFonts w:hint="eastAsia" w:ascii="黑体" w:eastAsia="黑体"/>
          <w:b w:val="0"/>
          <w:bCs w:val="0"/>
        </w:rPr>
        <w:t>三、支出决算情况说明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w:t>
      </w:r>
      <w:r>
        <w:rPr>
          <w:rFonts w:ascii="仿宋_GB2312" w:eastAsia="仿宋_GB2312" w:cs="DengXian-Regular"/>
          <w:sz w:val="32"/>
          <w:szCs w:val="32"/>
        </w:rPr>
        <w:t>2018</w:t>
      </w:r>
      <w:r>
        <w:rPr>
          <w:rFonts w:hint="eastAsia" w:ascii="仿宋_GB2312" w:eastAsia="仿宋_GB2312" w:cs="DengXian-Regular"/>
          <w:sz w:val="32"/>
          <w:szCs w:val="32"/>
        </w:rPr>
        <w:t>年度本年支出合计</w:t>
      </w:r>
      <w:r>
        <w:rPr>
          <w:rFonts w:ascii="仿宋_GB2312" w:eastAsia="仿宋_GB2312" w:cs="DengXian-Regular"/>
          <w:sz w:val="32"/>
          <w:szCs w:val="32"/>
        </w:rPr>
        <w:t>13503.48</w:t>
      </w:r>
      <w:r>
        <w:rPr>
          <w:rFonts w:hint="eastAsia" w:ascii="仿宋_GB2312" w:eastAsia="仿宋_GB2312" w:cs="DengXian-Regular"/>
          <w:sz w:val="32"/>
          <w:szCs w:val="32"/>
        </w:rPr>
        <w:t>万元，其中：基本支出</w:t>
      </w:r>
      <w:r>
        <w:rPr>
          <w:rFonts w:ascii="仿宋_GB2312" w:eastAsia="仿宋_GB2312" w:cs="DengXian-Regular"/>
          <w:sz w:val="32"/>
          <w:szCs w:val="32"/>
        </w:rPr>
        <w:t>814.75</w:t>
      </w:r>
      <w:r>
        <w:rPr>
          <w:rFonts w:hint="eastAsia" w:ascii="仿宋_GB2312" w:eastAsia="仿宋_GB2312" w:cs="DengXian-Regular"/>
          <w:sz w:val="32"/>
          <w:szCs w:val="32"/>
        </w:rPr>
        <w:t>万元，占</w:t>
      </w:r>
      <w:r>
        <w:rPr>
          <w:rFonts w:ascii="仿宋_GB2312" w:eastAsia="仿宋_GB2312" w:cs="DengXian-Regular"/>
          <w:sz w:val="32"/>
          <w:szCs w:val="32"/>
        </w:rPr>
        <w:t>6.0%</w:t>
      </w:r>
      <w:r>
        <w:rPr>
          <w:rFonts w:hint="eastAsia" w:ascii="仿宋_GB2312" w:eastAsia="仿宋_GB2312" w:cs="DengXian-Regular"/>
          <w:sz w:val="32"/>
          <w:szCs w:val="32"/>
        </w:rPr>
        <w:t>；项目支出</w:t>
      </w:r>
      <w:r>
        <w:rPr>
          <w:rFonts w:ascii="仿宋_GB2312" w:eastAsia="仿宋_GB2312" w:cs="DengXian-Regular"/>
          <w:sz w:val="32"/>
          <w:szCs w:val="32"/>
        </w:rPr>
        <w:t>12688.73</w:t>
      </w:r>
      <w:r>
        <w:rPr>
          <w:rFonts w:hint="eastAsia" w:ascii="仿宋_GB2312" w:eastAsia="仿宋_GB2312" w:cs="DengXian-Regular"/>
          <w:sz w:val="32"/>
          <w:szCs w:val="32"/>
        </w:rPr>
        <w:t>万元，占</w:t>
      </w:r>
      <w:r>
        <w:rPr>
          <w:rFonts w:ascii="仿宋_GB2312" w:eastAsia="仿宋_GB2312" w:cs="DengXian-Regular"/>
          <w:sz w:val="32"/>
          <w:szCs w:val="32"/>
        </w:rPr>
        <w:t>94.0%</w:t>
      </w:r>
      <w:r>
        <w:rPr>
          <w:rFonts w:hint="eastAsia" w:ascii="仿宋_GB2312" w:eastAsia="仿宋_GB2312" w:cs="DengXian-Regular"/>
          <w:sz w:val="32"/>
          <w:szCs w:val="32"/>
        </w:rPr>
        <w:t>。如图所示：</w:t>
      </w:r>
    </w:p>
    <w:p>
      <w:pPr>
        <w:adjustRightInd w:val="0"/>
        <w:snapToGrid w:val="0"/>
        <w:spacing w:after="0"/>
        <w:ind w:firstLine="640" w:firstLineChars="200"/>
        <w:rPr>
          <w:rFonts w:ascii="仿宋_GB2312" w:eastAsia="仿宋_GB2312" w:cs="DengXian-Regular"/>
          <w:sz w:val="32"/>
          <w:szCs w:val="32"/>
        </w:rPr>
      </w:pPr>
      <w:r>
        <w:rPr>
          <w:rFonts w:ascii="仿宋_GB2312" w:eastAsia="仿宋_GB2312" w:cs="DengXian-Regular"/>
          <w:sz w:val="32"/>
          <w:szCs w:val="32"/>
        </w:rPr>
        <w:object>
          <v:shape id="_x0000_i1027" o:spt="75" type="#_x0000_t75" style="height:243pt;width:380.25pt;" o:ole="t" filled="f" o:preferrelative="t" stroked="f" coordsize="21600,21600">
            <v:path/>
            <v:fill on="f" focussize="0,0"/>
            <v:stroke on="f" joinstyle="miter"/>
            <v:imagedata r:id="rId12" o:title=""/>
            <o:lock v:ext="edit" aspectratio="f"/>
            <w10:wrap type="none"/>
            <w10:anchorlock/>
          </v:shape>
          <o:OLEObject Type="Embed" ProgID="Excel.Chart.8" ShapeID="_x0000_i1027" DrawAspect="Content" ObjectID="_1468075726" r:id="rId11">
            <o:LockedField>false</o:LockedField>
          </o:OLEObject>
        </w:object>
      </w:r>
      <w:r>
        <w:pict>
          <v:group id="组合 70" o:spid="_x0000_s1043" o:spt="203" style="position:absolute;left:0pt;margin-left:-0.55pt;margin-top:29.3pt;height:43.95pt;width:301.85pt;mso-position-horizontal-relative:page;mso-position-vertical-relative:page;z-index:251672576;mso-width-relative:page;mso-height-relative:page;" coordorigin="4551,52615" coordsize="8546,1398203">
            <o:lock v:ext="edit"/>
            <v:rect id="_x0000_s1044" o:spid="_x0000_s1044" o:spt="1" style="position:absolute;left:4551;top:52615;height:1175;width:8546;" fillcolor="#D8D8D8" filled="t" stroked="f" coordsize="21600,21600">
              <v:path/>
              <v:fill on="t" focussize="0,0"/>
              <v:stroke on="f"/>
              <v:imagedata o:title=""/>
              <o:lock v:ext="edit"/>
            </v:rect>
            <v:rect id="_x0000_s1045" o:spid="_x0000_s1045"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2"/>
                        <w:szCs w:val="32"/>
                      </w:rPr>
                    </w:pPr>
                    <w:r>
                      <w:rPr>
                        <w:rFonts w:ascii="楷体" w:hAnsi="楷体" w:eastAsia="楷体" w:cs="楷体"/>
                        <w:b/>
                        <w:bCs/>
                        <w:color w:val="FDEFBE"/>
                        <w:kern w:val="0"/>
                        <w:sz w:val="32"/>
                        <w:szCs w:val="32"/>
                      </w:rPr>
                      <w:t>2018</w:t>
                    </w:r>
                    <w:r>
                      <w:rPr>
                        <w:rFonts w:hint="eastAsia" w:ascii="楷体" w:hAnsi="楷体" w:eastAsia="楷体" w:cs="楷体"/>
                        <w:b/>
                        <w:bCs/>
                        <w:color w:val="FDEFBE"/>
                        <w:kern w:val="0"/>
                        <w:sz w:val="32"/>
                        <w:szCs w:val="32"/>
                      </w:rPr>
                      <w:t>年度部门决算</w:t>
                    </w:r>
                    <w:r>
                      <w:rPr>
                        <w:rFonts w:hint="eastAsia" w:ascii="MS Gothic" w:hAnsi="MS Gothic" w:eastAsia="MS Gothic" w:cs="MS Gothic"/>
                        <w:b/>
                        <w:bCs/>
                        <w:color w:val="FDEFBE"/>
                        <w:kern w:val="0"/>
                        <w:sz w:val="32"/>
                        <w:szCs w:val="32"/>
                      </w:rPr>
                      <w:t>☞</w:t>
                    </w:r>
                    <w:r>
                      <w:rPr>
                        <w:rFonts w:hint="eastAsia" w:ascii="楷体" w:hAnsi="楷体" w:eastAsia="楷体" w:cs="楷体"/>
                        <w:b/>
                        <w:bCs/>
                        <w:color w:val="FDEFBE"/>
                        <w:kern w:val="0"/>
                        <w:sz w:val="32"/>
                        <w:szCs w:val="32"/>
                      </w:rPr>
                      <w:t>部门决算情况说明</w:t>
                    </w:r>
                  </w:p>
                  <w:p>
                    <w:pPr>
                      <w:jc w:val="center"/>
                    </w:pPr>
                  </w:p>
                </w:txbxContent>
              </v:textbox>
            </v:rect>
            <w10:anchorlock/>
          </v:group>
        </w:pict>
      </w:r>
    </w:p>
    <w:p>
      <w:pPr>
        <w:pStyle w:val="3"/>
        <w:spacing w:before="0" w:after="0" w:line="580" w:lineRule="exact"/>
        <w:ind w:firstLine="640" w:firstLineChars="200"/>
        <w:rPr>
          <w:rFonts w:ascii="黑体" w:eastAsia="黑体"/>
          <w:b w:val="0"/>
          <w:bCs w:val="0"/>
        </w:rPr>
      </w:pPr>
      <w:r>
        <w:rPr>
          <w:rFonts w:hint="eastAsia" w:ascii="黑体" w:eastAsia="黑体"/>
          <w:b w:val="0"/>
          <w:bCs w:val="0"/>
        </w:rPr>
        <w:t>四、</w:t>
      </w:r>
      <w:r>
        <w:rPr>
          <w:rFonts w:hint="eastAsia" w:ascii="黑体" w:hAnsi="Cambria" w:eastAsia="黑体" w:cs="黑体"/>
          <w:b w:val="0"/>
          <w:bCs w:val="0"/>
          <w:kern w:val="0"/>
        </w:rPr>
        <w:t>财政</w:t>
      </w:r>
      <w:r>
        <w:rPr>
          <w:rFonts w:hint="eastAsia" w:ascii="黑体" w:eastAsia="黑体"/>
          <w:b w:val="0"/>
          <w:bCs w:val="0"/>
        </w:rPr>
        <w:t>拨款收入支出决算总体情况说明</w:t>
      </w:r>
    </w:p>
    <w:p>
      <w:pPr>
        <w:spacing w:after="0" w:line="580" w:lineRule="exact"/>
        <w:ind w:firstLine="643" w:firstLineChars="200"/>
        <w:rPr>
          <w:rFonts w:ascii="楷体_GB2312" w:eastAsia="楷体_GB2312" w:cs="DengXian-Bold"/>
          <w:b/>
          <w:bCs/>
          <w:sz w:val="32"/>
          <w:szCs w:val="32"/>
        </w:rPr>
      </w:pPr>
      <w:r>
        <w:rPr>
          <w:rFonts w:hint="eastAsia" w:ascii="楷体_GB2312" w:eastAsia="楷体_GB2312" w:cs="DengXian-Bold"/>
          <w:b/>
          <w:bCs/>
          <w:sz w:val="32"/>
          <w:szCs w:val="32"/>
        </w:rPr>
        <w:t>（一）财政拨款收支与</w:t>
      </w:r>
      <w:r>
        <w:rPr>
          <w:rFonts w:ascii="楷体_GB2312" w:eastAsia="楷体_GB2312" w:cs="DengXian-Bold"/>
          <w:b/>
          <w:bCs/>
          <w:sz w:val="32"/>
          <w:szCs w:val="32"/>
        </w:rPr>
        <w:t>2017</w:t>
      </w:r>
      <w:r>
        <w:rPr>
          <w:rFonts w:hint="eastAsia" w:ascii="楷体_GB2312" w:eastAsia="楷体_GB2312" w:cs="DengXian-Bold"/>
          <w:b/>
          <w:bCs/>
          <w:sz w:val="32"/>
          <w:szCs w:val="32"/>
        </w:rPr>
        <w:t>年度决算对比情况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w:t>
      </w:r>
      <w:r>
        <w:rPr>
          <w:rFonts w:ascii="仿宋_GB2312" w:eastAsia="仿宋_GB2312" w:cs="DengXian-Regular"/>
          <w:sz w:val="32"/>
          <w:szCs w:val="32"/>
        </w:rPr>
        <w:t>2018</w:t>
      </w:r>
      <w:r>
        <w:rPr>
          <w:rFonts w:hint="eastAsia" w:ascii="仿宋_GB2312" w:eastAsia="仿宋_GB2312" w:cs="DengXian-Regular"/>
          <w:sz w:val="32"/>
          <w:szCs w:val="32"/>
        </w:rPr>
        <w:t>年度财政拨款本年收入</w:t>
      </w:r>
      <w:r>
        <w:rPr>
          <w:rFonts w:ascii="仿宋_GB2312" w:eastAsia="仿宋_GB2312" w:cs="DengXian-Regular"/>
          <w:sz w:val="32"/>
          <w:szCs w:val="32"/>
        </w:rPr>
        <w:t>13739.59</w:t>
      </w:r>
      <w:r>
        <w:rPr>
          <w:rFonts w:hint="eastAsia" w:ascii="仿宋_GB2312" w:eastAsia="仿宋_GB2312" w:cs="DengXian-Regular"/>
          <w:sz w:val="32"/>
          <w:szCs w:val="32"/>
        </w:rPr>
        <w:t>万元</w:t>
      </w:r>
      <w:r>
        <w:rPr>
          <w:rFonts w:ascii="仿宋_GB2312" w:eastAsia="仿宋_GB2312" w:cs="DengXian-Regular"/>
          <w:sz w:val="32"/>
          <w:szCs w:val="32"/>
        </w:rPr>
        <w:t>,</w:t>
      </w:r>
      <w:r>
        <w:rPr>
          <w:rFonts w:hint="eastAsia" w:ascii="仿宋_GB2312" w:eastAsia="仿宋_GB2312" w:cs="DengXian-Regular"/>
          <w:sz w:val="32"/>
          <w:szCs w:val="32"/>
        </w:rPr>
        <w:t>比</w:t>
      </w:r>
      <w:r>
        <w:rPr>
          <w:rFonts w:ascii="仿宋_GB2312" w:eastAsia="仿宋_GB2312" w:cs="DengXian-Regular"/>
          <w:sz w:val="32"/>
          <w:szCs w:val="32"/>
        </w:rPr>
        <w:t>2017</w:t>
      </w:r>
      <w:r>
        <w:rPr>
          <w:rFonts w:hint="eastAsia" w:ascii="仿宋_GB2312" w:eastAsia="仿宋_GB2312" w:cs="DengXian-Regular"/>
          <w:sz w:val="32"/>
          <w:szCs w:val="32"/>
        </w:rPr>
        <w:t>年度增加</w:t>
      </w:r>
      <w:r>
        <w:rPr>
          <w:rFonts w:ascii="仿宋_GB2312" w:eastAsia="仿宋_GB2312" w:cs="DengXian-Regular"/>
          <w:sz w:val="32"/>
          <w:szCs w:val="32"/>
        </w:rPr>
        <w:t>12617.79</w:t>
      </w:r>
      <w:r>
        <w:rPr>
          <w:rFonts w:hint="eastAsia" w:ascii="仿宋_GB2312" w:eastAsia="仿宋_GB2312" w:cs="DengXian-Regular"/>
          <w:sz w:val="32"/>
          <w:szCs w:val="32"/>
        </w:rPr>
        <w:t>万元，增长</w:t>
      </w:r>
      <w:r>
        <w:rPr>
          <w:rFonts w:ascii="仿宋_GB2312" w:eastAsia="仿宋_GB2312" w:cs="DengXian-Regular"/>
          <w:sz w:val="32"/>
          <w:szCs w:val="32"/>
        </w:rPr>
        <w:t>1124.8%</w:t>
      </w:r>
      <w:r>
        <w:rPr>
          <w:rFonts w:hint="eastAsia" w:ascii="仿宋_GB2312" w:eastAsia="仿宋_GB2312" w:cs="DengXian-Regular"/>
          <w:sz w:val="32"/>
          <w:szCs w:val="32"/>
        </w:rPr>
        <w:t>，主要是原钢联项目征地补偿款增加；本年支出</w:t>
      </w:r>
      <w:r>
        <w:rPr>
          <w:rFonts w:ascii="仿宋_GB2312" w:eastAsia="仿宋_GB2312" w:cs="DengXian-Regular"/>
          <w:sz w:val="32"/>
          <w:szCs w:val="32"/>
        </w:rPr>
        <w:t>13503.48</w:t>
      </w:r>
      <w:r>
        <w:rPr>
          <w:rFonts w:hint="eastAsia" w:ascii="仿宋_GB2312" w:eastAsia="仿宋_GB2312" w:cs="DengXian-Regular"/>
          <w:sz w:val="32"/>
          <w:szCs w:val="32"/>
        </w:rPr>
        <w:t>万元，</w:t>
      </w:r>
      <w:r>
        <w:rPr>
          <w:rFonts w:hint="eastAsia" w:ascii="仿宋_GB2312" w:eastAsia="仿宋_GB2312" w:cs="DengXian-Regular"/>
          <w:sz w:val="32"/>
          <w:szCs w:val="32"/>
          <w:lang w:eastAsia="zh-CN"/>
        </w:rPr>
        <w:t>较上年</w:t>
      </w:r>
      <w:r>
        <w:rPr>
          <w:rFonts w:hint="eastAsia" w:ascii="仿宋_GB2312" w:eastAsia="仿宋_GB2312" w:cs="DengXian-Regular"/>
          <w:sz w:val="32"/>
          <w:szCs w:val="32"/>
        </w:rPr>
        <w:t>增加</w:t>
      </w:r>
      <w:r>
        <w:rPr>
          <w:rFonts w:ascii="仿宋_GB2312" w:eastAsia="仿宋_GB2312" w:cs="DengXian-Regular"/>
          <w:sz w:val="32"/>
          <w:szCs w:val="32"/>
        </w:rPr>
        <w:t>12386.53</w:t>
      </w:r>
      <w:r>
        <w:rPr>
          <w:rFonts w:hint="eastAsia" w:ascii="仿宋_GB2312" w:eastAsia="仿宋_GB2312" w:cs="DengXian-Regular"/>
          <w:sz w:val="32"/>
          <w:szCs w:val="32"/>
        </w:rPr>
        <w:t>万元，增长</w:t>
      </w:r>
      <w:r>
        <w:rPr>
          <w:rFonts w:ascii="仿宋_GB2312" w:eastAsia="仿宋_GB2312" w:cs="DengXian-Regular"/>
          <w:sz w:val="32"/>
          <w:szCs w:val="32"/>
        </w:rPr>
        <w:t>1109.0%</w:t>
      </w:r>
      <w:r>
        <w:rPr>
          <w:rFonts w:hint="eastAsia" w:ascii="仿宋_GB2312" w:eastAsia="仿宋_GB2312" w:cs="DengXian-Regular"/>
          <w:sz w:val="32"/>
          <w:szCs w:val="32"/>
        </w:rPr>
        <w:t>，主要是原钢联项目征地补偿款增加。</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其中：一般公共预算财政拨款本年收入</w:t>
      </w:r>
      <w:r>
        <w:rPr>
          <w:rFonts w:ascii="仿宋_GB2312" w:eastAsia="仿宋_GB2312" w:cs="DengXian-Regular"/>
          <w:sz w:val="32"/>
          <w:szCs w:val="32"/>
        </w:rPr>
        <w:t>1153.97</w:t>
      </w:r>
      <w:r>
        <w:rPr>
          <w:rFonts w:hint="eastAsia" w:ascii="仿宋_GB2312" w:eastAsia="仿宋_GB2312" w:cs="DengXian-Regular"/>
          <w:sz w:val="32"/>
          <w:szCs w:val="32"/>
        </w:rPr>
        <w:t>万元，比上年增加</w:t>
      </w:r>
      <w:r>
        <w:rPr>
          <w:rFonts w:ascii="仿宋_GB2312" w:eastAsia="仿宋_GB2312" w:cs="DengXian-Regular"/>
          <w:sz w:val="32"/>
          <w:szCs w:val="32"/>
        </w:rPr>
        <w:t>51.91</w:t>
      </w:r>
      <w:r>
        <w:rPr>
          <w:rFonts w:hint="eastAsia" w:ascii="仿宋_GB2312" w:eastAsia="仿宋_GB2312" w:cs="DengXian-Regular"/>
          <w:sz w:val="32"/>
          <w:szCs w:val="32"/>
        </w:rPr>
        <w:t>万元，增长</w:t>
      </w:r>
      <w:r>
        <w:rPr>
          <w:rFonts w:ascii="仿宋_GB2312" w:eastAsia="仿宋_GB2312" w:cs="DengXian-Regular"/>
          <w:sz w:val="32"/>
          <w:szCs w:val="32"/>
        </w:rPr>
        <w:t>4.7%</w:t>
      </w:r>
      <w:r>
        <w:rPr>
          <w:rFonts w:hint="eastAsia" w:ascii="仿宋_GB2312" w:eastAsia="仿宋_GB2312" w:cs="DengXian-Regular"/>
          <w:sz w:val="32"/>
          <w:szCs w:val="32"/>
        </w:rPr>
        <w:t>，主要是在职人员养老保险的增加；本年支出</w:t>
      </w:r>
      <w:r>
        <w:rPr>
          <w:rFonts w:ascii="仿宋_GB2312" w:eastAsia="仿宋_GB2312" w:cs="DengXian-Regular"/>
          <w:sz w:val="32"/>
          <w:szCs w:val="32"/>
        </w:rPr>
        <w:t>1096.55</w:t>
      </w:r>
      <w:r>
        <w:rPr>
          <w:rFonts w:hint="eastAsia" w:ascii="仿宋_GB2312" w:eastAsia="仿宋_GB2312" w:cs="DengXian-Regular"/>
          <w:sz w:val="32"/>
          <w:szCs w:val="32"/>
        </w:rPr>
        <w:t>万元，比上年减少</w:t>
      </w:r>
      <w:r>
        <w:rPr>
          <w:rFonts w:ascii="仿宋_GB2312" w:eastAsia="仿宋_GB2312" w:cs="DengXian-Regular"/>
          <w:sz w:val="32"/>
          <w:szCs w:val="32"/>
        </w:rPr>
        <w:t>0.65</w:t>
      </w:r>
      <w:r>
        <w:rPr>
          <w:rFonts w:hint="eastAsia" w:ascii="仿宋_GB2312" w:eastAsia="仿宋_GB2312" w:cs="DengXian-Regular"/>
          <w:sz w:val="32"/>
          <w:szCs w:val="32"/>
        </w:rPr>
        <w:t>万元，降低</w:t>
      </w:r>
      <w:r>
        <w:rPr>
          <w:rFonts w:ascii="仿宋_GB2312" w:eastAsia="仿宋_GB2312" w:cs="DengXian-Regular"/>
          <w:sz w:val="32"/>
          <w:szCs w:val="32"/>
        </w:rPr>
        <w:t>0.1%</w:t>
      </w:r>
      <w:r>
        <w:rPr>
          <w:rFonts w:hint="eastAsia" w:ascii="仿宋_GB2312" w:eastAsia="仿宋_GB2312" w:cs="DengXian-Regular"/>
          <w:sz w:val="32"/>
          <w:szCs w:val="32"/>
        </w:rPr>
        <w:t>，主要是支持企业发展资金的减少。政府性基金预算财政拨款本年收入</w:t>
      </w:r>
      <w:r>
        <w:rPr>
          <w:rFonts w:ascii="仿宋_GB2312" w:eastAsia="仿宋_GB2312" w:cs="DengXian-Regular"/>
          <w:sz w:val="32"/>
          <w:szCs w:val="32"/>
        </w:rPr>
        <w:t>12585.63</w:t>
      </w:r>
      <w:r>
        <w:rPr>
          <w:rFonts w:hint="eastAsia" w:ascii="仿宋_GB2312" w:eastAsia="仿宋_GB2312" w:cs="DengXian-Regular"/>
          <w:sz w:val="32"/>
          <w:szCs w:val="32"/>
        </w:rPr>
        <w:t>万元，比上年增加</w:t>
      </w:r>
      <w:r>
        <w:rPr>
          <w:rFonts w:ascii="仿宋_GB2312" w:eastAsia="仿宋_GB2312" w:cs="DengXian-Regular"/>
          <w:sz w:val="32"/>
          <w:szCs w:val="32"/>
        </w:rPr>
        <w:t>12565.89</w:t>
      </w:r>
      <w:r>
        <w:rPr>
          <w:rFonts w:hint="eastAsia" w:ascii="仿宋_GB2312" w:eastAsia="仿宋_GB2312" w:cs="DengXian-Regular"/>
          <w:sz w:val="32"/>
          <w:szCs w:val="32"/>
        </w:rPr>
        <w:t>万元，增长</w:t>
      </w:r>
      <w:r>
        <w:rPr>
          <w:rFonts w:ascii="仿宋_GB2312" w:eastAsia="仿宋_GB2312" w:cs="DengXian-Regular"/>
          <w:sz w:val="32"/>
          <w:szCs w:val="32"/>
        </w:rPr>
        <w:t>63657.0%</w:t>
      </w:r>
      <w:r>
        <w:rPr>
          <w:rFonts w:hint="eastAsia" w:ascii="仿宋_GB2312" w:eastAsia="仿宋_GB2312" w:cs="DengXian-Regular"/>
          <w:sz w:val="32"/>
          <w:szCs w:val="32"/>
        </w:rPr>
        <w:t>，主要原因是原钢联项目征地补偿款增加；本年支出</w:t>
      </w:r>
      <w:r>
        <w:rPr>
          <w:rFonts w:ascii="仿宋_GB2312" w:eastAsia="仿宋_GB2312" w:cs="DengXian-Regular"/>
          <w:sz w:val="32"/>
          <w:szCs w:val="32"/>
        </w:rPr>
        <w:t>12406.92</w:t>
      </w:r>
      <w:r>
        <w:rPr>
          <w:rFonts w:hint="eastAsia" w:ascii="仿宋_GB2312" w:eastAsia="仿宋_GB2312" w:cs="DengXian-Regular"/>
          <w:sz w:val="32"/>
          <w:szCs w:val="32"/>
        </w:rPr>
        <w:t>万元，比上年增加</w:t>
      </w:r>
      <w:r>
        <w:rPr>
          <w:rFonts w:ascii="仿宋_GB2312" w:eastAsia="仿宋_GB2312" w:cs="DengXian-Regular"/>
          <w:sz w:val="32"/>
          <w:szCs w:val="32"/>
        </w:rPr>
        <w:t>12387.18</w:t>
      </w:r>
      <w:r>
        <w:rPr>
          <w:rFonts w:hint="eastAsia" w:ascii="仿宋_GB2312" w:eastAsia="仿宋_GB2312" w:cs="DengXian-Regular"/>
          <w:sz w:val="32"/>
          <w:szCs w:val="32"/>
        </w:rPr>
        <w:t>万元，增长</w:t>
      </w:r>
      <w:r>
        <w:rPr>
          <w:rFonts w:ascii="仿宋_GB2312" w:eastAsia="仿宋_GB2312" w:cs="DengXian-Regular"/>
          <w:sz w:val="32"/>
          <w:szCs w:val="32"/>
        </w:rPr>
        <w:t>62751.7%</w:t>
      </w:r>
      <w:r>
        <w:rPr>
          <w:rFonts w:hint="eastAsia" w:ascii="仿宋_GB2312" w:eastAsia="仿宋_GB2312" w:cs="DengXian-Regular"/>
          <w:sz w:val="32"/>
          <w:szCs w:val="32"/>
        </w:rPr>
        <w:t>，主要是原钢联项目征地补偿款增加。</w:t>
      </w:r>
    </w:p>
    <w:p>
      <w:pPr>
        <w:adjustRightInd w:val="0"/>
        <w:snapToGrid w:val="0"/>
        <w:spacing w:after="0" w:line="580" w:lineRule="exact"/>
        <w:ind w:firstLine="640" w:firstLineChars="200"/>
        <w:rPr>
          <w:rFonts w:ascii="仿宋_GB2312" w:eastAsia="仿宋_GB2312" w:cs="DengXian-Regular"/>
          <w:sz w:val="32"/>
          <w:szCs w:val="32"/>
        </w:rPr>
      </w:pPr>
    </w:p>
    <w:p>
      <w:pPr>
        <w:adjustRightInd w:val="0"/>
        <w:snapToGrid w:val="0"/>
        <w:spacing w:after="0"/>
        <w:ind w:firstLine="640" w:firstLineChars="200"/>
        <w:rPr>
          <w:rFonts w:ascii="仿宋_GB2312" w:eastAsia="仿宋_GB2312" w:cs="DengXian-Regular"/>
          <w:sz w:val="32"/>
          <w:szCs w:val="32"/>
        </w:rPr>
      </w:pPr>
      <w:r>
        <w:rPr>
          <w:rFonts w:ascii="仿宋_GB2312" w:eastAsia="仿宋_GB2312" w:cs="DengXian-Regular"/>
          <w:sz w:val="32"/>
          <w:szCs w:val="32"/>
        </w:rPr>
        <w:object>
          <v:shape id="_x0000_i1028" o:spt="75" type="#_x0000_t75" style="height:258pt;width:390pt;" o:ole="t" filled="f" o:preferrelative="t" stroked="f" coordsize="21600,21600">
            <v:path/>
            <v:fill on="f" focussize="0,0"/>
            <v:stroke on="f" joinstyle="miter"/>
            <v:imagedata r:id="rId14" o:title=""/>
            <o:lock v:ext="edit" aspectratio="f"/>
            <w10:wrap type="none"/>
            <w10:anchorlock/>
          </v:shape>
          <o:OLEObject Type="Embed" ProgID="Excel.Chart.8" ShapeID="_x0000_i1028" DrawAspect="Content" ObjectID="_1468075727" r:id="rId13">
            <o:LockedField>false</o:LockedField>
          </o:OLEObject>
        </w:object>
      </w:r>
    </w:p>
    <w:p>
      <w:pPr>
        <w:spacing w:after="0" w:line="580" w:lineRule="exact"/>
        <w:ind w:firstLine="643" w:firstLineChars="200"/>
        <w:rPr>
          <w:rFonts w:ascii="楷体_GB2312" w:eastAsia="楷体_GB2312" w:cs="DengXian-Bold"/>
          <w:b/>
          <w:bCs/>
          <w:sz w:val="32"/>
          <w:szCs w:val="32"/>
        </w:rPr>
      </w:pPr>
      <w:r>
        <w:rPr>
          <w:rFonts w:hint="eastAsia" w:ascii="楷体_GB2312" w:eastAsia="楷体_GB2312" w:cs="DengXian-Bold"/>
          <w:b/>
          <w:bCs/>
          <w:sz w:val="32"/>
          <w:szCs w:val="32"/>
        </w:rPr>
        <w:t>（二）财政拨款收支与年初预算数对比情况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w:t>
      </w:r>
      <w:r>
        <w:rPr>
          <w:rFonts w:ascii="仿宋_GB2312" w:eastAsia="仿宋_GB2312" w:cs="DengXian-Regular"/>
          <w:sz w:val="32"/>
          <w:szCs w:val="32"/>
        </w:rPr>
        <w:t>2018</w:t>
      </w:r>
      <w:r>
        <w:rPr>
          <w:rFonts w:hint="eastAsia" w:ascii="仿宋_GB2312" w:eastAsia="仿宋_GB2312" w:cs="DengXian-Regular"/>
          <w:sz w:val="32"/>
          <w:szCs w:val="32"/>
        </w:rPr>
        <w:t>年度财政拨款本年收入</w:t>
      </w:r>
      <w:r>
        <w:rPr>
          <w:rFonts w:ascii="仿宋_GB2312" w:eastAsia="仿宋_GB2312" w:cs="DengXian-Regular"/>
          <w:sz w:val="32"/>
          <w:szCs w:val="32"/>
        </w:rPr>
        <w:t>13739.59</w:t>
      </w:r>
      <w:r>
        <w:rPr>
          <w:rFonts w:hint="eastAsia" w:ascii="仿宋_GB2312" w:eastAsia="仿宋_GB2312" w:cs="DengXian-Regular"/>
          <w:sz w:val="32"/>
          <w:szCs w:val="32"/>
        </w:rPr>
        <w:t>万元，完成年初预算的</w:t>
      </w:r>
      <w:r>
        <w:rPr>
          <w:rFonts w:ascii="仿宋_GB2312" w:eastAsia="仿宋_GB2312" w:cs="DengXian-Regular"/>
          <w:sz w:val="32"/>
          <w:szCs w:val="32"/>
        </w:rPr>
        <w:t>100.8%</w:t>
      </w:r>
      <w:r>
        <w:rPr>
          <w:rFonts w:hint="eastAsia" w:ascii="仿宋_GB2312" w:eastAsia="仿宋_GB2312" w:cs="DengXian-Regular"/>
          <w:sz w:val="32"/>
          <w:szCs w:val="32"/>
        </w:rPr>
        <w:t>（如图</w:t>
      </w:r>
      <w:r>
        <w:rPr>
          <w:rFonts w:ascii="仿宋_GB2312" w:eastAsia="仿宋_GB2312" w:cs="DengXian-Regular"/>
          <w:sz w:val="32"/>
          <w:szCs w:val="32"/>
        </w:rPr>
        <w:t>4</w:t>
      </w:r>
      <w:r>
        <w:rPr>
          <w:rFonts w:hint="eastAsia" w:ascii="仿宋_GB2312" w:eastAsia="仿宋_GB2312" w:cs="DengXian-Regular"/>
          <w:sz w:val="32"/>
          <w:szCs w:val="32"/>
        </w:rPr>
        <w:t>）</w:t>
      </w:r>
      <w:r>
        <w:rPr>
          <w:rFonts w:ascii="仿宋_GB2312" w:eastAsia="仿宋_GB2312" w:cs="DengXian-Regular"/>
          <w:sz w:val="32"/>
          <w:szCs w:val="32"/>
        </w:rPr>
        <w:t>,</w:t>
      </w:r>
      <w:r>
        <w:rPr>
          <w:rFonts w:hint="eastAsia" w:ascii="仿宋_GB2312" w:eastAsia="仿宋_GB2312" w:cs="DengXian-Regular"/>
          <w:sz w:val="32"/>
          <w:szCs w:val="32"/>
        </w:rPr>
        <w:t>比年初预算增加</w:t>
      </w:r>
      <w:r>
        <w:rPr>
          <w:rFonts w:ascii="仿宋_GB2312" w:eastAsia="仿宋_GB2312" w:cs="DengXian-Regular"/>
          <w:sz w:val="32"/>
          <w:szCs w:val="32"/>
        </w:rPr>
        <w:t>108.14</w:t>
      </w:r>
      <w:r>
        <w:rPr>
          <w:rFonts w:hint="eastAsia" w:ascii="仿宋_GB2312" w:eastAsia="仿宋_GB2312" w:cs="DengXian-Regular"/>
          <w:sz w:val="32"/>
          <w:szCs w:val="32"/>
        </w:rPr>
        <w:t>万元，决算数大于预算数主要原因是机关养老保险的增加；本年支出</w:t>
      </w:r>
      <w:r>
        <w:rPr>
          <w:rFonts w:ascii="仿宋_GB2312" w:eastAsia="仿宋_GB2312" w:cs="DengXian-Regular"/>
          <w:sz w:val="32"/>
          <w:szCs w:val="32"/>
        </w:rPr>
        <w:t>13503.48</w:t>
      </w:r>
      <w:r>
        <w:rPr>
          <w:rFonts w:hint="eastAsia" w:ascii="仿宋_GB2312" w:eastAsia="仿宋_GB2312" w:cs="DengXian-Regular"/>
          <w:sz w:val="32"/>
          <w:szCs w:val="32"/>
        </w:rPr>
        <w:t>万元，完成年初预算的</w:t>
      </w:r>
      <w:r>
        <w:rPr>
          <w:rFonts w:ascii="仿宋_GB2312" w:eastAsia="仿宋_GB2312" w:cs="DengXian-Regular"/>
          <w:sz w:val="32"/>
          <w:szCs w:val="32"/>
        </w:rPr>
        <w:t>99.1%,</w:t>
      </w:r>
      <w:r>
        <w:rPr>
          <w:rFonts w:hint="eastAsia" w:ascii="仿宋_GB2312" w:eastAsia="仿宋_GB2312" w:cs="DengXian-Regular"/>
          <w:sz w:val="32"/>
          <w:szCs w:val="32"/>
        </w:rPr>
        <w:t>比年初预算减少</w:t>
      </w:r>
      <w:r>
        <w:rPr>
          <w:rFonts w:ascii="仿宋_GB2312" w:eastAsia="仿宋_GB2312" w:cs="DengXian-Regular"/>
          <w:sz w:val="32"/>
          <w:szCs w:val="32"/>
        </w:rPr>
        <w:t>127.97</w:t>
      </w:r>
      <w:r>
        <w:rPr>
          <w:rFonts w:hint="eastAsia" w:ascii="仿宋_GB2312" w:eastAsia="仿宋_GB2312" w:cs="DengXian-Regular"/>
          <w:sz w:val="32"/>
          <w:szCs w:val="32"/>
        </w:rPr>
        <w:t>万元，决算数小于预算数主要原因是主要是原钢联项目补偿款有结余。</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其中，一般公共预算财政拨款本年收入完成年初预算</w:t>
      </w:r>
      <w:r>
        <w:rPr>
          <w:rFonts w:ascii="仿宋_GB2312" w:eastAsia="仿宋_GB2312" w:cs="DengXian-Regular"/>
          <w:sz w:val="32"/>
          <w:szCs w:val="32"/>
        </w:rPr>
        <w:t>110.3%</w:t>
      </w:r>
      <w:r>
        <w:rPr>
          <w:rFonts w:hint="eastAsia" w:ascii="仿宋_GB2312" w:eastAsia="仿宋_GB2312" w:cs="DengXian-Regular"/>
          <w:sz w:val="32"/>
          <w:szCs w:val="32"/>
        </w:rPr>
        <w:t>，比年初预算增加</w:t>
      </w:r>
      <w:r>
        <w:rPr>
          <w:rFonts w:ascii="仿宋_GB2312" w:eastAsia="仿宋_GB2312" w:cs="DengXian-Regular"/>
          <w:sz w:val="32"/>
          <w:szCs w:val="32"/>
        </w:rPr>
        <w:t>108.14</w:t>
      </w:r>
      <w:r>
        <w:rPr>
          <w:rFonts w:hint="eastAsia" w:ascii="仿宋_GB2312" w:eastAsia="仿宋_GB2312" w:cs="DengXian-Regular"/>
          <w:sz w:val="32"/>
          <w:szCs w:val="32"/>
        </w:rPr>
        <w:t>万元，主要是机关养老保险的增加；支出完成年初预算</w:t>
      </w:r>
      <w:r>
        <w:rPr>
          <w:rFonts w:ascii="仿宋_GB2312" w:eastAsia="仿宋_GB2312" w:cs="DengXian-Regular"/>
          <w:sz w:val="32"/>
          <w:szCs w:val="32"/>
        </w:rPr>
        <w:t>104.8%</w:t>
      </w:r>
      <w:r>
        <w:rPr>
          <w:rFonts w:hint="eastAsia" w:ascii="仿宋_GB2312" w:eastAsia="仿宋_GB2312" w:cs="DengXian-Regular"/>
          <w:sz w:val="32"/>
          <w:szCs w:val="32"/>
        </w:rPr>
        <w:t>，比年初预算增加</w:t>
      </w:r>
      <w:r>
        <w:rPr>
          <w:rFonts w:ascii="仿宋_GB2312" w:eastAsia="仿宋_GB2312" w:cs="DengXian-Regular"/>
          <w:sz w:val="32"/>
          <w:szCs w:val="32"/>
        </w:rPr>
        <w:t>50.72</w:t>
      </w:r>
      <w:r>
        <w:rPr>
          <w:rFonts w:hint="eastAsia" w:ascii="仿宋_GB2312" w:eastAsia="仿宋_GB2312" w:cs="DengXian-Regular"/>
          <w:sz w:val="32"/>
          <w:szCs w:val="32"/>
        </w:rPr>
        <w:t>万元，主要是机关养老保险的增加。政府性基金预算财政拨款本年收入完成年初预算</w:t>
      </w:r>
      <w:r>
        <w:rPr>
          <w:rFonts w:ascii="仿宋_GB2312" w:eastAsia="仿宋_GB2312" w:cs="DengXian-Regular"/>
          <w:sz w:val="32"/>
          <w:szCs w:val="32"/>
        </w:rPr>
        <w:t>100%</w:t>
      </w:r>
      <w:r>
        <w:rPr>
          <w:rFonts w:hint="eastAsia" w:ascii="仿宋_GB2312" w:eastAsia="仿宋_GB2312" w:cs="DengXian-Regular"/>
          <w:sz w:val="32"/>
          <w:szCs w:val="32"/>
        </w:rPr>
        <w:t>，比年初预算无增减变化；支出完成年初预算</w:t>
      </w:r>
      <w:r>
        <w:rPr>
          <w:rFonts w:ascii="仿宋_GB2312" w:eastAsia="仿宋_GB2312" w:cs="DengXian-Regular"/>
          <w:sz w:val="32"/>
          <w:szCs w:val="32"/>
        </w:rPr>
        <w:t>98.6%</w:t>
      </w:r>
      <w:r>
        <w:rPr>
          <w:rFonts w:hint="eastAsia" w:ascii="仿宋_GB2312" w:eastAsia="仿宋_GB2312" w:cs="DengXian-Regular"/>
          <w:sz w:val="32"/>
          <w:szCs w:val="32"/>
        </w:rPr>
        <w:t>，比年初预算减少</w:t>
      </w:r>
      <w:r>
        <w:rPr>
          <w:rFonts w:ascii="仿宋_GB2312" w:eastAsia="仿宋_GB2312" w:cs="DengXian-Regular"/>
          <w:sz w:val="32"/>
          <w:szCs w:val="32"/>
        </w:rPr>
        <w:t>178.7</w:t>
      </w:r>
      <w:r>
        <w:rPr>
          <w:rFonts w:hint="eastAsia" w:ascii="仿宋_GB2312" w:eastAsia="仿宋_GB2312" w:cs="DengXian-Regular"/>
          <w:sz w:val="32"/>
          <w:szCs w:val="32"/>
        </w:rPr>
        <w:t>万元，主要是原钢联项目补偿款有结余。</w:t>
      </w:r>
    </w:p>
    <w:p>
      <w:pPr>
        <w:adjustRightInd w:val="0"/>
        <w:snapToGrid w:val="0"/>
        <w:spacing w:after="0" w:line="580" w:lineRule="exact"/>
        <w:ind w:firstLine="640" w:firstLineChars="200"/>
        <w:rPr>
          <w:rFonts w:ascii="仿宋_GB2312" w:eastAsia="仿宋_GB2312" w:cs="DengXian-Regular"/>
          <w:sz w:val="32"/>
          <w:szCs w:val="32"/>
        </w:rPr>
      </w:pPr>
    </w:p>
    <w:p>
      <w:pPr>
        <w:adjustRightInd w:val="0"/>
        <w:snapToGrid w:val="0"/>
        <w:spacing w:after="0"/>
        <w:ind w:firstLine="640" w:firstLineChars="200"/>
        <w:rPr>
          <w:rFonts w:ascii="仿宋_GB2312" w:eastAsia="仿宋_GB2312" w:cs="DengXian-Regular"/>
          <w:sz w:val="32"/>
          <w:szCs w:val="32"/>
        </w:rPr>
      </w:pPr>
      <w:r>
        <w:rPr>
          <w:rFonts w:ascii="仿宋_GB2312" w:eastAsia="仿宋_GB2312" w:cs="DengXian-Regular"/>
          <w:sz w:val="32"/>
          <w:szCs w:val="32"/>
        </w:rPr>
        <w:object>
          <v:shape id="_x0000_i1029" o:spt="75" type="#_x0000_t75" style="height:279pt;width:382.5pt;" o:ole="t" filled="f" o:preferrelative="t" stroked="f" coordsize="21600,21600">
            <v:path/>
            <v:fill on="f" focussize="0,0"/>
            <v:stroke on="f" joinstyle="miter"/>
            <v:imagedata r:id="rId16" o:title=""/>
            <o:lock v:ext="edit" aspectratio="f"/>
            <w10:wrap type="none"/>
            <w10:anchorlock/>
          </v:shape>
          <o:OLEObject Type="Embed" ProgID="Excel.Chart.8" ShapeID="_x0000_i1029" DrawAspect="Content" ObjectID="_1468075728" r:id="rId15">
            <o:LockedField>false</o:LockedField>
          </o:OLEObject>
        </w:object>
      </w:r>
    </w:p>
    <w:p>
      <w:pPr>
        <w:numPr>
          <w:ilvl w:val="0"/>
          <w:numId w:val="1"/>
        </w:numPr>
        <w:adjustRightInd w:val="0"/>
        <w:snapToGrid w:val="0"/>
        <w:spacing w:after="0" w:line="580" w:lineRule="exact"/>
        <w:ind w:left="420" w:leftChars="200"/>
        <w:rPr>
          <w:rFonts w:ascii="楷体_GB2312" w:eastAsia="楷体_GB2312" w:cs="DengXian-Bold"/>
          <w:b/>
          <w:bCs/>
          <w:sz w:val="32"/>
          <w:szCs w:val="32"/>
        </w:rPr>
      </w:pPr>
      <w:r>
        <w:rPr>
          <w:rFonts w:hint="eastAsia" w:ascii="楷体_GB2312" w:eastAsia="楷体_GB2312" w:cs="DengXian-Bold"/>
          <w:b/>
          <w:bCs/>
          <w:sz w:val="32"/>
          <w:szCs w:val="32"/>
        </w:rPr>
        <w:t>财政拨款支出决算结构情况。</w:t>
      </w:r>
    </w:p>
    <w:p>
      <w:pPr>
        <w:adjustRightInd w:val="0"/>
        <w:snapToGrid w:val="0"/>
        <w:spacing w:after="0" w:line="580" w:lineRule="exact"/>
        <w:ind w:firstLine="640" w:firstLineChars="200"/>
        <w:rPr>
          <w:rFonts w:ascii="仿宋_GB2312" w:eastAsia="仿宋_GB2312" w:cs="DengXian-Regular"/>
          <w:sz w:val="32"/>
          <w:szCs w:val="32"/>
        </w:rPr>
      </w:pPr>
      <w:r>
        <w:rPr>
          <w:rFonts w:ascii="仿宋_GB2312" w:eastAsia="仿宋_GB2312" w:cs="DengXian-Regular"/>
          <w:sz w:val="32"/>
          <w:szCs w:val="32"/>
        </w:rPr>
        <w:t xml:space="preserve">2018 </w:t>
      </w:r>
      <w:r>
        <w:rPr>
          <w:rFonts w:hint="eastAsia" w:ascii="仿宋_GB2312" w:eastAsia="仿宋_GB2312" w:cs="DengXian-Regular"/>
          <w:sz w:val="32"/>
          <w:szCs w:val="32"/>
        </w:rPr>
        <w:t>年度财政拨款支出</w:t>
      </w:r>
      <w:r>
        <w:rPr>
          <w:rFonts w:ascii="仿宋_GB2312" w:eastAsia="仿宋_GB2312" w:cs="DengXian-Regular"/>
          <w:sz w:val="32"/>
          <w:szCs w:val="32"/>
        </w:rPr>
        <w:t>13503.48</w:t>
      </w:r>
      <w:r>
        <w:rPr>
          <w:rFonts w:hint="eastAsia" w:ascii="仿宋_GB2312" w:eastAsia="仿宋_GB2312" w:cs="DengXian-Regular"/>
          <w:sz w:val="32"/>
          <w:szCs w:val="32"/>
        </w:rPr>
        <w:t>万元，主要用于以下方面：一般公共服务（类）支出</w:t>
      </w:r>
      <w:r>
        <w:rPr>
          <w:rFonts w:ascii="仿宋_GB2312" w:eastAsia="仿宋_GB2312" w:cs="DengXian-Regular"/>
          <w:sz w:val="32"/>
          <w:szCs w:val="32"/>
        </w:rPr>
        <w:t>1005.62</w:t>
      </w:r>
      <w:r>
        <w:rPr>
          <w:rFonts w:hint="eastAsia" w:ascii="仿宋_GB2312" w:eastAsia="仿宋_GB2312" w:cs="DengXian-Regular"/>
          <w:sz w:val="32"/>
          <w:szCs w:val="32"/>
        </w:rPr>
        <w:t>万元，占</w:t>
      </w:r>
      <w:r>
        <w:rPr>
          <w:rFonts w:ascii="仿宋_GB2312" w:eastAsia="仿宋_GB2312" w:cs="DengXian-Regular"/>
          <w:sz w:val="32"/>
          <w:szCs w:val="32"/>
        </w:rPr>
        <w:t>7.4%</w:t>
      </w:r>
      <w:r>
        <w:rPr>
          <w:rFonts w:hint="eastAsia" w:ascii="仿宋_GB2312" w:eastAsia="仿宋_GB2312" w:cs="DengXian-Regular"/>
          <w:sz w:val="32"/>
          <w:szCs w:val="32"/>
        </w:rPr>
        <w:t>；公共安全类（类）支出</w:t>
      </w:r>
      <w:r>
        <w:rPr>
          <w:rFonts w:ascii="仿宋_GB2312" w:eastAsia="仿宋_GB2312" w:cs="DengXian-Regular"/>
          <w:sz w:val="32"/>
          <w:szCs w:val="32"/>
        </w:rPr>
        <w:t>13.29</w:t>
      </w:r>
      <w:r>
        <w:rPr>
          <w:rFonts w:hint="eastAsia" w:ascii="仿宋_GB2312" w:eastAsia="仿宋_GB2312" w:cs="DengXian-Regular"/>
          <w:sz w:val="32"/>
          <w:szCs w:val="32"/>
        </w:rPr>
        <w:t>万元，占</w:t>
      </w:r>
      <w:r>
        <w:rPr>
          <w:rFonts w:ascii="仿宋_GB2312" w:eastAsia="仿宋_GB2312" w:cs="DengXian-Regular"/>
          <w:sz w:val="32"/>
          <w:szCs w:val="32"/>
        </w:rPr>
        <w:t>0.1%</w:t>
      </w:r>
      <w:r>
        <w:rPr>
          <w:rFonts w:hint="eastAsia" w:ascii="仿宋_GB2312" w:eastAsia="仿宋_GB2312" w:cs="DengXian-Regular"/>
          <w:sz w:val="32"/>
          <w:szCs w:val="32"/>
        </w:rPr>
        <w:t>；社会保障和就业（类）支出</w:t>
      </w:r>
      <w:r>
        <w:rPr>
          <w:rFonts w:ascii="仿宋_GB2312" w:eastAsia="仿宋_GB2312" w:cs="DengXian-Regular"/>
          <w:sz w:val="32"/>
          <w:szCs w:val="32"/>
        </w:rPr>
        <w:t xml:space="preserve"> 49.05</w:t>
      </w:r>
      <w:r>
        <w:rPr>
          <w:rFonts w:hint="eastAsia" w:ascii="仿宋_GB2312" w:eastAsia="仿宋_GB2312" w:cs="DengXian-Regular"/>
          <w:sz w:val="32"/>
          <w:szCs w:val="32"/>
        </w:rPr>
        <w:t>万元，占</w:t>
      </w:r>
      <w:r>
        <w:rPr>
          <w:rFonts w:ascii="仿宋_GB2312" w:eastAsia="仿宋_GB2312" w:cs="DengXian-Regular"/>
          <w:sz w:val="32"/>
          <w:szCs w:val="32"/>
        </w:rPr>
        <w:t>0.4%</w:t>
      </w:r>
      <w:r>
        <w:rPr>
          <w:rFonts w:hint="eastAsia" w:ascii="仿宋_GB2312" w:eastAsia="仿宋_GB2312" w:cs="DengXian-Regular"/>
          <w:sz w:val="32"/>
          <w:szCs w:val="32"/>
        </w:rPr>
        <w:t>；医疗卫生与计划生育（类）支出</w:t>
      </w:r>
      <w:r>
        <w:rPr>
          <w:rFonts w:ascii="仿宋_GB2312" w:eastAsia="仿宋_GB2312" w:cs="DengXian-Regular"/>
          <w:sz w:val="32"/>
          <w:szCs w:val="32"/>
        </w:rPr>
        <w:t>13.47</w:t>
      </w:r>
      <w:r>
        <w:rPr>
          <w:rFonts w:hint="eastAsia" w:ascii="仿宋_GB2312" w:eastAsia="仿宋_GB2312" w:cs="DengXian-Regular"/>
          <w:sz w:val="32"/>
          <w:szCs w:val="32"/>
        </w:rPr>
        <w:t>万元，占</w:t>
      </w:r>
      <w:r>
        <w:rPr>
          <w:rFonts w:ascii="仿宋_GB2312" w:eastAsia="仿宋_GB2312" w:cs="DengXian-Regular"/>
          <w:sz w:val="32"/>
          <w:szCs w:val="32"/>
        </w:rPr>
        <w:t>0.1%</w:t>
      </w:r>
      <w:r>
        <w:rPr>
          <w:rFonts w:hint="eastAsia" w:ascii="仿宋_GB2312" w:eastAsia="仿宋_GB2312" w:cs="DengXian-Regular"/>
          <w:sz w:val="32"/>
          <w:szCs w:val="32"/>
        </w:rPr>
        <w:t>；节能环保（类）支出</w:t>
      </w:r>
      <w:r>
        <w:rPr>
          <w:rFonts w:ascii="仿宋_GB2312" w:eastAsia="仿宋_GB2312" w:cs="DengXian-Regular"/>
          <w:sz w:val="32"/>
          <w:szCs w:val="32"/>
        </w:rPr>
        <w:t>5.13</w:t>
      </w:r>
      <w:r>
        <w:rPr>
          <w:rFonts w:hint="eastAsia" w:ascii="仿宋_GB2312" w:eastAsia="仿宋_GB2312" w:cs="DengXian-Regular"/>
          <w:sz w:val="32"/>
          <w:szCs w:val="32"/>
        </w:rPr>
        <w:t>万元，占</w:t>
      </w:r>
      <w:r>
        <w:rPr>
          <w:rFonts w:ascii="仿宋_GB2312" w:eastAsia="仿宋_GB2312" w:cs="DengXian-Regular"/>
          <w:sz w:val="32"/>
          <w:szCs w:val="32"/>
        </w:rPr>
        <w:t>0.1%</w:t>
      </w:r>
      <w:r>
        <w:rPr>
          <w:rFonts w:hint="eastAsia" w:ascii="仿宋_GB2312" w:eastAsia="仿宋_GB2312" w:cs="DengXian-Regular"/>
          <w:sz w:val="32"/>
          <w:szCs w:val="32"/>
        </w:rPr>
        <w:t>；城乡社区（类）支出</w:t>
      </w:r>
      <w:r>
        <w:rPr>
          <w:rFonts w:ascii="仿宋_GB2312" w:eastAsia="仿宋_GB2312" w:cs="DengXian-Regular"/>
          <w:sz w:val="32"/>
          <w:szCs w:val="32"/>
        </w:rPr>
        <w:t>12406.92</w:t>
      </w:r>
      <w:r>
        <w:rPr>
          <w:rFonts w:hint="eastAsia" w:ascii="仿宋_GB2312" w:eastAsia="仿宋_GB2312" w:cs="DengXian-Regular"/>
          <w:sz w:val="32"/>
          <w:szCs w:val="32"/>
        </w:rPr>
        <w:t>万元，占</w:t>
      </w:r>
      <w:r>
        <w:rPr>
          <w:rFonts w:ascii="仿宋_GB2312" w:eastAsia="仿宋_GB2312" w:cs="DengXian-Regular"/>
          <w:sz w:val="32"/>
          <w:szCs w:val="32"/>
        </w:rPr>
        <w:t>91.8%</w:t>
      </w:r>
      <w:r>
        <w:rPr>
          <w:rFonts w:hint="eastAsia" w:ascii="仿宋_GB2312" w:eastAsia="仿宋_GB2312" w:cs="DengXian-Regular"/>
          <w:sz w:val="32"/>
          <w:szCs w:val="32"/>
        </w:rPr>
        <w:t>；农林水（类）支出</w:t>
      </w:r>
      <w:r>
        <w:rPr>
          <w:rFonts w:ascii="仿宋_GB2312" w:eastAsia="仿宋_GB2312" w:cs="DengXian-Regular"/>
          <w:sz w:val="32"/>
          <w:szCs w:val="32"/>
        </w:rPr>
        <w:t>9.99</w:t>
      </w:r>
      <w:r>
        <w:rPr>
          <w:rFonts w:hint="eastAsia" w:ascii="仿宋_GB2312" w:eastAsia="仿宋_GB2312" w:cs="DengXian-Regular"/>
          <w:sz w:val="32"/>
          <w:szCs w:val="32"/>
        </w:rPr>
        <w:t>万元，占</w:t>
      </w:r>
      <w:r>
        <w:rPr>
          <w:rFonts w:ascii="仿宋_GB2312" w:eastAsia="仿宋_GB2312" w:cs="DengXian-Regular"/>
          <w:sz w:val="32"/>
          <w:szCs w:val="32"/>
        </w:rPr>
        <w:t>0.1%</w:t>
      </w:r>
      <w:r>
        <w:rPr>
          <w:rFonts w:hint="eastAsia" w:ascii="仿宋_GB2312" w:eastAsia="仿宋_GB2312" w:cs="DengXian-Regular"/>
          <w:sz w:val="32"/>
          <w:szCs w:val="32"/>
        </w:rPr>
        <w:t>。</w:t>
      </w:r>
    </w:p>
    <w:p>
      <w:pPr>
        <w:adjustRightInd w:val="0"/>
        <w:snapToGrid w:val="0"/>
        <w:spacing w:after="0" w:line="580" w:lineRule="exact"/>
        <w:ind w:firstLine="640" w:firstLineChars="200"/>
        <w:rPr>
          <w:rFonts w:ascii="仿宋_GB2312" w:eastAsia="仿宋_GB2312" w:cs="DengXian-Regular"/>
          <w:sz w:val="32"/>
          <w:szCs w:val="32"/>
        </w:rPr>
      </w:pPr>
    </w:p>
    <w:p>
      <w:pPr>
        <w:adjustRightInd w:val="0"/>
        <w:snapToGrid w:val="0"/>
        <w:spacing w:after="0"/>
        <w:rPr>
          <w:rFonts w:ascii="楷体_GB2312" w:eastAsia="楷体_GB2312" w:cs="DengXian-Bold"/>
          <w:b/>
          <w:bCs/>
          <w:sz w:val="32"/>
          <w:szCs w:val="32"/>
        </w:rPr>
      </w:pPr>
      <w:r>
        <w:rPr>
          <w:rFonts w:ascii="楷体_GB2312" w:eastAsia="楷体_GB2312" w:cs="DengXian-Bold"/>
          <w:b/>
          <w:sz w:val="32"/>
          <w:szCs w:val="32"/>
        </w:rPr>
        <w:object>
          <v:shape id="_x0000_i1030" o:spt="75" type="#_x0000_t75" style="height:300.75pt;width:429.75pt;" o:ole="t" filled="f" o:preferrelative="t" stroked="f" coordsize="21600,21600">
            <v:path/>
            <v:fill on="f" focussize="0,0"/>
            <v:stroke on="f" joinstyle="miter"/>
            <v:imagedata r:id="rId18" o:title=""/>
            <o:lock v:ext="edit" aspectratio="f"/>
            <w10:wrap type="none"/>
            <w10:anchorlock/>
          </v:shape>
          <o:OLEObject Type="Embed" ProgID="Excel.Chart.8" ShapeID="_x0000_i1030" DrawAspect="Content" ObjectID="_1468075729" r:id="rId17">
            <o:LockedField>false</o:LockedField>
          </o:OLEObject>
        </w:object>
      </w:r>
    </w:p>
    <w:p>
      <w:pPr>
        <w:adjustRightInd w:val="0"/>
        <w:snapToGrid w:val="0"/>
        <w:spacing w:after="0" w:line="580" w:lineRule="exact"/>
        <w:ind w:left="420" w:leftChars="200"/>
        <w:rPr>
          <w:rFonts w:ascii="楷体_GB2312" w:eastAsia="楷体_GB2312" w:cs="DengXian-Bold"/>
          <w:b/>
          <w:bCs/>
          <w:sz w:val="32"/>
          <w:szCs w:val="32"/>
        </w:rPr>
      </w:pPr>
      <w:r>
        <w:pict>
          <v:group id="组合 79" o:spid="_x0000_s1046" o:spt="203" style="position:absolute;left:0pt;margin-left:-0.55pt;margin-top:29.3pt;height:43.95pt;width:301.85pt;mso-position-horizontal-relative:page;mso-position-vertical-relative:page;z-index:251673600;mso-width-relative:page;mso-height-relative:page;" coordorigin="4551,52615" coordsize="8546,1398203">
            <o:lock v:ext="edit"/>
            <v:rect id="_x0000_s1047" o:spid="_x0000_s1047" o:spt="1" style="position:absolute;left:4551;top:52615;height:1175;width:8546;" fillcolor="#D8D8D8" filled="t" stroked="f" coordsize="21600,21600">
              <v:path/>
              <v:fill on="t" focussize="0,0"/>
              <v:stroke on="f"/>
              <v:imagedata o:title=""/>
              <o:lock v:ext="edit"/>
            </v:rect>
            <v:rect id="_x0000_s1048" o:spid="_x0000_s1048"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2"/>
                        <w:szCs w:val="32"/>
                      </w:rPr>
                    </w:pPr>
                    <w:r>
                      <w:rPr>
                        <w:rFonts w:ascii="楷体" w:hAnsi="楷体" w:eastAsia="楷体" w:cs="楷体"/>
                        <w:b/>
                        <w:bCs/>
                        <w:color w:val="FDEFBE"/>
                        <w:kern w:val="0"/>
                        <w:sz w:val="32"/>
                        <w:szCs w:val="32"/>
                      </w:rPr>
                      <w:t>2018</w:t>
                    </w:r>
                    <w:r>
                      <w:rPr>
                        <w:rFonts w:hint="eastAsia" w:ascii="楷体" w:hAnsi="楷体" w:eastAsia="楷体" w:cs="楷体"/>
                        <w:b/>
                        <w:bCs/>
                        <w:color w:val="FDEFBE"/>
                        <w:kern w:val="0"/>
                        <w:sz w:val="32"/>
                        <w:szCs w:val="32"/>
                      </w:rPr>
                      <w:t>年度部门决算</w:t>
                    </w:r>
                    <w:r>
                      <w:rPr>
                        <w:rFonts w:hint="eastAsia" w:ascii="MS Gothic" w:hAnsi="MS Gothic" w:eastAsia="MS Gothic" w:cs="MS Gothic"/>
                        <w:b/>
                        <w:bCs/>
                        <w:color w:val="FDEFBE"/>
                        <w:kern w:val="0"/>
                        <w:sz w:val="32"/>
                        <w:szCs w:val="32"/>
                      </w:rPr>
                      <w:t>☞</w:t>
                    </w:r>
                    <w:r>
                      <w:rPr>
                        <w:rFonts w:hint="eastAsia" w:ascii="楷体" w:hAnsi="楷体" w:eastAsia="楷体" w:cs="楷体"/>
                        <w:b/>
                        <w:bCs/>
                        <w:color w:val="FDEFBE"/>
                        <w:kern w:val="0"/>
                        <w:sz w:val="32"/>
                        <w:szCs w:val="32"/>
                      </w:rPr>
                      <w:t>部门决算情况说明</w:t>
                    </w:r>
                  </w:p>
                  <w:p>
                    <w:pPr>
                      <w:jc w:val="center"/>
                    </w:pPr>
                  </w:p>
                </w:txbxContent>
              </v:textbox>
            </v:rect>
            <w10:anchorlock/>
          </v:group>
        </w:pict>
      </w:r>
      <w:r>
        <w:rPr>
          <w:rFonts w:hint="eastAsia" w:ascii="楷体_GB2312" w:eastAsia="楷体_GB2312" w:cs="DengXian-Bold"/>
          <w:b/>
          <w:bCs/>
          <w:sz w:val="32"/>
          <w:szCs w:val="32"/>
        </w:rPr>
        <w:t>（四）一般公共预算基本支出决算情况说明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ascii="仿宋_GB2312" w:eastAsia="仿宋_GB2312" w:cs="DengXian-Regular"/>
          <w:sz w:val="32"/>
          <w:szCs w:val="32"/>
        </w:rPr>
        <w:t xml:space="preserve">2018 </w:t>
      </w:r>
      <w:r>
        <w:rPr>
          <w:rFonts w:hint="eastAsia" w:ascii="仿宋_GB2312" w:eastAsia="仿宋_GB2312" w:cs="DengXian-Regular"/>
          <w:sz w:val="32"/>
          <w:szCs w:val="32"/>
        </w:rPr>
        <w:t>年度财政拨款基本支出</w:t>
      </w:r>
      <w:r>
        <w:rPr>
          <w:rFonts w:ascii="仿宋_GB2312" w:eastAsia="仿宋_GB2312" w:cs="DengXian-Regular"/>
          <w:sz w:val="32"/>
          <w:szCs w:val="32"/>
        </w:rPr>
        <w:t>814.75</w:t>
      </w:r>
      <w:r>
        <w:rPr>
          <w:rFonts w:hint="eastAsia" w:ascii="仿宋_GB2312" w:eastAsia="仿宋_GB2312" w:cs="DengXian-Regular"/>
          <w:sz w:val="32"/>
          <w:szCs w:val="32"/>
        </w:rPr>
        <w:t>万元，其中：人员经费</w:t>
      </w:r>
      <w:r>
        <w:rPr>
          <w:rFonts w:ascii="仿宋_GB2312" w:eastAsia="仿宋_GB2312" w:cs="DengXian-Regular"/>
          <w:sz w:val="32"/>
          <w:szCs w:val="32"/>
        </w:rPr>
        <w:t xml:space="preserve"> 772.65</w:t>
      </w:r>
      <w:r>
        <w:rPr>
          <w:rFonts w:hint="eastAsia" w:ascii="仿宋_GB2312" w:eastAsia="仿宋_GB2312" w:cs="DengXian-Regular"/>
          <w:sz w:val="32"/>
          <w:szCs w:val="32"/>
        </w:rPr>
        <w:t>万元，主要包括基本工资</w:t>
      </w:r>
      <w:r>
        <w:rPr>
          <w:rFonts w:ascii="仿宋_GB2312" w:eastAsia="仿宋_GB2312" w:cs="DengXian-Regular"/>
          <w:sz w:val="32"/>
          <w:szCs w:val="32"/>
        </w:rPr>
        <w:t>279.41</w:t>
      </w:r>
      <w:r>
        <w:rPr>
          <w:rFonts w:hint="eastAsia" w:ascii="仿宋_GB2312" w:eastAsia="仿宋_GB2312" w:cs="DengXian-Regular"/>
          <w:sz w:val="32"/>
          <w:szCs w:val="32"/>
        </w:rPr>
        <w:t>万元、津贴补贴</w:t>
      </w:r>
      <w:r>
        <w:rPr>
          <w:rFonts w:ascii="仿宋_GB2312" w:eastAsia="仿宋_GB2312" w:cs="DengXian-Regular"/>
          <w:sz w:val="32"/>
          <w:szCs w:val="32"/>
        </w:rPr>
        <w:t>394.81</w:t>
      </w:r>
      <w:r>
        <w:rPr>
          <w:rFonts w:hint="eastAsia" w:ascii="仿宋_GB2312" w:eastAsia="仿宋_GB2312" w:cs="DengXian-Regular"/>
          <w:sz w:val="32"/>
          <w:szCs w:val="32"/>
        </w:rPr>
        <w:t>万元、奖金、伙食补助费、绩效工资、机关事业单位基本养老保险缴费</w:t>
      </w:r>
      <w:r>
        <w:rPr>
          <w:rFonts w:ascii="仿宋_GB2312" w:eastAsia="仿宋_GB2312" w:cs="DengXian-Regular"/>
          <w:sz w:val="32"/>
          <w:szCs w:val="32"/>
        </w:rPr>
        <w:t>98.43</w:t>
      </w:r>
      <w:r>
        <w:rPr>
          <w:rFonts w:hint="eastAsia" w:ascii="仿宋_GB2312" w:eastAsia="仿宋_GB2312" w:cs="DengXian-Regular"/>
          <w:sz w:val="32"/>
          <w:szCs w:val="32"/>
        </w:rPr>
        <w:t>万元、职业年金缴费、职工基本医疗保险缴费、公务员医疗补助缴费、住房公积金、医疗费、其他社会保障缴费、其他工资福利支出、离休费、退休费、抚恤金、生活补助、医疗费补助、奖励金、其他对个人和家庭的补助支出；公用经费</w:t>
      </w:r>
      <w:r>
        <w:rPr>
          <w:rFonts w:ascii="仿宋_GB2312" w:eastAsia="仿宋_GB2312" w:cs="DengXian-Regular"/>
          <w:sz w:val="32"/>
          <w:szCs w:val="32"/>
        </w:rPr>
        <w:t xml:space="preserve"> 42.1</w:t>
      </w:r>
      <w:r>
        <w:rPr>
          <w:rFonts w:hint="eastAsia" w:ascii="仿宋_GB2312" w:eastAsia="仿宋_GB2312" w:cs="DengXian-Regular"/>
          <w:sz w:val="32"/>
          <w:szCs w:val="32"/>
        </w:rPr>
        <w:t>万元，主要包括办公费</w:t>
      </w:r>
      <w:r>
        <w:rPr>
          <w:rFonts w:ascii="仿宋_GB2312" w:eastAsia="仿宋_GB2312" w:cs="DengXian-Regular"/>
          <w:sz w:val="32"/>
          <w:szCs w:val="32"/>
        </w:rPr>
        <w:t>4.78</w:t>
      </w:r>
      <w:r>
        <w:rPr>
          <w:rFonts w:hint="eastAsia" w:ascii="仿宋_GB2312" w:eastAsia="仿宋_GB2312" w:cs="DengXian-Regular"/>
          <w:sz w:val="32"/>
          <w:szCs w:val="32"/>
        </w:rPr>
        <w:t>万元、印刷费</w:t>
      </w:r>
      <w:r>
        <w:rPr>
          <w:rFonts w:ascii="仿宋_GB2312" w:eastAsia="仿宋_GB2312" w:cs="DengXian-Regular"/>
          <w:sz w:val="32"/>
          <w:szCs w:val="32"/>
        </w:rPr>
        <w:t>2</w:t>
      </w:r>
      <w:r>
        <w:rPr>
          <w:rFonts w:hint="eastAsia" w:ascii="仿宋_GB2312" w:eastAsia="仿宋_GB2312" w:cs="DengXian-Regular"/>
          <w:sz w:val="32"/>
          <w:szCs w:val="32"/>
        </w:rPr>
        <w:t>万元、咨询费、手续费、水费、电费</w:t>
      </w:r>
      <w:r>
        <w:rPr>
          <w:rFonts w:ascii="仿宋_GB2312" w:eastAsia="仿宋_GB2312" w:cs="DengXian-Regular"/>
          <w:sz w:val="32"/>
          <w:szCs w:val="32"/>
        </w:rPr>
        <w:t>3.55</w:t>
      </w:r>
      <w:r>
        <w:rPr>
          <w:rFonts w:hint="eastAsia" w:ascii="仿宋_GB2312" w:eastAsia="仿宋_GB2312" w:cs="DengXian-Regular"/>
          <w:sz w:val="32"/>
          <w:szCs w:val="32"/>
        </w:rPr>
        <w:t>万元、邮电费、取暖费、物业管理费、差旅费</w:t>
      </w:r>
      <w:r>
        <w:rPr>
          <w:rFonts w:ascii="仿宋_GB2312" w:eastAsia="仿宋_GB2312" w:cs="DengXian-Regular"/>
          <w:sz w:val="32"/>
          <w:szCs w:val="32"/>
        </w:rPr>
        <w:t>6.97</w:t>
      </w:r>
      <w:r>
        <w:rPr>
          <w:rFonts w:hint="eastAsia" w:ascii="仿宋_GB2312" w:eastAsia="仿宋_GB2312" w:cs="DengXian-Regular"/>
          <w:sz w:val="32"/>
          <w:szCs w:val="32"/>
        </w:rPr>
        <w:t>万元、因公出国（境）费用、维修（护）费、租赁费、会议费、培训费、公务接待费、专用材料费、劳务费、委托业务费、工会经费、福利费、公务用车运行维护费</w:t>
      </w:r>
      <w:r>
        <w:rPr>
          <w:rFonts w:ascii="仿宋_GB2312" w:eastAsia="仿宋_GB2312" w:cs="DengXian-Regular"/>
          <w:sz w:val="32"/>
          <w:szCs w:val="32"/>
        </w:rPr>
        <w:t>2.43</w:t>
      </w:r>
      <w:r>
        <w:rPr>
          <w:rFonts w:hint="eastAsia" w:ascii="仿宋_GB2312" w:eastAsia="仿宋_GB2312" w:cs="DengXian-Regular"/>
          <w:sz w:val="32"/>
          <w:szCs w:val="32"/>
        </w:rPr>
        <w:t>万元、其他交通费用</w:t>
      </w:r>
      <w:r>
        <w:rPr>
          <w:rFonts w:ascii="仿宋_GB2312" w:eastAsia="仿宋_GB2312" w:cs="DengXian-Regular"/>
          <w:sz w:val="32"/>
          <w:szCs w:val="32"/>
        </w:rPr>
        <w:t>22.37</w:t>
      </w:r>
      <w:r>
        <w:rPr>
          <w:rFonts w:hint="eastAsia" w:ascii="仿宋_GB2312" w:eastAsia="仿宋_GB2312" w:cs="DengXian-Regular"/>
          <w:sz w:val="32"/>
          <w:szCs w:val="32"/>
        </w:rPr>
        <w:t>万元、税金及附加费用、其他商品和服务支出、办公设备购置、专用设备购置、信息网络及软件购置更新、公务用车购置、其他资本性支出。</w:t>
      </w:r>
    </w:p>
    <w:p>
      <w:pPr>
        <w:pStyle w:val="3"/>
        <w:spacing w:before="0" w:after="0" w:line="580" w:lineRule="exact"/>
        <w:ind w:firstLine="640" w:firstLineChars="200"/>
        <w:rPr>
          <w:rFonts w:ascii="黑体" w:eastAsia="黑体"/>
          <w:b w:val="0"/>
          <w:bCs w:val="0"/>
        </w:rPr>
      </w:pPr>
      <w:r>
        <w:rPr>
          <w:rFonts w:hint="eastAsia" w:ascii="黑体" w:eastAsia="黑体"/>
          <w:b w:val="0"/>
          <w:bCs w:val="0"/>
        </w:rPr>
        <w:t>五、一般公共预算“三公”</w:t>
      </w:r>
      <w:r>
        <w:rPr>
          <w:rFonts w:ascii="黑体" w:eastAsia="黑体"/>
          <w:b w:val="0"/>
          <w:bCs w:val="0"/>
        </w:rPr>
        <w:t xml:space="preserve"> </w:t>
      </w:r>
      <w:r>
        <w:rPr>
          <w:rFonts w:hint="eastAsia" w:ascii="黑体" w:eastAsia="黑体"/>
          <w:b w:val="0"/>
          <w:bCs w:val="0"/>
        </w:rPr>
        <w:t>经费支出决算情况说明</w:t>
      </w:r>
    </w:p>
    <w:p>
      <w:pPr>
        <w:adjustRightInd w:val="0"/>
        <w:snapToGrid w:val="0"/>
        <w:spacing w:line="56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w:t>
      </w:r>
      <w:r>
        <w:rPr>
          <w:rFonts w:ascii="仿宋_GB2312" w:eastAsia="仿宋_GB2312" w:cs="DengXian-Regular"/>
          <w:sz w:val="32"/>
          <w:szCs w:val="32"/>
        </w:rPr>
        <w:t>2018</w:t>
      </w:r>
      <w:r>
        <w:rPr>
          <w:rFonts w:hint="eastAsia" w:ascii="仿宋_GB2312" w:eastAsia="仿宋_GB2312" w:cs="DengXian-Regular"/>
          <w:sz w:val="32"/>
          <w:szCs w:val="32"/>
        </w:rPr>
        <w:t>年度“三公”经费支出共计</w:t>
      </w:r>
      <w:r>
        <w:rPr>
          <w:rFonts w:ascii="仿宋_GB2312" w:eastAsia="仿宋_GB2312" w:cs="DengXian-Regular"/>
          <w:sz w:val="32"/>
          <w:szCs w:val="32"/>
        </w:rPr>
        <w:t>3.43</w:t>
      </w:r>
      <w:r>
        <w:rPr>
          <w:rFonts w:hint="eastAsia" w:ascii="仿宋_GB2312" w:eastAsia="仿宋_GB2312" w:cs="DengXian-Regular"/>
          <w:sz w:val="32"/>
          <w:szCs w:val="32"/>
        </w:rPr>
        <w:t>万元，</w:t>
      </w:r>
      <w:r>
        <w:rPr>
          <w:rFonts w:hint="eastAsia" w:ascii="仿宋_GB2312" w:eastAsia="仿宋_GB2312" w:cs="DengXian-Regular"/>
          <w:b w:val="0"/>
          <w:bCs w:val="0"/>
          <w:sz w:val="32"/>
          <w:szCs w:val="32"/>
        </w:rPr>
        <w:t>较年初预算减少</w:t>
      </w:r>
      <w:r>
        <w:rPr>
          <w:rFonts w:ascii="仿宋_GB2312" w:eastAsia="仿宋_GB2312" w:cs="DengXian-Regular"/>
          <w:b w:val="0"/>
          <w:bCs w:val="0"/>
          <w:sz w:val="32"/>
          <w:szCs w:val="32"/>
        </w:rPr>
        <w:t>1.57</w:t>
      </w:r>
      <w:r>
        <w:rPr>
          <w:rFonts w:hint="eastAsia" w:ascii="仿宋_GB2312" w:eastAsia="仿宋_GB2312" w:cs="DengXian-Regular"/>
          <w:b w:val="0"/>
          <w:bCs w:val="0"/>
          <w:sz w:val="32"/>
          <w:szCs w:val="32"/>
        </w:rPr>
        <w:t>万元，降低</w:t>
      </w:r>
      <w:r>
        <w:rPr>
          <w:rFonts w:ascii="仿宋_GB2312" w:eastAsia="仿宋_GB2312" w:cs="DengXian-Regular"/>
          <w:b w:val="0"/>
          <w:bCs w:val="0"/>
          <w:sz w:val="32"/>
          <w:szCs w:val="32"/>
        </w:rPr>
        <w:t>31.4%</w:t>
      </w:r>
      <w:r>
        <w:rPr>
          <w:rFonts w:hint="eastAsia" w:ascii="仿宋_GB2312" w:eastAsia="仿宋_GB2312" w:cs="DengXian-Regular"/>
          <w:b w:val="0"/>
          <w:bCs w:val="0"/>
          <w:sz w:val="32"/>
          <w:szCs w:val="32"/>
        </w:rPr>
        <w:t>，主要是</w:t>
      </w:r>
      <w:r>
        <w:rPr>
          <w:rFonts w:hint="eastAsia" w:ascii="仿宋_GB2312" w:hAnsi="BatangChe" w:eastAsia="仿宋_GB2312"/>
          <w:b w:val="0"/>
          <w:bCs w:val="0"/>
          <w:sz w:val="32"/>
          <w:szCs w:val="32"/>
        </w:rPr>
        <w:t>车辆运行管理</w:t>
      </w:r>
      <w:r>
        <w:rPr>
          <w:rFonts w:hint="eastAsia" w:ascii="仿宋_GB2312" w:hAnsi="BatangChe" w:eastAsia="仿宋_GB2312"/>
          <w:sz w:val="32"/>
          <w:szCs w:val="32"/>
        </w:rPr>
        <w:t>上更加严格，减少了公车运行费用</w:t>
      </w:r>
      <w:r>
        <w:rPr>
          <w:rFonts w:hint="eastAsia" w:ascii="仿宋_GB2312" w:eastAsia="仿宋_GB2312" w:cs="DengXian-Regular"/>
          <w:sz w:val="32"/>
          <w:szCs w:val="32"/>
        </w:rPr>
        <w:t>；较</w:t>
      </w:r>
      <w:r>
        <w:rPr>
          <w:rFonts w:ascii="仿宋_GB2312" w:eastAsia="仿宋_GB2312" w:cs="DengXian-Regular"/>
          <w:sz w:val="32"/>
          <w:szCs w:val="32"/>
        </w:rPr>
        <w:t>2017</w:t>
      </w:r>
      <w:r>
        <w:rPr>
          <w:rFonts w:hint="eastAsia" w:ascii="仿宋_GB2312" w:eastAsia="仿宋_GB2312" w:cs="DengXian-Regular"/>
          <w:sz w:val="32"/>
          <w:szCs w:val="32"/>
        </w:rPr>
        <w:t>年度减少</w:t>
      </w:r>
      <w:r>
        <w:rPr>
          <w:rFonts w:ascii="仿宋_GB2312" w:eastAsia="仿宋_GB2312" w:cs="DengXian-Regular"/>
          <w:sz w:val="32"/>
          <w:szCs w:val="32"/>
        </w:rPr>
        <w:t>1.39</w:t>
      </w:r>
      <w:r>
        <w:rPr>
          <w:rFonts w:hint="eastAsia" w:ascii="仿宋_GB2312" w:eastAsia="仿宋_GB2312" w:cs="DengXian-Regular"/>
          <w:sz w:val="32"/>
          <w:szCs w:val="32"/>
        </w:rPr>
        <w:t>万元，降低</w:t>
      </w:r>
      <w:r>
        <w:rPr>
          <w:rFonts w:ascii="仿宋_GB2312" w:eastAsia="仿宋_GB2312" w:cs="DengXian-Regular"/>
          <w:sz w:val="32"/>
          <w:szCs w:val="32"/>
        </w:rPr>
        <w:t>28.8%</w:t>
      </w:r>
      <w:r>
        <w:rPr>
          <w:rFonts w:hint="eastAsia" w:ascii="仿宋_GB2312" w:eastAsia="仿宋_GB2312" w:cs="DengXian-Regular"/>
          <w:sz w:val="32"/>
          <w:szCs w:val="32"/>
        </w:rPr>
        <w:t>，主要是</w:t>
      </w:r>
      <w:r>
        <w:rPr>
          <w:rFonts w:hint="eastAsia" w:ascii="仿宋_GB2312" w:hAnsi="BatangChe" w:eastAsia="仿宋_GB2312"/>
          <w:sz w:val="32"/>
          <w:szCs w:val="32"/>
        </w:rPr>
        <w:t>车辆运行管理上更加严格，减少了公车运行费用，</w:t>
      </w:r>
      <w:r>
        <w:rPr>
          <w:rFonts w:hint="eastAsia" w:ascii="仿宋_GB2312" w:eastAsia="仿宋_GB2312" w:cs="DengXian-Regular"/>
          <w:sz w:val="32"/>
          <w:szCs w:val="32"/>
        </w:rPr>
        <w:t>具体情况如下：</w:t>
      </w:r>
    </w:p>
    <w:p>
      <w:pPr>
        <w:adjustRightInd w:val="0"/>
        <w:snapToGrid w:val="0"/>
        <w:spacing w:after="0" w:line="580" w:lineRule="exact"/>
        <w:ind w:firstLine="643" w:firstLineChars="200"/>
        <w:rPr>
          <w:rFonts w:ascii="楷体" w:hAnsi="楷体" w:eastAsia="楷体" w:cs="楷体"/>
          <w:b/>
          <w:bCs/>
          <w:color w:val="C0504D"/>
          <w:sz w:val="32"/>
          <w:szCs w:val="32"/>
          <w:shd w:val="clear" w:color="auto" w:fill="FFFFFF"/>
        </w:rPr>
      </w:pPr>
      <w:r>
        <w:rPr>
          <w:rFonts w:hint="eastAsia" w:ascii="楷体_GB2312" w:eastAsia="楷体_GB2312" w:cs="DengXian-Bold"/>
          <w:b/>
          <w:bCs/>
          <w:sz w:val="32"/>
          <w:szCs w:val="32"/>
        </w:rPr>
        <w:t>（</w:t>
      </w:r>
      <w:r>
        <w:pict>
          <v:group id="组合 82" o:spid="_x0000_s1049" o:spt="203" style="position:absolute;left:0pt;margin-left:-0.55pt;margin-top:29.3pt;height:43.95pt;width:301.85pt;mso-position-horizontal-relative:page;mso-position-vertical-relative:page;z-index:251674624;mso-width-relative:page;mso-height-relative:page;" coordorigin="4551,52615" coordsize="8546,1398203">
            <o:lock v:ext="edit"/>
            <v:rect id="_x0000_s1050" o:spid="_x0000_s1050" o:spt="1" style="position:absolute;left:4551;top:52615;height:1175;width:8546;" fillcolor="#D8D8D8" filled="t" stroked="f" coordsize="21600,21600">
              <v:path/>
              <v:fill on="t" focussize="0,0"/>
              <v:stroke on="f"/>
              <v:imagedata o:title=""/>
              <o:lock v:ext="edit"/>
            </v:rect>
            <v:rect id="_x0000_s1051" o:spid="_x0000_s1051"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2"/>
                        <w:szCs w:val="32"/>
                      </w:rPr>
                    </w:pPr>
                    <w:r>
                      <w:rPr>
                        <w:rFonts w:ascii="楷体" w:hAnsi="楷体" w:eastAsia="楷体" w:cs="楷体"/>
                        <w:b/>
                        <w:bCs/>
                        <w:color w:val="FDEFBE"/>
                        <w:kern w:val="0"/>
                        <w:sz w:val="32"/>
                        <w:szCs w:val="32"/>
                      </w:rPr>
                      <w:t>2018</w:t>
                    </w:r>
                    <w:r>
                      <w:rPr>
                        <w:rFonts w:hint="eastAsia" w:ascii="楷体" w:hAnsi="楷体" w:eastAsia="楷体" w:cs="楷体"/>
                        <w:b/>
                        <w:bCs/>
                        <w:color w:val="FDEFBE"/>
                        <w:kern w:val="0"/>
                        <w:sz w:val="32"/>
                        <w:szCs w:val="32"/>
                      </w:rPr>
                      <w:t>年度部门决算</w:t>
                    </w:r>
                    <w:r>
                      <w:rPr>
                        <w:rFonts w:hint="eastAsia" w:ascii="MS Gothic" w:hAnsi="MS Gothic" w:eastAsia="MS Gothic" w:cs="MS Gothic"/>
                        <w:b/>
                        <w:bCs/>
                        <w:color w:val="FDEFBE"/>
                        <w:kern w:val="0"/>
                        <w:sz w:val="32"/>
                        <w:szCs w:val="32"/>
                      </w:rPr>
                      <w:t>☞</w:t>
                    </w:r>
                    <w:r>
                      <w:rPr>
                        <w:rFonts w:hint="eastAsia" w:ascii="楷体" w:hAnsi="楷体" w:eastAsia="楷体" w:cs="楷体"/>
                        <w:b/>
                        <w:bCs/>
                        <w:color w:val="FDEFBE"/>
                        <w:kern w:val="0"/>
                        <w:sz w:val="32"/>
                        <w:szCs w:val="32"/>
                      </w:rPr>
                      <w:t>部门决算情况说明</w:t>
                    </w:r>
                  </w:p>
                  <w:p>
                    <w:pPr>
                      <w:jc w:val="center"/>
                    </w:pPr>
                  </w:p>
                </w:txbxContent>
              </v:textbox>
            </v:rect>
            <w10:anchorlock/>
          </v:group>
        </w:pict>
      </w:r>
      <w:r>
        <w:rPr>
          <w:rFonts w:hint="eastAsia" w:ascii="楷体_GB2312" w:eastAsia="楷体_GB2312" w:cs="DengXian-Bold"/>
          <w:b/>
          <w:bCs/>
          <w:sz w:val="32"/>
          <w:szCs w:val="32"/>
        </w:rPr>
        <w:t>一）因公出国（境）费。</w:t>
      </w:r>
      <w:r>
        <w:rPr>
          <w:rFonts w:hint="eastAsia" w:ascii="仿宋_GB2312" w:eastAsia="仿宋_GB2312" w:cs="DengXian-Regular"/>
          <w:sz w:val="32"/>
          <w:szCs w:val="32"/>
        </w:rPr>
        <w:t>本部门</w:t>
      </w:r>
      <w:r>
        <w:rPr>
          <w:rFonts w:hint="eastAsia" w:ascii="仿宋_GB2312" w:eastAsia="仿宋_GB2312" w:cs="DengXian-Regular"/>
          <w:sz w:val="32"/>
          <w:szCs w:val="32"/>
          <w:lang w:eastAsia="zh-CN"/>
        </w:rPr>
        <w:t>2018年</w:t>
      </w:r>
      <w:r>
        <w:rPr>
          <w:rFonts w:hint="eastAsia" w:ascii="仿宋_GB2312" w:eastAsia="仿宋_GB2312" w:cs="DengXian-Regular"/>
          <w:sz w:val="32"/>
          <w:szCs w:val="32"/>
        </w:rPr>
        <w:t>度参加其他单位组织的因公出国（境）团组</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个、共</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人/</w:t>
      </w:r>
      <w:r>
        <w:rPr>
          <w:rFonts w:hint="eastAsia" w:ascii="仿宋_GB2312" w:eastAsia="仿宋_GB2312" w:cs="DengXian-Regular"/>
          <w:sz w:val="32"/>
          <w:szCs w:val="32"/>
          <w:lang w:eastAsia="zh-CN"/>
        </w:rPr>
        <w:t>元</w:t>
      </w:r>
      <w:r>
        <w:rPr>
          <w:rFonts w:hint="eastAsia" w:ascii="仿宋_GB2312" w:eastAsia="仿宋_GB2312" w:cs="DengXian-Regular"/>
          <w:sz w:val="32"/>
          <w:szCs w:val="32"/>
        </w:rPr>
        <w:t>本单位组织的出国（境）团组。因公出国（境）费支出较</w:t>
      </w:r>
      <w:r>
        <w:rPr>
          <w:rFonts w:hint="eastAsia" w:ascii="仿宋_GB2312" w:hAnsi="楷体" w:eastAsia="仿宋_GB2312" w:cs="楷体"/>
          <w:sz w:val="32"/>
          <w:szCs w:val="32"/>
        </w:rPr>
        <w:t>年初预算无增减变化、较</w:t>
      </w:r>
      <w:r>
        <w:rPr>
          <w:rFonts w:ascii="仿宋_GB2312" w:hAnsi="楷体" w:eastAsia="仿宋_GB2312" w:cs="楷体"/>
          <w:sz w:val="32"/>
          <w:szCs w:val="32"/>
        </w:rPr>
        <w:t>2017</w:t>
      </w:r>
      <w:r>
        <w:rPr>
          <w:rFonts w:hint="eastAsia" w:ascii="仿宋_GB2312" w:hAnsi="楷体" w:eastAsia="仿宋_GB2312" w:cs="楷体"/>
          <w:sz w:val="32"/>
          <w:szCs w:val="32"/>
        </w:rPr>
        <w:t>年度无增减变化</w:t>
      </w:r>
      <w:r>
        <w:rPr>
          <w:rFonts w:hint="eastAsia" w:ascii="楷体" w:hAnsi="楷体" w:eastAsia="楷体" w:cs="楷体"/>
          <w:sz w:val="32"/>
          <w:szCs w:val="32"/>
        </w:rPr>
        <w:t>。</w:t>
      </w:r>
    </w:p>
    <w:p>
      <w:pPr>
        <w:numPr>
          <w:ilvl w:val="0"/>
          <w:numId w:val="2"/>
        </w:numPr>
        <w:adjustRightInd w:val="0"/>
        <w:snapToGrid w:val="0"/>
        <w:spacing w:after="0" w:line="580" w:lineRule="exact"/>
        <w:ind w:firstLine="630" w:firstLineChars="196"/>
        <w:rPr>
          <w:rFonts w:hint="eastAsia" w:ascii="仿宋_GB2312" w:eastAsia="仿宋_GB2312" w:cs="DengXian-Bold"/>
          <w:b/>
          <w:bCs/>
          <w:sz w:val="32"/>
          <w:szCs w:val="32"/>
        </w:rPr>
      </w:pPr>
      <w:r>
        <w:rPr>
          <w:rFonts w:hint="eastAsia" w:ascii="楷体_GB2312" w:eastAsia="楷体_GB2312" w:cs="DengXian-Bold"/>
          <w:b/>
          <w:bCs/>
          <w:sz w:val="32"/>
          <w:szCs w:val="32"/>
        </w:rPr>
        <w:t>公务用车购置及运行维护费支出</w:t>
      </w:r>
      <w:r>
        <w:rPr>
          <w:rFonts w:ascii="楷体_GB2312" w:eastAsia="楷体_GB2312" w:cs="DengXian-Bold"/>
          <w:b/>
          <w:bCs/>
          <w:sz w:val="32"/>
          <w:szCs w:val="32"/>
        </w:rPr>
        <w:t>3.43</w:t>
      </w:r>
      <w:r>
        <w:rPr>
          <w:rFonts w:hint="eastAsia" w:ascii="楷体_GB2312" w:eastAsia="楷体_GB2312" w:cs="DengXian-Bold"/>
          <w:b/>
          <w:bCs/>
          <w:sz w:val="32"/>
          <w:szCs w:val="32"/>
        </w:rPr>
        <w:t>万元。</w:t>
      </w:r>
      <w:r>
        <w:rPr>
          <w:rFonts w:hint="eastAsia" w:ascii="仿宋_GB2312" w:eastAsia="仿宋_GB2312" w:cs="DengXian-Regular"/>
          <w:sz w:val="32"/>
          <w:szCs w:val="32"/>
        </w:rPr>
        <w:t>本部门</w:t>
      </w:r>
      <w:r>
        <w:rPr>
          <w:rFonts w:ascii="仿宋_GB2312" w:eastAsia="仿宋_GB2312" w:cs="DengXian-Regular"/>
          <w:sz w:val="32"/>
          <w:szCs w:val="32"/>
        </w:rPr>
        <w:t>2018</w:t>
      </w:r>
      <w:r>
        <w:rPr>
          <w:rFonts w:hint="eastAsia" w:ascii="仿宋_GB2312" w:eastAsia="仿宋_GB2312" w:cs="DengXian-Regular"/>
          <w:sz w:val="32"/>
          <w:szCs w:val="32"/>
        </w:rPr>
        <w:t>年度公务用车购置及运行维护费较年初预算减少</w:t>
      </w:r>
      <w:r>
        <w:rPr>
          <w:rFonts w:ascii="仿宋_GB2312" w:eastAsia="仿宋_GB2312" w:cs="DengXian-Regular"/>
          <w:sz w:val="32"/>
          <w:szCs w:val="32"/>
        </w:rPr>
        <w:t>1.57</w:t>
      </w:r>
      <w:r>
        <w:rPr>
          <w:rFonts w:hint="eastAsia" w:ascii="仿宋_GB2312" w:eastAsia="仿宋_GB2312" w:cs="DengXian-Regular"/>
          <w:sz w:val="32"/>
          <w:szCs w:val="32"/>
        </w:rPr>
        <w:t>万元，降低</w:t>
      </w:r>
      <w:r>
        <w:rPr>
          <w:rFonts w:ascii="仿宋_GB2312" w:eastAsia="仿宋_GB2312" w:cs="DengXian-Regular"/>
          <w:sz w:val="32"/>
          <w:szCs w:val="32"/>
        </w:rPr>
        <w:t>31.4%,</w:t>
      </w:r>
      <w:r>
        <w:rPr>
          <w:rFonts w:hint="eastAsia" w:ascii="仿宋_GB2312" w:eastAsia="仿宋_GB2312" w:cs="DengXian-Regular"/>
          <w:sz w:val="32"/>
          <w:szCs w:val="32"/>
        </w:rPr>
        <w:t>主要是</w:t>
      </w:r>
      <w:r>
        <w:rPr>
          <w:rFonts w:hint="eastAsia" w:ascii="仿宋_GB2312" w:hAnsi="BatangChe" w:eastAsia="仿宋_GB2312"/>
          <w:sz w:val="32"/>
          <w:szCs w:val="32"/>
        </w:rPr>
        <w:t>车辆运行管理上更加严格，减少了公车运行费用</w:t>
      </w:r>
      <w:r>
        <w:rPr>
          <w:rFonts w:hint="eastAsia" w:ascii="仿宋_GB2312" w:eastAsia="仿宋_GB2312" w:cs="DengXian-Regular"/>
          <w:sz w:val="32"/>
          <w:szCs w:val="32"/>
        </w:rPr>
        <w:t>；较上年减少</w:t>
      </w:r>
      <w:r>
        <w:rPr>
          <w:rFonts w:ascii="仿宋_GB2312" w:eastAsia="仿宋_GB2312" w:cs="DengXian-Regular"/>
          <w:sz w:val="32"/>
          <w:szCs w:val="32"/>
        </w:rPr>
        <w:t>1.39</w:t>
      </w:r>
      <w:r>
        <w:rPr>
          <w:rFonts w:hint="eastAsia" w:ascii="仿宋_GB2312" w:eastAsia="仿宋_GB2312" w:cs="DengXian-Regular"/>
          <w:sz w:val="32"/>
          <w:szCs w:val="32"/>
        </w:rPr>
        <w:t>万元，降低</w:t>
      </w:r>
      <w:r>
        <w:rPr>
          <w:rFonts w:ascii="仿宋_GB2312" w:eastAsia="仿宋_GB2312" w:cs="DengXian-Regular"/>
          <w:sz w:val="32"/>
          <w:szCs w:val="32"/>
        </w:rPr>
        <w:t>28.8%,</w:t>
      </w:r>
      <w:r>
        <w:rPr>
          <w:rFonts w:hint="eastAsia" w:ascii="仿宋_GB2312" w:eastAsia="仿宋_GB2312" w:cs="DengXian-Regular"/>
          <w:sz w:val="32"/>
          <w:szCs w:val="32"/>
        </w:rPr>
        <w:t>主要是</w:t>
      </w:r>
      <w:r>
        <w:rPr>
          <w:rFonts w:hint="eastAsia" w:ascii="仿宋_GB2312" w:hAnsi="BatangChe" w:eastAsia="仿宋_GB2312"/>
          <w:sz w:val="32"/>
          <w:szCs w:val="32"/>
        </w:rPr>
        <w:t>车辆运行管理上更加严格，减少了公车运行费用</w:t>
      </w:r>
      <w:r>
        <w:rPr>
          <w:rFonts w:hint="eastAsia" w:ascii="仿宋_GB2312" w:eastAsia="仿宋_GB2312" w:cs="DengXian-Regular"/>
          <w:sz w:val="32"/>
          <w:szCs w:val="32"/>
        </w:rPr>
        <w:t>。</w:t>
      </w:r>
      <w:r>
        <w:rPr>
          <w:rFonts w:hint="eastAsia" w:ascii="仿宋_GB2312" w:eastAsia="仿宋_GB2312" w:cs="DengXian-Bold"/>
          <w:b/>
          <w:bCs/>
          <w:sz w:val="32"/>
          <w:szCs w:val="32"/>
        </w:rPr>
        <w:t>其中：</w:t>
      </w:r>
    </w:p>
    <w:p>
      <w:pPr>
        <w:numPr>
          <w:ilvl w:val="0"/>
          <w:numId w:val="0"/>
        </w:numPr>
        <w:adjustRightInd w:val="0"/>
        <w:snapToGrid w:val="0"/>
        <w:spacing w:after="0" w:line="580" w:lineRule="exact"/>
        <w:ind w:firstLine="643" w:firstLineChars="200"/>
        <w:rPr>
          <w:rFonts w:ascii="仿宋_GB2312" w:hAnsi="仿宋" w:eastAsia="仿宋_GB2312" w:cs="仿宋"/>
          <w:sz w:val="32"/>
          <w:szCs w:val="32"/>
        </w:rPr>
      </w:pPr>
      <w:r>
        <w:rPr>
          <w:rFonts w:hint="eastAsia" w:ascii="仿宋_GB2312" w:eastAsia="仿宋_GB2312" w:cs="DengXian-Regular"/>
          <w:b/>
          <w:sz w:val="32"/>
          <w:szCs w:val="32"/>
        </w:rPr>
        <w:t>公务用车购置费：</w:t>
      </w:r>
      <w:r>
        <w:rPr>
          <w:rFonts w:hint="eastAsia" w:ascii="仿宋_GB2312" w:eastAsia="仿宋_GB2312" w:cs="DengXian-Regular"/>
          <w:sz w:val="32"/>
          <w:szCs w:val="32"/>
        </w:rPr>
        <w:t>本部门</w:t>
      </w:r>
      <w:r>
        <w:rPr>
          <w:rFonts w:hint="eastAsia" w:ascii="仿宋_GB2312" w:eastAsia="仿宋_GB2312" w:cs="DengXian-Regular"/>
          <w:sz w:val="32"/>
          <w:szCs w:val="32"/>
          <w:lang w:eastAsia="zh-CN"/>
        </w:rPr>
        <w:t>2018年</w:t>
      </w:r>
      <w:r>
        <w:rPr>
          <w:rFonts w:hint="eastAsia" w:ascii="仿宋_GB2312" w:eastAsia="仿宋_GB2312" w:cs="DengXian-Regular"/>
          <w:sz w:val="32"/>
          <w:szCs w:val="32"/>
        </w:rPr>
        <w:t>度公务用车购置量</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辆，发生“公务用车购置”经费支出</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万元。公务用车购置费支出较年初预算</w:t>
      </w:r>
      <w:r>
        <w:rPr>
          <w:rFonts w:hint="eastAsia" w:ascii="仿宋_GB2312" w:eastAsia="仿宋_GB2312" w:cs="DengXian-Regular"/>
          <w:sz w:val="32"/>
          <w:szCs w:val="32"/>
          <w:lang w:eastAsia="zh-CN"/>
        </w:rPr>
        <w:t>无变化</w:t>
      </w:r>
      <w:r>
        <w:rPr>
          <w:rFonts w:hint="eastAsia" w:ascii="仿宋_GB2312" w:eastAsia="仿宋_GB2312" w:cs="DengXian-Regular"/>
          <w:sz w:val="32"/>
          <w:szCs w:val="32"/>
        </w:rPr>
        <w:t>；较</w:t>
      </w:r>
      <w:r>
        <w:rPr>
          <w:rFonts w:hint="eastAsia" w:ascii="仿宋_GB2312" w:eastAsia="仿宋_GB2312" w:cs="DengXian-Regular"/>
          <w:sz w:val="32"/>
          <w:szCs w:val="32"/>
          <w:lang w:val="en-US" w:eastAsia="zh-CN"/>
        </w:rPr>
        <w:t>上</w:t>
      </w:r>
      <w:r>
        <w:rPr>
          <w:rFonts w:hint="eastAsia" w:ascii="仿宋_GB2312" w:eastAsia="仿宋_GB2312" w:cs="DengXian-Regular"/>
          <w:sz w:val="32"/>
          <w:szCs w:val="32"/>
          <w:lang w:eastAsia="zh-CN"/>
        </w:rPr>
        <w:t>年无变化。</w:t>
      </w:r>
    </w:p>
    <w:p>
      <w:pPr>
        <w:adjustRightInd w:val="0"/>
        <w:snapToGrid w:val="0"/>
        <w:spacing w:after="0" w:line="580" w:lineRule="exact"/>
        <w:ind w:firstLine="643" w:firstLineChars="200"/>
        <w:rPr>
          <w:rFonts w:ascii="仿宋_GB2312" w:eastAsia="仿宋_GB2312" w:cs="DengXian-Regular"/>
          <w:sz w:val="32"/>
          <w:szCs w:val="32"/>
        </w:rPr>
      </w:pPr>
      <w:r>
        <w:rPr>
          <w:rFonts w:hint="eastAsia" w:ascii="仿宋_GB2312" w:eastAsia="仿宋_GB2312" w:cs="DengXian-Regular"/>
          <w:b/>
          <w:sz w:val="32"/>
          <w:szCs w:val="32"/>
        </w:rPr>
        <w:t>公务用车运行维护费：</w:t>
      </w:r>
      <w:r>
        <w:rPr>
          <w:rFonts w:hint="eastAsia" w:ascii="仿宋_GB2312" w:eastAsia="仿宋_GB2312" w:cs="DengXian-Regular"/>
          <w:sz w:val="32"/>
          <w:szCs w:val="32"/>
        </w:rPr>
        <w:t>本部门</w:t>
      </w:r>
      <w:r>
        <w:rPr>
          <w:rFonts w:ascii="仿宋_GB2312" w:eastAsia="仿宋_GB2312" w:cs="DengXian-Regular"/>
          <w:sz w:val="32"/>
          <w:szCs w:val="32"/>
        </w:rPr>
        <w:t>2018</w:t>
      </w:r>
      <w:r>
        <w:rPr>
          <w:rFonts w:hint="eastAsia" w:ascii="仿宋_GB2312" w:eastAsia="仿宋_GB2312" w:cs="DengXian-Regular"/>
          <w:sz w:val="32"/>
          <w:szCs w:val="32"/>
        </w:rPr>
        <w:t>年度单位公务用车保有量</w:t>
      </w:r>
      <w:r>
        <w:rPr>
          <w:rFonts w:ascii="仿宋_GB2312" w:eastAsia="仿宋_GB2312" w:cs="DengXian-Regular"/>
          <w:sz w:val="32"/>
          <w:szCs w:val="32"/>
        </w:rPr>
        <w:t>2</w:t>
      </w:r>
      <w:r>
        <w:rPr>
          <w:rFonts w:hint="eastAsia" w:ascii="仿宋_GB2312" w:eastAsia="仿宋_GB2312" w:cs="DengXian-Regular"/>
          <w:sz w:val="32"/>
          <w:szCs w:val="32"/>
        </w:rPr>
        <w:t>辆。公车运行维护费支出较年初预算减少</w:t>
      </w:r>
      <w:r>
        <w:rPr>
          <w:rFonts w:ascii="仿宋_GB2312" w:eastAsia="仿宋_GB2312" w:cs="DengXian-Regular"/>
          <w:sz w:val="32"/>
          <w:szCs w:val="32"/>
        </w:rPr>
        <w:t>1.57</w:t>
      </w:r>
      <w:r>
        <w:rPr>
          <w:rFonts w:hint="eastAsia" w:ascii="仿宋_GB2312" w:eastAsia="仿宋_GB2312" w:cs="DengXian-Regular"/>
          <w:sz w:val="32"/>
          <w:szCs w:val="32"/>
        </w:rPr>
        <w:t>万元，降低</w:t>
      </w:r>
      <w:r>
        <w:rPr>
          <w:rFonts w:ascii="仿宋_GB2312" w:eastAsia="仿宋_GB2312" w:cs="DengXian-Regular"/>
          <w:sz w:val="32"/>
          <w:szCs w:val="32"/>
        </w:rPr>
        <w:t>31.4%,</w:t>
      </w:r>
      <w:r>
        <w:rPr>
          <w:rFonts w:hint="eastAsia" w:ascii="仿宋_GB2312" w:eastAsia="仿宋_GB2312" w:cs="DengXian-Regular"/>
          <w:sz w:val="32"/>
          <w:szCs w:val="32"/>
        </w:rPr>
        <w:t>主要是</w:t>
      </w:r>
      <w:r>
        <w:rPr>
          <w:rFonts w:hint="eastAsia" w:ascii="仿宋_GB2312" w:hAnsi="BatangChe" w:eastAsia="仿宋_GB2312"/>
          <w:sz w:val="32"/>
          <w:szCs w:val="32"/>
        </w:rPr>
        <w:t>车辆运行管理上更加严格，减少了公车运行费用</w:t>
      </w:r>
      <w:r>
        <w:rPr>
          <w:rFonts w:hint="eastAsia" w:ascii="仿宋_GB2312" w:eastAsia="仿宋_GB2312" w:cs="DengXian-Regular"/>
          <w:sz w:val="32"/>
          <w:szCs w:val="32"/>
        </w:rPr>
        <w:t>；较上年减少</w:t>
      </w:r>
      <w:r>
        <w:rPr>
          <w:rFonts w:ascii="仿宋_GB2312" w:eastAsia="仿宋_GB2312" w:cs="DengXian-Regular"/>
          <w:sz w:val="32"/>
          <w:szCs w:val="32"/>
        </w:rPr>
        <w:t>1.39</w:t>
      </w:r>
      <w:r>
        <w:rPr>
          <w:rFonts w:hint="eastAsia" w:ascii="仿宋_GB2312" w:eastAsia="仿宋_GB2312" w:cs="DengXian-Regular"/>
          <w:sz w:val="32"/>
          <w:szCs w:val="32"/>
        </w:rPr>
        <w:t>万元，降低</w:t>
      </w:r>
      <w:r>
        <w:rPr>
          <w:rFonts w:ascii="仿宋_GB2312" w:eastAsia="仿宋_GB2312" w:cs="DengXian-Regular"/>
          <w:sz w:val="32"/>
          <w:szCs w:val="32"/>
        </w:rPr>
        <w:t>28.8%</w:t>
      </w:r>
      <w:r>
        <w:rPr>
          <w:rFonts w:hint="eastAsia" w:ascii="仿宋_GB2312" w:eastAsia="仿宋_GB2312" w:cs="DengXian-Regular"/>
          <w:sz w:val="32"/>
          <w:szCs w:val="32"/>
        </w:rPr>
        <w:t>，主要是</w:t>
      </w:r>
      <w:r>
        <w:rPr>
          <w:rFonts w:hint="eastAsia" w:ascii="仿宋_GB2312" w:hAnsi="BatangChe" w:eastAsia="仿宋_GB2312"/>
          <w:sz w:val="32"/>
          <w:szCs w:val="32"/>
        </w:rPr>
        <w:t>车辆运行管理上更加严格，减少了公车运行费用</w:t>
      </w:r>
      <w:r>
        <w:rPr>
          <w:rFonts w:hint="eastAsia" w:ascii="仿宋_GB2312" w:eastAsia="仿宋_GB2312" w:cs="DengXian-Regular"/>
          <w:sz w:val="32"/>
          <w:szCs w:val="32"/>
        </w:rPr>
        <w:t>。</w:t>
      </w:r>
    </w:p>
    <w:p>
      <w:pPr>
        <w:pageBreakBefore w:val="0"/>
        <w:kinsoku/>
        <w:wordWrap/>
        <w:overflowPunct/>
        <w:topLinePunct w:val="0"/>
        <w:autoSpaceDE/>
        <w:autoSpaceDN/>
        <w:bidi w:val="0"/>
        <w:adjustRightInd w:val="0"/>
        <w:snapToGrid w:val="0"/>
        <w:spacing w:after="0" w:line="580" w:lineRule="exact"/>
        <w:ind w:firstLine="643" w:firstLineChars="200"/>
        <w:textAlignment w:val="auto"/>
        <w:rPr>
          <w:rFonts w:ascii="黑体" w:eastAsia="黑体"/>
          <w:sz w:val="32"/>
          <w:szCs w:val="40"/>
        </w:rPr>
      </w:pPr>
      <w:r>
        <w:rPr>
          <w:rFonts w:hint="eastAsia" w:ascii="楷体_GB2312" w:eastAsia="楷体_GB2312" w:cs="DengXian-Bold"/>
          <w:b/>
          <w:bCs/>
          <w:sz w:val="32"/>
          <w:szCs w:val="32"/>
        </w:rPr>
        <w:t>（三）公务接待费。</w:t>
      </w:r>
      <w:r>
        <w:rPr>
          <w:sz w:val="44"/>
        </w:rPr>
        <w:pict>
          <v:group id="_x0000_s1075" o:spid="_x0000_s1075" o:spt="203" style="position:absolute;left:0pt;margin-left:11.45pt;margin-top:41.3pt;height:43.95pt;width:301.85pt;mso-position-horizontal-relative:page;mso-position-vertical-relative:page;z-index:251659264;mso-width-relative:page;mso-height-relative:page;" coordorigin="4551,52615" coordsize="8546,1398" o:gfxdata="UEsDBAoAAAAAAIdO4kAAAAAAAAAAAAAAAAAEAAAAZHJzL1BLAwQUAAAACACHTuJAEn7KztsAAAAL&#10;AQAADwAAAGRycy9kb3ducmV2LnhtbE2PQUvDQBCF74L/YRnBW7uJTUIbsylS1FMRbAXxts1Ok9Ds&#10;bMhuk/bfO57scZiP975XrC+2EyMOvnWkIJ5HIJAqZ1qqFXzt32ZLED5oMrpzhAqu6GFd3t8VOjdu&#10;ok8cd6EWHEI+1wqaEPpcSl81aLWfux6Jf0c3WB34HGppBj1xuO3kUxRl0uqWuKHRPW4arE67s1Xw&#10;PunpZRG/jtvTcXP92acf39sYlXp8iKNnEAEv4R+GP31Wh5KdDu5MxotOwSxOVytmFaTLDAQTSbLg&#10;MQdGkywFWRbydkP5C1BLAwQUAAAACACHTuJA2T+T/tQCAAD5BgAADgAAAGRycy9lMm9Eb2MueG1s&#10;vZXbbtQwEIbvkXgHy/c0h012s1GzVUVohYSgUuEBvI5zkBLb2N7NlmsuuOQNkLjjGRCPU/EajJ1s&#10;ui1FKgehlVYeH8Yz3/yeHJ/suhZtmdKN4BkOjnyMGKeiaHiV4Tevz54kGGlDeEFawVmGr5jGJ6vH&#10;j457mbJQ1KItmELghOu0lxmujZGp52las47oIyEZh8VSqI4YMFXlFYr04L1rvdD3514vVCGVoExr&#10;mM2HRTx6VA9xKMqyoSwXdNMxbgavirXEQEq6bqTGKxdtWTJqXpWlZga1GYZMjfuHS2C8tv/e6pik&#10;lSKybugYAnlICHdy6kjD4dLJVU4MQRvV/OSqa6gSWpTmiIrOGxJxRCCLwL/D5lyJjXS5VGlfyQk6&#10;FOoO9T92S19uLxRqClBC4M8x4qSDmn//+v764weUxJZPL6sUtp0reSkv1DhRDZZNeVeqDinh0Fob&#10;kkI7R/hqIsx2BlGYnCWzWbSMMKKwFsdJMHdXkJTWUCd7LIrjACO7Gs6DafHZeD6JIwjSHg5my8RG&#10;5w0BwMDGOYXVS1CnvkGm/w7ZZU0kc5XQlsWILFpOwD59uf72GcGE4+M2TbR0qgHcHtUBovty3ZM6&#10;yDRYOA5TpiSVSptzJjpkBxlWIHOnPrJ9oc0AZb/FXqdF2xRnTds6Q1Xrp61CWwJPIk/sb+R4a1vL&#10;7WYu7LHBo50ByPts7GgtiisnCTcPvK1a/gP4GJ7vqNQBPEz8HvjFYhRZshybwAR+Fo76DIJwdkti&#10;/xD8ae77YX4/eNRnOIwjH5KkBDpsCZ0Nhp2EV6p55Sp9q1b6sKSnZ4t5GNzn2UoiJ7oeSu882G0k&#10;hTbDi18W2ezWuxHuUG/79QDV1UK9w6iH3glhvd0QxTBqn3N4acsgimyzdUYUL0Iw1OHK+nCFcAqu&#10;MkyNcqlxcboxomyckG9UNorPicy9deiI7vmP3du23EPb7b/5Yq1+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BJ+ys7bAAAACwEAAA8AAAAAAAAAAQAgAAAAIgAAAGRycy9kb3ducmV2LnhtbFBLAQIU&#10;ABQAAAAIAIdO4kDZP5P+1AIAAPkGAAAOAAAAAAAAAAEAIAAAACoBAABkcnMvZTJvRG9jLnhtbFBL&#10;BQYAAAAABgAGAFkBAABwBgAAAAA=&#10;">
            <o:lock v:ext="edit" aspectratio="f"/>
            <v:rect id="_x0000_s1073" o:spid="_x0000_s1073" o:spt="1" style="position:absolute;left:4551;top:52615;height:1175;width:8546;" fillcolor="#D8D8D8" filled="t" stroked="f" coordsize="21600,21600" o:gfxdata="UEsDBAoAAAAAAIdO4kAAAAAAAAAAAAAAAAAEAAAAZHJzL1BLAwQUAAAACACHTuJALS44c74AAADb&#10;AAAADwAAAGRycy9kb3ducmV2LnhtbEWPQWvCQBSE7wX/w/KE3uomUkIbXT0ERQ/VUhXE2yP7TILZ&#10;tyG7Jum/d4VCj8PMfMPMl4OpRUetqywriCcRCOLc6ooLBafj+u0DhPPIGmvLpOCXHCwXo5c5ptr2&#10;/EPdwRciQNilqKD0vkmldHlJBt3ENsTBu9rWoA+yLaRusQ9wU8tpFCXSYMVhocSGspLy2+FuFLjh&#10;mp+/cVd8JW7TVOdstb8kJ6Vex3E0A+Fp8P/hv/ZWK3j/hOeX8APk4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S44c74A&#10;AADbAAAADwAAAAAAAAABACAAAAAiAAAAZHJzL2Rvd25yZXYueG1sUEsBAhQAFAAAAAgAh07iQDMv&#10;BZ47AAAAOQAAABAAAAAAAAAAAQAgAAAADQEAAGRycy9zaGFwZXhtbC54bWxQSwUGAAAAAAYABgBb&#10;AQAAtwMAAAAA&#10;">
              <v:path/>
              <v:fill on="t" focussize="0,0"/>
              <v:stroke on="f"/>
              <v:imagedata o:title=""/>
              <o:lock v:ext="edit" aspectratio="f"/>
            </v:rect>
            <v:rect id="_x0000_s1074" o:spid="_x0000_s1074" o:spt="1" style="position:absolute;left:4577;top:52890;height:1123;width:8324;v-text-anchor:middle;" fillcolor="#AD002D" filled="t" stroked="t" coordsize="21600,21600" o:gfxdata="UEsDBAoAAAAAAIdO4kAAAAAAAAAAAAAAAAAEAAAAZHJzL1BLAwQUAAAACACHTuJAny3ITbgAAADb&#10;AAAADwAAAGRycy9kb3ducmV2LnhtbEVPy4rCMBTdD/gP4QruxkRBkWoUcRjQjeBr4e7SXNtic1Ob&#10;2KpfbxaCy8N5zxYPW4qGal841jDoKxDEqTMFZxqOh//fCQgfkA2WjknDkzws5p2fGSbGtbyjZh8y&#10;EUPYJ6ghD6FKpPRpThZ931XEkbu42mKIsM6kqbGN4baUQ6XG0mLBsSHHilY5pdf93WrYrs58Oh+w&#10;Ube/e1WGTftaUqt1rztQUxCBHuEr/rjXRsMoro9f4g+Q8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y3ITbgAAADbAAAA&#10;DwAAAAAAAAABACAAAAAiAAAAZHJzL2Rvd25yZXYueG1sUEsBAhQAFAAAAAgAh07iQDMvBZ47AAAA&#10;OQAAABAAAAAAAAAAAQAgAAAABwEAAGRycy9zaGFwZXhtbC54bWxQSwUGAAAAAAYABgBbAQAAsQMA&#10;AAAA&#10;">
              <v:path/>
              <v:fill on="t" focussize="0,0"/>
              <v:stroke weight="2pt" color="#AF7621" joinstyle="round"/>
              <v:imagedata o:title=""/>
              <o:lock v:ext="edit" aspectratio="f"/>
              <v:textbox>
                <w:txbxContent>
                  <w:p>
                    <w:pPr>
                      <w:keepNext w:val="0"/>
                      <w:keepLines w:val="0"/>
                      <w:widowControl/>
                      <w:suppressLineNumbers w:val="0"/>
                      <w:jc w:val="left"/>
                      <w:rPr>
                        <w:rFonts w:hint="default" w:ascii="楷体" w:hAnsi="楷体" w:eastAsia="楷体" w:cs="楷体"/>
                        <w:b/>
                        <w:bCs/>
                        <w:color w:val="FDEFBE"/>
                        <w:sz w:val="32"/>
                        <w:szCs w:val="32"/>
                        <w:lang w:val="en-US"/>
                      </w:rPr>
                    </w:pPr>
                    <w:r>
                      <w:rPr>
                        <w:rFonts w:hint="eastAsia" w:ascii="楷体" w:hAnsi="楷体" w:eastAsia="楷体" w:cs="楷体"/>
                        <w:b/>
                        <w:bCs/>
                        <w:color w:val="FDEFBE"/>
                        <w:kern w:val="0"/>
                        <w:sz w:val="32"/>
                        <w:szCs w:val="32"/>
                        <w:lang w:val="en-US" w:eastAsia="zh-CN"/>
                      </w:rPr>
                      <w:t>2018年度部门决算☞部门决算情况说明</w:t>
                    </w:r>
                  </w:p>
                  <w:p>
                    <w:pPr>
                      <w:jc w:val="center"/>
                    </w:pPr>
                  </w:p>
                </w:txbxContent>
              </v:textbox>
            </v:rect>
            <w10:anchorlock/>
          </v:group>
        </w:pict>
      </w:r>
      <w:r>
        <w:rPr>
          <w:rFonts w:hint="eastAsia" w:ascii="仿宋_GB2312" w:eastAsia="仿宋_GB2312" w:cs="DengXian-Regular"/>
          <w:sz w:val="32"/>
          <w:szCs w:val="32"/>
        </w:rPr>
        <w:t>本部门</w:t>
      </w:r>
      <w:r>
        <w:rPr>
          <w:rFonts w:hint="eastAsia" w:ascii="仿宋_GB2312" w:eastAsia="仿宋_GB2312" w:cs="DengXian-Regular"/>
          <w:sz w:val="32"/>
          <w:szCs w:val="32"/>
          <w:lang w:eastAsia="zh-CN"/>
        </w:rPr>
        <w:t>2018年</w:t>
      </w:r>
      <w:r>
        <w:rPr>
          <w:rFonts w:hint="eastAsia" w:ascii="仿宋_GB2312" w:eastAsia="仿宋_GB2312" w:cs="DengXian-Regular"/>
          <w:sz w:val="32"/>
          <w:szCs w:val="32"/>
        </w:rPr>
        <w:t>度公务接待共</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批次、</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人次。公务接待费支出较年初预算</w:t>
      </w:r>
      <w:r>
        <w:rPr>
          <w:rFonts w:hint="eastAsia" w:ascii="仿宋_GB2312" w:eastAsia="仿宋_GB2312" w:cs="DengXian-Regular"/>
          <w:sz w:val="32"/>
          <w:szCs w:val="32"/>
          <w:lang w:eastAsia="zh-CN"/>
        </w:rPr>
        <w:t>无变化</w:t>
      </w:r>
      <w:r>
        <w:rPr>
          <w:rFonts w:hint="eastAsia" w:ascii="仿宋_GB2312" w:eastAsia="仿宋_GB2312" w:cs="DengXian-Regular"/>
          <w:sz w:val="32"/>
          <w:szCs w:val="32"/>
        </w:rPr>
        <w:t>；较</w:t>
      </w:r>
      <w:r>
        <w:rPr>
          <w:rFonts w:hint="eastAsia" w:ascii="仿宋_GB2312" w:eastAsia="仿宋_GB2312" w:cs="DengXian-Regular"/>
          <w:sz w:val="32"/>
          <w:szCs w:val="32"/>
          <w:lang w:val="en-US" w:eastAsia="zh-CN"/>
        </w:rPr>
        <w:t>上</w:t>
      </w:r>
      <w:r>
        <w:rPr>
          <w:rFonts w:hint="eastAsia" w:ascii="仿宋_GB2312" w:eastAsia="仿宋_GB2312" w:cs="DengXian-Regular"/>
          <w:sz w:val="32"/>
          <w:szCs w:val="32"/>
          <w:lang w:eastAsia="zh-CN"/>
        </w:rPr>
        <w:t>年</w:t>
      </w:r>
      <w:r>
        <w:rPr>
          <w:rFonts w:hint="eastAsia" w:ascii="仿宋_GB2312" w:eastAsia="仿宋_GB2312" w:cs="DengXian-Regular"/>
          <w:sz w:val="32"/>
          <w:szCs w:val="32"/>
        </w:rPr>
        <w:t>度</w:t>
      </w:r>
      <w:r>
        <w:rPr>
          <w:rFonts w:hint="eastAsia" w:ascii="仿宋_GB2312" w:eastAsia="仿宋_GB2312" w:cs="DengXian-Regular"/>
          <w:sz w:val="32"/>
          <w:szCs w:val="32"/>
          <w:lang w:eastAsia="zh-CN"/>
        </w:rPr>
        <w:t>无变化</w:t>
      </w:r>
      <w:r>
        <w:rPr>
          <w:rFonts w:hint="eastAsia" w:ascii="仿宋_GB2312" w:eastAsia="仿宋_GB2312" w:cs="DengXian-Regular"/>
          <w:sz w:val="32"/>
          <w:szCs w:val="32"/>
        </w:rPr>
        <w:t>。</w:t>
      </w:r>
      <w:r>
        <w:pict>
          <v:group id="组合 85" o:spid="_x0000_s1052" o:spt="203" style="position:absolute;left:0pt;margin-left:-0.55pt;margin-top:29.3pt;height:43.95pt;width:301.85pt;mso-position-horizontal-relative:page;mso-position-vertical-relative:page;z-index:251675648;mso-width-relative:page;mso-height-relative:page;" coordorigin="4551,52615" coordsize="8546,1398203">
            <o:lock v:ext="edit"/>
            <v:rect id="_x0000_s1053" o:spid="_x0000_s1053" o:spt="1" style="position:absolute;left:4551;top:52615;height:1175;width:8546;" fillcolor="#D8D8D8" filled="t" stroked="f" coordsize="21600,21600">
              <v:path/>
              <v:fill on="t" focussize="0,0"/>
              <v:stroke on="f"/>
              <v:imagedata o:title=""/>
              <o:lock v:ext="edit"/>
            </v:rect>
            <v:rect id="_x0000_s1054" o:spid="_x0000_s1054"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2"/>
                        <w:szCs w:val="32"/>
                      </w:rPr>
                    </w:pPr>
                    <w:r>
                      <w:rPr>
                        <w:rFonts w:ascii="楷体" w:hAnsi="楷体" w:eastAsia="楷体" w:cs="楷体"/>
                        <w:b/>
                        <w:bCs/>
                        <w:color w:val="FDEFBE"/>
                        <w:kern w:val="0"/>
                        <w:sz w:val="32"/>
                        <w:szCs w:val="32"/>
                      </w:rPr>
                      <w:t>2018</w:t>
                    </w:r>
                    <w:r>
                      <w:rPr>
                        <w:rFonts w:hint="eastAsia" w:ascii="楷体" w:hAnsi="楷体" w:eastAsia="楷体" w:cs="楷体"/>
                        <w:b/>
                        <w:bCs/>
                        <w:color w:val="FDEFBE"/>
                        <w:kern w:val="0"/>
                        <w:sz w:val="32"/>
                        <w:szCs w:val="32"/>
                      </w:rPr>
                      <w:t>年度部门决算</w:t>
                    </w:r>
                    <w:r>
                      <w:rPr>
                        <w:rFonts w:hint="eastAsia" w:ascii="MS Gothic" w:hAnsi="MS Gothic" w:eastAsia="MS Gothic" w:cs="MS Gothic"/>
                        <w:b/>
                        <w:bCs/>
                        <w:color w:val="FDEFBE"/>
                        <w:kern w:val="0"/>
                        <w:sz w:val="32"/>
                        <w:szCs w:val="32"/>
                      </w:rPr>
                      <w:t>☞</w:t>
                    </w:r>
                    <w:r>
                      <w:rPr>
                        <w:rFonts w:hint="eastAsia" w:ascii="楷体" w:hAnsi="楷体" w:eastAsia="楷体" w:cs="楷体"/>
                        <w:b/>
                        <w:bCs/>
                        <w:color w:val="FDEFBE"/>
                        <w:kern w:val="0"/>
                        <w:sz w:val="32"/>
                        <w:szCs w:val="32"/>
                      </w:rPr>
                      <w:t>部门决算情况说明</w:t>
                    </w:r>
                  </w:p>
                  <w:p>
                    <w:pPr>
                      <w:jc w:val="center"/>
                    </w:pPr>
                  </w:p>
                </w:txbxContent>
              </v:textbox>
            </v:rect>
            <w10:anchorlock/>
          </v:group>
        </w:pict>
      </w:r>
      <w:r>
        <w:pict>
          <v:group id="_x0000_s1055" o:spid="_x0000_s1055" o:spt="203" style="position:absolute;left:0pt;margin-left:-0.55pt;margin-top:29.3pt;height:43.95pt;width:301.85pt;mso-position-horizontal-relative:page;mso-position-vertical-relative:page;z-index:251681792;mso-width-relative:page;mso-height-relative:page;" coordorigin="4551,52615" coordsize="8546,1398">
            <o:lock v:ext="edit"/>
            <v:rect id="_x0000_s1056" o:spid="_x0000_s1056" o:spt="1" style="position:absolute;left:4551;top:52615;height:1175;width:8546;" fillcolor="#D8D8D8" filled="t" stroked="f" coordsize="21600,21600">
              <v:path/>
              <v:fill on="t" focussize="0,0"/>
              <v:stroke on="f"/>
              <v:imagedata o:title=""/>
              <o:lock v:ext="edit"/>
            </v:rect>
            <v:rect id="_x0000_s1057" o:spid="_x0000_s1057"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2"/>
                        <w:szCs w:val="32"/>
                      </w:rPr>
                    </w:pPr>
                    <w:r>
                      <w:rPr>
                        <w:rFonts w:ascii="楷体" w:hAnsi="楷体" w:eastAsia="楷体" w:cs="楷体"/>
                        <w:b/>
                        <w:bCs/>
                        <w:color w:val="FDEFBE"/>
                        <w:kern w:val="0"/>
                        <w:sz w:val="32"/>
                        <w:szCs w:val="32"/>
                      </w:rPr>
                      <w:t>2018</w:t>
                    </w:r>
                    <w:r>
                      <w:rPr>
                        <w:rFonts w:hint="eastAsia" w:ascii="楷体" w:hAnsi="楷体" w:eastAsia="楷体" w:cs="楷体"/>
                        <w:b/>
                        <w:bCs/>
                        <w:color w:val="FDEFBE"/>
                        <w:kern w:val="0"/>
                        <w:sz w:val="32"/>
                        <w:szCs w:val="32"/>
                      </w:rPr>
                      <w:t>年度部门决算</w:t>
                    </w:r>
                    <w:r>
                      <w:rPr>
                        <w:rFonts w:hint="eastAsia" w:ascii="MS Gothic" w:hAnsi="MS Gothic" w:eastAsia="MS Gothic" w:cs="MS Gothic"/>
                        <w:b/>
                        <w:bCs/>
                        <w:color w:val="FDEFBE"/>
                        <w:kern w:val="0"/>
                        <w:sz w:val="32"/>
                        <w:szCs w:val="32"/>
                      </w:rPr>
                      <w:t>☞</w:t>
                    </w:r>
                    <w:r>
                      <w:rPr>
                        <w:rFonts w:hint="eastAsia" w:ascii="楷体" w:hAnsi="楷体" w:eastAsia="楷体" w:cs="楷体"/>
                        <w:b/>
                        <w:bCs/>
                        <w:color w:val="FDEFBE"/>
                        <w:kern w:val="0"/>
                        <w:sz w:val="32"/>
                        <w:szCs w:val="32"/>
                      </w:rPr>
                      <w:t>部门决算情况说明</w:t>
                    </w:r>
                  </w:p>
                  <w:p>
                    <w:pPr>
                      <w:jc w:val="center"/>
                    </w:pPr>
                  </w:p>
                </w:txbxContent>
              </v:textbox>
            </v:rect>
            <w10:anchorlock/>
          </v:group>
        </w:pict>
      </w:r>
    </w:p>
    <w:p>
      <w:pPr>
        <w:adjustRightInd w:val="0"/>
        <w:snapToGrid w:val="0"/>
        <w:spacing w:after="0" w:line="580" w:lineRule="exact"/>
        <w:ind w:firstLine="640" w:firstLineChars="200"/>
        <w:rPr>
          <w:rFonts w:ascii="黑体" w:eastAsia="黑体"/>
          <w:sz w:val="32"/>
          <w:szCs w:val="40"/>
        </w:rPr>
      </w:pPr>
      <w:r>
        <w:rPr>
          <w:rFonts w:hint="eastAsia" w:ascii="黑体" w:eastAsia="黑体"/>
          <w:sz w:val="32"/>
          <w:szCs w:val="40"/>
        </w:rPr>
        <w:t>六、预算绩效情况说明</w:t>
      </w:r>
    </w:p>
    <w:p>
      <w:pPr>
        <w:adjustRightInd w:val="0"/>
        <w:snapToGrid w:val="0"/>
        <w:spacing w:after="0" w:line="580" w:lineRule="exact"/>
        <w:ind w:firstLine="643" w:firstLineChars="200"/>
        <w:rPr>
          <w:rFonts w:ascii="仿宋_GB2312" w:eastAsia="仿宋_GB2312" w:cs="DengXian-Regular"/>
          <w:b/>
          <w:bCs/>
          <w:sz w:val="32"/>
          <w:szCs w:val="32"/>
        </w:rPr>
      </w:pPr>
      <w:r>
        <w:rPr>
          <w:rFonts w:hint="eastAsia" w:ascii="仿宋_GB2312" w:eastAsia="仿宋_GB2312" w:cs="DengXian-Regular"/>
          <w:b/>
          <w:bCs/>
          <w:sz w:val="32"/>
          <w:szCs w:val="32"/>
        </w:rPr>
        <w:t>（一）绩效管理工作开展情况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我部门认真按照《河北省预算绩效管理办法（试行）》、《河北省财政支出绩效评价管理办法》等方法制度，严格评价标准，准确把握绩效评价的内容与方法，确保评价质量。在财政的具体指导下，按方案规定的步骤开展预算绩效管理工作。</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1</w:t>
      </w:r>
      <w:r>
        <w:rPr>
          <w:rFonts w:hint="eastAsia" w:ascii="仿宋_GB2312" w:eastAsia="仿宋_GB2312" w:cs="DengXian-Regular"/>
          <w:sz w:val="32"/>
          <w:szCs w:val="32"/>
        </w:rPr>
        <w:t>）政务公开：通过完成政务信息公开工作，使全镇信息公开业务队伍素质不断提高，业务水平进一步提升；政府政务信息公开范围不断扩大，公开内容得到进一步细化。</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2</w:t>
      </w:r>
      <w:r>
        <w:rPr>
          <w:rFonts w:hint="eastAsia" w:ascii="仿宋_GB2312" w:eastAsia="仿宋_GB2312" w:cs="DengXian-Regular"/>
          <w:sz w:val="32"/>
          <w:szCs w:val="32"/>
        </w:rPr>
        <w:t>）会议管理：做好镇政府会议保障。做好会议记录及签到工作，做好会议室卫生工作。</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3</w:t>
      </w:r>
      <w:r>
        <w:rPr>
          <w:rFonts w:hint="eastAsia" w:ascii="仿宋_GB2312" w:eastAsia="仿宋_GB2312" w:cs="DengXian-Regular"/>
          <w:sz w:val="32"/>
          <w:szCs w:val="32"/>
        </w:rPr>
        <w:t>）政务联络：做好与上级政府及有关部门的政务往来服务保障工作。</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4</w:t>
      </w:r>
      <w:r>
        <w:rPr>
          <w:rFonts w:hint="eastAsia" w:ascii="仿宋_GB2312" w:eastAsia="仿宋_GB2312" w:cs="DengXian-Regular"/>
          <w:sz w:val="32"/>
          <w:szCs w:val="32"/>
        </w:rPr>
        <w:t>）综合业务管理：高质量审核公文让领导满意；及时办理各类文电，确保事项在第一时间得到领导批示意见；高质量起草领导的重要讲话及重要文稿。</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5</w:t>
      </w:r>
      <w:r>
        <w:rPr>
          <w:rFonts w:hint="eastAsia" w:ascii="仿宋_GB2312" w:eastAsia="仿宋_GB2312" w:cs="DengXian-Regular"/>
          <w:sz w:val="32"/>
          <w:szCs w:val="32"/>
        </w:rPr>
        <w:t>）信息收集及民意调查：信息真实完整，领导满意，批示率高。</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6</w:t>
      </w:r>
      <w:r>
        <w:rPr>
          <w:rFonts w:hint="eastAsia" w:ascii="仿宋_GB2312" w:eastAsia="仿宋_GB2312" w:cs="DengXian-Regular"/>
          <w:sz w:val="32"/>
          <w:szCs w:val="32"/>
        </w:rPr>
        <w:t>）督查调研：信息真实完整，领导满意，批示率高。</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7</w:t>
      </w:r>
      <w:r>
        <w:rPr>
          <w:rFonts w:hint="eastAsia" w:ascii="仿宋_GB2312" w:eastAsia="仿宋_GB2312" w:cs="DengXian-Regular"/>
          <w:sz w:val="32"/>
          <w:szCs w:val="32"/>
        </w:rPr>
        <w:t>）党员和党组织建设：加强组织建设和党员管理，不断提高执政能力和领导水平。</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8</w:t>
      </w:r>
      <w:r>
        <w:rPr>
          <w:rFonts w:hint="eastAsia" w:ascii="仿宋_GB2312" w:eastAsia="仿宋_GB2312" w:cs="DengXian-Regular"/>
          <w:sz w:val="32"/>
          <w:szCs w:val="32"/>
        </w:rPr>
        <w:t>）干部培养选拔：组织落实培养选拔后备干部、妇女干部。</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9</w:t>
      </w:r>
      <w:r>
        <w:rPr>
          <w:rFonts w:hint="eastAsia" w:ascii="仿宋_GB2312" w:eastAsia="仿宋_GB2312" w:cs="DengXian-Regular"/>
          <w:sz w:val="32"/>
          <w:szCs w:val="32"/>
        </w:rPr>
        <w:t>）综合业务管理：确保各项业务工作谋划到位、顺利开展。</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10</w:t>
      </w:r>
      <w:r>
        <w:rPr>
          <w:rFonts w:hint="eastAsia" w:ascii="仿宋_GB2312" w:eastAsia="仿宋_GB2312" w:cs="DengXian-Regular"/>
          <w:sz w:val="32"/>
          <w:szCs w:val="32"/>
        </w:rPr>
        <w:t>）保险及退休管理：各类保险及时足额收缴并做好管理工作。</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11</w:t>
      </w:r>
      <w:r>
        <w:rPr>
          <w:rFonts w:hint="eastAsia" w:ascii="仿宋_GB2312" w:eastAsia="仿宋_GB2312" w:cs="DengXian-Regular"/>
          <w:sz w:val="32"/>
          <w:szCs w:val="32"/>
        </w:rPr>
        <w:t>）城乡规划制订、实施与监督：完成本级规划编制，健全规划体系。</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12</w:t>
      </w:r>
      <w:r>
        <w:rPr>
          <w:rFonts w:hint="eastAsia" w:ascii="仿宋_GB2312" w:eastAsia="仿宋_GB2312" w:cs="DengXian-Regular"/>
          <w:sz w:val="32"/>
          <w:szCs w:val="32"/>
        </w:rPr>
        <w:t>）推进城镇化建设：加强村镇建设，改善农村人居环境，实现城乡统筹发展。</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13</w:t>
      </w:r>
      <w:r>
        <w:rPr>
          <w:rFonts w:hint="eastAsia" w:ascii="仿宋_GB2312" w:eastAsia="仿宋_GB2312" w:cs="DengXian-Regular"/>
          <w:sz w:val="32"/>
          <w:szCs w:val="32"/>
        </w:rPr>
        <w:t>）计划生育奖励扶持政策：增强群众自觉实行计划生育的积极性，稳定适度的低生育水平，提高计划生育家庭发展能力，增强计划生育家庭的凝聚力及成员幸福感。</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14</w:t>
      </w:r>
      <w:r>
        <w:rPr>
          <w:rFonts w:hint="eastAsia" w:ascii="仿宋_GB2312" w:eastAsia="仿宋_GB2312" w:cs="DengXian-Regular"/>
          <w:sz w:val="32"/>
          <w:szCs w:val="32"/>
        </w:rPr>
        <w:t>）促进土地流转：指导全镇建立运转顺畅、便捷高效的农村土地承包经营权流转服务平台，带动土地流转依法、有序开展。</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15</w:t>
      </w:r>
      <w:r>
        <w:rPr>
          <w:rFonts w:hint="eastAsia" w:ascii="仿宋_GB2312" w:eastAsia="仿宋_GB2312" w:cs="DengXian-Regular"/>
          <w:sz w:val="32"/>
          <w:szCs w:val="32"/>
        </w:rPr>
        <w:t>）实施良种补贴：小麦、玉米、水稻、棉花良种补贴全覆盖。</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16</w:t>
      </w:r>
      <w:r>
        <w:rPr>
          <w:rFonts w:hint="eastAsia" w:ascii="仿宋_GB2312" w:eastAsia="仿宋_GB2312" w:cs="DengXian-Regular"/>
          <w:sz w:val="32"/>
          <w:szCs w:val="32"/>
        </w:rPr>
        <w:t>）退耕还林：所辖地区的生态状况得到明显改善。</w:t>
      </w:r>
    </w:p>
    <w:p>
      <w:pPr>
        <w:adjustRightInd w:val="0"/>
        <w:snapToGrid w:val="0"/>
        <w:spacing w:after="0" w:line="580" w:lineRule="exact"/>
        <w:ind w:firstLine="643" w:firstLineChars="200"/>
        <w:rPr>
          <w:rFonts w:ascii="仿宋_GB2312" w:eastAsia="仿宋_GB2312" w:cs="DengXian-Regular"/>
          <w:b/>
          <w:bCs/>
          <w:sz w:val="32"/>
          <w:szCs w:val="32"/>
        </w:rPr>
      </w:pPr>
      <w:r>
        <w:rPr>
          <w:rFonts w:hint="eastAsia" w:ascii="仿宋_GB2312" w:eastAsia="仿宋_GB2312" w:cs="DengXian-Regular"/>
          <w:b/>
          <w:bCs/>
          <w:sz w:val="32"/>
          <w:szCs w:val="32"/>
        </w:rPr>
        <w:t>（二）预算项目绩效评价开展情况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1</w:t>
      </w:r>
      <w:r>
        <w:rPr>
          <w:rFonts w:hint="eastAsia" w:ascii="仿宋_GB2312" w:eastAsia="仿宋_GB2312" w:cs="DengXian-Regular"/>
          <w:sz w:val="32"/>
          <w:szCs w:val="32"/>
        </w:rPr>
        <w:t>）贯彻执行党的路线方针政策和上级党组织及本镇党员代表大会</w:t>
      </w:r>
      <w:r>
        <w:rPr>
          <w:rFonts w:ascii="仿宋_GB2312" w:eastAsia="仿宋_GB2312" w:cs="DengXian-Regular"/>
          <w:sz w:val="32"/>
          <w:szCs w:val="32"/>
        </w:rPr>
        <w:t>(</w:t>
      </w:r>
      <w:r>
        <w:rPr>
          <w:rFonts w:hint="eastAsia" w:ascii="仿宋_GB2312" w:eastAsia="仿宋_GB2312" w:cs="DengXian-Regular"/>
          <w:sz w:val="32"/>
          <w:szCs w:val="32"/>
        </w:rPr>
        <w:t>党员大会</w:t>
      </w:r>
      <w:r>
        <w:rPr>
          <w:rFonts w:ascii="仿宋_GB2312" w:eastAsia="仿宋_GB2312" w:cs="DengXian-Regular"/>
          <w:sz w:val="32"/>
          <w:szCs w:val="32"/>
        </w:rPr>
        <w:t>)</w:t>
      </w:r>
      <w:r>
        <w:rPr>
          <w:rFonts w:hint="eastAsia" w:ascii="仿宋_GB2312" w:eastAsia="仿宋_GB2312" w:cs="DengXian-Regular"/>
          <w:sz w:val="32"/>
          <w:szCs w:val="32"/>
        </w:rPr>
        <w:t>的决议。团结、组织党员和群众，保证党和政府各项工作任务顺利实施。</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2</w:t>
      </w:r>
      <w:r>
        <w:rPr>
          <w:rFonts w:hint="eastAsia" w:ascii="仿宋_GB2312" w:eastAsia="仿宋_GB2312" w:cs="DengXian-Regular"/>
          <w:sz w:val="32"/>
          <w:szCs w:val="32"/>
        </w:rPr>
        <w:t>）研究审定全镇社会全面发展建设规划，讨论决定本镇党的建设、经济建设和社会发展中的重大问题。</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3</w:t>
      </w:r>
      <w:r>
        <w:rPr>
          <w:rFonts w:hint="eastAsia" w:ascii="仿宋_GB2312" w:eastAsia="仿宋_GB2312" w:cs="DengXian-Regular"/>
          <w:sz w:val="32"/>
          <w:szCs w:val="32"/>
        </w:rPr>
        <w:t>）抓好镇领导班子思想、组织、作风、制度建设。</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4</w:t>
      </w:r>
      <w:r>
        <w:rPr>
          <w:rFonts w:hint="eastAsia" w:ascii="仿宋_GB2312" w:eastAsia="仿宋_GB2312" w:cs="DengXian-Regular"/>
          <w:sz w:val="32"/>
          <w:szCs w:val="32"/>
        </w:rPr>
        <w:t>）加强全镇党组织的自身建设，充分发挥全镇各级党组织的领导核心、战斗堡垒作用和党员先锋模范作用，对辖区内新的经济社会组织加强政治领导。</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5</w:t>
      </w:r>
      <w:r>
        <w:rPr>
          <w:rFonts w:hint="eastAsia" w:ascii="仿宋_GB2312" w:eastAsia="仿宋_GB2312" w:cs="DengXian-Regular"/>
          <w:sz w:val="32"/>
          <w:szCs w:val="32"/>
        </w:rPr>
        <w:t>）领导镇党的纪律检查委员会的工作，支持其行使监督检查职能。</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6</w:t>
      </w:r>
      <w:r>
        <w:rPr>
          <w:rFonts w:hint="eastAsia" w:ascii="仿宋_GB2312" w:eastAsia="仿宋_GB2312" w:cs="DengXian-Regular"/>
          <w:sz w:val="32"/>
          <w:szCs w:val="32"/>
        </w:rPr>
        <w:t>）按照干部管理权限，负责对干部的教育、培养、选拔和监督工作，协助管理区直有关部门驻本镇的干部。</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7</w:t>
      </w:r>
      <w:r>
        <w:rPr>
          <w:rFonts w:hint="eastAsia" w:ascii="仿宋_GB2312" w:eastAsia="仿宋_GB2312" w:cs="DengXian-Regular"/>
          <w:sz w:val="32"/>
          <w:szCs w:val="32"/>
        </w:rPr>
        <w:t>）领导本镇政权机关和群众组织，支持和保证这些机关和组织依照国家法律法规及各自章程充分行使职权。</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w:t>
      </w:r>
      <w:r>
        <w:rPr>
          <w:rFonts w:ascii="仿宋_GB2312" w:eastAsia="仿宋_GB2312" w:cs="DengXian-Regular"/>
          <w:sz w:val="32"/>
          <w:szCs w:val="32"/>
        </w:rPr>
        <w:t>8</w:t>
      </w:r>
      <w:r>
        <w:rPr>
          <w:rFonts w:hint="eastAsia" w:ascii="仿宋_GB2312" w:eastAsia="仿宋_GB2312" w:cs="DengXian-Regular"/>
          <w:sz w:val="32"/>
          <w:szCs w:val="32"/>
        </w:rPr>
        <w:t>）领导本镇社会主义民主法</w:t>
      </w:r>
      <w:r>
        <w:rPr>
          <w:rFonts w:hint="eastAsia" w:ascii="仿宋_GB2312" w:eastAsia="仿宋_GB2312" w:cs="DengXian-Regular"/>
          <w:sz w:val="32"/>
          <w:szCs w:val="32"/>
          <w:lang w:val="en-US" w:eastAsia="zh-CN"/>
        </w:rPr>
        <w:t>治</w:t>
      </w:r>
      <w:bookmarkStart w:id="0" w:name="_GoBack"/>
      <w:bookmarkEnd w:id="0"/>
      <w:r>
        <w:rPr>
          <w:rFonts w:hint="eastAsia" w:ascii="仿宋_GB2312" w:eastAsia="仿宋_GB2312" w:cs="DengXian-Regular"/>
          <w:sz w:val="32"/>
          <w:szCs w:val="32"/>
        </w:rPr>
        <w:t>建设和精神文明建设，负责本镇干部群众的思想政治教育，做好社会综合治理工作。</w:t>
      </w:r>
    </w:p>
    <w:p>
      <w:pPr>
        <w:adjustRightInd w:val="0"/>
        <w:snapToGrid w:val="0"/>
        <w:spacing w:after="0" w:line="580" w:lineRule="exact"/>
        <w:ind w:firstLine="643" w:firstLineChars="200"/>
        <w:rPr>
          <w:rFonts w:hint="eastAsia" w:ascii="仿宋_GB2312" w:eastAsia="仿宋_GB2312" w:cs="DengXian-Regular"/>
          <w:b/>
          <w:bCs/>
          <w:sz w:val="32"/>
          <w:szCs w:val="32"/>
        </w:rPr>
      </w:pPr>
      <w:r>
        <w:rPr>
          <w:rFonts w:hint="eastAsia" w:ascii="仿宋_GB2312" w:eastAsia="仿宋_GB2312" w:cs="DengXian-Regular"/>
          <w:b/>
          <w:bCs/>
          <w:sz w:val="32"/>
          <w:szCs w:val="32"/>
        </w:rPr>
        <w:t>（三）部门整体绩效</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lang w:val="en-US" w:eastAsia="zh-CN"/>
        </w:rPr>
        <w:t>1、</w:t>
      </w:r>
      <w:r>
        <w:rPr>
          <w:rFonts w:hint="eastAsia" w:ascii="仿宋_GB2312" w:eastAsia="仿宋_GB2312" w:cs="DengXian-Regular"/>
          <w:sz w:val="32"/>
          <w:szCs w:val="32"/>
        </w:rPr>
        <w:t>部门整体概况</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本部门2018年度申请预算资金13739.59万元，实际支出13503.47万元，预算执行率98.28%。其中：专项项目15个，金额合计12924.84万元，实际支出12688.73万元，执行率为98.17%。</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lang w:val="en-US" w:eastAsia="zh-CN"/>
        </w:rPr>
        <w:t>2、</w:t>
      </w:r>
      <w:r>
        <w:rPr>
          <w:rFonts w:hint="eastAsia" w:ascii="仿宋_GB2312" w:eastAsia="仿宋_GB2312" w:cs="DengXian-Regular"/>
          <w:sz w:val="32"/>
          <w:szCs w:val="32"/>
        </w:rPr>
        <w:t>绩效评价组织情况</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本次绩效评价项目15个，占部门项目总数的100%，涉及金额12688.73万元。采取成立本部门绩效自评工作组的形式，本着客观、公正、公开的原则开展自评工作，所有项目的绩效自评均设计了合理、明晰、可考核的、关键性产出指标和效果指标。自评结果真实可靠。</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lang w:val="en-US" w:eastAsia="zh-CN"/>
        </w:rPr>
        <w:t>3</w:t>
      </w:r>
      <w:r>
        <w:rPr>
          <w:rFonts w:hint="eastAsia" w:ascii="仿宋_GB2312" w:eastAsia="仿宋_GB2312" w:cs="DengXian-Regular"/>
          <w:sz w:val="32"/>
          <w:szCs w:val="32"/>
        </w:rPr>
        <w:t>、绩效实现情况分析</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我镇共涉及专项资金项目共计15个，涉及预算支出项目的预期绩效指标通过6个二级指标完成如下：</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数量指标：全年发放滦古路占地补偿款7.7万元、新高线占地补偿款12.1万元，均完成年初绩效目标。</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质量指标：全年发放独生子女父母奖励13.47万元，涉及全镇29个村。</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时效指标：全年发放原钢联项目征地补偿款12565.46万元，涉及10个村。</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成本指标：支持全镇事业发展的人大经费、维稳经费、团委妇联经费、征收工作经费、网格化管理工作经费、敬老院新上变压器、“八一”期间走访慰问金73.51万元，均完成年初绩效目标。</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社会效益指标：全年发放老党员生活补贴4.01万元。均完成年初绩效目标。</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满意度指标：全年发放军队退役人员公益性岗位工资12.12万元。均完成年初绩效目标。</w:t>
      </w:r>
    </w:p>
    <w:p>
      <w:pPr>
        <w:adjustRightInd w:val="0"/>
        <w:snapToGrid w:val="0"/>
        <w:spacing w:after="0" w:line="580" w:lineRule="exact"/>
        <w:ind w:firstLine="640" w:firstLineChars="200"/>
        <w:rPr>
          <w:rFonts w:hint="eastAsia" w:ascii="仿宋_GB2312" w:eastAsia="仿宋_GB2312" w:cs="DengXian-Regular"/>
          <w:sz w:val="32"/>
          <w:szCs w:val="32"/>
        </w:rPr>
      </w:pPr>
      <w:r>
        <w:rPr>
          <w:rFonts w:hint="eastAsia" w:ascii="仿宋_GB2312" w:eastAsia="仿宋_GB2312" w:cs="DengXian-Regular"/>
          <w:sz w:val="32"/>
          <w:szCs w:val="32"/>
        </w:rPr>
        <w:t>通过14个三级指标覆盖率、两年内完成占比、农村部分计划生育家庭奖励扶助政策覆盖率、优良率、完成率、扶助资金到位率、人均财政投入水平、农村部分计划生育家庭奖励扶助金发放标准、社会稳定水平、发放补贴人数、补贴发放率、长期使用性、群众满意度、服务对象满意度完成。</w:t>
      </w:r>
    </w:p>
    <w:p>
      <w:pPr>
        <w:pStyle w:val="3"/>
        <w:pageBreakBefore w:val="0"/>
        <w:kinsoku/>
        <w:wordWrap/>
        <w:overflowPunct/>
        <w:topLinePunct w:val="0"/>
        <w:autoSpaceDE/>
        <w:autoSpaceDN/>
        <w:bidi w:val="0"/>
        <w:spacing w:before="0" w:after="0" w:line="580" w:lineRule="exact"/>
        <w:ind w:firstLine="640" w:firstLineChars="200"/>
        <w:textAlignment w:val="auto"/>
        <w:rPr>
          <w:rFonts w:hint="eastAsia" w:ascii="黑体" w:eastAsia="黑体" w:cs="Times New Roman"/>
          <w:b w:val="0"/>
          <w:bCs w:val="0"/>
        </w:rPr>
      </w:pPr>
      <w:r>
        <w:rPr>
          <w:rFonts w:hint="eastAsia" w:ascii="黑体" w:eastAsia="黑体" w:cs="Times New Roman"/>
          <w:b w:val="0"/>
          <w:bCs w:val="0"/>
        </w:rPr>
        <w:t>七、其他重要事项的说明</w:t>
      </w:r>
    </w:p>
    <w:p>
      <w:pPr>
        <w:pStyle w:val="4"/>
        <w:pageBreakBefore w:val="0"/>
        <w:kinsoku/>
        <w:wordWrap/>
        <w:overflowPunct/>
        <w:topLinePunct w:val="0"/>
        <w:autoSpaceDE/>
        <w:autoSpaceDN/>
        <w:bidi w:val="0"/>
        <w:spacing w:before="0" w:after="0" w:line="580" w:lineRule="exact"/>
        <w:ind w:firstLine="643" w:firstLineChars="200"/>
        <w:textAlignment w:val="auto"/>
        <w:rPr>
          <w:rFonts w:hint="eastAsia" w:ascii="楷体_GB2312" w:eastAsia="楷体_GB2312" w:cs="DengXian-Bold"/>
        </w:rPr>
      </w:pPr>
      <w:r>
        <w:rPr>
          <w:rFonts w:hint="eastAsia" w:ascii="楷体_GB2312" w:eastAsia="楷体_GB2312" w:cs="DengXian-Bold"/>
        </w:rPr>
        <w:t>（一）机关运行经费情况</w:t>
      </w:r>
    </w:p>
    <w:p>
      <w:pPr>
        <w:adjustRightInd w:val="0"/>
        <w:snapToGrid w:val="0"/>
        <w:spacing w:after="0" w:line="580" w:lineRule="exact"/>
        <w:ind w:firstLine="640" w:firstLineChars="200"/>
        <w:rPr>
          <w:rFonts w:hint="default" w:ascii="仿宋_GB2312" w:eastAsia="仿宋_GB2312" w:cs="DengXian-Regular"/>
          <w:sz w:val="32"/>
          <w:szCs w:val="32"/>
          <w:lang w:val="en-US"/>
        </w:rPr>
      </w:pPr>
      <w:r>
        <w:rPr>
          <w:rFonts w:hint="eastAsia" w:ascii="仿宋_GB2312" w:eastAsia="仿宋_GB2312" w:cs="DengXian-Regular"/>
          <w:sz w:val="32"/>
          <w:szCs w:val="32"/>
        </w:rPr>
        <w:t>本部门</w:t>
      </w:r>
      <w:r>
        <w:rPr>
          <w:rFonts w:ascii="仿宋_GB2312" w:eastAsia="仿宋_GB2312" w:cs="DengXian-Regular"/>
          <w:sz w:val="32"/>
          <w:szCs w:val="32"/>
        </w:rPr>
        <w:t>2018</w:t>
      </w:r>
      <w:r>
        <w:rPr>
          <w:rFonts w:hint="eastAsia" w:ascii="仿宋_GB2312" w:eastAsia="仿宋_GB2312" w:cs="DengXian-Regular"/>
          <w:sz w:val="32"/>
          <w:szCs w:val="32"/>
        </w:rPr>
        <w:t>年度机关运行经费支出</w:t>
      </w:r>
      <w:r>
        <w:rPr>
          <w:rFonts w:hint="eastAsia" w:ascii="仿宋_GB2312" w:eastAsia="仿宋_GB2312" w:cs="DengXian-Regular"/>
          <w:sz w:val="32"/>
          <w:szCs w:val="32"/>
          <w:lang w:val="en-US" w:eastAsia="zh-CN"/>
        </w:rPr>
        <w:t>42.1</w:t>
      </w:r>
      <w:r>
        <w:rPr>
          <w:rFonts w:hint="eastAsia" w:ascii="仿宋_GB2312" w:eastAsia="仿宋_GB2312" w:cs="DengXian-Regular"/>
          <w:sz w:val="32"/>
          <w:szCs w:val="32"/>
        </w:rPr>
        <w:t>万元，比</w:t>
      </w:r>
      <w:r>
        <w:rPr>
          <w:rFonts w:ascii="仿宋_GB2312" w:eastAsia="仿宋_GB2312" w:cs="DengXian-Regular"/>
          <w:sz w:val="32"/>
          <w:szCs w:val="32"/>
        </w:rPr>
        <w:t>2017</w:t>
      </w:r>
      <w:r>
        <w:rPr>
          <w:rFonts w:hint="eastAsia" w:ascii="仿宋_GB2312" w:eastAsia="仿宋_GB2312" w:cs="DengXian-Regular"/>
          <w:sz w:val="32"/>
          <w:szCs w:val="32"/>
        </w:rPr>
        <w:t>年度</w:t>
      </w:r>
      <w:r>
        <w:rPr>
          <w:rFonts w:hint="eastAsia" w:ascii="仿宋_GB2312" w:eastAsia="仿宋_GB2312" w:cs="DengXian-Regular"/>
          <w:sz w:val="32"/>
          <w:szCs w:val="32"/>
          <w:lang w:eastAsia="zh-CN"/>
        </w:rPr>
        <w:t>减少</w:t>
      </w:r>
      <w:r>
        <w:rPr>
          <w:rFonts w:hint="eastAsia" w:ascii="仿宋_GB2312" w:eastAsia="仿宋_GB2312" w:cs="DengXian-Regular"/>
          <w:sz w:val="32"/>
          <w:szCs w:val="32"/>
          <w:lang w:val="en-US" w:eastAsia="zh-CN"/>
        </w:rPr>
        <w:t>25.34</w:t>
      </w:r>
      <w:r>
        <w:rPr>
          <w:rFonts w:hint="eastAsia" w:ascii="仿宋_GB2312" w:eastAsia="仿宋_GB2312" w:cs="DengXian-Regular"/>
          <w:sz w:val="32"/>
          <w:szCs w:val="32"/>
        </w:rPr>
        <w:t>万元，</w:t>
      </w:r>
      <w:r>
        <w:rPr>
          <w:rFonts w:hint="eastAsia" w:ascii="仿宋_GB2312" w:eastAsia="仿宋_GB2312" w:cs="DengXian-Regular"/>
          <w:sz w:val="32"/>
          <w:szCs w:val="32"/>
          <w:lang w:eastAsia="zh-CN"/>
        </w:rPr>
        <w:t>减少</w:t>
      </w:r>
      <w:r>
        <w:rPr>
          <w:rFonts w:hint="eastAsia" w:ascii="仿宋_GB2312" w:eastAsia="仿宋_GB2312" w:cs="DengXian-Regular"/>
          <w:sz w:val="32"/>
          <w:szCs w:val="32"/>
          <w:lang w:val="en-US" w:eastAsia="zh-CN"/>
        </w:rPr>
        <w:t>60.02</w:t>
      </w:r>
      <w:r>
        <w:rPr>
          <w:rFonts w:ascii="仿宋_GB2312" w:eastAsia="仿宋_GB2312" w:cs="DengXian-Regular"/>
          <w:sz w:val="32"/>
          <w:szCs w:val="32"/>
        </w:rPr>
        <w:t>%</w:t>
      </w:r>
      <w:r>
        <w:rPr>
          <w:rFonts w:hint="eastAsia" w:ascii="仿宋_GB2312" w:eastAsia="仿宋_GB2312" w:cs="DengXian-Regular"/>
          <w:sz w:val="32"/>
          <w:szCs w:val="32"/>
          <w:lang w:eastAsia="zh-CN"/>
        </w:rPr>
        <w:t>，</w:t>
      </w:r>
      <w:r>
        <w:rPr>
          <w:rFonts w:hint="eastAsia" w:ascii="仿宋_GB2312" w:eastAsia="仿宋_GB2312" w:cs="DengXian-Regular"/>
          <w:sz w:val="32"/>
          <w:szCs w:val="32"/>
        </w:rPr>
        <w:t>主要原因是</w:t>
      </w:r>
      <w:r>
        <w:rPr>
          <w:rFonts w:hint="eastAsia" w:ascii="仿宋_GB2312" w:eastAsia="仿宋_GB2312" w:cs="DengXian-Regular"/>
          <w:sz w:val="32"/>
          <w:szCs w:val="32"/>
          <w:lang w:eastAsia="zh-CN"/>
        </w:rPr>
        <w:t>其他交通费及办公费的减少</w:t>
      </w:r>
      <w:r>
        <w:rPr>
          <w:rFonts w:hint="eastAsia" w:ascii="仿宋_GB2312" w:eastAsia="仿宋_GB2312" w:cs="DengXian-Regular"/>
          <w:sz w:val="32"/>
          <w:szCs w:val="32"/>
        </w:rPr>
        <w:t>。</w:t>
      </w:r>
      <w:r>
        <w:rPr>
          <w:rFonts w:hint="eastAsia" w:ascii="仿宋_GB2312" w:eastAsia="仿宋_GB2312" w:cs="DengXian-Regular"/>
          <w:sz w:val="32"/>
          <w:szCs w:val="32"/>
          <w:lang w:eastAsia="zh-CN"/>
        </w:rPr>
        <w:t>比</w:t>
      </w:r>
      <w:r>
        <w:rPr>
          <w:rFonts w:hint="eastAsia" w:ascii="仿宋_GB2312" w:eastAsia="仿宋_GB2312" w:cs="DengXian-Regular"/>
          <w:sz w:val="32"/>
          <w:szCs w:val="32"/>
        </w:rPr>
        <w:t>年初预算数</w:t>
      </w:r>
      <w:r>
        <w:rPr>
          <w:rFonts w:hint="eastAsia" w:ascii="仿宋_GB2312" w:eastAsia="仿宋_GB2312" w:cs="DengXian-Regular"/>
          <w:sz w:val="32"/>
          <w:szCs w:val="32"/>
          <w:lang w:val="en-US" w:eastAsia="zh-CN"/>
        </w:rPr>
        <w:t>41万元增加1.1万元，</w:t>
      </w:r>
      <w:r>
        <w:rPr>
          <w:rFonts w:hint="eastAsia" w:ascii="仿宋_GB2312" w:eastAsia="仿宋_GB2312" w:cs="DengXian-Regular"/>
          <w:sz w:val="32"/>
          <w:szCs w:val="32"/>
        </w:rPr>
        <w:t>主要原因</w:t>
      </w:r>
      <w:r>
        <w:rPr>
          <w:rFonts w:hint="eastAsia" w:ascii="仿宋_GB2312" w:eastAsia="仿宋_GB2312" w:cs="DengXian-Regular"/>
          <w:sz w:val="32"/>
          <w:szCs w:val="32"/>
          <w:lang w:eastAsia="zh-CN"/>
        </w:rPr>
        <w:t>其他交通费的增加</w:t>
      </w:r>
      <w:r>
        <w:rPr>
          <w:rFonts w:hint="eastAsia" w:ascii="仿宋_GB2312" w:eastAsia="仿宋_GB2312" w:cs="DengXian-Regular"/>
          <w:sz w:val="32"/>
          <w:szCs w:val="32"/>
          <w:lang w:val="en-US" w:eastAsia="zh-CN"/>
        </w:rPr>
        <w:t>。</w:t>
      </w:r>
    </w:p>
    <w:p>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（二）政府采购情况</w:t>
      </w:r>
    </w:p>
    <w:p>
      <w:pPr>
        <w:widowControl/>
        <w:spacing w:after="0" w:line="580" w:lineRule="exact"/>
        <w:ind w:firstLine="640" w:firstLineChars="200"/>
        <w:jc w:val="left"/>
        <w:rPr>
          <w:rFonts w:ascii="仿宋_GB2312" w:hAnsi="仿宋_GB2312" w:eastAsia="仿宋_GB2312" w:cs="仿宋_GB2312"/>
          <w:color w:val="000000"/>
          <w:kern w:val="0"/>
          <w:sz w:val="32"/>
          <w:szCs w:val="32"/>
          <w:lang w:val="en-US" w:eastAsia="zh-CN"/>
        </w:rPr>
      </w:pPr>
      <w:r>
        <w:rPr>
          <w:rFonts w:hint="eastAsia" w:ascii="仿宋_GB2312" w:eastAsia="仿宋_GB2312" w:cs="DengXian-Regular"/>
          <w:sz w:val="32"/>
          <w:szCs w:val="32"/>
        </w:rPr>
        <w:t>本部门</w:t>
      </w:r>
      <w:r>
        <w:rPr>
          <w:rFonts w:hint="eastAsia" w:ascii="仿宋_GB2312" w:eastAsia="仿宋_GB2312" w:cs="DengXian-Regular"/>
          <w:sz w:val="32"/>
          <w:szCs w:val="32"/>
          <w:lang w:eastAsia="zh-CN"/>
        </w:rPr>
        <w:t>2018年</w:t>
      </w:r>
      <w:r>
        <w:rPr>
          <w:rFonts w:hint="eastAsia" w:ascii="仿宋_GB2312" w:eastAsia="仿宋_GB2312" w:cs="DengXian-Regular"/>
          <w:sz w:val="32"/>
          <w:szCs w:val="32"/>
        </w:rPr>
        <w:t>度政府采购支出总额</w:t>
      </w:r>
      <w:r>
        <w:rPr>
          <w:rFonts w:hint="eastAsia" w:ascii="仿宋_GB2312" w:eastAsia="仿宋_GB2312" w:cs="DengXian-Regular"/>
          <w:sz w:val="32"/>
          <w:szCs w:val="32"/>
          <w:lang w:val="en-US" w:eastAsia="zh-CN"/>
        </w:rPr>
        <w:t>0</w:t>
      </w:r>
      <w:r>
        <w:rPr>
          <w:rFonts w:hint="eastAsia" w:ascii="仿宋_GB2312" w:eastAsia="仿宋_GB2312" w:cs="DengXian-Regular"/>
          <w:sz w:val="32"/>
          <w:szCs w:val="32"/>
        </w:rPr>
        <w:t>万元，</w:t>
      </w:r>
      <w:r>
        <w:rPr>
          <w:rFonts w:hint="eastAsia" w:ascii="仿宋_GB2312" w:eastAsia="仿宋_GB2312" w:cs="DengXian-Regular"/>
          <w:sz w:val="32"/>
          <w:szCs w:val="32"/>
          <w:lang w:val="en-US" w:eastAsia="zh-CN"/>
        </w:rPr>
        <w:t>从采购类型来看，</w:t>
      </w:r>
      <w:r>
        <w:rPr>
          <w:rFonts w:ascii="仿宋_GB2312" w:hAnsi="仿宋_GB2312" w:eastAsia="仿宋_GB2312" w:cs="仿宋_GB2312"/>
          <w:color w:val="000000"/>
          <w:kern w:val="0"/>
          <w:sz w:val="32"/>
          <w:szCs w:val="32"/>
          <w:lang w:val="en-US" w:eastAsia="zh-CN"/>
        </w:rPr>
        <w:t>政府采购货物支出</w:t>
      </w:r>
      <w:r>
        <w:rPr>
          <w:rFonts w:hint="eastAsia" w:ascii="仿宋_GB2312" w:hAnsi="仿宋_GB2312" w:eastAsia="仿宋_GB2312" w:cs="仿宋_GB2312"/>
          <w:color w:val="000000"/>
          <w:kern w:val="0"/>
          <w:sz w:val="32"/>
          <w:szCs w:val="32"/>
          <w:lang w:val="en-US" w:eastAsia="zh-CN"/>
        </w:rPr>
        <w:t>0</w:t>
      </w:r>
      <w:r>
        <w:rPr>
          <w:rFonts w:ascii="仿宋_GB2312" w:hAnsi="仿宋_GB2312" w:eastAsia="仿宋_GB2312" w:cs="仿宋_GB2312"/>
          <w:color w:val="000000"/>
          <w:kern w:val="0"/>
          <w:sz w:val="32"/>
          <w:szCs w:val="32"/>
          <w:lang w:val="en-US" w:eastAsia="zh-CN"/>
        </w:rPr>
        <w:t>万元、政府采购工程支出</w:t>
      </w:r>
      <w:r>
        <w:rPr>
          <w:rFonts w:hint="eastAsia" w:ascii="仿宋_GB2312" w:hAnsi="仿宋_GB2312" w:eastAsia="仿宋_GB2312" w:cs="仿宋_GB2312"/>
          <w:color w:val="000000"/>
          <w:kern w:val="0"/>
          <w:sz w:val="32"/>
          <w:szCs w:val="32"/>
          <w:lang w:val="en-US" w:eastAsia="zh-CN"/>
        </w:rPr>
        <w:t>0</w:t>
      </w:r>
      <w:r>
        <w:rPr>
          <w:rFonts w:ascii="仿宋_GB2312" w:hAnsi="仿宋_GB2312" w:eastAsia="仿宋_GB2312" w:cs="仿宋_GB2312"/>
          <w:color w:val="000000"/>
          <w:kern w:val="0"/>
          <w:sz w:val="32"/>
          <w:szCs w:val="32"/>
          <w:lang w:val="en-US" w:eastAsia="zh-CN"/>
        </w:rPr>
        <w:t>万元、政府采购服务支出</w:t>
      </w:r>
      <w:r>
        <w:rPr>
          <w:rFonts w:hint="eastAsia" w:ascii="仿宋_GB2312" w:hAnsi="仿宋_GB2312" w:eastAsia="仿宋_GB2312" w:cs="仿宋_GB2312"/>
          <w:color w:val="000000"/>
          <w:kern w:val="0"/>
          <w:sz w:val="32"/>
          <w:szCs w:val="32"/>
          <w:lang w:val="en-US" w:eastAsia="zh-CN"/>
        </w:rPr>
        <w:t>0</w:t>
      </w:r>
      <w:r>
        <w:rPr>
          <w:rFonts w:ascii="仿宋_GB2312" w:hAnsi="仿宋_GB2312" w:eastAsia="仿宋_GB2312" w:cs="仿宋_GB2312"/>
          <w:color w:val="000000"/>
          <w:kern w:val="0"/>
          <w:sz w:val="32"/>
          <w:szCs w:val="32"/>
          <w:lang w:val="en-US" w:eastAsia="zh-CN"/>
        </w:rPr>
        <w:t>万元。授予中小企业合同金</w:t>
      </w:r>
      <w:r>
        <w:rPr>
          <w:rFonts w:hint="eastAsia" w:ascii="仿宋_GB2312" w:hAnsi="仿宋_GB2312" w:eastAsia="仿宋_GB2312" w:cs="仿宋_GB2312"/>
          <w:color w:val="000000"/>
          <w:kern w:val="0"/>
          <w:sz w:val="32"/>
          <w:szCs w:val="32"/>
          <w:lang w:val="en-US" w:eastAsia="zh-CN"/>
        </w:rPr>
        <w:t>0</w:t>
      </w:r>
      <w:r>
        <w:rPr>
          <w:rFonts w:ascii="仿宋_GB2312" w:hAnsi="仿宋_GB2312" w:eastAsia="仿宋_GB2312" w:cs="仿宋_GB2312"/>
          <w:color w:val="000000"/>
          <w:kern w:val="0"/>
          <w:sz w:val="32"/>
          <w:szCs w:val="32"/>
          <w:lang w:val="en-US" w:eastAsia="zh-CN"/>
        </w:rPr>
        <w:t>万元，占政府采购支出总额的</w:t>
      </w:r>
      <w:r>
        <w:rPr>
          <w:rFonts w:hint="eastAsia" w:ascii="仿宋_GB2312" w:hAnsi="仿宋_GB2312" w:eastAsia="仿宋_GB2312" w:cs="仿宋_GB2312"/>
          <w:color w:val="000000"/>
          <w:kern w:val="0"/>
          <w:sz w:val="32"/>
          <w:szCs w:val="32"/>
          <w:lang w:val="en-US" w:eastAsia="zh-CN"/>
        </w:rPr>
        <w:t>0%，</w:t>
      </w:r>
      <w:r>
        <w:rPr>
          <w:rFonts w:ascii="仿宋_GB2312" w:hAnsi="仿宋_GB2312" w:eastAsia="仿宋_GB2312" w:cs="仿宋_GB2312"/>
          <w:color w:val="000000"/>
          <w:kern w:val="0"/>
          <w:sz w:val="32"/>
          <w:szCs w:val="32"/>
          <w:lang w:val="en-US" w:eastAsia="zh-CN"/>
        </w:rPr>
        <w:t>其中授予小微企业合同金额</w:t>
      </w:r>
      <w:r>
        <w:rPr>
          <w:rFonts w:hint="eastAsia" w:ascii="仿宋_GB2312" w:hAnsi="仿宋_GB2312" w:eastAsia="仿宋_GB2312" w:cs="仿宋_GB2312"/>
          <w:color w:val="000000"/>
          <w:kern w:val="0"/>
          <w:sz w:val="32"/>
          <w:szCs w:val="32"/>
          <w:lang w:val="en-US" w:eastAsia="zh-CN"/>
        </w:rPr>
        <w:t>0</w:t>
      </w:r>
      <w:r>
        <w:rPr>
          <w:rFonts w:ascii="仿宋_GB2312" w:hAnsi="仿宋_GB2312" w:eastAsia="仿宋_GB2312" w:cs="仿宋_GB2312"/>
          <w:color w:val="000000"/>
          <w:kern w:val="0"/>
          <w:sz w:val="32"/>
          <w:szCs w:val="32"/>
          <w:lang w:val="en-US" w:eastAsia="zh-CN"/>
        </w:rPr>
        <w:t xml:space="preserve">万元，占政府采购支出总额的 </w:t>
      </w:r>
      <w:r>
        <w:rPr>
          <w:rFonts w:hint="eastAsia" w:ascii="仿宋_GB2312" w:hAnsi="仿宋_GB2312" w:eastAsia="仿宋_GB2312" w:cs="仿宋_GB2312"/>
          <w:color w:val="000000"/>
          <w:kern w:val="0"/>
          <w:sz w:val="32"/>
          <w:szCs w:val="32"/>
          <w:lang w:val="en-US" w:eastAsia="zh-CN"/>
        </w:rPr>
        <w:t>0</w:t>
      </w:r>
      <w:r>
        <w:rPr>
          <w:rFonts w:ascii="仿宋_GB2312" w:hAnsi="仿宋_GB2312" w:eastAsia="仿宋_GB2312" w:cs="仿宋_GB2312"/>
          <w:color w:val="000000"/>
          <w:kern w:val="0"/>
          <w:sz w:val="32"/>
          <w:szCs w:val="32"/>
          <w:lang w:val="en-US" w:eastAsia="zh-CN"/>
        </w:rPr>
        <w:t>%。</w:t>
      </w:r>
    </w:p>
    <w:p>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（三）国有资产占用情况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截至</w:t>
      </w:r>
      <w:r>
        <w:rPr>
          <w:rFonts w:ascii="仿宋_GB2312" w:eastAsia="仿宋_GB2312" w:cs="DengXian-Regular"/>
          <w:sz w:val="32"/>
          <w:szCs w:val="32"/>
        </w:rPr>
        <w:t>2018</w:t>
      </w:r>
      <w:r>
        <w:rPr>
          <w:rFonts w:hint="eastAsia" w:ascii="仿宋_GB2312" w:eastAsia="仿宋_GB2312" w:cs="DengXian-Regular"/>
          <w:sz w:val="32"/>
          <w:szCs w:val="32"/>
        </w:rPr>
        <w:t>年</w:t>
      </w:r>
      <w:r>
        <w:rPr>
          <w:rFonts w:ascii="仿宋_GB2312" w:eastAsia="仿宋_GB2312" w:cs="DengXian-Regular"/>
          <w:sz w:val="32"/>
          <w:szCs w:val="32"/>
        </w:rPr>
        <w:t>12</w:t>
      </w:r>
      <w:r>
        <w:rPr>
          <w:rFonts w:hint="eastAsia" w:ascii="仿宋_GB2312" w:eastAsia="仿宋_GB2312" w:cs="DengXian-Regular"/>
          <w:sz w:val="32"/>
          <w:szCs w:val="32"/>
        </w:rPr>
        <w:t>月</w:t>
      </w:r>
      <w:r>
        <w:rPr>
          <w:rFonts w:ascii="仿宋_GB2312" w:eastAsia="仿宋_GB2312" w:cs="DengXian-Regular"/>
          <w:sz w:val="32"/>
          <w:szCs w:val="32"/>
        </w:rPr>
        <w:t>31</w:t>
      </w:r>
      <w:r>
        <w:rPr>
          <w:rFonts w:hint="eastAsia" w:ascii="仿宋_GB2312" w:eastAsia="仿宋_GB2312" w:cs="DengXian-Regular"/>
          <w:sz w:val="32"/>
          <w:szCs w:val="32"/>
        </w:rPr>
        <w:t>日，本部门共有车辆</w:t>
      </w:r>
      <w:r>
        <w:rPr>
          <w:rFonts w:ascii="仿宋_GB2312" w:eastAsia="仿宋_GB2312" w:cs="DengXian-Regular"/>
          <w:sz w:val="32"/>
          <w:szCs w:val="32"/>
        </w:rPr>
        <w:t>2</w:t>
      </w:r>
      <w:r>
        <w:rPr>
          <w:rFonts w:hint="eastAsia" w:ascii="仿宋_GB2312" w:eastAsia="仿宋_GB2312" w:cs="DengXian-Regular"/>
          <w:sz w:val="32"/>
          <w:szCs w:val="32"/>
        </w:rPr>
        <w:t>辆，比上年无增减变化，主要是年内无变化。其中，应急保障用车</w:t>
      </w:r>
      <w:r>
        <w:rPr>
          <w:rFonts w:ascii="仿宋_GB2312" w:eastAsia="仿宋_GB2312" w:cs="DengXian-Regular"/>
          <w:sz w:val="32"/>
          <w:szCs w:val="32"/>
        </w:rPr>
        <w:t>2</w:t>
      </w:r>
      <w:r>
        <w:rPr>
          <w:rFonts w:hint="eastAsia" w:ascii="仿宋_GB2312" w:eastAsia="仿宋_GB2312" w:cs="DengXian-Regular"/>
          <w:sz w:val="32"/>
          <w:szCs w:val="32"/>
        </w:rPr>
        <w:t>辆。</w:t>
      </w:r>
    </w:p>
    <w:p>
      <w:pPr>
        <w:pStyle w:val="4"/>
        <w:spacing w:before="0" w:after="0" w:line="580" w:lineRule="exact"/>
        <w:rPr>
          <w:rFonts w:ascii="楷体_GB2312" w:eastAsia="楷体_GB2312" w:cs="DengXian-Bold"/>
        </w:rPr>
      </w:pPr>
      <w:r>
        <w:rPr>
          <w:rFonts w:hint="eastAsia" w:ascii="楷体_GB2312" w:eastAsia="楷体_GB2312" w:cs="DengXian-Bold"/>
        </w:rPr>
        <w:t>（四）其他需要说明的情况</w:t>
      </w:r>
    </w:p>
    <w:p>
      <w:pPr>
        <w:widowControl/>
        <w:ind w:firstLine="640" w:firstLineChars="200"/>
        <w:jc w:val="left"/>
        <w:rPr>
          <w:rFonts w:ascii="仿宋_GB2312" w:hAnsi="仿宋_GB2312" w:eastAsia="仿宋_GB2312" w:cs="仿宋_GB2312"/>
          <w:color w:val="000000"/>
          <w:kern w:val="0"/>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、本部门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w:t>
      </w:r>
      <w:r>
        <w:rPr>
          <w:rFonts w:hint="eastAsia" w:ascii="仿宋_GB2312" w:hAnsi="仿宋_GB2312" w:eastAsia="仿宋_GB2312" w:cs="仿宋_GB2312"/>
          <w:color w:val="000000"/>
          <w:kern w:val="0"/>
          <w:sz w:val="32"/>
          <w:szCs w:val="32"/>
        </w:rPr>
        <w:t>国有资本经营预算财政拨款、政府采购无收支及结转结余情况，故国有资本经营预算财政拨款、政府采购支出决算表以空表列示。</w:t>
      </w:r>
      <w:r>
        <w:rPr>
          <w:rFonts w:ascii="仿宋_GB2312" w:hAnsi="仿宋_GB2312" w:eastAsia="仿宋_GB2312" w:cs="仿宋_GB2312"/>
          <w:color w:val="000000"/>
          <w:kern w:val="0"/>
          <w:sz w:val="32"/>
          <w:szCs w:val="32"/>
        </w:rPr>
        <w:t xml:space="preserve"> </w:t>
      </w:r>
    </w:p>
    <w:p>
      <w:pPr>
        <w:widowControl/>
        <w:ind w:firstLine="640" w:firstLineChars="200"/>
        <w:jc w:val="left"/>
        <w:rPr>
          <w:rFonts w:ascii="仿宋_GB2312" w:eastAsia="仿宋_GB2312" w:cs="DengXian-Regular"/>
          <w:sz w:val="32"/>
          <w:szCs w:val="32"/>
        </w:rPr>
      </w:pPr>
      <w:r>
        <w:rPr>
          <w:rFonts w:ascii="仿宋_GB2312" w:eastAsia="仿宋_GB2312" w:cs="DengXian-Regular"/>
          <w:sz w:val="32"/>
          <w:szCs w:val="32"/>
        </w:rPr>
        <w:t>2</w:t>
      </w:r>
      <w:r>
        <w:rPr>
          <w:rFonts w:hint="eastAsia" w:ascii="仿宋_GB2312" w:eastAsia="仿宋_GB2312" w:cs="DengXian-Regular"/>
          <w:sz w:val="32"/>
          <w:szCs w:val="32"/>
        </w:rPr>
        <w:t>、由于决算公开表格中金额数值应当保留两位小数，公开数据为四舍五入计算结</w:t>
      </w:r>
      <w:r>
        <w:pict>
          <v:group id="组合 91" o:spid="_x0000_s1058" o:spt="203" style="position:absolute;left:0pt;margin-left:-0.55pt;margin-top:29.3pt;height:43.95pt;width:301.85pt;mso-position-horizontal-relative:page;mso-position-vertical-relative:page;z-index:251676672;mso-width-relative:page;mso-height-relative:page;" coordorigin="4551,52615" coordsize="8546,1398203">
            <o:lock v:ext="edit"/>
            <v:rect id="_x0000_s1059" o:spid="_x0000_s1059" o:spt="1" style="position:absolute;left:4551;top:52615;height:1175;width:8546;" fillcolor="#D8D8D8" filled="t" stroked="f" coordsize="21600,21600">
              <v:path/>
              <v:fill on="t" focussize="0,0"/>
              <v:stroke on="f"/>
              <v:imagedata o:title=""/>
              <o:lock v:ext="edit"/>
            </v:rect>
            <v:rect id="_x0000_s1060" o:spid="_x0000_s1060"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2"/>
                        <w:szCs w:val="32"/>
                      </w:rPr>
                    </w:pPr>
                    <w:r>
                      <w:rPr>
                        <w:rFonts w:ascii="楷体" w:hAnsi="楷体" w:eastAsia="楷体" w:cs="楷体"/>
                        <w:b/>
                        <w:bCs/>
                        <w:color w:val="FDEFBE"/>
                        <w:kern w:val="0"/>
                        <w:sz w:val="32"/>
                        <w:szCs w:val="32"/>
                      </w:rPr>
                      <w:t>2018</w:t>
                    </w:r>
                    <w:r>
                      <w:rPr>
                        <w:rFonts w:hint="eastAsia" w:ascii="楷体" w:hAnsi="楷体" w:eastAsia="楷体" w:cs="楷体"/>
                        <w:b/>
                        <w:bCs/>
                        <w:color w:val="FDEFBE"/>
                        <w:kern w:val="0"/>
                        <w:sz w:val="32"/>
                        <w:szCs w:val="32"/>
                      </w:rPr>
                      <w:t>年度部门决算</w:t>
                    </w:r>
                    <w:r>
                      <w:rPr>
                        <w:rFonts w:hint="eastAsia" w:ascii="MS Gothic" w:hAnsi="MS Gothic" w:eastAsia="MS Gothic" w:cs="MS Gothic"/>
                        <w:b/>
                        <w:bCs/>
                        <w:color w:val="FDEFBE"/>
                        <w:kern w:val="0"/>
                        <w:sz w:val="32"/>
                        <w:szCs w:val="32"/>
                      </w:rPr>
                      <w:t>☞</w:t>
                    </w:r>
                    <w:r>
                      <w:rPr>
                        <w:rFonts w:hint="eastAsia" w:ascii="楷体" w:hAnsi="楷体" w:eastAsia="楷体" w:cs="楷体"/>
                        <w:b/>
                        <w:bCs/>
                        <w:color w:val="FDEFBE"/>
                        <w:kern w:val="0"/>
                        <w:sz w:val="32"/>
                        <w:szCs w:val="32"/>
                      </w:rPr>
                      <w:t>部门决算情况说明</w:t>
                    </w:r>
                  </w:p>
                  <w:p>
                    <w:pPr>
                      <w:jc w:val="center"/>
                    </w:pPr>
                  </w:p>
                </w:txbxContent>
              </v:textbox>
            </v:rect>
            <w10:anchorlock/>
          </v:group>
        </w:pict>
      </w:r>
      <w:r>
        <w:rPr>
          <w:rFonts w:hint="eastAsia" w:ascii="仿宋_GB2312" w:eastAsia="仿宋_GB2312" w:cs="DengXian-Regular"/>
          <w:sz w:val="32"/>
          <w:szCs w:val="32"/>
        </w:rPr>
        <w:t>果，个别数据合计项与分项之和存在小数点后差额，特此说明。</w:t>
      </w:r>
    </w:p>
    <w:p>
      <w:pPr>
        <w:widowControl/>
        <w:spacing w:after="0" w:line="580" w:lineRule="exact"/>
        <w:ind w:firstLine="883" w:firstLineChars="200"/>
        <w:jc w:val="left"/>
        <w:rPr>
          <w:rFonts w:ascii="宋体" w:cs="MS-UIGothic,Bold"/>
          <w:b/>
          <w:bCs/>
          <w:kern w:val="0"/>
          <w:sz w:val="44"/>
          <w:szCs w:val="44"/>
        </w:rPr>
        <w:sectPr>
          <w:pgSz w:w="11906" w:h="16838"/>
          <w:pgMar w:top="2098" w:right="1474" w:bottom="1984" w:left="1588" w:header="851" w:footer="992" w:gutter="0"/>
          <w:cols w:space="0" w:num="1"/>
          <w:docGrid w:type="lines" w:linePitch="312" w:charSpace="0"/>
        </w:sectPr>
      </w:pPr>
    </w:p>
    <w:p>
      <w:pPr>
        <w:rPr>
          <w:rFonts w:ascii="宋体" w:cs="ArialUnicodeMS"/>
          <w:color w:val="000000"/>
          <w:kern w:val="0"/>
        </w:rPr>
        <w:sectPr>
          <w:pgSz w:w="11906" w:h="16838"/>
          <w:pgMar w:top="2098" w:right="1474" w:bottom="1984" w:left="1588" w:header="851" w:footer="992" w:gutter="0"/>
          <w:cols w:space="0" w:num="1"/>
          <w:docGrid w:type="lines" w:linePitch="312" w:charSpace="0"/>
        </w:sectPr>
      </w:pPr>
      <w:r>
        <w:pict>
          <v:shape id="图片 21" o:spid="_x0000_s1061" o:spt="75" type="#_x0000_t75" style="position:absolute;left:0pt;margin-left:-79.45pt;margin-top:-105.35pt;height:840.95pt;width:594.5pt;z-index:-251652096;mso-width-relative:page;mso-height-relative:page;" filled="f" o:preferrelative="t" stroked="f" coordsize="21600,21600">
            <v:path/>
            <v:fill on="f" focussize="0,0"/>
            <v:stroke on="f" joinstyle="miter"/>
            <v:imagedata r:id="rId8" o:title=""/>
            <o:lock v:ext="edit" aspectratio="t"/>
          </v:shape>
        </w:pict>
      </w:r>
      <w:r>
        <w:pict>
          <v:rect id="文本框 22" o:spid="_x0000_s1062" o:spt="1" style="position:absolute;left:0pt;margin-left:-78.7pt;margin-top:232.8pt;height:159.1pt;width:596.2pt;z-index:251677696;mso-width-relative:page;mso-height-relative:page;" filled="f" stroked="f" coordsize="21600,21600">
            <v:path/>
            <v:fill on="f" focussize="0,0"/>
            <v:stroke on="f"/>
            <v:imagedata o:title=""/>
            <o:lock v:ext="edit"/>
            <v:textbox>
              <w:txbxContent>
                <w:p>
                  <w:pPr>
                    <w:widowControl/>
                    <w:spacing w:line="1200" w:lineRule="exact"/>
                    <w:jc w:val="center"/>
                    <w:rPr>
                      <w:rFonts w:ascii="黑体" w:hAnsi="宋体" w:eastAsia="黑体"/>
                      <w:color w:val="FDEFBE"/>
                      <w:sz w:val="96"/>
                      <w:szCs w:val="96"/>
                    </w:rPr>
                  </w:pPr>
                  <w:r>
                    <w:rPr>
                      <w:rFonts w:hint="eastAsia" w:ascii="黑体" w:hAnsi="宋体" w:eastAsia="黑体"/>
                      <w:color w:val="FDEFBE"/>
                      <w:sz w:val="96"/>
                      <w:szCs w:val="96"/>
                    </w:rPr>
                    <w:t>第四部分</w:t>
                  </w:r>
                </w:p>
                <w:p>
                  <w:pPr>
                    <w:widowControl/>
                    <w:spacing w:line="1200" w:lineRule="exact"/>
                    <w:jc w:val="center"/>
                    <w:rPr>
                      <w:color w:val="FDEFBE"/>
                      <w:sz w:val="96"/>
                      <w:szCs w:val="96"/>
                    </w:rPr>
                  </w:pPr>
                  <w:r>
                    <w:rPr>
                      <w:rFonts w:hint="eastAsia" w:ascii="黑体" w:hAnsi="宋体" w:eastAsia="黑体"/>
                      <w:color w:val="FDEFBE"/>
                      <w:sz w:val="96"/>
                      <w:szCs w:val="96"/>
                    </w:rPr>
                    <w:t>相关名词解释</w:t>
                  </w:r>
                </w:p>
              </w:txbxContent>
            </v:textbox>
          </v:rect>
        </w:pic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（一）财政拨款收入：</w:t>
      </w:r>
      <w:r>
        <w:rPr>
          <w:rFonts w:hint="eastAsia" w:ascii="仿宋_GB2312" w:hAnsi="宋体" w:eastAsia="仿宋_GB2312"/>
          <w:color w:val="000000"/>
          <w:kern w:val="0"/>
          <w:sz w:val="32"/>
          <w:szCs w:val="32"/>
        </w:rPr>
        <w:t>本年度从本级财政部门取得的财政拨款，包括一般公共预算财政拨款和政府性基金预算财政拨款。</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（二）事业收入：</w:t>
      </w:r>
      <w:r>
        <w:rPr>
          <w:rFonts w:hint="eastAsia" w:ascii="仿宋_GB2312" w:hAnsi="宋体" w:eastAsia="仿宋_GB2312"/>
          <w:color w:val="000000"/>
          <w:kern w:val="0"/>
          <w:sz w:val="32"/>
          <w:szCs w:val="32"/>
        </w:rPr>
        <w:t>指事业单位开展专业业务活动及辅助活动所取得的收入。</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（三）其他收入：</w:t>
      </w:r>
      <w:r>
        <w:rPr>
          <w:rFonts w:hint="eastAsia" w:ascii="仿宋_GB2312" w:hAnsi="宋体" w:eastAsia="仿宋_GB2312"/>
          <w:color w:val="000000"/>
          <w:kern w:val="0"/>
          <w:sz w:val="32"/>
          <w:szCs w:val="32"/>
        </w:rPr>
        <w:t>指除上述“财政拨款收入”、“事业收入”、“经营收入”等以外的收入。</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（四）用事业基金弥补收支差额：</w:t>
      </w:r>
      <w:r>
        <w:rPr>
          <w:rFonts w:hint="eastAsia" w:ascii="仿宋_GB2312" w:hAnsi="宋体" w:eastAsia="仿宋_GB2312"/>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（五）年初结转和结余：</w:t>
      </w:r>
      <w:r>
        <w:rPr>
          <w:rFonts w:hint="eastAsia" w:ascii="仿宋_GB2312" w:hAnsi="宋体" w:eastAsia="仿宋_GB2312"/>
          <w:color w:val="000000"/>
          <w:kern w:val="0"/>
          <w:sz w:val="32"/>
          <w:szCs w:val="32"/>
        </w:rPr>
        <w:t>指以前年度尚未完成、结转到本年仍按原规定用途继续使用的资金，或项目已完成等产生的结余资金。</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（六）结余分配：</w:t>
      </w:r>
      <w:r>
        <w:rPr>
          <w:rFonts w:hint="eastAsia" w:ascii="仿宋_GB2312" w:hAnsi="宋体" w:eastAsia="仿宋_GB2312"/>
          <w:color w:val="000000"/>
          <w:kern w:val="0"/>
          <w:sz w:val="32"/>
          <w:szCs w:val="32"/>
        </w:rPr>
        <w:t>指事业单位按照事业单位会计制度的规定从非财政补助结余中分配的事业基金和职工福利基金等。</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（七）年末结转和结</w:t>
      </w:r>
      <w:r>
        <w:pict>
          <v:group id="组合 149" o:spid="_x0000_s1063" o:spt="203" style="position:absolute;left:0pt;margin-left:-81pt;margin-top:39.65pt;height:43.95pt;width:264.85pt;mso-position-vertical-relative:page;z-index:251678720;mso-width-relative:page;mso-height-relative:page;" coordorigin="4551,52615" coordsize="8546,1398203">
            <o:lock v:ext="edit"/>
            <v:rect id="_x0000_s1064" o:spid="_x0000_s1064" o:spt="1" style="position:absolute;left:4551;top:52615;height:1175;width:8546;" fillcolor="#D8D8D8" filled="t" stroked="f" coordsize="21600,21600">
              <v:path/>
              <v:fill on="t" focussize="0,0"/>
              <v:stroke on="f"/>
              <v:imagedata o:title=""/>
              <o:lock v:ext="edit"/>
            </v:rect>
            <v:rect id="_x0000_s1065" o:spid="_x0000_s1065"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2"/>
                        <w:szCs w:val="32"/>
                      </w:rPr>
                    </w:pPr>
                    <w:r>
                      <w:rPr>
                        <w:rFonts w:ascii="楷体" w:hAnsi="楷体" w:eastAsia="楷体" w:cs="楷体"/>
                        <w:b/>
                        <w:bCs/>
                        <w:color w:val="FDEFBE"/>
                        <w:kern w:val="0"/>
                        <w:sz w:val="32"/>
                        <w:szCs w:val="32"/>
                      </w:rPr>
                      <w:t>2018</w:t>
                    </w:r>
                    <w:r>
                      <w:rPr>
                        <w:rFonts w:hint="eastAsia" w:ascii="楷体" w:hAnsi="楷体" w:eastAsia="楷体" w:cs="楷体"/>
                        <w:b/>
                        <w:bCs/>
                        <w:color w:val="FDEFBE"/>
                        <w:kern w:val="0"/>
                        <w:sz w:val="32"/>
                        <w:szCs w:val="32"/>
                      </w:rPr>
                      <w:t>年度部门决算</w:t>
                    </w:r>
                    <w:r>
                      <w:rPr>
                        <w:rFonts w:hint="eastAsia" w:ascii="MS Gothic" w:hAnsi="MS Gothic" w:eastAsia="MS Gothic" w:cs="MS Gothic"/>
                        <w:b/>
                        <w:bCs/>
                        <w:color w:val="FDEFBE"/>
                        <w:kern w:val="0"/>
                        <w:sz w:val="32"/>
                        <w:szCs w:val="32"/>
                      </w:rPr>
                      <w:t>☞</w:t>
                    </w:r>
                    <w:r>
                      <w:rPr>
                        <w:rFonts w:hint="eastAsia" w:ascii="楷体" w:hAnsi="楷体" w:eastAsia="楷体" w:cs="楷体"/>
                        <w:b/>
                        <w:bCs/>
                        <w:color w:val="FDEFBE"/>
                        <w:kern w:val="0"/>
                        <w:sz w:val="32"/>
                        <w:szCs w:val="32"/>
                      </w:rPr>
                      <w:t>名词解释</w:t>
                    </w:r>
                  </w:p>
                  <w:p>
                    <w:pPr>
                      <w:jc w:val="center"/>
                    </w:pPr>
                  </w:p>
                </w:txbxContent>
              </v:textbox>
            </v:rect>
            <w10:anchorlock/>
          </v:group>
        </w:pict>
      </w:r>
      <w:r>
        <w:rPr>
          <w:rFonts w:hint="eastAsia" w:ascii="仿宋_GB2312" w:hAnsi="宋体" w:eastAsia="仿宋_GB2312"/>
          <w:b/>
          <w:bCs/>
          <w:color w:val="000000"/>
          <w:kern w:val="0"/>
          <w:sz w:val="32"/>
          <w:szCs w:val="32"/>
        </w:rPr>
        <w:t>余：</w:t>
      </w:r>
      <w:r>
        <w:rPr>
          <w:rFonts w:hint="eastAsia" w:ascii="仿宋_GB2312" w:hAnsi="宋体" w:eastAsia="仿宋_GB2312"/>
          <w:color w:val="000000"/>
          <w:kern w:val="0"/>
          <w:sz w:val="32"/>
          <w:szCs w:val="32"/>
        </w:rPr>
        <w:t>指单位按有关规定结转到下年或以后年度继续使用的资金，或项目已完成等产生的结余资金。</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（八）基本支出：</w:t>
      </w:r>
      <w:r>
        <w:rPr>
          <w:rFonts w:hint="eastAsia" w:ascii="仿宋_GB2312" w:hAnsi="宋体" w:eastAsia="仿宋_GB2312"/>
          <w:color w:val="000000"/>
          <w:kern w:val="0"/>
          <w:sz w:val="32"/>
          <w:szCs w:val="32"/>
        </w:rPr>
        <w:t>填列单位为保障机构正常运转、完成日常工作任务而发生的各项支出。</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（九）项目支出：</w:t>
      </w:r>
      <w:r>
        <w:rPr>
          <w:rFonts w:hint="eastAsia" w:ascii="仿宋_GB2312" w:hAnsi="宋体" w:eastAsia="仿宋_GB2312"/>
          <w:color w:val="000000"/>
          <w:kern w:val="0"/>
          <w:sz w:val="32"/>
          <w:szCs w:val="32"/>
        </w:rPr>
        <w:t>填列单位为完成特定的行政工作任务或事业发展目标，在基本支出之外发生的各项支出</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（十）基本建设支出：</w:t>
      </w:r>
      <w:r>
        <w:rPr>
          <w:rFonts w:hint="eastAsia" w:ascii="仿宋_GB2312" w:hAnsi="宋体" w:eastAsia="仿宋_GB2312"/>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（十一）其他资本性支出：</w:t>
      </w:r>
      <w:r>
        <w:rPr>
          <w:rFonts w:hint="eastAsia" w:ascii="仿宋_GB2312" w:hAnsi="宋体" w:eastAsia="仿宋_GB2312"/>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（十二）“三公”经费：</w:t>
      </w:r>
      <w:r>
        <w:rPr>
          <w:rFonts w:hint="eastAsia" w:ascii="仿宋_GB2312" w:hAnsi="宋体" w:eastAsia="仿宋_GB2312"/>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pict>
          <v:group id="组合 94" o:spid="_x0000_s1066" o:spt="203" style="position:absolute;left:0pt;margin-left:-81pt;margin-top:39.65pt;height:43.95pt;width:264.85pt;mso-position-vertical-relative:page;z-index:251679744;mso-width-relative:page;mso-height-relative:page;" coordorigin="4551,52615" coordsize="8546,1398203">
            <o:lock v:ext="edit"/>
            <v:rect id="_x0000_s1067" o:spid="_x0000_s1067" o:spt="1" style="position:absolute;left:4551;top:52615;height:1175;width:8546;" fillcolor="#D8D8D8" filled="t" stroked="f" coordsize="21600,21600">
              <v:path/>
              <v:fill on="t" focussize="0,0"/>
              <v:stroke on="f"/>
              <v:imagedata o:title=""/>
              <o:lock v:ext="edit"/>
            </v:rect>
            <v:rect id="_x0000_s1068" o:spid="_x0000_s1068"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2"/>
                        <w:szCs w:val="32"/>
                      </w:rPr>
                    </w:pPr>
                    <w:r>
                      <w:rPr>
                        <w:rFonts w:ascii="楷体" w:hAnsi="楷体" w:eastAsia="楷体" w:cs="楷体"/>
                        <w:b/>
                        <w:bCs/>
                        <w:color w:val="FDEFBE"/>
                        <w:kern w:val="0"/>
                        <w:sz w:val="32"/>
                        <w:szCs w:val="32"/>
                      </w:rPr>
                      <w:t>2018</w:t>
                    </w:r>
                    <w:r>
                      <w:rPr>
                        <w:rFonts w:hint="eastAsia" w:ascii="楷体" w:hAnsi="楷体" w:eastAsia="楷体" w:cs="楷体"/>
                        <w:b/>
                        <w:bCs/>
                        <w:color w:val="FDEFBE"/>
                        <w:kern w:val="0"/>
                        <w:sz w:val="32"/>
                        <w:szCs w:val="32"/>
                      </w:rPr>
                      <w:t>年度部门决算</w:t>
                    </w:r>
                    <w:r>
                      <w:rPr>
                        <w:rFonts w:hint="eastAsia" w:ascii="MS Gothic" w:hAnsi="MS Gothic" w:eastAsia="MS Gothic" w:cs="MS Gothic"/>
                        <w:b/>
                        <w:bCs/>
                        <w:color w:val="FDEFBE"/>
                        <w:kern w:val="0"/>
                        <w:sz w:val="32"/>
                        <w:szCs w:val="32"/>
                      </w:rPr>
                      <w:t>☞</w:t>
                    </w:r>
                    <w:r>
                      <w:rPr>
                        <w:rFonts w:hint="eastAsia" w:ascii="楷体" w:hAnsi="楷体" w:eastAsia="楷体" w:cs="楷体"/>
                        <w:b/>
                        <w:bCs/>
                        <w:color w:val="FDEFBE"/>
                        <w:kern w:val="0"/>
                        <w:sz w:val="32"/>
                        <w:szCs w:val="32"/>
                      </w:rPr>
                      <w:t>名词解释</w:t>
                    </w:r>
                  </w:p>
                  <w:p>
                    <w:pPr>
                      <w:jc w:val="center"/>
                    </w:pPr>
                  </w:p>
                </w:txbxContent>
              </v:textbox>
            </v:rect>
            <w10:anchorlock/>
          </v:group>
        </w:pict>
      </w:r>
      <w:r>
        <w:rPr>
          <w:rFonts w:hint="eastAsia" w:ascii="仿宋_GB2312" w:hAnsi="宋体" w:eastAsia="仿宋_GB2312"/>
          <w:color w:val="000000"/>
          <w:kern w:val="0"/>
          <w:sz w:val="32"/>
          <w:szCs w:val="32"/>
        </w:rPr>
        <w:t>待费反映单位按规定开支的各类公务接待（含外宾接待）支出。</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（十三）其</w:t>
      </w:r>
      <w:r>
        <w:pict>
          <v:group id="组合 97" o:spid="_x0000_s1069" o:spt="203" style="position:absolute;left:0pt;margin-left:-81pt;margin-top:39.65pt;height:43.95pt;width:264.85pt;mso-position-vertical-relative:page;z-index:251680768;mso-width-relative:page;mso-height-relative:page;" coordorigin="4551,52615" coordsize="8546,1398203">
            <o:lock v:ext="edit"/>
            <v:rect id="_x0000_s1070" o:spid="_x0000_s1070" o:spt="1" style="position:absolute;left:4551;top:52615;height:1175;width:8546;" fillcolor="#D8D8D8" filled="t" stroked="f" coordsize="21600,21600">
              <v:path/>
              <v:fill on="t" focussize="0,0"/>
              <v:stroke on="f"/>
              <v:imagedata o:title=""/>
              <o:lock v:ext="edit"/>
            </v:rect>
            <v:rect id="_x0000_s1071" o:spid="_x0000_s1071" o:spt="1" style="position:absolute;left:4577;top:52890;height:1123;width:8324;v-text-anchor:middle;" fillcolor="#AD002D" filled="t" stroked="t" coordsize="21600,21600">
              <v:path/>
              <v:fill on="t" focussize="0,0"/>
              <v:stroke weight="2pt" color="#AF7621" joinstyle="round"/>
              <v:imagedata o:title=""/>
              <o:lock v:ext="edit"/>
              <v:textbox>
                <w:txbxContent>
                  <w:p>
                    <w:pPr>
                      <w:widowControl/>
                      <w:jc w:val="left"/>
                      <w:rPr>
                        <w:rFonts w:ascii="楷体" w:hAnsi="楷体" w:eastAsia="楷体" w:cs="楷体"/>
                        <w:b/>
                        <w:bCs/>
                        <w:color w:val="FDEFBE"/>
                        <w:sz w:val="32"/>
                        <w:szCs w:val="32"/>
                      </w:rPr>
                    </w:pPr>
                    <w:r>
                      <w:rPr>
                        <w:rFonts w:ascii="楷体" w:hAnsi="楷体" w:eastAsia="楷体" w:cs="楷体"/>
                        <w:b/>
                        <w:bCs/>
                        <w:color w:val="FDEFBE"/>
                        <w:kern w:val="0"/>
                        <w:sz w:val="32"/>
                        <w:szCs w:val="32"/>
                      </w:rPr>
                      <w:t>2018</w:t>
                    </w:r>
                    <w:r>
                      <w:rPr>
                        <w:rFonts w:hint="eastAsia" w:ascii="楷体" w:hAnsi="楷体" w:eastAsia="楷体" w:cs="楷体"/>
                        <w:b/>
                        <w:bCs/>
                        <w:color w:val="FDEFBE"/>
                        <w:kern w:val="0"/>
                        <w:sz w:val="32"/>
                        <w:szCs w:val="32"/>
                      </w:rPr>
                      <w:t>年度部门决算</w:t>
                    </w:r>
                    <w:r>
                      <w:rPr>
                        <w:rFonts w:hint="eastAsia" w:ascii="MS Gothic" w:hAnsi="MS Gothic" w:eastAsia="MS Gothic" w:cs="MS Gothic"/>
                        <w:b/>
                        <w:bCs/>
                        <w:color w:val="FDEFBE"/>
                        <w:kern w:val="0"/>
                        <w:sz w:val="32"/>
                        <w:szCs w:val="32"/>
                      </w:rPr>
                      <w:t>☞</w:t>
                    </w:r>
                    <w:r>
                      <w:rPr>
                        <w:rFonts w:hint="eastAsia" w:ascii="楷体" w:hAnsi="楷体" w:eastAsia="楷体" w:cs="楷体"/>
                        <w:b/>
                        <w:bCs/>
                        <w:color w:val="FDEFBE"/>
                        <w:kern w:val="0"/>
                        <w:sz w:val="32"/>
                        <w:szCs w:val="32"/>
                      </w:rPr>
                      <w:t>名词解释</w:t>
                    </w:r>
                  </w:p>
                  <w:p>
                    <w:pPr>
                      <w:jc w:val="center"/>
                    </w:pPr>
                  </w:p>
                </w:txbxContent>
              </v:textbox>
            </v:rect>
            <w10:anchorlock/>
          </v:group>
        </w:pict>
      </w:r>
      <w:r>
        <w:rPr>
          <w:rFonts w:hint="eastAsia" w:ascii="仿宋_GB2312" w:hAnsi="宋体" w:eastAsia="仿宋_GB2312"/>
          <w:b/>
          <w:bCs/>
          <w:color w:val="000000"/>
          <w:kern w:val="0"/>
          <w:sz w:val="32"/>
          <w:szCs w:val="32"/>
        </w:rPr>
        <w:t>他交通费用：</w:t>
      </w:r>
      <w:r>
        <w:rPr>
          <w:rFonts w:hint="eastAsia" w:ascii="仿宋_GB2312" w:hAnsi="宋体" w:eastAsia="仿宋_GB2312"/>
          <w:color w:val="000000"/>
          <w:kern w:val="0"/>
          <w:sz w:val="32"/>
          <w:szCs w:val="32"/>
        </w:rPr>
        <w:t>填列单位除公务用车运行维护费以外的其他交通费用。如飞机、船舶等的燃料费、维修费、过桥过路费、保险费、出租车费用、公务交通补贴等。</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（十四）公务用车购置：</w:t>
      </w:r>
      <w:r>
        <w:rPr>
          <w:rFonts w:hint="eastAsia" w:ascii="仿宋_GB2312" w:hAnsi="宋体" w:eastAsia="仿宋_GB2312"/>
          <w:color w:val="000000"/>
          <w:kern w:val="0"/>
          <w:sz w:val="32"/>
          <w:szCs w:val="32"/>
        </w:rPr>
        <w:t>填列单位公务用车车辆购置支出（含车辆购置税）。</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（十五）其他交通工具购置：</w:t>
      </w:r>
      <w:r>
        <w:rPr>
          <w:rFonts w:hint="eastAsia" w:ascii="仿宋_GB2312" w:hAnsi="宋体" w:eastAsia="仿宋_GB2312"/>
          <w:color w:val="000000"/>
          <w:kern w:val="0"/>
          <w:sz w:val="32"/>
          <w:szCs w:val="32"/>
        </w:rPr>
        <w:t>填列单位除公务用车外的其他各类交通工具（如船舶、飞机）购置支出（含车辆购置税）。</w:t>
      </w:r>
    </w:p>
    <w:p>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（十六）机关运行经费：</w:t>
      </w:r>
      <w:r>
        <w:rPr>
          <w:rFonts w:hint="eastAsia" w:ascii="仿宋_GB2312" w:hAnsi="宋体" w:eastAsia="仿宋_GB2312"/>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pPr>
        <w:widowControl/>
        <w:spacing w:after="0" w:line="560" w:lineRule="exact"/>
        <w:ind w:firstLine="643" w:firstLineChars="200"/>
        <w:rPr>
          <w:rFonts w:ascii="仿宋_GB2312" w:hAnsi="Cambria" w:eastAsia="仿宋_GB2312" w:cs="ArialUnicodeMS"/>
          <w:kern w:val="0"/>
          <w:sz w:val="32"/>
          <w:szCs w:val="32"/>
        </w:rPr>
        <w:sectPr>
          <w:pgSz w:w="11906" w:h="16838"/>
          <w:pgMar w:top="2098" w:right="1474" w:bottom="1985" w:left="1588" w:header="851" w:footer="992" w:gutter="0"/>
          <w:cols w:space="425" w:num="1"/>
          <w:docGrid w:type="lines" w:linePitch="312" w:charSpace="0"/>
        </w:sectPr>
      </w:pPr>
      <w:r>
        <w:rPr>
          <w:rFonts w:hint="eastAsia" w:ascii="仿宋_GB2312" w:hAnsi="宋体" w:eastAsia="仿宋_GB2312"/>
          <w:b/>
          <w:bCs/>
          <w:color w:val="000000"/>
          <w:kern w:val="0"/>
          <w:sz w:val="32"/>
          <w:szCs w:val="32"/>
        </w:rPr>
        <w:t>（十七）经费形式</w:t>
      </w:r>
      <w:r>
        <w:rPr>
          <w:rFonts w:ascii="仿宋_GB2312" w:hAnsi="宋体" w:eastAsia="仿宋_GB2312"/>
          <w:b/>
          <w:bCs/>
          <w:color w:val="000000"/>
          <w:kern w:val="0"/>
          <w:sz w:val="32"/>
          <w:szCs w:val="32"/>
        </w:rPr>
        <w:t>:</w:t>
      </w:r>
      <w:r>
        <w:rPr>
          <w:rFonts w:hint="eastAsia" w:ascii="仿宋_GB2312" w:hAnsi="宋体" w:eastAsia="仿宋_GB2312"/>
          <w:color w:val="000000"/>
          <w:kern w:val="0"/>
          <w:sz w:val="32"/>
          <w:szCs w:val="32"/>
        </w:rPr>
        <w:t>按照经费来源，</w:t>
      </w:r>
      <w:r>
        <w:rPr>
          <w:rFonts w:hint="eastAsia" w:ascii="仿宋_GB2312" w:hAnsi="Cambria" w:eastAsia="仿宋_GB2312" w:cs="ArialUnicodeMS"/>
          <w:kern w:val="0"/>
          <w:sz w:val="32"/>
          <w:szCs w:val="32"/>
        </w:rPr>
        <w:t>可分为财政拨款、财政性资金基本保证、财政性资金定额或定项补助、财政性资金零补助四类。</w:t>
      </w:r>
    </w:p>
    <w:p>
      <w:pPr>
        <w:widowControl/>
        <w:spacing w:after="0" w:line="560" w:lineRule="exact"/>
        <w:ind w:firstLine="420" w:firstLineChars="200"/>
        <w:rPr>
          <w:rFonts w:ascii="仿宋_GB2312" w:hAnsi="Cambria" w:eastAsia="仿宋_GB2312" w:cs="ArialUnicodeMS"/>
          <w:kern w:val="0"/>
          <w:sz w:val="32"/>
          <w:szCs w:val="32"/>
        </w:rPr>
      </w:pPr>
      <w:r>
        <w:pict>
          <v:shape id="图片 101" o:spid="_x0000_s1072" o:spt="75" type="#_x0000_t75" style="position:absolute;left:0pt;margin-left:-78pt;margin-top:-106.7pt;height:845.35pt;width:597.65pt;z-index:-251651072;mso-width-relative:page;mso-height-relative:page;" filled="f" o:preferrelative="t" stroked="f" coordsize="21600,21600">
            <v:path/>
            <v:fill on="f" focussize="0,0"/>
            <v:stroke on="f" joinstyle="miter"/>
            <v:imagedata r:id="rId19" o:title=""/>
            <o:lock v:ext="edit" aspectratio="t"/>
          </v:shape>
        </w:pict>
      </w:r>
    </w:p>
    <w:p>
      <w:pPr>
        <w:widowControl/>
        <w:spacing w:after="0" w:line="560" w:lineRule="exact"/>
        <w:ind w:firstLine="640" w:firstLineChars="200"/>
        <w:rPr>
          <w:rFonts w:ascii="仿宋_GB2312" w:hAnsi="Cambria" w:eastAsia="仿宋_GB2312" w:cs="ArialUnicodeMS"/>
          <w:kern w:val="0"/>
          <w:sz w:val="32"/>
          <w:szCs w:val="32"/>
        </w:rPr>
      </w:pPr>
    </w:p>
    <w:p>
      <w:pPr>
        <w:widowControl/>
        <w:spacing w:after="0" w:line="560" w:lineRule="exact"/>
        <w:ind w:firstLine="640" w:firstLineChars="200"/>
        <w:rPr>
          <w:rFonts w:ascii="仿宋_GB2312" w:hAnsi="Cambria" w:eastAsia="仿宋_GB2312" w:cs="ArialUnicodeMS"/>
          <w:kern w:val="0"/>
          <w:sz w:val="32"/>
          <w:szCs w:val="32"/>
        </w:rPr>
      </w:pPr>
    </w:p>
    <w:p>
      <w:pPr>
        <w:widowControl/>
        <w:spacing w:after="0" w:line="560" w:lineRule="exact"/>
        <w:ind w:firstLine="640" w:firstLineChars="200"/>
        <w:rPr>
          <w:rFonts w:ascii="仿宋_GB2312" w:hAnsi="Cambria" w:eastAsia="仿宋_GB2312" w:cs="ArialUnicodeMS"/>
          <w:kern w:val="0"/>
          <w:sz w:val="32"/>
          <w:szCs w:val="32"/>
        </w:rPr>
      </w:pPr>
    </w:p>
    <w:p>
      <w:pPr>
        <w:widowControl/>
        <w:spacing w:after="0" w:line="560" w:lineRule="exact"/>
        <w:ind w:firstLine="640" w:firstLineChars="200"/>
        <w:rPr>
          <w:rFonts w:ascii="仿宋_GB2312" w:hAnsi="Cambria" w:eastAsia="仿宋_GB2312" w:cs="ArialUnicodeMS"/>
          <w:kern w:val="0"/>
          <w:sz w:val="32"/>
          <w:szCs w:val="32"/>
        </w:rPr>
      </w:pPr>
    </w:p>
    <w:p>
      <w:pPr>
        <w:widowControl/>
        <w:spacing w:after="0" w:line="240" w:lineRule="auto"/>
        <w:ind w:firstLine="640" w:firstLineChars="200"/>
        <w:rPr>
          <w:rFonts w:ascii="仿宋_GB2312" w:hAnsi="Cambria" w:eastAsia="仿宋_GB2312" w:cs="ArialUnicodeMS"/>
          <w:kern w:val="0"/>
          <w:sz w:val="32"/>
          <w:szCs w:val="32"/>
        </w:rPr>
      </w:pPr>
    </w:p>
    <w:sectPr>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方正仿宋_GBK">
    <w:altName w:val="宋体"/>
    <w:panose1 w:val="00000000000000000000"/>
    <w:charset w:val="86"/>
    <w:family w:val="auto"/>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仿宋_GB2312">
    <w:altName w:val="仿宋"/>
    <w:panose1 w:val="02010609030101010101"/>
    <w:charset w:val="86"/>
    <w:family w:val="modern"/>
    <w:pitch w:val="default"/>
    <w:sig w:usb0="00000000" w:usb1="00000000" w:usb2="00000000" w:usb3="00000000" w:csb0="00040000" w:csb1="00000000"/>
  </w:font>
  <w:font w:name="ArialUnicodeMS">
    <w:altName w:val="Adobe Myungjo Std M"/>
    <w:panose1 w:val="00000000000000000000"/>
    <w:charset w:val="81"/>
    <w:family w:val="auto"/>
    <w:pitch w:val="default"/>
    <w:sig w:usb0="00000000" w:usb1="00000000" w:usb2="00000010" w:usb3="00000000" w:csb0="00080000" w:csb1="00000000"/>
  </w:font>
  <w:font w:name="MS-UIGothic,Bold">
    <w:altName w:val="Adobe Myungjo Std M"/>
    <w:panose1 w:val="00000000000000000000"/>
    <w:charset w:val="81"/>
    <w:family w:val="auto"/>
    <w:pitch w:val="default"/>
    <w:sig w:usb0="00000000" w:usb1="00000000" w:usb2="00000010" w:usb3="00000000" w:csb0="00080000" w:csb1="00000000"/>
  </w:font>
  <w:font w:name="DengXian-Regular">
    <w:altName w:val="宋体"/>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DengXian-Bold">
    <w:altName w:val="宋体"/>
    <w:panose1 w:val="00000000000000000000"/>
    <w:charset w:val="86"/>
    <w:family w:val="auto"/>
    <w:pitch w:val="default"/>
    <w:sig w:usb0="00000000" w:usb1="00000000" w:usb2="00000010" w:usb3="00000000" w:csb0="00040000" w:csb1="00000000"/>
  </w:font>
  <w:font w:name="BatangChe">
    <w:altName w:val="Adobe Myungjo Std M"/>
    <w:panose1 w:val="02030609000101010101"/>
    <w:charset w:val="81"/>
    <w:family w:val="modern"/>
    <w:pitch w:val="default"/>
    <w:sig w:usb0="00000000" w:usb1="00000000" w:usb2="00000030" w:usb3="00000000" w:csb0="4008009F" w:csb1="DFD7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480" w:lineRule="auto"/>
      </w:pPr>
      <w:r>
        <w:separator/>
      </w:r>
    </w:p>
  </w:footnote>
  <w:footnote w:type="continuationSeparator" w:id="1">
    <w:p>
      <w:pPr>
        <w:spacing w:before="0" w:after="0" w:line="48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E77D92"/>
    <w:multiLevelType w:val="singleLevel"/>
    <w:tmpl w:val="39E77D92"/>
    <w:lvl w:ilvl="0" w:tentative="0">
      <w:start w:val="2"/>
      <w:numFmt w:val="chineseCounting"/>
      <w:suff w:val="nothing"/>
      <w:lvlText w:val="（%1）"/>
      <w:lvlJc w:val="left"/>
      <w:rPr>
        <w:rFonts w:hint="eastAsia"/>
      </w:rPr>
    </w:lvl>
  </w:abstractNum>
  <w:abstractNum w:abstractNumId="1">
    <w:nsid w:val="432773A9"/>
    <w:multiLevelType w:val="singleLevel"/>
    <w:tmpl w:val="432773A9"/>
    <w:lvl w:ilvl="0" w:tentative="0">
      <w:start w:val="3"/>
      <w:numFmt w:val="chineseCounting"/>
      <w:suff w:val="nothing"/>
      <w:lvlText w:val="（%1）"/>
      <w:lvlJc w:val="left"/>
      <w:rPr>
        <w:rFonts w:hint="eastAsia"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jZmMzkzNGFlMGJhMTJjNmRkNTgzZjI5NWE0ZDNjZWEifQ=="/>
  </w:docVars>
  <w:rsids>
    <w:rsidRoot w:val="006B6D93"/>
    <w:rsid w:val="00002D75"/>
    <w:rsid w:val="0005355C"/>
    <w:rsid w:val="001823BA"/>
    <w:rsid w:val="00233F7D"/>
    <w:rsid w:val="00345D35"/>
    <w:rsid w:val="003558ED"/>
    <w:rsid w:val="003A6053"/>
    <w:rsid w:val="003C11AB"/>
    <w:rsid w:val="003F2F2A"/>
    <w:rsid w:val="0041104E"/>
    <w:rsid w:val="00483BB2"/>
    <w:rsid w:val="004A043C"/>
    <w:rsid w:val="004A2300"/>
    <w:rsid w:val="00513481"/>
    <w:rsid w:val="0052015C"/>
    <w:rsid w:val="00555BB6"/>
    <w:rsid w:val="00587176"/>
    <w:rsid w:val="005D47C7"/>
    <w:rsid w:val="00667773"/>
    <w:rsid w:val="006B6D93"/>
    <w:rsid w:val="007D29AF"/>
    <w:rsid w:val="00814F96"/>
    <w:rsid w:val="008550A2"/>
    <w:rsid w:val="0086305C"/>
    <w:rsid w:val="008B5783"/>
    <w:rsid w:val="008C4D11"/>
    <w:rsid w:val="008E2C75"/>
    <w:rsid w:val="00920CB2"/>
    <w:rsid w:val="00961521"/>
    <w:rsid w:val="00A5301B"/>
    <w:rsid w:val="00A77D38"/>
    <w:rsid w:val="00A9027B"/>
    <w:rsid w:val="00AA0C42"/>
    <w:rsid w:val="00AA61FC"/>
    <w:rsid w:val="00BD22B9"/>
    <w:rsid w:val="00BD4613"/>
    <w:rsid w:val="00BF07B2"/>
    <w:rsid w:val="00C007E7"/>
    <w:rsid w:val="00C25FA5"/>
    <w:rsid w:val="00C31F8C"/>
    <w:rsid w:val="00C63693"/>
    <w:rsid w:val="00C73BC8"/>
    <w:rsid w:val="00C7582D"/>
    <w:rsid w:val="00C80300"/>
    <w:rsid w:val="00D27D2A"/>
    <w:rsid w:val="00D85966"/>
    <w:rsid w:val="00D90429"/>
    <w:rsid w:val="00DB08C0"/>
    <w:rsid w:val="00DB4B2C"/>
    <w:rsid w:val="00DB6035"/>
    <w:rsid w:val="00DD755D"/>
    <w:rsid w:val="00E47EC1"/>
    <w:rsid w:val="00F25E93"/>
    <w:rsid w:val="00F42C03"/>
    <w:rsid w:val="00F93A79"/>
    <w:rsid w:val="00FC22C2"/>
    <w:rsid w:val="00FD7844"/>
    <w:rsid w:val="00FF7EA0"/>
    <w:rsid w:val="02FA4C1C"/>
    <w:rsid w:val="03DE18F3"/>
    <w:rsid w:val="089F16E0"/>
    <w:rsid w:val="0B540212"/>
    <w:rsid w:val="0CED21BC"/>
    <w:rsid w:val="0D955DA8"/>
    <w:rsid w:val="0F8D0D44"/>
    <w:rsid w:val="164F33FD"/>
    <w:rsid w:val="16D45907"/>
    <w:rsid w:val="1B8E0768"/>
    <w:rsid w:val="1F7E1064"/>
    <w:rsid w:val="1FB0611E"/>
    <w:rsid w:val="20D7428C"/>
    <w:rsid w:val="222C1FD8"/>
    <w:rsid w:val="23DB51A7"/>
    <w:rsid w:val="258B5BAB"/>
    <w:rsid w:val="26BC60BD"/>
    <w:rsid w:val="2AFC5E5F"/>
    <w:rsid w:val="2B345634"/>
    <w:rsid w:val="2CA96977"/>
    <w:rsid w:val="2DA6758B"/>
    <w:rsid w:val="2DF037A7"/>
    <w:rsid w:val="3C8D1C36"/>
    <w:rsid w:val="3D031A12"/>
    <w:rsid w:val="3D436F42"/>
    <w:rsid w:val="3FCA398B"/>
    <w:rsid w:val="3FE875EE"/>
    <w:rsid w:val="43EB06F2"/>
    <w:rsid w:val="540C511F"/>
    <w:rsid w:val="61177ECF"/>
    <w:rsid w:val="68B42526"/>
    <w:rsid w:val="6AC24358"/>
    <w:rsid w:val="6EDC0A57"/>
    <w:rsid w:val="709949F8"/>
    <w:rsid w:val="75116739"/>
    <w:rsid w:val="76983C0C"/>
    <w:rsid w:val="7C9E5C3A"/>
    <w:rsid w:val="7E1976A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48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6"/>
    <w:qFormat/>
    <w:uiPriority w:val="99"/>
    <w:pPr>
      <w:keepNext/>
      <w:keepLines/>
      <w:spacing w:before="260" w:after="260" w:line="416" w:lineRule="auto"/>
      <w:outlineLvl w:val="1"/>
    </w:pPr>
    <w:rPr>
      <w:rFonts w:ascii="Calibri" w:hAnsi="Calibri" w:cs="宋体"/>
      <w:b/>
      <w:bCs/>
      <w:sz w:val="32"/>
      <w:szCs w:val="32"/>
    </w:rPr>
  </w:style>
  <w:style w:type="paragraph" w:styleId="4">
    <w:name w:val="heading 3"/>
    <w:basedOn w:val="1"/>
    <w:next w:val="1"/>
    <w:link w:val="17"/>
    <w:qFormat/>
    <w:uiPriority w:val="99"/>
    <w:pPr>
      <w:keepNext/>
      <w:keepLines/>
      <w:spacing w:before="260" w:after="260" w:line="416" w:lineRule="auto"/>
      <w:outlineLvl w:val="2"/>
    </w:pPr>
    <w:rPr>
      <w:b/>
      <w:bCs/>
      <w:sz w:val="32"/>
      <w:szCs w:val="32"/>
    </w:rPr>
  </w:style>
  <w:style w:type="paragraph" w:styleId="5">
    <w:name w:val="heading 4"/>
    <w:basedOn w:val="1"/>
    <w:next w:val="1"/>
    <w:link w:val="18"/>
    <w:qFormat/>
    <w:uiPriority w:val="99"/>
    <w:pPr>
      <w:keepNext/>
      <w:keepLines/>
      <w:spacing w:before="280" w:after="290" w:line="376" w:lineRule="auto"/>
      <w:outlineLvl w:val="3"/>
    </w:pPr>
    <w:rPr>
      <w:rFonts w:ascii="Calibri" w:hAnsi="Calibri" w:cs="宋体"/>
      <w:b/>
      <w:bCs/>
      <w:sz w:val="28"/>
      <w:szCs w:val="28"/>
    </w:rPr>
  </w:style>
  <w:style w:type="character" w:default="1" w:styleId="14">
    <w:name w:val="Default Paragraph Font"/>
    <w:semiHidden/>
    <w:uiPriority w:val="99"/>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Date"/>
    <w:basedOn w:val="1"/>
    <w:next w:val="1"/>
    <w:link w:val="19"/>
    <w:uiPriority w:val="99"/>
    <w:pPr>
      <w:ind w:left="100" w:leftChars="2500"/>
    </w:pPr>
  </w:style>
  <w:style w:type="paragraph" w:styleId="7">
    <w:name w:val="Balloon Text"/>
    <w:basedOn w:val="1"/>
    <w:link w:val="20"/>
    <w:qFormat/>
    <w:uiPriority w:val="99"/>
    <w:rPr>
      <w:sz w:val="18"/>
      <w:szCs w:val="18"/>
    </w:rPr>
  </w:style>
  <w:style w:type="paragraph" w:styleId="8">
    <w:name w:val="footer"/>
    <w:basedOn w:val="1"/>
    <w:link w:val="21"/>
    <w:qFormat/>
    <w:uiPriority w:val="99"/>
    <w:pPr>
      <w:tabs>
        <w:tab w:val="center" w:pos="4153"/>
        <w:tab w:val="right" w:pos="8306"/>
      </w:tabs>
      <w:snapToGrid w:val="0"/>
      <w:jc w:val="left"/>
    </w:pPr>
    <w:rPr>
      <w:rFonts w:ascii="Cambria" w:hAnsi="Cambria" w:eastAsia="黑体" w:cs="宋体"/>
      <w:sz w:val="18"/>
      <w:szCs w:val="18"/>
    </w:rPr>
  </w:style>
  <w:style w:type="paragraph" w:styleId="9">
    <w:name w:val="header"/>
    <w:basedOn w:val="1"/>
    <w:link w:val="22"/>
    <w:uiPriority w:val="99"/>
    <w:pPr>
      <w:pBdr>
        <w:bottom w:val="single" w:color="auto" w:sz="6" w:space="1"/>
      </w:pBdr>
      <w:tabs>
        <w:tab w:val="center" w:pos="4153"/>
        <w:tab w:val="right" w:pos="8306"/>
      </w:tabs>
      <w:snapToGrid w:val="0"/>
      <w:jc w:val="center"/>
    </w:pPr>
    <w:rPr>
      <w:rFonts w:ascii="Cambria" w:hAnsi="Cambria" w:eastAsia="黑体" w:cs="宋体"/>
      <w:sz w:val="18"/>
      <w:szCs w:val="18"/>
    </w:rPr>
  </w:style>
  <w:style w:type="paragraph" w:styleId="10">
    <w:name w:val="Subtitle"/>
    <w:basedOn w:val="1"/>
    <w:next w:val="1"/>
    <w:link w:val="23"/>
    <w:qFormat/>
    <w:uiPriority w:val="99"/>
    <w:pPr>
      <w:widowControl/>
      <w:spacing w:after="200" w:line="276" w:lineRule="auto"/>
      <w:jc w:val="left"/>
    </w:pPr>
    <w:rPr>
      <w:rFonts w:ascii="Calibri" w:hAnsi="Calibri" w:cs="宋体"/>
      <w:i/>
      <w:iCs/>
      <w:color w:val="F0A22E"/>
      <w:spacing w:val="15"/>
      <w:kern w:val="0"/>
      <w:sz w:val="24"/>
    </w:rPr>
  </w:style>
  <w:style w:type="paragraph" w:styleId="11">
    <w:name w:val="Title"/>
    <w:basedOn w:val="1"/>
    <w:next w:val="1"/>
    <w:link w:val="24"/>
    <w:qFormat/>
    <w:uiPriority w:val="99"/>
    <w:pPr>
      <w:widowControl/>
      <w:pBdr>
        <w:bottom w:val="single" w:color="F0A22E" w:sz="8" w:space="4"/>
      </w:pBdr>
      <w:spacing w:after="300"/>
      <w:contextualSpacing/>
      <w:jc w:val="left"/>
    </w:pPr>
    <w:rPr>
      <w:rFonts w:ascii="Calibri" w:hAnsi="Calibri" w:cs="宋体"/>
      <w:color w:val="3B2C24"/>
      <w:spacing w:val="5"/>
      <w:kern w:val="28"/>
      <w:sz w:val="52"/>
      <w:szCs w:val="52"/>
    </w:rPr>
  </w:style>
  <w:style w:type="table" w:styleId="13">
    <w:name w:val="Table Grid"/>
    <w:basedOn w:val="12"/>
    <w:uiPriority w:val="99"/>
    <w:rPr>
      <w:kern w:val="0"/>
      <w:sz w:val="22"/>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5">
    <w:name w:val="Heading 1 Char"/>
    <w:basedOn w:val="14"/>
    <w:link w:val="2"/>
    <w:qFormat/>
    <w:locked/>
    <w:uiPriority w:val="99"/>
    <w:rPr>
      <w:rFonts w:ascii="Times New Roman" w:hAnsi="Times New Roman" w:eastAsia="宋体" w:cs="Times New Roman"/>
      <w:b/>
      <w:bCs/>
      <w:kern w:val="44"/>
      <w:sz w:val="44"/>
      <w:szCs w:val="44"/>
    </w:rPr>
  </w:style>
  <w:style w:type="character" w:customStyle="1" w:styleId="16">
    <w:name w:val="Heading 2 Char"/>
    <w:basedOn w:val="14"/>
    <w:link w:val="3"/>
    <w:qFormat/>
    <w:locked/>
    <w:uiPriority w:val="99"/>
    <w:rPr>
      <w:rFonts w:ascii="Calibri" w:hAnsi="Calibri" w:eastAsia="宋体" w:cs="宋体"/>
      <w:b/>
      <w:bCs/>
      <w:sz w:val="32"/>
      <w:szCs w:val="32"/>
    </w:rPr>
  </w:style>
  <w:style w:type="character" w:customStyle="1" w:styleId="17">
    <w:name w:val="Heading 3 Char"/>
    <w:basedOn w:val="14"/>
    <w:link w:val="4"/>
    <w:qFormat/>
    <w:locked/>
    <w:uiPriority w:val="99"/>
    <w:rPr>
      <w:rFonts w:ascii="Times New Roman" w:hAnsi="Times New Roman" w:eastAsia="宋体" w:cs="Times New Roman"/>
      <w:b/>
      <w:bCs/>
      <w:sz w:val="32"/>
      <w:szCs w:val="32"/>
    </w:rPr>
  </w:style>
  <w:style w:type="character" w:customStyle="1" w:styleId="18">
    <w:name w:val="Heading 4 Char"/>
    <w:basedOn w:val="14"/>
    <w:link w:val="5"/>
    <w:qFormat/>
    <w:locked/>
    <w:uiPriority w:val="99"/>
    <w:rPr>
      <w:rFonts w:ascii="Calibri" w:hAnsi="Calibri" w:eastAsia="宋体" w:cs="宋体"/>
      <w:b/>
      <w:bCs/>
      <w:sz w:val="28"/>
      <w:szCs w:val="28"/>
    </w:rPr>
  </w:style>
  <w:style w:type="character" w:customStyle="1" w:styleId="19">
    <w:name w:val="Date Char"/>
    <w:basedOn w:val="14"/>
    <w:link w:val="6"/>
    <w:locked/>
    <w:uiPriority w:val="99"/>
    <w:rPr>
      <w:rFonts w:ascii="Times New Roman" w:hAnsi="Times New Roman" w:eastAsia="宋体" w:cs="Times New Roman"/>
      <w:sz w:val="24"/>
      <w:szCs w:val="24"/>
    </w:rPr>
  </w:style>
  <w:style w:type="character" w:customStyle="1" w:styleId="20">
    <w:name w:val="Balloon Text Char"/>
    <w:basedOn w:val="14"/>
    <w:link w:val="7"/>
    <w:qFormat/>
    <w:locked/>
    <w:uiPriority w:val="99"/>
    <w:rPr>
      <w:rFonts w:ascii="Times New Roman" w:hAnsi="Times New Roman" w:eastAsia="宋体" w:cs="Times New Roman"/>
      <w:sz w:val="18"/>
      <w:szCs w:val="18"/>
    </w:rPr>
  </w:style>
  <w:style w:type="character" w:customStyle="1" w:styleId="21">
    <w:name w:val="Footer Char"/>
    <w:basedOn w:val="14"/>
    <w:link w:val="8"/>
    <w:locked/>
    <w:uiPriority w:val="99"/>
    <w:rPr>
      <w:rFonts w:cs="Times New Roman"/>
      <w:sz w:val="18"/>
      <w:szCs w:val="18"/>
    </w:rPr>
  </w:style>
  <w:style w:type="character" w:customStyle="1" w:styleId="22">
    <w:name w:val="Header Char"/>
    <w:basedOn w:val="14"/>
    <w:link w:val="9"/>
    <w:qFormat/>
    <w:locked/>
    <w:uiPriority w:val="99"/>
    <w:rPr>
      <w:rFonts w:cs="Times New Roman"/>
      <w:sz w:val="18"/>
      <w:szCs w:val="18"/>
    </w:rPr>
  </w:style>
  <w:style w:type="character" w:customStyle="1" w:styleId="23">
    <w:name w:val="Subtitle Char"/>
    <w:basedOn w:val="14"/>
    <w:link w:val="10"/>
    <w:qFormat/>
    <w:locked/>
    <w:uiPriority w:val="99"/>
    <w:rPr>
      <w:rFonts w:ascii="Calibri" w:hAnsi="Calibri" w:eastAsia="宋体" w:cs="宋体"/>
      <w:i/>
      <w:iCs/>
      <w:color w:val="F0A22E"/>
      <w:spacing w:val="15"/>
      <w:kern w:val="0"/>
      <w:sz w:val="24"/>
      <w:szCs w:val="24"/>
    </w:rPr>
  </w:style>
  <w:style w:type="character" w:customStyle="1" w:styleId="24">
    <w:name w:val="Title Char"/>
    <w:basedOn w:val="14"/>
    <w:link w:val="11"/>
    <w:qFormat/>
    <w:locked/>
    <w:uiPriority w:val="99"/>
    <w:rPr>
      <w:rFonts w:ascii="Calibri" w:hAnsi="Calibri" w:eastAsia="宋体" w:cs="宋体"/>
      <w:color w:val="3B2C24"/>
      <w:spacing w:val="5"/>
      <w:kern w:val="28"/>
      <w:sz w:val="52"/>
      <w:szCs w:val="52"/>
    </w:rPr>
  </w:style>
  <w:style w:type="paragraph" w:customStyle="1" w:styleId="25">
    <w:name w:val="无间隔1"/>
    <w:link w:val="26"/>
    <w:uiPriority w:val="99"/>
    <w:pPr>
      <w:spacing w:after="160" w:line="480" w:lineRule="auto"/>
    </w:pPr>
    <w:rPr>
      <w:rFonts w:ascii="Cambria" w:hAnsi="Cambria" w:eastAsia="黑体" w:cs="宋体"/>
      <w:kern w:val="0"/>
      <w:sz w:val="22"/>
      <w:szCs w:val="22"/>
      <w:lang w:val="en-US" w:eastAsia="zh-CN" w:bidi="ar-SA"/>
    </w:rPr>
  </w:style>
  <w:style w:type="character" w:customStyle="1" w:styleId="26">
    <w:name w:val="无间隔 Char"/>
    <w:basedOn w:val="14"/>
    <w:link w:val="25"/>
    <w:locked/>
    <w:uiPriority w:val="99"/>
    <w:rPr>
      <w:rFonts w:ascii="Cambria" w:hAnsi="Cambria" w:eastAsia="黑体" w:cs="宋体"/>
      <w:sz w:val="22"/>
      <w:szCs w:val="22"/>
      <w:lang w:val="en-US" w:eastAsia="zh-CN" w:bidi="ar-SA"/>
    </w:rPr>
  </w:style>
  <w:style w:type="character" w:customStyle="1" w:styleId="27">
    <w:name w:val="Style1"/>
    <w:basedOn w:val="14"/>
    <w:uiPriority w:val="99"/>
    <w:rPr>
      <w:rFonts w:ascii="Cambria" w:hAnsi="黑体" w:eastAsia="黑体" w:cs="宋体"/>
      <w:sz w:val="22"/>
      <w:szCs w:val="22"/>
      <w:lang w:eastAsia="zh-CN"/>
    </w:rPr>
  </w:style>
  <w:style w:type="character" w:customStyle="1" w:styleId="28">
    <w:name w:val="Style2"/>
    <w:basedOn w:val="14"/>
    <w:uiPriority w:val="99"/>
    <w:rPr>
      <w:rFonts w:ascii="Cambria" w:hAnsi="黑体" w:eastAsia="黑体" w:cs="宋体"/>
      <w:sz w:val="22"/>
      <w:szCs w:val="22"/>
      <w:lang w:eastAsia="zh-CN"/>
    </w:rPr>
  </w:style>
  <w:style w:type="character" w:customStyle="1" w:styleId="29">
    <w:name w:val="Style3"/>
    <w:basedOn w:val="14"/>
    <w:uiPriority w:val="99"/>
    <w:rPr>
      <w:rFonts w:ascii="Cambria" w:hAnsi="黑体" w:eastAsia="黑体" w:cs="宋体"/>
      <w:sz w:val="22"/>
      <w:szCs w:val="22"/>
      <w:lang w:eastAsia="zh-CN"/>
    </w:rPr>
  </w:style>
  <w:style w:type="character" w:customStyle="1" w:styleId="30">
    <w:name w:val="Style4"/>
    <w:basedOn w:val="14"/>
    <w:uiPriority w:val="99"/>
    <w:rPr>
      <w:rFonts w:ascii="Cambria" w:hAnsi="黑体" w:eastAsia="黑体" w:cs="宋体"/>
      <w:sz w:val="22"/>
      <w:szCs w:val="22"/>
      <w:lang w:eastAsia="zh-CN"/>
    </w:rPr>
  </w:style>
  <w:style w:type="character" w:customStyle="1" w:styleId="31">
    <w:name w:val="Style5"/>
    <w:basedOn w:val="14"/>
    <w:uiPriority w:val="99"/>
    <w:rPr>
      <w:rFonts w:ascii="Cambria" w:hAnsi="黑体" w:eastAsia="黑体" w:cs="宋体"/>
      <w:sz w:val="22"/>
      <w:szCs w:val="22"/>
      <w:lang w:eastAsia="zh-CN"/>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9.jpeg"/><Relationship Id="rId18" Type="http://schemas.openxmlformats.org/officeDocument/2006/relationships/image" Target="media/image8.png"/><Relationship Id="rId17" Type="http://schemas.openxmlformats.org/officeDocument/2006/relationships/oleObject" Target="embeddings/oleObject5.bin"/><Relationship Id="rId16" Type="http://schemas.openxmlformats.org/officeDocument/2006/relationships/image" Target="media/image7.png"/><Relationship Id="rId15" Type="http://schemas.openxmlformats.org/officeDocument/2006/relationships/oleObject" Target="embeddings/oleObject4.bin"/><Relationship Id="rId14" Type="http://schemas.openxmlformats.org/officeDocument/2006/relationships/image" Target="media/image6.png"/><Relationship Id="rId13" Type="http://schemas.openxmlformats.org/officeDocument/2006/relationships/oleObject" Target="embeddings/oleObject3.bin"/><Relationship Id="rId12" Type="http://schemas.openxmlformats.org/officeDocument/2006/relationships/image" Target="media/image5.png"/><Relationship Id="rId11" Type="http://schemas.openxmlformats.org/officeDocument/2006/relationships/oleObject" Target="embeddings/oleObject2.bin"/><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Info spid="_x0000_s1027"/>
    <customShpInfo spid="_x0000_s1029"/>
    <customShpInfo spid="_x0000_s1030"/>
    <customShpInfo spid="_x0000_s1028"/>
    <customShpInfo spid="_x0000_s1032"/>
    <customShpInfo spid="_x0000_s1033"/>
    <customShpInfo spid="_x0000_s1031"/>
    <customShpInfo spid="_x0000_s1034"/>
    <customShpInfo spid="_x0000_s1035"/>
    <customShpInfo spid="_x0000_s1037"/>
    <customShpInfo spid="_x0000_s1038"/>
    <customShpInfo spid="_x0000_s1036"/>
    <customShpInfo spid="_x0000_s1039"/>
    <customShpInfo spid="_x0000_s1040"/>
    <customShpInfo spid="_x0000_s1041"/>
    <customShpInfo spid="_x0000_s1042"/>
    <customShpInfo spid="_x0000_s1044"/>
    <customShpInfo spid="_x0000_s1045"/>
    <customShpInfo spid="_x0000_s1043"/>
    <customShpInfo spid="_x0000_s1047"/>
    <customShpInfo spid="_x0000_s1048"/>
    <customShpInfo spid="_x0000_s1046"/>
    <customShpInfo spid="_x0000_s1050"/>
    <customShpInfo spid="_x0000_s1051"/>
    <customShpInfo spid="_x0000_s1049"/>
    <customShpInfo spid="_x0000_s1073"/>
    <customShpInfo spid="_x0000_s1074"/>
    <customShpInfo spid="_x0000_s1075"/>
    <customShpInfo spid="_x0000_s1053"/>
    <customShpInfo spid="_x0000_s1054"/>
    <customShpInfo spid="_x0000_s1052"/>
    <customShpInfo spid="_x0000_s1056"/>
    <customShpInfo spid="_x0000_s1057"/>
    <customShpInfo spid="_x0000_s1055"/>
    <customShpInfo spid="_x0000_s1059"/>
    <customShpInfo spid="_x0000_s1060"/>
    <customShpInfo spid="_x0000_s1058"/>
    <customShpInfo spid="_x0000_s1061"/>
    <customShpInfo spid="_x0000_s1062"/>
    <customShpInfo spid="_x0000_s1064"/>
    <customShpInfo spid="_x0000_s1065"/>
    <customShpInfo spid="_x0000_s1063"/>
    <customShpInfo spid="_x0000_s1067"/>
    <customShpInfo spid="_x0000_s1068"/>
    <customShpInfo spid="_x0000_s1066"/>
    <customShpInfo spid="_x0000_s1070"/>
    <customShpInfo spid="_x0000_s1071"/>
    <customShpInfo spid="_x0000_s1069"/>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Microsoft</Company>
  <Pages>28</Pages>
  <Words>6758</Words>
  <Characters>7336</Characters>
  <Lines>0</Lines>
  <Paragraphs>0</Paragraphs>
  <TotalTime>12</TotalTime>
  <ScaleCrop>false</ScaleCrop>
  <LinksUpToDate>false</LinksUpToDate>
  <CharactersWithSpaces>7360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2018-08-29T08:38:00Z</dcterms:created>
  <dc:creator>User</dc:creator>
  <cp:lastModifiedBy>Z薇薇好心情摄影古马店</cp:lastModifiedBy>
  <dcterms:modified xsi:type="dcterms:W3CDTF">2023-06-25T02:29:16Z</dcterms:modified>
  <dc:subject>石家庄市xxx部门</dc:subject>
  <dc:title>2017年度部门决算</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06DEB14C84CD41BCB6B815CC020CACF7</vt:lpwstr>
  </property>
</Properties>
</file>