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b w:val="0"/>
          <w:bCs w:val="0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0"/>
          <w:szCs w:val="30"/>
          <w:shd w:val="clear" w:fill="FFFFFF"/>
          <w:lang w:val="en-US" w:eastAsia="zh-CN" w:bidi="ar"/>
        </w:rPr>
        <w:t>滦州市民政局关于2023年3月建档立卡扶贫专项资金支出说明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1、项目名称：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3月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份建档立卡贫困户-特困供养；资金来源：冀财社【2022】187号；金额：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96664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2、项目名称：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3月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份建档立卡贫困户-城镇低保救助；资金来源：冀财社【2022】187号；金额5400元；用途：进行建档立卡困难群众救助；农村低保救助：资金来源：冀财社【2021】187号：金额：41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0155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3、项目名称：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3月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份建档立卡贫困户-孤儿救助；资金来源：冀财社【2022】175号：金额：1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82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00元，县级资金：金额：3900元；用途：进行建档立卡困难群众救助。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4、项目名称：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3月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份建档立卡贫困户-重度残疾人护理补贴；资金来源：冀财社【2022】175号；金额：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12620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5、项目名称：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3月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份建档立卡贫困户-困难残疾人生活补贴；资金来源：冀财社【2022】175号；金额：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22778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6、项目名称：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3月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份建档立卡贫困户-重度残疾人（精神，智力）三级护理补贴；资金来源：县级资金：金额：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3280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0" w:firstLineChars="20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3月份建档立卡扶贫资金从冀财社【2022】187号中支出512219元；从冀财社【2022】175号中支出53598元；从县本级中支出7180元.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0" w:firstLineChars="20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0" w:firstLineChars="20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1-3月份建档立卡扶贫资金从冀财社【2022】187号中累计共支出1558467元；从冀财社【2022】175号中共支出158322元；从县本级中共支出21860元。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rightChars="0"/>
        <w:jc w:val="left"/>
        <w:rPr>
          <w:b w:val="0"/>
          <w:bCs w:val="0"/>
        </w:rPr>
      </w:pPr>
      <w:r>
        <w:rPr>
          <w:rFonts w:ascii="Calibri" w:hAnsi="Calibri" w:eastAsia="宋体" w:cs="Times New Roman"/>
          <w:b w:val="0"/>
          <w:bCs w:val="0"/>
          <w:color w:val="000000"/>
          <w:kern w:val="2"/>
          <w:sz w:val="21"/>
          <w:szCs w:val="21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/>
        <w:jc w:val="righ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 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/>
        <w:jc w:val="righ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滦州市民政局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/>
        <w:jc w:val="right"/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2023年3月22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145283"/>
    <w:rsid w:val="52145283"/>
    <w:rsid w:val="7865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2023-04-23T01:45:00Z</dcterms:created>
  <dc:creator>Administrator</dc:creator>
  <cp:lastModifiedBy>Administrator</cp:lastModifiedBy>
  <cp:lastPrinted>2023-04-23T02:23:40Z</cp:lastPrinted>
  <dcterms:modified xsi:type="dcterms:W3CDTF">2023-04-23T02:34:01Z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