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before="0" w:beforeLines="0" w:after="0" w:afterLines="0" w:line="530" w:lineRule="exact"/>
        <w:ind w:left="0" w:leftChars="0" w:right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000000"/>
          <w:szCs w:val="32"/>
        </w:rPr>
      </w:pPr>
    </w:p>
    <w:p>
      <w:pPr>
        <w:widowControl w:val="0"/>
        <w:tabs>
          <w:tab w:val="left" w:pos="640"/>
        </w:tabs>
        <w:wordWrap/>
        <w:adjustRightInd/>
        <w:snapToGrid/>
        <w:spacing w:before="0" w:beforeLines="0" w:after="0" w:afterLines="0" w:line="520" w:lineRule="exact"/>
        <w:ind w:left="0" w:leftChars="0" w:right="0" w:firstLine="0" w:firstLineChars="0"/>
        <w:jc w:val="both"/>
        <w:textAlignment w:val="auto"/>
        <w:outlineLvl w:val="9"/>
        <w:rPr>
          <w:rFonts w:hint="default" w:ascii="Times New Roman" w:hAnsi="Times New Roman" w:eastAsia="方正黑体简体" w:cs="Times New Roman"/>
          <w:color w:val="000000"/>
          <w:szCs w:val="32"/>
        </w:rPr>
      </w:pPr>
    </w:p>
    <w:p>
      <w:pPr>
        <w:widowControl w:val="0"/>
        <w:wordWrap/>
        <w:adjustRightInd/>
        <w:snapToGrid/>
        <w:spacing w:before="0" w:beforeLines="0" w:after="0" w:afterLines="0" w:line="600" w:lineRule="exact"/>
        <w:ind w:left="0" w:leftChars="0" w:right="210" w:rightChars="100" w:firstLine="0" w:firstLineChars="0"/>
        <w:jc w:val="both"/>
        <w:textAlignment w:val="auto"/>
        <w:outlineLvl w:val="9"/>
        <w:rPr>
          <w:rFonts w:hint="default" w:ascii="Times New Roman" w:hAnsi="Times New Roman" w:cs="Times New Roman"/>
          <w:color w:val="000000"/>
          <w:szCs w:val="32"/>
        </w:rPr>
      </w:pPr>
    </w:p>
    <w:p>
      <w:pPr>
        <w:widowControl w:val="0"/>
        <w:wordWrap/>
        <w:adjustRightInd/>
        <w:snapToGrid/>
        <w:spacing w:before="0" w:beforeLines="0" w:after="0" w:afterLines="0" w:line="570" w:lineRule="exact"/>
        <w:ind w:left="0" w:leftChars="0" w:right="210" w:rightChars="100" w:firstLine="0" w:firstLineChars="0"/>
        <w:jc w:val="both"/>
        <w:textAlignment w:val="auto"/>
        <w:outlineLvl w:val="9"/>
        <w:rPr>
          <w:rFonts w:hint="default" w:ascii="Times New Roman" w:hAnsi="Times New Roman" w:cs="Times New Roman"/>
          <w:color w:val="000000"/>
          <w:szCs w:val="32"/>
        </w:rPr>
      </w:pPr>
    </w:p>
    <w:p>
      <w:pPr>
        <w:tabs>
          <w:tab w:val="left" w:pos="630"/>
        </w:tabs>
        <w:jc w:val="center"/>
        <w:rPr>
          <w:rFonts w:hint="default" w:ascii="Times New Roman" w:hAnsi="Times New Roman" w:eastAsia="方正楷体简体" w:cs="Times New Roman"/>
          <w:color w:val="000000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东安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安办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〔202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〕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号</w:t>
      </w:r>
      <w:r>
        <w:rPr>
          <w:rFonts w:hint="default" w:ascii="Times New Roman" w:hAnsi="Times New Roman" w:eastAsia="仿宋" w:cs="Times New Roman"/>
          <w:color w:val="000000"/>
          <w:szCs w:val="32"/>
        </w:rPr>
        <w:t xml:space="preserve"> </w:t>
      </w:r>
      <w:r>
        <w:rPr>
          <w:rFonts w:hint="default" w:ascii="Times New Roman" w:hAnsi="Times New Roman" w:cs="Times New Roman"/>
          <w:color w:val="000000"/>
          <w:szCs w:val="32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cs="Times New Roman"/>
          <w:color w:val="000000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1050"/>
          <w:tab w:val="left" w:pos="1260"/>
          <w:tab w:val="left" w:pos="1470"/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cs="Times New Roman"/>
          <w:color w:val="000000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滦州市东安各庄镇</w:t>
      </w:r>
      <w:r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安全生产委员会办公室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关于</w:t>
      </w:r>
      <w:r>
        <w:rPr>
          <w:rFonts w:hint="eastAsia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切实做好全国“两会”期间安全生产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</w:pPr>
      <w:r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工作的通知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</w:p>
    <w:p>
      <w:pPr>
        <w:spacing w:line="57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安委会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有关</w:t>
      </w:r>
      <w:r>
        <w:rPr>
          <w:rFonts w:eastAsia="仿宋_GB2312"/>
          <w:color w:val="000000"/>
          <w:sz w:val="32"/>
          <w:szCs w:val="32"/>
        </w:rPr>
        <w:t>成员单位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、</w:t>
      </w:r>
      <w:r>
        <w:rPr>
          <w:rFonts w:eastAsia="仿宋_GB2312"/>
          <w:color w:val="000000"/>
          <w:sz w:val="32"/>
          <w:szCs w:val="32"/>
        </w:rPr>
        <w:t>各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村、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各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企业</w:t>
      </w:r>
      <w:r>
        <w:rPr>
          <w:rFonts w:eastAsia="仿宋_GB2312"/>
          <w:color w:val="000000"/>
          <w:sz w:val="32"/>
          <w:szCs w:val="32"/>
        </w:rPr>
        <w:t>：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 w:val="0"/>
        <w:bidi w:val="0"/>
        <w:snapToGrid w:val="0"/>
        <w:spacing w:line="55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为深入贯彻落实国家、省市安全生产电视电话会议精神</w:t>
      </w:r>
      <w:r>
        <w:rPr>
          <w:rFonts w:hint="eastAsia" w:eastAsia="仿宋_GB2312"/>
          <w:sz w:val="32"/>
          <w:szCs w:val="32"/>
          <w:lang w:eastAsia="zh-CN"/>
        </w:rPr>
        <w:t>以及</w:t>
      </w:r>
      <w:r>
        <w:rPr>
          <w:rFonts w:eastAsia="仿宋_GB2312"/>
          <w:sz w:val="32"/>
          <w:szCs w:val="32"/>
        </w:rPr>
        <w:t>安全生产决策部署</w:t>
      </w:r>
      <w:r>
        <w:rPr>
          <w:rFonts w:hint="eastAsia" w:ascii="仿宋_GB2312" w:hAnsi="仿宋_GB2312" w:eastAsia="仿宋_GB2312" w:cs="仿宋_GB2312"/>
          <w:sz w:val="32"/>
          <w:szCs w:val="32"/>
        </w:rPr>
        <w:t>，严防各类安全事故发生，确保“两会”期间安全生产形势稳定，现就有关事项通知如下：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 w:val="0"/>
        <w:bidi w:val="0"/>
        <w:snapToGrid w:val="0"/>
        <w:spacing w:line="550" w:lineRule="exact"/>
        <w:ind w:firstLine="64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认清形势，切实增强做好当前安全生产工作的紧迫感和责任感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今年是全面贯彻落实党的二十大精神开局之年，是实施“十四五”规划承上启下的重要一年，即将召开的全国“两会”意义尤为重大。党政领导干部要牢固树立“四个意识”、坚决做到“两个维护”的政治高度，深刻认识保障全国“两会”期间安全稳定的极端重要性。要以防范化解重大安全风险，守牢安全生产基本盘，坚决遏制各类生产安全事故为目标，勇于担当作为，狠抓各项防范措施落实。党政领导要亲自带队，采取针对性措施，制定切实可行的安全防范和管控措施，对全市所有重点领域、重点环节、重点部位开展全覆盖式集中排查整治，横向到边、纵向到底，不漏一村一企，推动风险隐患动态“清零”，为全国“两会”胜利召开创造稳定的安全生产环境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kinsoku/>
        <w:wordWrap/>
        <w:overflowPunct/>
        <w:topLinePunct w:val="0"/>
        <w:bidi w:val="0"/>
        <w:snapToGrid w:val="0"/>
        <w:spacing w:before="0" w:beforeAutospacing="0" w:after="0" w:afterAutospacing="0" w:line="550" w:lineRule="exact"/>
        <w:ind w:right="0" w:firstLine="640" w:firstLineChars="20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强化措施，全力促进安全生产形势平稳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5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（一）突出重点行业领域排查。</w:t>
      </w:r>
      <w:r>
        <w:rPr>
          <w:rFonts w:hint="eastAsia" w:ascii="仿宋_GB2312" w:hAnsi="仿宋_GB2312" w:eastAsia="仿宋_GB2312" w:cs="仿宋_GB2312"/>
          <w:sz w:val="32"/>
          <w:szCs w:val="32"/>
        </w:rPr>
        <w:t>结合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正在开展的岁末年初安全生产重大隐患专项整治</w:t>
      </w:r>
      <w:r>
        <w:rPr>
          <w:rFonts w:hint="eastAsia" w:ascii="仿宋_GB2312" w:hAnsi="仿宋_GB2312" w:eastAsia="仿宋_GB2312" w:cs="仿宋_GB2312"/>
          <w:sz w:val="32"/>
          <w:szCs w:val="32"/>
        </w:rPr>
        <w:t>行动，着力抓好重点行业、重点领域安全隐患排查，确保风险防控到位、问题整治彻底。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危险化学品，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加强对危险化学品储存、运输、经营、使用和废弃处置等环节的安全监管工作，督促危险化学品从业单位认真排查和整治各类安全隐患。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非煤矿山，</w:t>
      </w:r>
      <w:r>
        <w:rPr>
          <w:rFonts w:hint="eastAsia" w:ascii="仿宋_GB2312" w:hAnsi="仿宋_GB2312" w:eastAsia="仿宋_GB2312" w:cs="仿宋_GB2312"/>
          <w:sz w:val="32"/>
          <w:szCs w:val="32"/>
        </w:rPr>
        <w:t>要深刻汲取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内蒙古阿拉善盟阿拉善左旗新井煤业有限公司露天煤矿坍塌</w:t>
      </w:r>
      <w:r>
        <w:rPr>
          <w:rFonts w:hint="eastAsia" w:ascii="仿宋_GB2312" w:hAnsi="仿宋_GB2312" w:eastAsia="仿宋_GB2312" w:cs="仿宋_GB2312"/>
          <w:sz w:val="32"/>
          <w:szCs w:val="32"/>
        </w:rPr>
        <w:t>事故教训，严格对照金属非金属矿山重大生产安全事故隐患判定标准，全面排查整治地下矿山重大生产安全事故隐患。深入开展地下矿山水害、大型采空区、下游情况复杂的排土场和露天矿山高陡边坡专项治理。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交通运输，</w:t>
      </w:r>
      <w:r>
        <w:rPr>
          <w:rFonts w:hint="eastAsia" w:ascii="仿宋_GB2312" w:hAnsi="仿宋_GB2312" w:eastAsia="仿宋_GB2312" w:cs="仿宋_GB2312"/>
          <w:sz w:val="32"/>
          <w:szCs w:val="32"/>
        </w:rPr>
        <w:t>对恶劣天气严重影响道路交通安全的路段，要依法实施管制措施，严防引发道路交通事故。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建筑施工，</w:t>
      </w:r>
      <w:r>
        <w:rPr>
          <w:rFonts w:hint="eastAsia" w:ascii="仿宋_GB2312" w:hAnsi="仿宋_GB2312" w:eastAsia="仿宋_GB2312" w:cs="仿宋_GB2312"/>
          <w:sz w:val="32"/>
          <w:szCs w:val="32"/>
        </w:rPr>
        <w:t>要强化房屋建筑、道路交通设施、水利和电力工程施工等领域安全监管，加大对深基坑、建筑起重机械、脚手架等危大工程排查，严防群死群伤事故。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消防，</w:t>
      </w:r>
      <w:r>
        <w:rPr>
          <w:rFonts w:hint="eastAsia" w:ascii="仿宋_GB2312" w:hAnsi="仿宋_GB2312" w:eastAsia="仿宋_GB2312" w:cs="仿宋_GB2312"/>
          <w:sz w:val="32"/>
          <w:szCs w:val="32"/>
        </w:rPr>
        <w:t>紧盯商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超、</w:t>
      </w:r>
      <w:r>
        <w:rPr>
          <w:rFonts w:hint="eastAsia" w:ascii="仿宋_GB2312" w:hAnsi="仿宋_GB2312" w:eastAsia="仿宋_GB2312" w:cs="仿宋_GB2312"/>
          <w:sz w:val="32"/>
          <w:szCs w:val="32"/>
        </w:rPr>
        <w:t>物流仓储、餐饮等火灾高危单位，切实加强消防安全防控。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工贸，</w:t>
      </w:r>
      <w:r>
        <w:rPr>
          <w:rFonts w:hint="eastAsia" w:ascii="仿宋_GB2312" w:hAnsi="仿宋_GB2312" w:eastAsia="仿宋_GB2312" w:cs="仿宋_GB2312"/>
          <w:sz w:val="32"/>
          <w:szCs w:val="32"/>
        </w:rPr>
        <w:t>以复工复产、高温熔融液态金属吊装运输、外委施工、有限空间管理、检修作业、皮带运输、动火清仓等环节，深入冶金行业隐患排查治理。紧紧抓住煤气安全管理，开展以煤气柜、煤气管道、监测监控、可靠切断、涉煤气危险作业、涉煤气特种作业持证上岗为主要内容的专项整治。深化其他工贸行业粉尘涉爆、涉氨制冷、有限空间作业等领域安全风险管控和隐患治理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燃气，</w:t>
      </w:r>
      <w:r>
        <w:rPr>
          <w:rFonts w:hint="eastAsia" w:ascii="仿宋_GB2312" w:hAnsi="仿宋_GB2312" w:eastAsia="仿宋_GB2312" w:cs="仿宋_GB2312"/>
          <w:sz w:val="32"/>
          <w:szCs w:val="32"/>
        </w:rPr>
        <w:t>深刻吸取燃气爆炸事故，严厉打击无证经营、违法经营以及超范围经营等行为，加大瓶装液化石油气行业非法储存、充装等环节的安全隐患排查整治力度。加强餐饮场所及综合体用气安全管理，全面整治使用不合格燃具、软管老化、未安装减压阀和燃气泄漏报警装置等各类安全隐患。健全农村气代煤安全管理长效机制，持续开展农村燃气设施安全隐患排查整治，严格落实燃气企业驻村安全员、村燃气安全协管员制度，加强宣传培训，指导用户正确安全用气，坚决遏制燃气事故发生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特种设备，</w:t>
      </w:r>
      <w:r>
        <w:rPr>
          <w:rFonts w:hint="eastAsia" w:ascii="仿宋_GB2312" w:hAnsi="仿宋_GB2312" w:eastAsia="仿宋_GB2312" w:cs="仿宋_GB2312"/>
          <w:sz w:val="32"/>
          <w:szCs w:val="32"/>
        </w:rPr>
        <w:t>突出抓好大型游乐设施、压力容器、压力管道、气（液）体充装站、电梯、起重机械、锅炉等特种设备专项整治，及时消除安全隐患。加强对液化气钢瓶的安全监管，对集中使用液化石油气的餐厅、食堂、饭店的钢瓶进行全面检查，规范液化石油气等气体充装，严禁钢瓶监管体系外循环和过量充装，推广钢瓶电子标签管理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此外，</w:t>
      </w:r>
      <w:r>
        <w:rPr>
          <w:rFonts w:hint="eastAsia" w:ascii="仿宋_GB2312" w:hAnsi="仿宋_GB2312" w:eastAsia="仿宋_GB2312" w:cs="仿宋_GB2312"/>
          <w:sz w:val="32"/>
          <w:szCs w:val="32"/>
        </w:rPr>
        <w:t>教育、卫健、民政等其他重点行业领域也要针对本行业领域突出问题和薄弱环节，深化安全专项整治，提升安全水平。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5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（二）突出复工复产环节安全排查。</w:t>
      </w:r>
      <w:r>
        <w:rPr>
          <w:rFonts w:hint="eastAsia" w:ascii="仿宋_GB2312" w:hAnsi="仿宋_GB2312" w:eastAsia="仿宋_GB2312" w:cs="仿宋_GB2312"/>
          <w:sz w:val="32"/>
          <w:szCs w:val="32"/>
        </w:rPr>
        <w:t>认真研判有关企业在复工复产过程中的潜在风险。一要全面摸排高危行业企业基本情况和生产状态，建立安全生产动态台账，对计划复工复产的企业，制定科学规范的方案，确保复工复产工作严格有序实施。二要及时向复工复产企业下发安全提示，明确复工复产安全措施，提示企业做到“八个必须”。三要组织成立安全生产指导服务组，加强复工复产指导帮扶，组织指导企业全面排查整治各类风险隐患，确保生产安全。四要对继续停产停工的高危行业企业要认真落实安全保障措施，实施检修作业的要严格遵守作业规程和安全管理规定，落实安全防护措施。五要严格执行高危行业领域企业复工复产验收标准，认真履行验收程序，压实验收签字责任，切实做到合格一个、复产一个。对未落实安全责任、存在重大隐患、重要岗位人员不齐的企业，坚决不得复工复产。凡在复产验收工作中违反规定，把关不严、擅自降低标准、弄虚作假的，要依法依规严肃追责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kinsoku/>
        <w:wordWrap/>
        <w:overflowPunct/>
        <w:topLinePunct w:val="0"/>
        <w:bidi w:val="0"/>
        <w:snapToGrid w:val="0"/>
        <w:spacing w:before="0" w:beforeAutospacing="0" w:after="0" w:afterAutospacing="0" w:line="550" w:lineRule="exact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auto"/>
        </w:rPr>
      </w:pPr>
      <w:r>
        <w:rPr>
          <w:rFonts w:hint="eastAsia" w:ascii="楷体" w:hAnsi="楷体" w:eastAsia="楷体" w:cs="楷体"/>
          <w:b/>
          <w:bCs/>
          <w:kern w:val="2"/>
          <w:sz w:val="32"/>
          <w:szCs w:val="32"/>
          <w:shd w:val="clear" w:color="auto" w:fill="auto"/>
          <w:lang w:val="en-US" w:eastAsia="zh-CN" w:bidi="ar-SA"/>
        </w:rPr>
        <w:t>（三）加强“两会”期间安全生产督导检查。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auto"/>
        </w:rPr>
        <w:t>结合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eastAsia="zh-CN"/>
        </w:rPr>
        <w:t>岁末年初安全生产重大隐患专项整治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auto"/>
        </w:rPr>
        <w:t>和督导检查部署安排， 聚焦重点地区、重点行业、重点环节，要选派专业骨干力量，带着专家，采取蹲点驻守、交叉检查、暗查暗访、联合执法等形式，加大执法检查力度，严厉惩处一批违法违规企业。全国“两会”期间，要组织暗查暗访组，真正采取“四不两直”方式，深入基层一线，真刀真枪、务求实效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kinsoku/>
        <w:wordWrap/>
        <w:overflowPunct/>
        <w:topLinePunct w:val="0"/>
        <w:bidi w:val="0"/>
        <w:snapToGrid w:val="0"/>
        <w:spacing w:before="0" w:beforeAutospacing="0" w:after="0" w:afterAutospacing="0" w:line="550" w:lineRule="exac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color="auto" w:fill="auto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color="auto" w:fill="auto"/>
          <w:lang w:eastAsia="zh-CN"/>
        </w:rPr>
        <w:t>三</w:t>
      </w: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color="auto" w:fill="auto"/>
        </w:rPr>
        <w:t>、强化值守，大力提升事故应急处置能力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kinsoku/>
        <w:wordWrap/>
        <w:overflowPunct/>
        <w:topLinePunct w:val="0"/>
        <w:bidi w:val="0"/>
        <w:snapToGrid w:val="0"/>
        <w:spacing w:before="0" w:beforeAutospacing="0" w:after="0" w:afterAutospacing="0" w:line="550" w:lineRule="exact"/>
        <w:ind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auto"/>
          <w:lang w:eastAsia="zh-CN"/>
        </w:rPr>
        <w:t>一要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auto"/>
        </w:rPr>
        <w:t>加强值班值守。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auto"/>
        </w:rPr>
        <w:t>严格执行领导带班、24小时值班和信息报告制度，确保人员到岗到位、信息畅通无阻，对发生生产安全事故、自然灾害等突发事件信息迟报、漏报、瞒报的严格依法依规追究责任。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auto"/>
          <w:lang w:eastAsia="zh-CN"/>
        </w:rPr>
        <w:t>二要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auto"/>
        </w:rPr>
        <w:t>加强预报预警。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auto"/>
        </w:rPr>
        <w:t>健全完善部门间联合会商、信息共享、协调联动工作机制，强化灾害性天气、地质灾害预测预报和人流车流监控，及时发布大风、降温等灾害性天气预警预报信息，广泛宣传风险防范、避险逃生知识技能，强化事故灾害警示信息提示，指导企业和社会公众做好防范应对。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auto"/>
          <w:lang w:eastAsia="zh-CN"/>
        </w:rPr>
        <w:t>三要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auto"/>
        </w:rPr>
        <w:t>加强应急准备。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auto"/>
        </w:rPr>
        <w:t>各类应急救援队伍要时刻保持应急状态，提前落实装备、物资、通信等保障措施，重点地区、重点部位要靠前驻防，确保一旦遇到突发事件、意外事故，第一时间投入抢险救援，高质高效完成应急处置。</w:t>
      </w:r>
    </w:p>
    <w:p>
      <w:pPr>
        <w:pStyle w:val="14"/>
        <w:keepNext w:val="0"/>
        <w:keepLines w:val="0"/>
        <w:pageBreakBefore w:val="0"/>
        <w:shd w:val="clear"/>
        <w:kinsoku/>
        <w:wordWrap/>
        <w:overflowPunct/>
        <w:topLinePunct w:val="0"/>
        <w:autoSpaceDE w:val="0"/>
        <w:bidi w:val="0"/>
        <w:snapToGrid w:val="0"/>
        <w:spacing w:line="550" w:lineRule="exact"/>
        <w:ind w:firstLine="640"/>
        <w:jc w:val="center"/>
        <w:textAlignment w:val="auto"/>
        <w:rPr>
          <w:rFonts w:hint="eastAsia" w:ascii="Times New Roman" w:hAnsi="Times New Roman" w:eastAsia="仿宋_GB2312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shd w:val="clear" w:color="auto" w:fill="auto"/>
          <w:lang w:val="en-US" w:eastAsia="zh-CN"/>
        </w:rPr>
        <w:t xml:space="preserve">                </w:t>
      </w:r>
    </w:p>
    <w:p>
      <w:pPr>
        <w:pStyle w:val="14"/>
        <w:keepNext w:val="0"/>
        <w:keepLines w:val="0"/>
        <w:pageBreakBefore w:val="0"/>
        <w:shd w:val="clear"/>
        <w:kinsoku/>
        <w:wordWrap/>
        <w:overflowPunct/>
        <w:topLinePunct w:val="0"/>
        <w:autoSpaceDE w:val="0"/>
        <w:bidi w:val="0"/>
        <w:snapToGrid w:val="0"/>
        <w:spacing w:line="550" w:lineRule="exact"/>
        <w:ind w:firstLine="640"/>
        <w:jc w:val="center"/>
        <w:textAlignment w:val="auto"/>
        <w:rPr>
          <w:rFonts w:hint="default" w:ascii="Times New Roman" w:hAnsi="Times New Roman" w:eastAsia="仿宋_GB2312"/>
          <w:sz w:val="32"/>
          <w:szCs w:val="32"/>
          <w:shd w:val="clear" w:color="auto" w:fill="auto"/>
        </w:rPr>
      </w:pPr>
      <w:r>
        <w:rPr>
          <w:rFonts w:hint="eastAsia" w:ascii="Times New Roman" w:hAnsi="Times New Roman" w:eastAsia="仿宋_GB2312"/>
          <w:sz w:val="32"/>
          <w:szCs w:val="32"/>
          <w:shd w:val="clear" w:color="auto" w:fill="auto"/>
          <w:lang w:val="en-US" w:eastAsia="zh-CN"/>
        </w:rPr>
        <w:t xml:space="preserve">               </w:t>
      </w:r>
      <w:r>
        <w:rPr>
          <w:rFonts w:ascii="仿宋_GB2312" w:hAnsi="Times New Roman" w:eastAsia="仿宋_GB2312" w:cs="仿宋_GB2312"/>
          <w:sz w:val="32"/>
          <w:szCs w:val="32"/>
          <w:shd w:val="clear" w:color="auto" w:fill="auto"/>
        </w:rPr>
        <w:t>滦州市</w:t>
      </w:r>
      <w:r>
        <w:rPr>
          <w:rFonts w:hint="eastAsia" w:ascii="仿宋_GB2312" w:hAnsi="Times New Roman" w:eastAsia="仿宋_GB2312" w:cs="仿宋_GB2312"/>
          <w:sz w:val="32"/>
          <w:szCs w:val="32"/>
          <w:shd w:val="clear" w:color="auto" w:fill="auto"/>
          <w:lang w:val="en-US" w:eastAsia="zh-CN"/>
        </w:rPr>
        <w:t>东安各庄镇</w:t>
      </w:r>
      <w:r>
        <w:rPr>
          <w:rFonts w:ascii="仿宋_GB2312" w:hAnsi="Times New Roman" w:eastAsia="仿宋_GB2312" w:cs="仿宋_GB2312"/>
          <w:sz w:val="32"/>
          <w:szCs w:val="32"/>
          <w:shd w:val="clear" w:color="auto" w:fill="auto"/>
        </w:rPr>
        <w:t>安全生产委员会办公室</w:t>
      </w:r>
    </w:p>
    <w:p>
      <w:pPr>
        <w:pStyle w:val="14"/>
        <w:keepNext w:val="0"/>
        <w:keepLines w:val="0"/>
        <w:pageBreakBefore w:val="0"/>
        <w:shd w:val="clear"/>
        <w:kinsoku/>
        <w:wordWrap/>
        <w:overflowPunct/>
        <w:topLinePunct w:val="0"/>
        <w:autoSpaceDE w:val="0"/>
        <w:bidi w:val="0"/>
        <w:snapToGrid w:val="0"/>
        <w:spacing w:line="550" w:lineRule="exact"/>
        <w:ind w:firstLine="640"/>
        <w:jc w:val="right"/>
        <w:textAlignment w:val="auto"/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1" w:footer="1701" w:gutter="0"/>
          <w:pgNumType w:fmt="decimal"/>
          <w:cols w:space="0" w:num="1"/>
          <w:rtlGutter w:val="0"/>
          <w:docGrid w:type="lines" w:linePitch="312" w:charSpace="0"/>
        </w:sectPr>
      </w:pPr>
      <w:r>
        <w:rPr>
          <w:rFonts w:hint="default" w:ascii="Times New Roman" w:hAnsi="Times New Roman" w:eastAsia="仿宋_GB2312"/>
          <w:sz w:val="32"/>
          <w:szCs w:val="32"/>
          <w:shd w:val="clear" w:color="auto" w:fill="auto"/>
        </w:rPr>
        <w:t xml:space="preserve">                 20</w:t>
      </w:r>
      <w:r>
        <w:rPr>
          <w:rFonts w:ascii="Times New Roman" w:hAnsi="Times New Roman" w:eastAsia="仿宋_GB2312"/>
          <w:sz w:val="32"/>
          <w:szCs w:val="32"/>
          <w:shd w:val="clear" w:color="auto" w:fill="auto"/>
        </w:rPr>
        <w:t>2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auto"/>
          <w:lang w:val="en-US" w:eastAsia="zh-CN"/>
        </w:rPr>
        <w:t>3</w:t>
      </w:r>
      <w:r>
        <w:rPr>
          <w:rFonts w:ascii="仿宋_GB2312" w:hAnsi="Times New Roman" w:eastAsia="仿宋_GB2312" w:cs="仿宋_GB2312"/>
          <w:sz w:val="32"/>
          <w:szCs w:val="32"/>
          <w:shd w:val="clear" w:color="auto" w:fill="auto"/>
        </w:rPr>
        <w:t>年</w:t>
      </w:r>
      <w:r>
        <w:rPr>
          <w:rFonts w:ascii="Times New Roman" w:hAnsi="Times New Roman" w:eastAsia="仿宋_GB2312"/>
          <w:sz w:val="32"/>
          <w:szCs w:val="32"/>
          <w:shd w:val="clear" w:color="auto" w:fill="auto"/>
        </w:rPr>
        <w:t>2</w:t>
      </w:r>
      <w:r>
        <w:rPr>
          <w:rFonts w:ascii="仿宋_GB2312" w:hAnsi="Times New Roman" w:eastAsia="仿宋_GB2312" w:cs="仿宋_GB2312"/>
          <w:sz w:val="32"/>
          <w:szCs w:val="32"/>
          <w:shd w:val="clear" w:color="auto" w:fill="auto"/>
        </w:rPr>
        <w:t>月</w:t>
      </w:r>
      <w:r>
        <w:rPr>
          <w:rFonts w:ascii="Times New Roman" w:hAnsi="Times New Roman" w:eastAsia="仿宋_GB2312"/>
          <w:sz w:val="32"/>
          <w:szCs w:val="32"/>
          <w:shd w:val="clear" w:color="auto" w:fill="auto"/>
        </w:rPr>
        <w:t>2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auto"/>
          <w:lang w:val="en-US" w:eastAsia="zh-CN"/>
        </w:rPr>
        <w:t>7</w:t>
      </w:r>
    </w:p>
    <w:p>
      <w:pPr>
        <w:pStyle w:val="12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sectPr>
      <w:footerReference r:id="rId4" w:type="default"/>
      <w:pgSz w:w="11906" w:h="16838"/>
      <w:pgMar w:top="2098" w:right="1474" w:bottom="1984" w:left="1587" w:header="851" w:footer="1701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00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3000509000000000000"/>
    <w:charset w:val="00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B553C7"/>
    <w:rsid w:val="01B10262"/>
    <w:rsid w:val="11801AD1"/>
    <w:rsid w:val="15AD87FF"/>
    <w:rsid w:val="1D03F6C2"/>
    <w:rsid w:val="258B2D53"/>
    <w:rsid w:val="27C40DA8"/>
    <w:rsid w:val="27D05DF8"/>
    <w:rsid w:val="2C6B6B83"/>
    <w:rsid w:val="35801C00"/>
    <w:rsid w:val="35DDFCB1"/>
    <w:rsid w:val="36062AEC"/>
    <w:rsid w:val="367F0C4D"/>
    <w:rsid w:val="3FB639C4"/>
    <w:rsid w:val="3FFBDBE1"/>
    <w:rsid w:val="40117740"/>
    <w:rsid w:val="48B2E3BF"/>
    <w:rsid w:val="4D906572"/>
    <w:rsid w:val="53FE4B76"/>
    <w:rsid w:val="5CB553C7"/>
    <w:rsid w:val="62FBC61A"/>
    <w:rsid w:val="6ABDB641"/>
    <w:rsid w:val="6D5F8277"/>
    <w:rsid w:val="6FFF5F74"/>
    <w:rsid w:val="75E2DC68"/>
    <w:rsid w:val="7637F1BB"/>
    <w:rsid w:val="78F9C59A"/>
    <w:rsid w:val="7BFFE3A3"/>
    <w:rsid w:val="7DABA1E7"/>
    <w:rsid w:val="7DFFE173"/>
    <w:rsid w:val="7EB75125"/>
    <w:rsid w:val="7F5EABF1"/>
    <w:rsid w:val="7FEDB537"/>
    <w:rsid w:val="979A1AAA"/>
    <w:rsid w:val="B5E5DAD4"/>
    <w:rsid w:val="BFAE3C68"/>
    <w:rsid w:val="BFFFBDA1"/>
    <w:rsid w:val="C66F6718"/>
    <w:rsid w:val="D4EDB7DC"/>
    <w:rsid w:val="E3FD6834"/>
    <w:rsid w:val="ECAF4B80"/>
    <w:rsid w:val="EF3B74DE"/>
    <w:rsid w:val="EFFFB8BA"/>
    <w:rsid w:val="F7FC74DC"/>
    <w:rsid w:val="F7FD54EC"/>
    <w:rsid w:val="FDEDD8AB"/>
    <w:rsid w:val="FF5FECE1"/>
    <w:rsid w:val="FFB7FC93"/>
    <w:rsid w:val="FFEEC281"/>
    <w:rsid w:val="FFFD4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Indent"/>
    <w:basedOn w:val="1"/>
    <w:next w:val="3"/>
    <w:qFormat/>
    <w:uiPriority w:val="0"/>
    <w:pPr>
      <w:spacing w:line="360" w:lineRule="auto"/>
      <w:ind w:firstLine="420" w:firstLineChars="200"/>
    </w:pPr>
    <w:rPr>
      <w:rFonts w:eastAsia="仿宋"/>
      <w:sz w:val="28"/>
    </w:rPr>
  </w:style>
  <w:style w:type="paragraph" w:styleId="3">
    <w:name w:val="Subtitle"/>
    <w:basedOn w:val="1"/>
    <w:next w:val="1"/>
    <w:qFormat/>
    <w:uiPriority w:val="0"/>
    <w:pPr>
      <w:spacing w:line="700" w:lineRule="exact"/>
      <w:jc w:val="center"/>
      <w:outlineLvl w:val="1"/>
    </w:pPr>
    <w:rPr>
      <w:rFonts w:ascii="Arial" w:hAnsi="Arial" w:eastAsia="方正小标宋简体" w:cs="Arial"/>
      <w:b/>
      <w:bCs/>
      <w:kern w:val="28"/>
      <w:sz w:val="44"/>
      <w:szCs w:val="4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正文首行缩进 21"/>
    <w:basedOn w:val="11"/>
    <w:qFormat/>
    <w:uiPriority w:val="0"/>
    <w:pPr>
      <w:ind w:firstLine="420" w:firstLineChars="200"/>
    </w:pPr>
  </w:style>
  <w:style w:type="paragraph" w:customStyle="1" w:styleId="11">
    <w:name w:val="正文文本缩进1"/>
    <w:basedOn w:val="1"/>
    <w:qFormat/>
    <w:uiPriority w:val="0"/>
    <w:pPr>
      <w:ind w:firstLine="645"/>
    </w:pPr>
    <w:rPr>
      <w:rFonts w:ascii="仿宋_GB2312" w:hAnsi="宋体" w:eastAsia="仿宋_GB2312"/>
      <w:sz w:val="32"/>
    </w:rPr>
  </w:style>
  <w:style w:type="paragraph" w:customStyle="1" w:styleId="12">
    <w:name w:val="纯文本1"/>
    <w:basedOn w:val="1"/>
    <w:qFormat/>
    <w:uiPriority w:val="0"/>
    <w:pPr>
      <w:spacing w:line="538" w:lineRule="exact"/>
    </w:pPr>
    <w:rPr>
      <w:rFonts w:ascii="Calibri" w:hAnsi="Courier New" w:eastAsia="仿宋" w:cs="Courier New"/>
      <w:sz w:val="34"/>
      <w:szCs w:val="21"/>
    </w:rPr>
  </w:style>
  <w:style w:type="paragraph" w:customStyle="1" w:styleId="13">
    <w:name w:val="Default"/>
    <w:qFormat/>
    <w:uiPriority w:val="0"/>
    <w:pPr>
      <w:autoSpaceDE w:val="0"/>
      <w:autoSpaceDN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14">
    <w:name w:val="普通(网站)1"/>
    <w:basedOn w:val="1"/>
    <w:qFormat/>
    <w:uiPriority w:val="0"/>
    <w:pPr>
      <w:jc w:val="left"/>
    </w:pPr>
    <w:rPr>
      <w:rFonts w:hint="eastAsia" w:ascii="宋体" w:hAnsi="宋体" w:eastAsia="方正仿宋简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2021-02-23T15:15:00Z</dcterms:created>
  <dc:creator>怡帆快乐</dc:creator>
  <cp:lastModifiedBy>Administrator</cp:lastModifiedBy>
  <cp:lastPrinted>2023-02-07T01:42:00Z</cp:lastPrinted>
  <dcterms:modified xsi:type="dcterms:W3CDTF">2023-03-02T07:15:09Z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775BA6CDFCC6470C8298027798CE98A8</vt:lpwstr>
  </property>
</Properties>
</file>