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滦州市市场建设发展局</w:t>
      </w:r>
      <w:r>
        <w:rPr>
          <w:rFonts w:hint="eastAsia" w:ascii="方正小标宋简体" w:hAnsi="方正小标宋简体" w:eastAsia="方正小标宋简体" w:cs="方正小标宋简体"/>
          <w:sz w:val="44"/>
          <w:szCs w:val="44"/>
        </w:rPr>
        <w:t>201</w:t>
      </w:r>
      <w:r>
        <w:rPr>
          <w:rFonts w:hint="eastAsia" w:ascii="方正小标宋简体" w:hAnsi="方正小标宋简体" w:eastAsia="方正小标宋简体" w:cs="方正小标宋简体"/>
          <w:sz w:val="44"/>
          <w:szCs w:val="44"/>
          <w:lang w:val="en-US" w:eastAsia="zh-CN"/>
        </w:rPr>
        <w:t>9</w:t>
      </w:r>
      <w:r>
        <w:rPr>
          <w:rFonts w:hint="eastAsia" w:ascii="方正小标宋简体" w:hAnsi="方正小标宋简体" w:eastAsia="方正小标宋简体" w:cs="方正小标宋简体"/>
          <w:sz w:val="44"/>
          <w:szCs w:val="44"/>
        </w:rPr>
        <w:t>年部门预算信息公开</w:t>
      </w:r>
    </w:p>
    <w:p>
      <w:pPr>
        <w:ind w:firstLine="640" w:firstLineChars="200"/>
        <w:rPr>
          <w:rFonts w:hint="eastAsia"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按照《预算法》、《地方预决算公开操作规程》和《河北省预算公开办法》规定，</w:t>
      </w:r>
      <w:r>
        <w:rPr>
          <w:rFonts w:hint="eastAsia" w:ascii="仿宋_GB2312" w:hAnsi="仿宋_GB2312" w:eastAsia="仿宋_GB2312" w:cs="仿宋_GB2312"/>
          <w:sz w:val="32"/>
          <w:szCs w:val="32"/>
          <w:lang w:eastAsia="zh-CN"/>
        </w:rPr>
        <w:t>以及认真贯彻执行</w:t>
      </w:r>
      <w:r>
        <w:rPr>
          <w:rFonts w:hint="eastAsia" w:ascii="仿宋_GB2312" w:hAnsi="仿宋_GB2312" w:eastAsia="仿宋_GB2312" w:cs="仿宋_GB2312"/>
          <w:sz w:val="32"/>
          <w:szCs w:val="32"/>
        </w:rPr>
        <w:t>《河北省</w:t>
      </w:r>
      <w:r>
        <w:rPr>
          <w:rFonts w:hint="eastAsia" w:ascii="仿宋_GB2312" w:hAnsi="仿宋_GB2312" w:eastAsia="仿宋_GB2312" w:cs="仿宋_GB2312"/>
          <w:sz w:val="32"/>
          <w:szCs w:val="32"/>
          <w:lang w:eastAsia="zh-CN"/>
        </w:rPr>
        <w:t>财政厅关做好</w:t>
      </w:r>
      <w:r>
        <w:rPr>
          <w:rFonts w:hint="eastAsia" w:ascii="仿宋_GB2312" w:hAnsi="仿宋_GB2312" w:eastAsia="仿宋_GB2312" w:cs="仿宋_GB2312"/>
          <w:sz w:val="32"/>
          <w:szCs w:val="32"/>
          <w:lang w:val="en-US" w:eastAsia="zh-CN"/>
        </w:rPr>
        <w:t>2019年预算公开工作的通知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（冀财预</w:t>
      </w:r>
      <w:r>
        <w:rPr>
          <w:rFonts w:hint="eastAsia" w:ascii="仿宋_GB2312" w:hAnsi="仿宋_GB2312" w:eastAsia="仿宋_GB2312" w:cs="仿宋_GB2312"/>
          <w:sz w:val="32"/>
          <w:szCs w:val="32"/>
          <w:lang w:val="en-US" w:eastAsia="zh-CN"/>
        </w:rPr>
        <w:t>[2019]6号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现将</w:t>
      </w:r>
      <w:r>
        <w:rPr>
          <w:rFonts w:hint="eastAsia" w:ascii="仿宋_GB2312" w:hAnsi="仿宋_GB2312" w:eastAsia="仿宋_GB2312" w:cs="仿宋_GB2312"/>
          <w:sz w:val="32"/>
          <w:szCs w:val="32"/>
          <w:lang w:eastAsia="zh-CN"/>
        </w:rPr>
        <w:t>滦州市市场建设发展局</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年部门预算</w:t>
      </w:r>
      <w:r>
        <w:rPr>
          <w:rFonts w:hint="eastAsia" w:ascii="仿宋_GB2312" w:hAnsi="仿宋_GB2312" w:eastAsia="仿宋_GB2312" w:cs="仿宋_GB2312"/>
          <w:sz w:val="32"/>
          <w:szCs w:val="32"/>
          <w:lang w:eastAsia="zh-CN"/>
        </w:rPr>
        <w:t>信息</w:t>
      </w:r>
      <w:r>
        <w:rPr>
          <w:rFonts w:hint="eastAsia" w:ascii="仿宋_GB2312" w:hAnsi="仿宋_GB2312" w:eastAsia="仿宋_GB2312" w:cs="仿宋_GB2312"/>
          <w:sz w:val="32"/>
          <w:szCs w:val="32"/>
        </w:rPr>
        <w:t>公开如下：</w:t>
      </w:r>
    </w:p>
    <w:p>
      <w:pPr>
        <w:numPr>
          <w:ilvl w:val="0"/>
          <w:numId w:val="1"/>
        </w:numPr>
        <w:ind w:firstLine="640"/>
        <w:rPr>
          <w:rFonts w:ascii="黑体" w:hAnsi="黑体" w:eastAsia="黑体" w:cs="黑体"/>
          <w:sz w:val="32"/>
          <w:szCs w:val="32"/>
        </w:rPr>
      </w:pPr>
      <w:r>
        <w:rPr>
          <w:rFonts w:hint="eastAsia" w:ascii="黑体" w:hAnsi="黑体" w:eastAsia="黑体" w:cs="黑体"/>
          <w:sz w:val="32"/>
          <w:szCs w:val="32"/>
        </w:rPr>
        <w:t>部门职责及机构设置情况</w:t>
      </w:r>
    </w:p>
    <w:p>
      <w:pPr>
        <w:spacing w:line="560" w:lineRule="exact"/>
        <w:ind w:firstLine="645"/>
        <w:rPr>
          <w:rFonts w:hint="eastAsia" w:ascii="仿宋_GB2312" w:eastAsia="仿宋_GB2312"/>
          <w:sz w:val="32"/>
        </w:rPr>
      </w:pPr>
      <w:r>
        <w:rPr>
          <w:rFonts w:hint="eastAsia" w:ascii="仿宋_GB2312" w:hAnsi="仿宋_GB2312" w:eastAsia="仿宋_GB2312" w:cs="仿宋_GB2312"/>
          <w:sz w:val="32"/>
          <w:szCs w:val="32"/>
          <w:lang w:eastAsia="zh-CN"/>
        </w:rPr>
        <w:t>（一）</w:t>
      </w:r>
      <w:r>
        <w:rPr>
          <w:rFonts w:hint="eastAsia" w:ascii="仿宋_GB2312" w:eastAsia="仿宋_GB2312"/>
          <w:sz w:val="32"/>
        </w:rPr>
        <w:t>负责制定全</w:t>
      </w:r>
      <w:r>
        <w:rPr>
          <w:rFonts w:hint="eastAsia" w:ascii="仿宋_GB2312" w:eastAsia="仿宋_GB2312"/>
          <w:sz w:val="32"/>
          <w:lang w:eastAsia="zh-CN"/>
        </w:rPr>
        <w:t>市</w:t>
      </w:r>
      <w:r>
        <w:rPr>
          <w:rFonts w:hint="eastAsia" w:ascii="仿宋_GB2312" w:eastAsia="仿宋_GB2312"/>
          <w:sz w:val="32"/>
        </w:rPr>
        <w:t>市场建设的总体规划，发挥培育市场、建设市场、服务市场、搞活市场的功能。</w:t>
      </w:r>
    </w:p>
    <w:p>
      <w:pPr>
        <w:spacing w:line="560" w:lineRule="exact"/>
        <w:ind w:firstLine="645"/>
        <w:rPr>
          <w:rFonts w:hint="eastAsia" w:ascii="仿宋_GB2312" w:eastAsia="仿宋_GB2312"/>
          <w:sz w:val="32"/>
        </w:rPr>
      </w:pPr>
      <w:r>
        <w:rPr>
          <w:rFonts w:hint="eastAsia" w:ascii="仿宋_GB2312" w:eastAsia="仿宋_GB2312"/>
          <w:sz w:val="32"/>
          <w:lang w:eastAsia="zh-CN"/>
        </w:rPr>
        <w:t>（二）</w:t>
      </w:r>
      <w:r>
        <w:rPr>
          <w:rFonts w:hint="eastAsia" w:ascii="仿宋_GB2312" w:eastAsia="仿宋_GB2312"/>
          <w:sz w:val="32"/>
        </w:rPr>
        <w:t>负责对市场开发、建设的宏观指导，会同相关</w:t>
      </w:r>
      <w:r>
        <w:rPr>
          <w:rFonts w:hint="eastAsia" w:ascii="仿宋_GB2312" w:eastAsia="仿宋_GB2312"/>
          <w:sz w:val="32"/>
          <w:lang w:eastAsia="zh-CN"/>
        </w:rPr>
        <w:t>村</w:t>
      </w:r>
      <w:r>
        <w:rPr>
          <w:rFonts w:hint="eastAsia" w:ascii="仿宋_GB2312" w:eastAsia="仿宋_GB2312"/>
          <w:sz w:val="32"/>
        </w:rPr>
        <w:t>镇及有关</w:t>
      </w:r>
      <w:r>
        <w:rPr>
          <w:rFonts w:hint="eastAsia" w:ascii="仿宋_GB2312" w:eastAsia="仿宋_GB2312"/>
          <w:sz w:val="32"/>
          <w:lang w:eastAsia="zh-CN"/>
        </w:rPr>
        <w:t>部门</w:t>
      </w:r>
      <w:r>
        <w:rPr>
          <w:rFonts w:hint="eastAsia" w:ascii="仿宋_GB2312" w:eastAsia="仿宋_GB2312"/>
          <w:sz w:val="32"/>
        </w:rPr>
        <w:t>搞好市场开发建设的调研、科学论证、立项等工作。</w:t>
      </w:r>
    </w:p>
    <w:p>
      <w:pPr>
        <w:spacing w:line="560" w:lineRule="exact"/>
        <w:ind w:firstLine="645"/>
        <w:rPr>
          <w:rFonts w:hint="eastAsia" w:ascii="仿宋_GB2312" w:eastAsia="仿宋_GB2312"/>
          <w:sz w:val="32"/>
        </w:rPr>
      </w:pPr>
      <w:r>
        <w:rPr>
          <w:rFonts w:hint="eastAsia" w:ascii="仿宋_GB2312" w:eastAsia="仿宋_GB2312"/>
          <w:sz w:val="32"/>
          <w:lang w:eastAsia="zh-CN"/>
        </w:rPr>
        <w:t>（三）</w:t>
      </w:r>
      <w:r>
        <w:rPr>
          <w:rFonts w:hint="eastAsia" w:ascii="仿宋_GB2312" w:eastAsia="仿宋_GB2312"/>
          <w:sz w:val="32"/>
        </w:rPr>
        <w:t>负责对所属市场的经营、改造、管理市场物业及市场设施的维修，摊位场所租赁，经营市场资产。</w:t>
      </w:r>
    </w:p>
    <w:p>
      <w:pPr>
        <w:spacing w:line="560" w:lineRule="exact"/>
        <w:ind w:firstLine="645"/>
        <w:rPr>
          <w:rFonts w:hint="eastAsia" w:ascii="仿宋_GB2312" w:eastAsia="仿宋_GB2312"/>
          <w:sz w:val="32"/>
        </w:rPr>
      </w:pPr>
      <w:r>
        <w:rPr>
          <w:rFonts w:hint="eastAsia" w:ascii="仿宋_GB2312" w:eastAsia="仿宋_GB2312"/>
          <w:sz w:val="32"/>
          <w:lang w:eastAsia="zh-CN"/>
        </w:rPr>
        <w:t>（四）</w:t>
      </w:r>
      <w:r>
        <w:rPr>
          <w:rFonts w:hint="eastAsia" w:ascii="仿宋_GB2312" w:eastAsia="仿宋_GB2312"/>
          <w:sz w:val="32"/>
        </w:rPr>
        <w:t>积极开发市场，加强对市场建设的调控，逐步建立和完善市场网络。</w:t>
      </w:r>
    </w:p>
    <w:p>
      <w:pPr>
        <w:spacing w:line="560" w:lineRule="exact"/>
        <w:ind w:firstLine="645"/>
        <w:rPr>
          <w:rFonts w:hint="eastAsia" w:ascii="仿宋_GB2312" w:eastAsia="仿宋_GB2312"/>
          <w:sz w:val="32"/>
        </w:rPr>
      </w:pPr>
      <w:r>
        <w:rPr>
          <w:rFonts w:hint="eastAsia" w:ascii="仿宋_GB2312" w:eastAsia="仿宋_GB2312"/>
          <w:sz w:val="32"/>
          <w:lang w:eastAsia="zh-CN"/>
        </w:rPr>
        <w:t>（五）</w:t>
      </w:r>
      <w:r>
        <w:rPr>
          <w:rFonts w:hint="eastAsia" w:ascii="仿宋_GB2312" w:eastAsia="仿宋_GB2312"/>
          <w:sz w:val="32"/>
        </w:rPr>
        <w:t>负责市场的日常事务管理，搞好市场有偿服务，做好市场安全保卫及环境卫生工作。</w:t>
      </w:r>
    </w:p>
    <w:p>
      <w:pPr>
        <w:spacing w:line="560" w:lineRule="exact"/>
        <w:ind w:firstLine="645"/>
        <w:rPr>
          <w:rFonts w:ascii="仿宋_GB2312" w:hAnsi="仿宋_GB2312" w:eastAsia="仿宋_GB2312" w:cs="仿宋_GB2312"/>
          <w:sz w:val="32"/>
          <w:szCs w:val="32"/>
        </w:rPr>
      </w:pPr>
      <w:r>
        <w:rPr>
          <w:rFonts w:hint="eastAsia" w:ascii="仿宋_GB2312" w:eastAsia="仿宋_GB2312"/>
          <w:sz w:val="32"/>
          <w:lang w:eastAsia="zh-CN"/>
        </w:rPr>
        <w:t>（六）</w:t>
      </w:r>
      <w:r>
        <w:rPr>
          <w:rFonts w:hint="eastAsia" w:ascii="仿宋_GB2312" w:eastAsia="仿宋_GB2312"/>
          <w:sz w:val="32"/>
        </w:rPr>
        <w:t>承办</w:t>
      </w:r>
      <w:r>
        <w:rPr>
          <w:rFonts w:hint="eastAsia" w:ascii="仿宋_GB2312" w:eastAsia="仿宋_GB2312"/>
          <w:sz w:val="32"/>
          <w:lang w:eastAsia="zh-CN"/>
        </w:rPr>
        <w:t>市</w:t>
      </w:r>
      <w:r>
        <w:rPr>
          <w:rFonts w:hint="eastAsia" w:ascii="仿宋_GB2312" w:eastAsia="仿宋_GB2312"/>
          <w:sz w:val="32"/>
        </w:rPr>
        <w:t>政府交办的其它工作任务。</w:t>
      </w:r>
    </w:p>
    <w:p>
      <w:pPr>
        <w:autoSpaceDE w:val="0"/>
        <w:autoSpaceDN w:val="0"/>
        <w:adjustRightInd w:val="0"/>
        <w:ind w:left="198" w:firstLine="640" w:firstLineChars="200"/>
        <w:jc w:val="left"/>
        <w:rPr>
          <w:rFonts w:hint="eastAsia" w:ascii="方正仿宋_GBK" w:hAnsi="Times New Roman" w:eastAsia="方正仿宋_GBK" w:cs="方正仿宋_GBK"/>
          <w:b/>
          <w:bCs/>
          <w:sz w:val="32"/>
          <w:szCs w:val="32"/>
        </w:rPr>
      </w:pPr>
    </w:p>
    <w:p>
      <w:pPr>
        <w:autoSpaceDE w:val="0"/>
        <w:autoSpaceDN w:val="0"/>
        <w:adjustRightInd w:val="0"/>
        <w:ind w:left="198" w:firstLine="640" w:firstLineChars="200"/>
        <w:jc w:val="left"/>
        <w:rPr>
          <w:rFonts w:hint="eastAsia" w:ascii="方正仿宋_GBK" w:hAnsi="Times New Roman" w:eastAsia="方正仿宋_GBK" w:cs="方正仿宋_GBK"/>
          <w:b/>
          <w:bCs/>
          <w:sz w:val="32"/>
          <w:szCs w:val="32"/>
        </w:rPr>
      </w:pPr>
      <w:r>
        <w:rPr>
          <w:rFonts w:hint="eastAsia" w:ascii="方正仿宋_GBK" w:hAnsi="Times New Roman" w:eastAsia="方正仿宋_GBK" w:cs="方正仿宋_GBK"/>
          <w:b/>
          <w:bCs/>
          <w:sz w:val="32"/>
          <w:szCs w:val="32"/>
        </w:rPr>
        <w:t>机构设置：</w:t>
      </w:r>
    </w:p>
    <w:p>
      <w:pPr>
        <w:autoSpaceDE w:val="0"/>
        <w:autoSpaceDN w:val="0"/>
        <w:adjustRightInd w:val="0"/>
        <w:ind w:left="198" w:firstLine="640" w:firstLineChars="200"/>
        <w:jc w:val="left"/>
        <w:rPr>
          <w:rFonts w:hint="eastAsia" w:ascii="方正仿宋_GBK" w:hAnsi="Times New Roman" w:eastAsia="方正仿宋_GBK" w:cs="方正仿宋_GBK"/>
          <w:b/>
          <w:bCs/>
          <w:sz w:val="32"/>
          <w:szCs w:val="32"/>
        </w:rPr>
      </w:pPr>
    </w:p>
    <w:p>
      <w:pPr>
        <w:jc w:val="center"/>
        <w:outlineLvl w:val="0"/>
        <w:rPr>
          <w:rFonts w:ascii="Times New Roman" w:hAnsi="Times New Roman" w:eastAsia="方正小标宋_GBK" w:cs="Times New Roman"/>
          <w:sz w:val="32"/>
          <w:szCs w:val="32"/>
        </w:rPr>
      </w:pPr>
      <w:r>
        <w:rPr>
          <w:rFonts w:hint="eastAsia" w:ascii="Times New Roman" w:hAnsi="Times New Roman" w:eastAsia="方正小标宋_GBK" w:cs="方正小标宋_GBK"/>
          <w:sz w:val="32"/>
          <w:szCs w:val="32"/>
        </w:rPr>
        <w:t>部门机构设置情况</w:t>
      </w:r>
    </w:p>
    <w:tbl>
      <w:tblPr>
        <w:tblStyle w:val="8"/>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tblHeader/>
          <w:jc w:val="center"/>
        </w:trPr>
        <w:tc>
          <w:tcPr>
            <w:tcW w:w="4443" w:type="dxa"/>
            <w:vMerge w:val="restart"/>
            <w:vAlign w:val="center"/>
          </w:tcPr>
          <w:p>
            <w:pPr>
              <w:jc w:val="center"/>
              <w:rPr>
                <w:rFonts w:ascii="方正书宋_GBK" w:hAnsi="Times New Roman" w:eastAsia="方正书宋_GBK" w:cs="Times New Roman"/>
                <w:b/>
                <w:bCs/>
              </w:rPr>
            </w:pPr>
            <w:r>
              <w:rPr>
                <w:rFonts w:hint="eastAsia" w:ascii="方正书宋_GBK" w:hAnsi="Times New Roman" w:eastAsia="方正书宋_GBK" w:cs="方正书宋_GBK"/>
                <w:b/>
                <w:bCs/>
              </w:rPr>
              <w:t>单位名称</w:t>
            </w:r>
          </w:p>
        </w:tc>
        <w:tc>
          <w:tcPr>
            <w:tcW w:w="1134" w:type="dxa"/>
            <w:vMerge w:val="restart"/>
            <w:vAlign w:val="center"/>
          </w:tcPr>
          <w:p>
            <w:pPr>
              <w:jc w:val="center"/>
              <w:rPr>
                <w:rFonts w:ascii="方正书宋_GBK" w:hAnsi="Times New Roman" w:eastAsia="方正书宋_GBK" w:cs="Times New Roman"/>
                <w:b/>
                <w:bCs/>
              </w:rPr>
            </w:pPr>
            <w:r>
              <w:rPr>
                <w:rFonts w:hint="eastAsia" w:ascii="方正书宋_GBK" w:hAnsi="Times New Roman" w:eastAsia="方正书宋_GBK" w:cs="方正书宋_GBK"/>
                <w:b/>
                <w:bCs/>
              </w:rPr>
              <w:t>单位性质</w:t>
            </w:r>
          </w:p>
        </w:tc>
        <w:tc>
          <w:tcPr>
            <w:tcW w:w="1276" w:type="dxa"/>
            <w:vMerge w:val="restart"/>
            <w:vAlign w:val="center"/>
          </w:tcPr>
          <w:p>
            <w:pPr>
              <w:jc w:val="center"/>
              <w:rPr>
                <w:rFonts w:ascii="方正书宋_GBK" w:hAnsi="Times New Roman" w:eastAsia="方正书宋_GBK" w:cs="Times New Roman"/>
                <w:b/>
                <w:bCs/>
              </w:rPr>
            </w:pPr>
            <w:r>
              <w:rPr>
                <w:rFonts w:hint="eastAsia" w:ascii="方正书宋_GBK" w:hAnsi="Times New Roman" w:eastAsia="方正书宋_GBK" w:cs="方正书宋_GBK"/>
                <w:b/>
                <w:bCs/>
              </w:rPr>
              <w:t>单位规格</w:t>
            </w:r>
          </w:p>
        </w:tc>
        <w:tc>
          <w:tcPr>
            <w:tcW w:w="2902" w:type="dxa"/>
            <w:vMerge w:val="restart"/>
            <w:vAlign w:val="center"/>
          </w:tcPr>
          <w:p>
            <w:pPr>
              <w:jc w:val="center"/>
              <w:rPr>
                <w:rFonts w:ascii="方正书宋_GBK" w:hAnsi="Times New Roman" w:eastAsia="方正书宋_GBK" w:cs="Times New Roman"/>
                <w:b/>
                <w:bCs/>
              </w:rPr>
            </w:pPr>
            <w:r>
              <w:rPr>
                <w:rFonts w:hint="eastAsia" w:ascii="方正书宋_GBK" w:hAnsi="Times New Roman" w:eastAsia="方正书宋_GBK" w:cs="方正书宋_GBK"/>
                <w:b/>
                <w:bCs/>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tblHeader/>
          <w:jc w:val="center"/>
        </w:trPr>
        <w:tc>
          <w:tcPr>
            <w:tcW w:w="4443" w:type="dxa"/>
            <w:vMerge w:val="continue"/>
            <w:vAlign w:val="center"/>
          </w:tcPr>
          <w:p>
            <w:pPr>
              <w:jc w:val="left"/>
              <w:outlineLvl w:val="0"/>
              <w:rPr>
                <w:rFonts w:ascii="方正书宋_GBK" w:hAnsi="Times New Roman" w:eastAsia="方正书宋_GBK" w:cs="Times New Roman"/>
              </w:rPr>
            </w:pPr>
          </w:p>
        </w:tc>
        <w:tc>
          <w:tcPr>
            <w:tcW w:w="1134" w:type="dxa"/>
            <w:vMerge w:val="continue"/>
            <w:vAlign w:val="center"/>
          </w:tcPr>
          <w:p>
            <w:pPr>
              <w:jc w:val="left"/>
              <w:outlineLvl w:val="0"/>
              <w:rPr>
                <w:rFonts w:ascii="方正书宋_GBK" w:hAnsi="Times New Roman" w:eastAsia="方正书宋_GBK" w:cs="Times New Roman"/>
              </w:rPr>
            </w:pPr>
          </w:p>
        </w:tc>
        <w:tc>
          <w:tcPr>
            <w:tcW w:w="1276" w:type="dxa"/>
            <w:vMerge w:val="continue"/>
            <w:vAlign w:val="center"/>
          </w:tcPr>
          <w:p>
            <w:pPr>
              <w:jc w:val="left"/>
              <w:outlineLvl w:val="0"/>
              <w:rPr>
                <w:rFonts w:ascii="方正书宋_GBK" w:hAnsi="Times New Roman" w:eastAsia="方正书宋_GBK" w:cs="Times New Roman"/>
              </w:rPr>
            </w:pPr>
          </w:p>
        </w:tc>
        <w:tc>
          <w:tcPr>
            <w:tcW w:w="2902" w:type="dxa"/>
            <w:vMerge w:val="continue"/>
            <w:vAlign w:val="center"/>
          </w:tcPr>
          <w:p>
            <w:pPr>
              <w:jc w:val="left"/>
              <w:outlineLvl w:val="0"/>
              <w:rPr>
                <w:rFonts w:ascii="方正书宋_GBK"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jc w:val="left"/>
              <w:rPr>
                <w:rFonts w:hint="eastAsia" w:ascii="方正书宋_GBK" w:hAnsi="Times New Roman" w:eastAsia="方正书宋_GBK" w:cs="Times New Roman"/>
                <w:lang w:eastAsia="zh-CN"/>
              </w:rPr>
            </w:pPr>
            <w:r>
              <w:rPr>
                <w:rFonts w:hint="eastAsia" w:ascii="方正书宋_GBK" w:hAnsi="Times New Roman" w:eastAsia="方正书宋_GBK" w:cs="方正书宋_GBK"/>
                <w:lang w:eastAsia="zh-CN"/>
              </w:rPr>
              <w:t>滦县市场建设发展局</w:t>
            </w:r>
          </w:p>
        </w:tc>
        <w:tc>
          <w:tcPr>
            <w:tcW w:w="1134" w:type="dxa"/>
            <w:vAlign w:val="center"/>
          </w:tcPr>
          <w:p>
            <w:pPr>
              <w:jc w:val="center"/>
              <w:rPr>
                <w:rFonts w:hint="eastAsia" w:ascii="方正书宋_GBK" w:hAnsi="Times New Roman" w:eastAsia="方正书宋_GBK" w:cs="Times New Roman"/>
                <w:lang w:eastAsia="zh-CN"/>
              </w:rPr>
            </w:pPr>
            <w:r>
              <w:rPr>
                <w:rFonts w:hint="eastAsia" w:ascii="方正书宋_GBK" w:hAnsi="Times New Roman" w:eastAsia="方正书宋_GBK" w:cs="Times New Roman"/>
                <w:lang w:eastAsia="zh-CN"/>
              </w:rPr>
              <w:t>事业</w:t>
            </w:r>
          </w:p>
        </w:tc>
        <w:tc>
          <w:tcPr>
            <w:tcW w:w="1276" w:type="dxa"/>
            <w:vAlign w:val="center"/>
          </w:tcPr>
          <w:p>
            <w:pPr>
              <w:jc w:val="center"/>
              <w:rPr>
                <w:rFonts w:ascii="方正书宋_GBK" w:hAnsi="Times New Roman" w:eastAsia="方正书宋_GBK" w:cs="Times New Roman"/>
              </w:rPr>
            </w:pPr>
            <w:r>
              <w:rPr>
                <w:rFonts w:hint="eastAsia" w:ascii="方正书宋_GBK" w:hAnsi="Times New Roman" w:eastAsia="方正书宋_GBK" w:cs="方正书宋_GBK"/>
              </w:rPr>
              <w:t>正</w:t>
            </w:r>
            <w:r>
              <w:rPr>
                <w:rFonts w:hint="eastAsia" w:ascii="方正书宋_GBK" w:hAnsi="Times New Roman" w:eastAsia="方正书宋_GBK" w:cs="方正书宋_GBK"/>
                <w:lang w:eastAsia="zh-CN"/>
              </w:rPr>
              <w:t>科级</w:t>
            </w:r>
          </w:p>
        </w:tc>
        <w:tc>
          <w:tcPr>
            <w:tcW w:w="2902" w:type="dxa"/>
            <w:vAlign w:val="center"/>
          </w:tcPr>
          <w:p>
            <w:pPr>
              <w:jc w:val="center"/>
              <w:rPr>
                <w:rFonts w:ascii="方正书宋_GBK" w:hAnsi="Times New Roman" w:eastAsia="方正书宋_GBK" w:cs="Times New Roman"/>
              </w:rPr>
            </w:pPr>
            <w:r>
              <w:rPr>
                <w:rFonts w:hint="eastAsia" w:ascii="方正书宋_GBK" w:hAnsi="Times New Roman" w:eastAsia="方正书宋_GBK" w:cs="方正书宋_GBK"/>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jc w:val="left"/>
              <w:rPr>
                <w:rFonts w:hint="eastAsia" w:ascii="方正书宋_GBK" w:hAnsi="Times New Roman" w:eastAsia="方正书宋_GBK" w:cs="Times New Roman"/>
                <w:lang w:eastAsia="zh-CN"/>
              </w:rPr>
            </w:pPr>
            <w:r>
              <w:rPr>
                <w:rFonts w:hint="eastAsia" w:ascii="方正书宋_GBK" w:hAnsi="Times New Roman" w:eastAsia="方正书宋_GBK" w:cs="Times New Roman"/>
                <w:lang w:eastAsia="zh-CN"/>
              </w:rPr>
              <w:t>滦县市场建设服务中心</w:t>
            </w:r>
          </w:p>
        </w:tc>
        <w:tc>
          <w:tcPr>
            <w:tcW w:w="1134" w:type="dxa"/>
            <w:vAlign w:val="center"/>
          </w:tcPr>
          <w:p>
            <w:pPr>
              <w:jc w:val="center"/>
              <w:rPr>
                <w:rFonts w:ascii="方正书宋_GBK" w:hAnsi="Times New Roman" w:eastAsia="方正书宋_GBK" w:cs="Times New Roman"/>
              </w:rPr>
            </w:pPr>
            <w:r>
              <w:rPr>
                <w:rFonts w:hint="eastAsia" w:ascii="方正书宋_GBK" w:hAnsi="Times New Roman" w:eastAsia="方正书宋_GBK" w:cs="方正书宋_GBK"/>
              </w:rPr>
              <w:t>事业</w:t>
            </w:r>
          </w:p>
        </w:tc>
        <w:tc>
          <w:tcPr>
            <w:tcW w:w="1276" w:type="dxa"/>
            <w:vAlign w:val="center"/>
          </w:tcPr>
          <w:p>
            <w:pPr>
              <w:jc w:val="center"/>
              <w:rPr>
                <w:rFonts w:ascii="方正书宋_GBK" w:hAnsi="Times New Roman" w:eastAsia="方正书宋_GBK" w:cs="Times New Roman"/>
              </w:rPr>
            </w:pPr>
            <w:r>
              <w:rPr>
                <w:rFonts w:hint="eastAsia" w:ascii="方正书宋_GBK" w:hAnsi="Times New Roman" w:eastAsia="方正书宋_GBK" w:cs="方正书宋_GBK"/>
              </w:rPr>
              <w:t>正</w:t>
            </w:r>
            <w:r>
              <w:rPr>
                <w:rFonts w:hint="eastAsia" w:ascii="方正书宋_GBK" w:hAnsi="Times New Roman" w:eastAsia="方正书宋_GBK" w:cs="方正书宋_GBK"/>
                <w:lang w:eastAsia="zh-CN"/>
              </w:rPr>
              <w:t>科级</w:t>
            </w:r>
          </w:p>
        </w:tc>
        <w:tc>
          <w:tcPr>
            <w:tcW w:w="2902" w:type="dxa"/>
            <w:vAlign w:val="center"/>
          </w:tcPr>
          <w:p>
            <w:pPr>
              <w:jc w:val="center"/>
              <w:rPr>
                <w:rFonts w:hint="eastAsia" w:ascii="方正书宋_GBK" w:hAnsi="Times New Roman" w:eastAsia="方正书宋_GBK" w:cs="Times New Roman"/>
                <w:lang w:eastAsia="zh-CN"/>
              </w:rPr>
            </w:pPr>
            <w:r>
              <w:rPr>
                <w:rFonts w:hint="eastAsia" w:ascii="方正书宋_GBK" w:hAnsi="Times New Roman" w:eastAsia="方正书宋_GBK" w:cs="Times New Roman"/>
                <w:lang w:eastAsia="zh-CN"/>
              </w:rPr>
              <w:t>自收自支</w:t>
            </w:r>
          </w:p>
        </w:tc>
      </w:tr>
    </w:tbl>
    <w:p>
      <w:pPr>
        <w:rPr>
          <w:rFonts w:cs="Times New Roman"/>
        </w:rPr>
      </w:pPr>
    </w:p>
    <w:p>
      <w:pPr>
        <w:ind w:firstLine="640"/>
        <w:rPr>
          <w:rFonts w:ascii="黑体" w:hAnsi="黑体" w:eastAsia="黑体" w:cs="Times New Roman"/>
          <w:sz w:val="32"/>
          <w:szCs w:val="32"/>
        </w:rPr>
      </w:pPr>
      <w:r>
        <w:rPr>
          <w:rFonts w:hint="eastAsia" w:ascii="黑体" w:hAnsi="黑体" w:eastAsia="黑体" w:cs="黑体"/>
          <w:sz w:val="32"/>
          <w:szCs w:val="32"/>
        </w:rPr>
        <w:t>二、部门预算安排的总体情况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按照预算管理有关规定，目前我省部门预算的编制实行综合预算制度，即全部收入和支出都反映在预算中。</w:t>
      </w:r>
    </w:p>
    <w:p>
      <w:pPr>
        <w:ind w:firstLine="64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1</w:t>
      </w:r>
      <w:r>
        <w:rPr>
          <w:rFonts w:hint="eastAsia" w:ascii="Times New Roman" w:hAnsi="Times New Roman" w:eastAsia="方正仿宋_GBK" w:cs="方正仿宋_GBK"/>
          <w:b/>
          <w:sz w:val="32"/>
          <w:szCs w:val="32"/>
        </w:rPr>
        <w:t>、收入说明</w:t>
      </w:r>
    </w:p>
    <w:p>
      <w:pPr>
        <w:ind w:firstLine="640" w:firstLineChars="200"/>
        <w:rPr>
          <w:rFonts w:ascii="仿宋_GB2312" w:hAnsi="仿宋_GB2312" w:eastAsia="仿宋_GB2312" w:cs="仿宋_GB2312"/>
          <w:b/>
          <w:bCs/>
          <w:sz w:val="32"/>
          <w:szCs w:val="32"/>
          <w:u w:val="none"/>
        </w:rPr>
      </w:pPr>
      <w:r>
        <w:rPr>
          <w:rFonts w:hint="eastAsia" w:ascii="仿宋_GB2312" w:hAnsi="仿宋_GB2312" w:eastAsia="仿宋_GB2312" w:cs="仿宋_GB2312"/>
          <w:sz w:val="32"/>
          <w:szCs w:val="32"/>
        </w:rPr>
        <w:t>反映本部门当年全部收入。201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年预算收入</w:t>
      </w:r>
      <w:r>
        <w:rPr>
          <w:rFonts w:hint="eastAsia" w:ascii="仿宋_GB2312" w:hAnsi="仿宋_GB2312" w:eastAsia="仿宋_GB2312" w:cs="仿宋_GB2312"/>
          <w:sz w:val="32"/>
          <w:szCs w:val="32"/>
          <w:lang w:val="en-US" w:eastAsia="zh-CN"/>
        </w:rPr>
        <w:t>1197.90</w:t>
      </w:r>
      <w:r>
        <w:rPr>
          <w:rFonts w:hint="eastAsia" w:ascii="仿宋_GB2312" w:hAnsi="仿宋_GB2312" w:eastAsia="仿宋_GB2312" w:cs="仿宋_GB2312"/>
          <w:sz w:val="32"/>
          <w:szCs w:val="32"/>
        </w:rPr>
        <w:t>万元，其中：</w:t>
      </w:r>
      <w:r>
        <w:rPr>
          <w:rFonts w:hint="eastAsia" w:ascii="仿宋_GB2312" w:hAnsi="仿宋_GB2312" w:eastAsia="仿宋_GB2312" w:cs="仿宋_GB2312"/>
          <w:sz w:val="32"/>
          <w:szCs w:val="32"/>
          <w:u w:val="none"/>
        </w:rPr>
        <w:t>一般公共预算收入</w:t>
      </w:r>
      <w:r>
        <w:rPr>
          <w:rFonts w:hint="eastAsia" w:ascii="仿宋_GB2312" w:hAnsi="仿宋_GB2312" w:eastAsia="仿宋_GB2312" w:cs="仿宋_GB2312"/>
          <w:sz w:val="32"/>
          <w:szCs w:val="32"/>
          <w:u w:val="none"/>
          <w:lang w:val="en-US" w:eastAsia="zh-CN"/>
        </w:rPr>
        <w:t>1197.90</w:t>
      </w:r>
      <w:r>
        <w:rPr>
          <w:rFonts w:hint="eastAsia" w:ascii="仿宋_GB2312" w:hAnsi="仿宋_GB2312" w:eastAsia="仿宋_GB2312" w:cs="仿宋_GB2312"/>
          <w:sz w:val="32"/>
          <w:szCs w:val="32"/>
          <w:u w:val="none"/>
        </w:rPr>
        <w:t>万元，</w:t>
      </w:r>
      <w:r>
        <w:rPr>
          <w:rFonts w:hint="eastAsia" w:ascii="仿宋_GB2312" w:hAnsi="仿宋_GB2312" w:eastAsia="仿宋_GB2312" w:cs="仿宋_GB2312"/>
          <w:sz w:val="32"/>
          <w:szCs w:val="32"/>
          <w:u w:val="none"/>
          <w:lang w:eastAsia="zh-CN"/>
        </w:rPr>
        <w:t>政府性基金收入</w:t>
      </w:r>
      <w:r>
        <w:rPr>
          <w:rFonts w:hint="eastAsia" w:ascii="仿宋_GB2312" w:hAnsi="仿宋_GB2312" w:eastAsia="仿宋_GB2312" w:cs="仿宋_GB2312"/>
          <w:sz w:val="32"/>
          <w:szCs w:val="32"/>
          <w:u w:val="none"/>
          <w:lang w:val="en-US" w:eastAsia="zh-CN"/>
        </w:rPr>
        <w:t>0万元，财政专户收入0万元，</w:t>
      </w:r>
      <w:r>
        <w:rPr>
          <w:rFonts w:hint="eastAsia" w:ascii="仿宋_GB2312" w:hAnsi="仿宋_GB2312" w:eastAsia="仿宋_GB2312" w:cs="仿宋_GB2312"/>
          <w:sz w:val="32"/>
          <w:szCs w:val="32"/>
          <w:u w:val="none"/>
        </w:rPr>
        <w:t xml:space="preserve"> 其他来源收入</w:t>
      </w:r>
      <w:r>
        <w:rPr>
          <w:rFonts w:hint="eastAsia" w:ascii="仿宋_GB2312" w:hAnsi="仿宋_GB2312" w:eastAsia="仿宋_GB2312" w:cs="仿宋_GB2312"/>
          <w:sz w:val="32"/>
          <w:szCs w:val="32"/>
          <w:u w:val="none"/>
          <w:lang w:val="en-US" w:eastAsia="zh-CN"/>
        </w:rPr>
        <w:t>0</w:t>
      </w:r>
      <w:r>
        <w:rPr>
          <w:rFonts w:hint="eastAsia" w:ascii="仿宋_GB2312" w:hAnsi="仿宋_GB2312" w:eastAsia="仿宋_GB2312" w:cs="仿宋_GB2312"/>
          <w:sz w:val="32"/>
          <w:szCs w:val="32"/>
          <w:u w:val="none"/>
        </w:rPr>
        <w:t>万元。</w:t>
      </w:r>
    </w:p>
    <w:p>
      <w:pPr>
        <w:ind w:firstLine="64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2</w:t>
      </w:r>
      <w:r>
        <w:rPr>
          <w:rFonts w:hint="eastAsia" w:ascii="Times New Roman" w:hAnsi="Times New Roman" w:eastAsia="方正仿宋_GBK" w:cs="方正仿宋_GBK"/>
          <w:b/>
          <w:sz w:val="32"/>
          <w:szCs w:val="32"/>
        </w:rPr>
        <w:t>、支出说明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收支预算总表支出栏、基本支出表、项目支出表按经济分类和支出功能分类科目编制，反映</w:t>
      </w:r>
      <w:r>
        <w:rPr>
          <w:rFonts w:hint="eastAsia" w:ascii="仿宋_GB2312" w:hAnsi="仿宋_GB2312" w:eastAsia="仿宋_GB2312" w:cs="仿宋_GB2312"/>
          <w:sz w:val="32"/>
          <w:szCs w:val="32"/>
          <w:lang w:eastAsia="zh-CN"/>
        </w:rPr>
        <w:t>滦州市市场建设发展局</w:t>
      </w:r>
      <w:r>
        <w:rPr>
          <w:rFonts w:hint="eastAsia" w:ascii="仿宋_GB2312" w:hAnsi="仿宋_GB2312" w:eastAsia="仿宋_GB2312" w:cs="仿宋_GB2312"/>
          <w:sz w:val="32"/>
          <w:szCs w:val="32"/>
        </w:rPr>
        <w:t>年度部门预算中支出预算的总体情况。201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年支出预算</w:t>
      </w:r>
      <w:r>
        <w:rPr>
          <w:rFonts w:hint="eastAsia" w:ascii="仿宋_GB2312" w:hAnsi="仿宋_GB2312" w:eastAsia="仿宋_GB2312" w:cs="仿宋_GB2312"/>
          <w:sz w:val="32"/>
          <w:szCs w:val="32"/>
          <w:u w:val="none"/>
          <w:lang w:val="en-US" w:eastAsia="zh-CN"/>
        </w:rPr>
        <w:t>1197.90</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140.20</w:t>
      </w:r>
      <w:r>
        <w:rPr>
          <w:rFonts w:hint="eastAsia" w:ascii="仿宋_GB2312" w:hAnsi="仿宋_GB2312" w:eastAsia="仿宋_GB2312" w:cs="仿宋_GB2312"/>
          <w:sz w:val="32"/>
          <w:szCs w:val="32"/>
        </w:rPr>
        <w:t>万元，包括人员经费</w:t>
      </w:r>
      <w:r>
        <w:rPr>
          <w:rFonts w:hint="eastAsia" w:ascii="仿宋_GB2312" w:hAnsi="仿宋_GB2312" w:eastAsia="仿宋_GB2312" w:cs="仿宋_GB2312"/>
          <w:sz w:val="32"/>
          <w:szCs w:val="32"/>
          <w:lang w:val="en-US" w:eastAsia="zh-CN"/>
        </w:rPr>
        <w:t>110.12万</w:t>
      </w:r>
      <w:r>
        <w:rPr>
          <w:rFonts w:hint="eastAsia" w:ascii="仿宋_GB2312" w:hAnsi="仿宋_GB2312" w:eastAsia="仿宋_GB2312" w:cs="仿宋_GB2312"/>
          <w:sz w:val="32"/>
          <w:szCs w:val="32"/>
        </w:rPr>
        <w:t>元和日常公用经费</w:t>
      </w:r>
      <w:r>
        <w:rPr>
          <w:rFonts w:hint="eastAsia" w:ascii="仿宋_GB2312" w:hAnsi="仿宋_GB2312" w:eastAsia="仿宋_GB2312" w:cs="仿宋_GB2312"/>
          <w:sz w:val="32"/>
          <w:szCs w:val="32"/>
          <w:lang w:val="en-US" w:eastAsia="zh-CN"/>
        </w:rPr>
        <w:t>30.08</w:t>
      </w:r>
      <w:r>
        <w:rPr>
          <w:rFonts w:hint="eastAsia" w:ascii="仿宋_GB2312" w:hAnsi="仿宋_GB2312" w:eastAsia="仿宋_GB2312" w:cs="仿宋_GB2312"/>
          <w:sz w:val="32"/>
          <w:szCs w:val="32"/>
        </w:rPr>
        <w:t>万元；项目支出</w:t>
      </w:r>
      <w:r>
        <w:rPr>
          <w:rFonts w:hint="eastAsia" w:ascii="仿宋_GB2312" w:hAnsi="仿宋_GB2312" w:eastAsia="仿宋_GB2312" w:cs="仿宋_GB2312"/>
          <w:sz w:val="32"/>
          <w:szCs w:val="32"/>
          <w:lang w:val="en-US" w:eastAsia="zh-CN"/>
        </w:rPr>
        <w:t>1057.70</w:t>
      </w:r>
      <w:r>
        <w:rPr>
          <w:rFonts w:hint="eastAsia" w:ascii="仿宋_GB2312" w:hAnsi="仿宋_GB2312" w:eastAsia="仿宋_GB2312" w:cs="仿宋_GB2312"/>
          <w:sz w:val="32"/>
          <w:szCs w:val="32"/>
        </w:rPr>
        <w:t>万元，主要为</w:t>
      </w:r>
      <w:r>
        <w:rPr>
          <w:rFonts w:hint="eastAsia" w:ascii="仿宋_GB2312" w:hAnsi="仿宋_GB2312" w:eastAsia="仿宋_GB2312" w:cs="仿宋_GB2312"/>
          <w:sz w:val="32"/>
          <w:szCs w:val="32"/>
          <w:lang w:eastAsia="zh-CN"/>
        </w:rPr>
        <w:t>市场建设服务中心</w:t>
      </w:r>
      <w:r>
        <w:rPr>
          <w:rFonts w:hint="eastAsia" w:ascii="仿宋_GB2312" w:hAnsi="仿宋_GB2312" w:eastAsia="仿宋_GB2312" w:cs="仿宋_GB2312"/>
          <w:sz w:val="32"/>
          <w:szCs w:val="32"/>
          <w:lang w:val="en-US" w:eastAsia="zh-CN"/>
        </w:rPr>
        <w:t>(自收自支)人员工资及保险、全市市场占地费及市场修缮项目等</w:t>
      </w:r>
      <w:r>
        <w:rPr>
          <w:rFonts w:hint="eastAsia" w:ascii="仿宋_GB2312" w:hAnsi="仿宋_GB2312" w:eastAsia="仿宋_GB2312" w:cs="仿宋_GB2312"/>
          <w:sz w:val="32"/>
          <w:szCs w:val="32"/>
        </w:rPr>
        <w:t>。</w:t>
      </w:r>
    </w:p>
    <w:p>
      <w:pPr>
        <w:ind w:firstLine="64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3</w:t>
      </w:r>
      <w:r>
        <w:rPr>
          <w:rFonts w:hint="eastAsia" w:ascii="Times New Roman" w:hAnsi="Times New Roman" w:eastAsia="方正仿宋_GBK" w:cs="方正仿宋_GBK"/>
          <w:b/>
          <w:sz w:val="32"/>
          <w:szCs w:val="32"/>
        </w:rPr>
        <w:t>、比上年增减情况</w:t>
      </w:r>
    </w:p>
    <w:p>
      <w:pPr>
        <w:autoSpaceDE w:val="0"/>
        <w:autoSpaceDN w:val="0"/>
        <w:adjustRightInd w:val="0"/>
        <w:ind w:left="198"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年预算收支安排</w:t>
      </w:r>
      <w:r>
        <w:rPr>
          <w:rFonts w:hint="eastAsia" w:ascii="仿宋_GB2312" w:hAnsi="仿宋_GB2312" w:eastAsia="仿宋_GB2312" w:cs="仿宋_GB2312"/>
          <w:sz w:val="32"/>
          <w:szCs w:val="32"/>
          <w:lang w:val="en-US" w:eastAsia="zh-CN"/>
        </w:rPr>
        <w:t>1197.90</w:t>
      </w:r>
      <w:r>
        <w:rPr>
          <w:rFonts w:hint="eastAsia" w:ascii="仿宋_GB2312" w:hAnsi="仿宋_GB2312" w:eastAsia="仿宋_GB2312" w:cs="仿宋_GB2312"/>
          <w:sz w:val="32"/>
          <w:szCs w:val="32"/>
        </w:rPr>
        <w:t>万元，较201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年预算增加</w:t>
      </w:r>
      <w:r>
        <w:rPr>
          <w:rFonts w:hint="eastAsia" w:ascii="仿宋_GB2312" w:hAnsi="仿宋_GB2312" w:eastAsia="仿宋_GB2312" w:cs="仿宋_GB2312"/>
          <w:sz w:val="32"/>
          <w:szCs w:val="32"/>
          <w:lang w:val="en-US" w:eastAsia="zh-CN"/>
        </w:rPr>
        <w:t>297.24</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14.07</w:t>
      </w:r>
      <w:r>
        <w:rPr>
          <w:rFonts w:hint="eastAsia" w:ascii="仿宋_GB2312" w:hAnsi="仿宋_GB2312" w:eastAsia="仿宋_GB2312" w:cs="仿宋_GB2312"/>
          <w:sz w:val="32"/>
          <w:szCs w:val="32"/>
        </w:rPr>
        <w:t>万元，主要为</w:t>
      </w:r>
      <w:r>
        <w:rPr>
          <w:rFonts w:hint="eastAsia" w:ascii="仿宋_GB2312" w:hAnsi="仿宋_GB2312" w:eastAsia="仿宋_GB2312" w:cs="仿宋_GB2312"/>
          <w:sz w:val="32"/>
          <w:szCs w:val="32"/>
          <w:lang w:eastAsia="zh-CN"/>
        </w:rPr>
        <w:t>在职人员医疗保险纳入本年度预算</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年项目支出</w:t>
      </w:r>
      <w:r>
        <w:rPr>
          <w:rFonts w:hint="eastAsia" w:ascii="仿宋_GB2312" w:hAnsi="仿宋_GB2312" w:eastAsia="仿宋_GB2312" w:cs="仿宋_GB2312"/>
          <w:sz w:val="32"/>
          <w:szCs w:val="32"/>
          <w:lang w:val="en-US" w:eastAsia="zh-CN"/>
        </w:rPr>
        <w:t>1057.70</w:t>
      </w:r>
      <w:r>
        <w:rPr>
          <w:rFonts w:hint="eastAsia" w:ascii="仿宋_GB2312" w:hAnsi="仿宋_GB2312" w:eastAsia="仿宋_GB2312" w:cs="仿宋_GB2312"/>
          <w:sz w:val="32"/>
          <w:szCs w:val="32"/>
        </w:rPr>
        <w:t>万元，较201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年预算增加</w:t>
      </w:r>
      <w:r>
        <w:rPr>
          <w:rFonts w:hint="eastAsia" w:ascii="仿宋_GB2312" w:hAnsi="仿宋_GB2312" w:eastAsia="仿宋_GB2312" w:cs="仿宋_GB2312"/>
          <w:sz w:val="32"/>
          <w:szCs w:val="32"/>
          <w:lang w:val="en-US" w:eastAsia="zh-CN"/>
        </w:rPr>
        <w:t>283.17</w:t>
      </w:r>
      <w:r>
        <w:rPr>
          <w:rFonts w:hint="eastAsia" w:ascii="仿宋_GB2312" w:hAnsi="仿宋_GB2312" w:eastAsia="仿宋_GB2312" w:cs="仿宋_GB2312"/>
          <w:sz w:val="32"/>
          <w:szCs w:val="32"/>
        </w:rPr>
        <w:t>万元，其原因为</w:t>
      </w:r>
      <w:r>
        <w:rPr>
          <w:rFonts w:hint="eastAsia" w:ascii="仿宋_GB2312" w:hAnsi="仿宋_GB2312" w:eastAsia="仿宋_GB2312" w:cs="仿宋_GB2312"/>
          <w:sz w:val="32"/>
          <w:szCs w:val="32"/>
          <w:lang w:eastAsia="zh-CN"/>
        </w:rPr>
        <w:t>新增了商业城市场修缮项目、永安里市场修缮项目和西高坎市场新建封闭大厅项目等。</w:t>
      </w: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黑体"/>
          <w:sz w:val="32"/>
          <w:szCs w:val="32"/>
        </w:rPr>
        <w:t>三、机关运行经费安排情况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年，我局机关运行经费共计安排</w:t>
      </w:r>
      <w:r>
        <w:rPr>
          <w:rFonts w:hint="eastAsia" w:ascii="仿宋_GB2312" w:hAnsi="仿宋_GB2312" w:eastAsia="仿宋_GB2312" w:cs="仿宋_GB2312"/>
          <w:sz w:val="32"/>
          <w:szCs w:val="32"/>
          <w:lang w:val="en-US" w:eastAsia="zh-CN"/>
        </w:rPr>
        <w:t>30.08</w:t>
      </w:r>
      <w:r>
        <w:rPr>
          <w:rFonts w:hint="eastAsia" w:ascii="仿宋_GB2312" w:hAnsi="仿宋_GB2312" w:eastAsia="仿宋_GB2312" w:cs="仿宋_GB2312"/>
          <w:sz w:val="32"/>
          <w:szCs w:val="32"/>
        </w:rPr>
        <w:t>万元，主要用于保证正常办公的基本需要和维持单位日常业务运转，包括：办公费</w:t>
      </w:r>
      <w:r>
        <w:rPr>
          <w:rFonts w:hint="eastAsia" w:ascii="仿宋_GB2312" w:hAnsi="仿宋_GB2312" w:eastAsia="仿宋_GB2312" w:cs="仿宋_GB2312"/>
          <w:sz w:val="32"/>
          <w:szCs w:val="32"/>
          <w:lang w:val="en-US" w:eastAsia="zh-CN"/>
        </w:rPr>
        <w:t>4.6万元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印刷费</w:t>
      </w:r>
      <w:r>
        <w:rPr>
          <w:rFonts w:hint="eastAsia" w:ascii="仿宋_GB2312" w:hAnsi="仿宋_GB2312" w:eastAsia="仿宋_GB2312" w:cs="仿宋_GB2312"/>
          <w:sz w:val="32"/>
          <w:szCs w:val="32"/>
          <w:lang w:val="en-US" w:eastAsia="zh-CN"/>
        </w:rPr>
        <w:t>0.3万元、</w:t>
      </w:r>
      <w:r>
        <w:rPr>
          <w:rFonts w:hint="eastAsia" w:ascii="仿宋_GB2312" w:hAnsi="仿宋_GB2312" w:eastAsia="仿宋_GB2312" w:cs="仿宋_GB2312"/>
          <w:sz w:val="32"/>
          <w:szCs w:val="32"/>
        </w:rPr>
        <w:t>水</w:t>
      </w:r>
      <w:r>
        <w:rPr>
          <w:rFonts w:hint="eastAsia" w:ascii="仿宋_GB2312" w:hAnsi="仿宋_GB2312" w:eastAsia="仿宋_GB2312" w:cs="仿宋_GB2312"/>
          <w:sz w:val="32"/>
          <w:szCs w:val="32"/>
          <w:lang w:eastAsia="zh-CN"/>
        </w:rPr>
        <w:t>费</w:t>
      </w:r>
      <w:r>
        <w:rPr>
          <w:rFonts w:hint="eastAsia" w:ascii="仿宋_GB2312" w:hAnsi="仿宋_GB2312" w:eastAsia="仿宋_GB2312" w:cs="仿宋_GB2312"/>
          <w:sz w:val="32"/>
          <w:szCs w:val="32"/>
          <w:lang w:val="en-US" w:eastAsia="zh-CN"/>
        </w:rPr>
        <w:t>0.6万元、</w:t>
      </w:r>
      <w:r>
        <w:rPr>
          <w:rFonts w:hint="eastAsia" w:ascii="仿宋_GB2312" w:hAnsi="仿宋_GB2312" w:eastAsia="仿宋_GB2312" w:cs="仿宋_GB2312"/>
          <w:sz w:val="32"/>
          <w:szCs w:val="32"/>
        </w:rPr>
        <w:t>电费</w:t>
      </w:r>
      <w:r>
        <w:rPr>
          <w:rFonts w:hint="eastAsia" w:ascii="仿宋_GB2312" w:hAnsi="仿宋_GB2312" w:eastAsia="仿宋_GB2312" w:cs="仿宋_GB2312"/>
          <w:sz w:val="32"/>
          <w:szCs w:val="32"/>
          <w:lang w:val="en-US" w:eastAsia="zh-CN"/>
        </w:rPr>
        <w:t>1.8万元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差旅费</w:t>
      </w:r>
      <w:r>
        <w:rPr>
          <w:rFonts w:hint="eastAsia" w:ascii="仿宋_GB2312" w:hAnsi="仿宋_GB2312" w:eastAsia="仿宋_GB2312" w:cs="仿宋_GB2312"/>
          <w:sz w:val="32"/>
          <w:szCs w:val="32"/>
          <w:lang w:val="en-US" w:eastAsia="zh-CN"/>
        </w:rPr>
        <w:t>1.0万元、维修（护）费0.2万元、劳务费3.0万元、</w:t>
      </w:r>
      <w:r>
        <w:rPr>
          <w:rFonts w:hint="eastAsia" w:ascii="仿宋_GB2312" w:hAnsi="仿宋_GB2312" w:eastAsia="仿宋_GB2312" w:cs="仿宋_GB2312"/>
          <w:sz w:val="32"/>
          <w:szCs w:val="32"/>
        </w:rPr>
        <w:t>取暖费</w:t>
      </w:r>
      <w:r>
        <w:rPr>
          <w:rFonts w:hint="eastAsia" w:ascii="仿宋_GB2312" w:hAnsi="仿宋_GB2312" w:eastAsia="仿宋_GB2312" w:cs="仿宋_GB2312"/>
          <w:sz w:val="32"/>
          <w:szCs w:val="32"/>
          <w:lang w:val="en-US" w:eastAsia="zh-CN"/>
        </w:rPr>
        <w:t>3.24万元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公务交通补贴</w:t>
      </w:r>
      <w:r>
        <w:rPr>
          <w:rFonts w:hint="eastAsia" w:ascii="仿宋_GB2312" w:hAnsi="仿宋_GB2312" w:eastAsia="仿宋_GB2312" w:cs="仿宋_GB2312"/>
          <w:sz w:val="32"/>
          <w:szCs w:val="32"/>
          <w:lang w:val="en-US" w:eastAsia="zh-CN"/>
        </w:rPr>
        <w:t>1.2万元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工会经费</w:t>
      </w:r>
      <w:r>
        <w:rPr>
          <w:rFonts w:hint="eastAsia" w:ascii="仿宋_GB2312" w:hAnsi="仿宋_GB2312" w:eastAsia="仿宋_GB2312" w:cs="仿宋_GB2312"/>
          <w:sz w:val="32"/>
          <w:szCs w:val="32"/>
          <w:lang w:val="en-US" w:eastAsia="zh-CN"/>
        </w:rPr>
        <w:t>4.14万元、公务用车运行维护费10万元</w:t>
      </w:r>
      <w:r>
        <w:rPr>
          <w:rFonts w:hint="eastAsia" w:ascii="仿宋_GB2312" w:hAnsi="仿宋_GB2312" w:eastAsia="仿宋_GB2312" w:cs="仿宋_GB2312"/>
          <w:sz w:val="32"/>
          <w:szCs w:val="32"/>
        </w:rPr>
        <w:t>等日常运行支出。</w:t>
      </w: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黑体"/>
          <w:sz w:val="32"/>
          <w:szCs w:val="32"/>
        </w:rPr>
        <w:t>四、财政拨款“三公”经费预算情况及增减变化原因</w:t>
      </w:r>
    </w:p>
    <w:p>
      <w:pPr>
        <w:spacing w:line="360" w:lineRule="auto"/>
        <w:ind w:firstLine="640" w:firstLineChars="200"/>
        <w:rPr>
          <w:rFonts w:ascii="仿宋_GB2312" w:hAnsi="仿宋_GB2312" w:eastAsia="仿宋_GB2312" w:cs="仿宋_GB2312"/>
          <w:sz w:val="32"/>
          <w:szCs w:val="32"/>
        </w:rPr>
      </w:pPr>
      <w:r>
        <w:rPr>
          <w:rFonts w:ascii="仿宋_GB2312" w:eastAsia="仿宋_GB2312"/>
          <w:sz w:val="32"/>
          <w:szCs w:val="32"/>
          <w:u w:val="none"/>
        </w:rPr>
        <w:t>201</w:t>
      </w:r>
      <w:r>
        <w:rPr>
          <w:rFonts w:hint="eastAsia" w:ascii="仿宋_GB2312" w:eastAsia="仿宋_GB2312"/>
          <w:sz w:val="32"/>
          <w:szCs w:val="32"/>
          <w:u w:val="none"/>
          <w:lang w:val="en-US" w:eastAsia="zh-CN"/>
        </w:rPr>
        <w:t>9</w:t>
      </w:r>
      <w:r>
        <w:rPr>
          <w:rFonts w:hint="eastAsia" w:ascii="仿宋_GB2312" w:eastAsia="仿宋_GB2312"/>
          <w:sz w:val="32"/>
          <w:szCs w:val="32"/>
          <w:u w:val="none"/>
        </w:rPr>
        <w:t>年，</w:t>
      </w:r>
      <w:r>
        <w:rPr>
          <w:rFonts w:hint="eastAsia" w:ascii="仿宋_GB2312" w:eastAsia="仿宋_GB2312"/>
          <w:sz w:val="32"/>
          <w:szCs w:val="32"/>
          <w:u w:val="none"/>
          <w:lang w:eastAsia="zh-CN"/>
        </w:rPr>
        <w:t>我单位</w:t>
      </w:r>
      <w:r>
        <w:rPr>
          <w:rFonts w:hint="eastAsia" w:ascii="仿宋_GB2312" w:eastAsia="仿宋_GB2312"/>
          <w:sz w:val="32"/>
          <w:szCs w:val="32"/>
          <w:u w:val="none"/>
        </w:rPr>
        <w:t>财政拨款</w:t>
      </w:r>
      <w:r>
        <w:rPr>
          <w:rFonts w:ascii="仿宋_GB2312" w:eastAsia="仿宋_GB2312"/>
          <w:sz w:val="32"/>
          <w:szCs w:val="32"/>
          <w:u w:val="none"/>
        </w:rPr>
        <w:t>“</w:t>
      </w:r>
      <w:r>
        <w:rPr>
          <w:rFonts w:hint="eastAsia" w:ascii="仿宋_GB2312" w:eastAsia="仿宋_GB2312"/>
          <w:sz w:val="32"/>
          <w:szCs w:val="32"/>
          <w:u w:val="none"/>
        </w:rPr>
        <w:t>三公</w:t>
      </w:r>
      <w:r>
        <w:rPr>
          <w:rFonts w:ascii="仿宋_GB2312" w:eastAsia="仿宋_GB2312"/>
          <w:sz w:val="32"/>
          <w:szCs w:val="32"/>
          <w:u w:val="none"/>
        </w:rPr>
        <w:t>”</w:t>
      </w:r>
      <w:r>
        <w:rPr>
          <w:rFonts w:hint="eastAsia" w:ascii="仿宋_GB2312" w:eastAsia="仿宋_GB2312"/>
          <w:sz w:val="32"/>
          <w:szCs w:val="32"/>
          <w:u w:val="none"/>
        </w:rPr>
        <w:t>经费预算安排</w:t>
      </w:r>
      <w:r>
        <w:rPr>
          <w:rFonts w:hint="eastAsia" w:ascii="仿宋_GB2312" w:eastAsia="仿宋_GB2312"/>
          <w:sz w:val="32"/>
          <w:szCs w:val="32"/>
          <w:u w:val="none"/>
          <w:lang w:val="en-US" w:eastAsia="zh-CN"/>
        </w:rPr>
        <w:t>10</w:t>
      </w:r>
      <w:r>
        <w:rPr>
          <w:rFonts w:hint="eastAsia" w:ascii="仿宋_GB2312" w:eastAsia="仿宋_GB2312"/>
          <w:sz w:val="32"/>
          <w:szCs w:val="32"/>
          <w:u w:val="none"/>
        </w:rPr>
        <w:t>万元，</w:t>
      </w:r>
      <w:r>
        <w:rPr>
          <w:rFonts w:hint="eastAsia" w:ascii="仿宋_GB2312" w:eastAsia="仿宋_GB2312"/>
          <w:sz w:val="32"/>
          <w:szCs w:val="32"/>
          <w:u w:val="none"/>
          <w:lang w:eastAsia="zh-CN"/>
        </w:rPr>
        <w:t>与</w:t>
      </w:r>
      <w:r>
        <w:rPr>
          <w:rFonts w:hint="eastAsia" w:ascii="仿宋_GB2312" w:eastAsia="仿宋_GB2312"/>
          <w:sz w:val="32"/>
          <w:szCs w:val="32"/>
          <w:u w:val="none"/>
        </w:rPr>
        <w:t>201</w:t>
      </w:r>
      <w:r>
        <w:rPr>
          <w:rFonts w:hint="eastAsia" w:ascii="仿宋_GB2312" w:eastAsia="仿宋_GB2312"/>
          <w:sz w:val="32"/>
          <w:szCs w:val="32"/>
          <w:u w:val="none"/>
          <w:lang w:val="en-US" w:eastAsia="zh-CN"/>
        </w:rPr>
        <w:t>8</w:t>
      </w:r>
      <w:r>
        <w:rPr>
          <w:rFonts w:hint="eastAsia" w:ascii="仿宋_GB2312" w:eastAsia="仿宋_GB2312"/>
          <w:sz w:val="32"/>
          <w:szCs w:val="32"/>
          <w:u w:val="none"/>
        </w:rPr>
        <w:t>年预算</w:t>
      </w:r>
      <w:r>
        <w:rPr>
          <w:rFonts w:hint="eastAsia" w:ascii="仿宋_GB2312" w:eastAsia="仿宋_GB2312"/>
          <w:sz w:val="32"/>
          <w:szCs w:val="32"/>
          <w:u w:val="none"/>
          <w:lang w:eastAsia="zh-CN"/>
        </w:rPr>
        <w:t>持平</w:t>
      </w:r>
      <w:r>
        <w:rPr>
          <w:rFonts w:hint="eastAsia" w:ascii="仿宋_GB2312" w:eastAsia="仿宋_GB2312"/>
          <w:sz w:val="32"/>
          <w:szCs w:val="32"/>
          <w:u w:val="none"/>
        </w:rPr>
        <w:t>，具体情况：因公出国（境）费0万元</w:t>
      </w:r>
      <w:r>
        <w:rPr>
          <w:rFonts w:hint="eastAsia" w:ascii="仿宋_GB2312" w:eastAsia="仿宋_GB2312"/>
          <w:sz w:val="32"/>
          <w:u w:val="none"/>
        </w:rPr>
        <w:t>，</w:t>
      </w:r>
      <w:r>
        <w:rPr>
          <w:rFonts w:hint="eastAsia" w:ascii="仿宋_GB2312" w:hAnsi="宋体" w:eastAsia="仿宋_GB2312" w:cs="宋体"/>
          <w:color w:val="000000"/>
          <w:kern w:val="0"/>
          <w:sz w:val="32"/>
          <w:szCs w:val="32"/>
          <w:u w:val="none"/>
        </w:rPr>
        <w:t>与上年持平</w:t>
      </w:r>
      <w:r>
        <w:rPr>
          <w:rFonts w:hint="eastAsia" w:ascii="仿宋_GB2312" w:eastAsia="仿宋_GB2312"/>
          <w:sz w:val="32"/>
          <w:u w:val="none"/>
        </w:rPr>
        <w:t>；</w:t>
      </w:r>
      <w:r>
        <w:rPr>
          <w:rFonts w:hint="eastAsia" w:ascii="仿宋_GB2312" w:eastAsia="仿宋_GB2312"/>
          <w:sz w:val="32"/>
          <w:szCs w:val="32"/>
          <w:u w:val="none"/>
        </w:rPr>
        <w:t>公务用车购置0万元，</w:t>
      </w:r>
      <w:r>
        <w:rPr>
          <w:rFonts w:hint="eastAsia" w:ascii="仿宋_GB2312" w:hAnsi="宋体" w:eastAsia="仿宋_GB2312" w:cs="宋体"/>
          <w:color w:val="000000"/>
          <w:kern w:val="0"/>
          <w:sz w:val="32"/>
          <w:szCs w:val="32"/>
          <w:u w:val="none"/>
        </w:rPr>
        <w:t>与上年持平</w:t>
      </w:r>
      <w:r>
        <w:rPr>
          <w:rFonts w:hint="eastAsia" w:ascii="仿宋_GB2312" w:eastAsia="仿宋_GB2312"/>
          <w:sz w:val="32"/>
          <w:u w:val="none"/>
        </w:rPr>
        <w:t>；</w:t>
      </w:r>
      <w:r>
        <w:rPr>
          <w:rFonts w:hint="eastAsia" w:ascii="仿宋_GB2312" w:eastAsia="仿宋_GB2312"/>
          <w:sz w:val="32"/>
          <w:szCs w:val="32"/>
          <w:u w:val="none"/>
        </w:rPr>
        <w:t>公务用车运行维护费</w:t>
      </w:r>
      <w:r>
        <w:rPr>
          <w:rFonts w:hint="eastAsia" w:ascii="仿宋_GB2312" w:eastAsia="仿宋_GB2312"/>
          <w:sz w:val="32"/>
          <w:szCs w:val="32"/>
          <w:u w:val="none"/>
          <w:lang w:val="en-US" w:eastAsia="zh-CN"/>
        </w:rPr>
        <w:t>10</w:t>
      </w:r>
      <w:r>
        <w:rPr>
          <w:rFonts w:hint="eastAsia" w:ascii="仿宋_GB2312" w:eastAsia="仿宋_GB2312"/>
          <w:sz w:val="32"/>
          <w:szCs w:val="32"/>
          <w:u w:val="none"/>
        </w:rPr>
        <w:t>万元</w:t>
      </w:r>
      <w:r>
        <w:rPr>
          <w:rFonts w:hint="eastAsia" w:ascii="仿宋_GB2312" w:eastAsia="仿宋_GB2312"/>
          <w:sz w:val="32"/>
          <w:u w:val="none"/>
        </w:rPr>
        <w:t>，</w:t>
      </w:r>
      <w:r>
        <w:rPr>
          <w:rFonts w:hint="eastAsia" w:ascii="仿宋_GB2312" w:hAnsi="宋体" w:eastAsia="仿宋_GB2312" w:cs="宋体"/>
          <w:color w:val="000000"/>
          <w:kern w:val="0"/>
          <w:sz w:val="32"/>
          <w:szCs w:val="32"/>
          <w:u w:val="none"/>
        </w:rPr>
        <w:t>与上年持平</w:t>
      </w:r>
      <w:r>
        <w:rPr>
          <w:rFonts w:hint="eastAsia" w:ascii="仿宋_GB2312" w:hAnsi="宋体" w:eastAsia="仿宋_GB2312" w:cs="宋体"/>
          <w:color w:val="000000"/>
          <w:kern w:val="0"/>
          <w:sz w:val="32"/>
          <w:szCs w:val="32"/>
          <w:u w:val="none"/>
          <w:lang w:eastAsia="zh-CN"/>
        </w:rPr>
        <w:t>；</w:t>
      </w:r>
      <w:r>
        <w:rPr>
          <w:rFonts w:hint="eastAsia" w:ascii="仿宋_GB2312" w:eastAsia="仿宋_GB2312"/>
          <w:sz w:val="32"/>
          <w:szCs w:val="32"/>
          <w:u w:val="none"/>
        </w:rPr>
        <w:t>公务接待费</w:t>
      </w:r>
      <w:r>
        <w:rPr>
          <w:rFonts w:hint="eastAsia" w:ascii="仿宋_GB2312" w:eastAsia="仿宋_GB2312"/>
          <w:sz w:val="32"/>
          <w:szCs w:val="32"/>
          <w:u w:val="none"/>
          <w:lang w:val="en-US" w:eastAsia="zh-CN"/>
        </w:rPr>
        <w:t>0</w:t>
      </w:r>
      <w:r>
        <w:rPr>
          <w:rFonts w:hint="eastAsia" w:ascii="仿宋_GB2312" w:eastAsia="仿宋_GB2312"/>
          <w:sz w:val="32"/>
          <w:szCs w:val="32"/>
          <w:u w:val="none"/>
        </w:rPr>
        <w:t>万元，</w:t>
      </w:r>
      <w:r>
        <w:rPr>
          <w:rFonts w:hint="eastAsia" w:ascii="仿宋_GB2312" w:hAnsi="宋体" w:eastAsia="仿宋_GB2312" w:cs="宋体"/>
          <w:color w:val="000000"/>
          <w:kern w:val="0"/>
          <w:sz w:val="32"/>
          <w:szCs w:val="32"/>
          <w:u w:val="none"/>
        </w:rPr>
        <w:t>与上年持平</w:t>
      </w:r>
      <w:r>
        <w:rPr>
          <w:rFonts w:hint="eastAsia" w:ascii="仿宋_GB2312" w:eastAsia="仿宋_GB2312"/>
          <w:sz w:val="32"/>
          <w:szCs w:val="32"/>
          <w:u w:val="none"/>
        </w:rPr>
        <w:t>。</w:t>
      </w:r>
    </w:p>
    <w:p>
      <w:pPr>
        <w:ind w:firstLine="640"/>
        <w:rPr>
          <w:rFonts w:ascii="黑体" w:hAnsi="黑体" w:eastAsia="黑体" w:cs="Times New Roman"/>
          <w:sz w:val="32"/>
          <w:szCs w:val="32"/>
        </w:rPr>
      </w:pPr>
      <w:r>
        <w:rPr>
          <w:rFonts w:hint="eastAsia" w:ascii="黑体" w:hAnsi="黑体" w:eastAsia="黑体" w:cs="黑体"/>
          <w:sz w:val="32"/>
          <w:szCs w:val="32"/>
        </w:rPr>
        <w:t>五、绩效预算信息</w:t>
      </w:r>
    </w:p>
    <w:p>
      <w:pPr>
        <w:ind w:firstLine="640" w:firstLineChars="200"/>
        <w:jc w:val="left"/>
        <w:rPr>
          <w:rFonts w:ascii="Times New Roman" w:hAnsi="Times New Roman" w:eastAsia="方正仿宋_GBK" w:cs="Times New Roman"/>
          <w:b/>
          <w:bCs/>
          <w:sz w:val="32"/>
          <w:szCs w:val="32"/>
        </w:rPr>
      </w:pPr>
      <w:bookmarkStart w:id="0" w:name="_Toc471398463"/>
      <w:r>
        <w:rPr>
          <w:rFonts w:hint="eastAsia" w:ascii="Times New Roman" w:hAnsi="Times New Roman" w:eastAsia="方正仿宋_GBK" w:cs="方正仿宋_GBK"/>
          <w:b/>
          <w:bCs/>
          <w:sz w:val="32"/>
          <w:szCs w:val="32"/>
        </w:rPr>
        <w:t>总体绩效目标：</w:t>
      </w:r>
      <w:r>
        <w:rPr>
          <w:rFonts w:ascii="Times New Roman" w:hAnsi="Times New Roman" w:eastAsia="方正仿宋_GBK" w:cs="Times New Roman"/>
          <w:b/>
          <w:bCs/>
          <w:sz w:val="32"/>
          <w:szCs w:val="32"/>
        </w:rPr>
        <w:t xml:space="preserve"> </w:t>
      </w:r>
    </w:p>
    <w:p>
      <w:pPr>
        <w:ind w:firstLine="640" w:firstLineChars="200"/>
        <w:rPr>
          <w:rFonts w:hint="eastAsia" w:ascii="仿宋" w:hAnsi="仿宋" w:eastAsia="仿宋" w:cs="仿宋"/>
          <w:sz w:val="32"/>
          <w:szCs w:val="32"/>
        </w:rPr>
      </w:pP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政府的正确领导下,深入学习贯彻十九大精神，紧紧围绕各项工作目标任务，强化“事争一流・增比进位”意识，以市场项目为支撑，以市场建</w:t>
      </w:r>
      <w:r>
        <w:rPr>
          <w:rFonts w:hint="eastAsia" w:ascii="仿宋_GB2312" w:hAnsi="仿宋_GB2312" w:eastAsia="仿宋_GB2312" w:cs="仿宋_GB2312"/>
          <w:sz w:val="32"/>
          <w:szCs w:val="32"/>
          <w:lang w:eastAsia="zh-CN"/>
        </w:rPr>
        <w:t>设</w:t>
      </w:r>
      <w:r>
        <w:rPr>
          <w:rFonts w:hint="eastAsia" w:ascii="仿宋_GB2312" w:hAnsi="仿宋_GB2312" w:eastAsia="仿宋_GB2312" w:cs="仿宋_GB2312"/>
          <w:sz w:val="32"/>
          <w:szCs w:val="32"/>
        </w:rPr>
        <w:t>为重点，不断强化市场管理，全力抓好各项工作，尽职尽责、攻坚克难，强力推进市场经营管理増效益、市场项目建设改形象、市场综合管理上水平、市场队伍建设见成效。</w:t>
      </w:r>
    </w:p>
    <w:p>
      <w:pPr>
        <w:ind w:firstLine="560"/>
        <w:rPr>
          <w:rFonts w:hint="eastAsia" w:ascii="仿宋_GB2312" w:hAnsi="仿宋_GB2312" w:eastAsia="仿宋_GB2312" w:cs="仿宋_GB2312"/>
          <w:sz w:val="32"/>
          <w:szCs w:val="32"/>
        </w:rPr>
      </w:pPr>
      <w:r>
        <w:rPr>
          <w:rFonts w:hint="eastAsia" w:ascii="Times New Roman" w:hAnsi="Times New Roman" w:eastAsia="方正仿宋_GBK" w:cs="方正仿宋_GBK"/>
          <w:b/>
          <w:bCs/>
          <w:sz w:val="32"/>
          <w:szCs w:val="32"/>
        </w:rPr>
        <w:t>职责分类绩效目标：</w:t>
      </w:r>
      <w:r>
        <w:rPr>
          <w:rFonts w:hint="eastAsia" w:ascii="仿宋_GB2312" w:hAnsi="仿宋_GB2312" w:eastAsia="仿宋_GB2312" w:cs="仿宋_GB2312"/>
          <w:sz w:val="32"/>
          <w:szCs w:val="32"/>
        </w:rPr>
        <w:t>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推进市场收费管理，确保提质増效。一是加强市场收费管理；二是严格合同和票据管理。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开展市场维修改造，改普经营环境。2019年我局做好对商业城市场维修改造、</w:t>
      </w:r>
      <w:r>
        <w:rPr>
          <w:rFonts w:hint="eastAsia" w:ascii="仿宋_GB2312" w:hAnsi="仿宋_GB2312" w:eastAsia="仿宋_GB2312" w:cs="仿宋_GB2312"/>
          <w:sz w:val="32"/>
          <w:szCs w:val="32"/>
          <w:lang w:eastAsia="zh-CN"/>
        </w:rPr>
        <w:t>永</w:t>
      </w:r>
      <w:r>
        <w:rPr>
          <w:rFonts w:hint="eastAsia" w:ascii="仿宋_GB2312" w:hAnsi="仿宋_GB2312" w:eastAsia="仿宋_GB2312" w:cs="仿宋_GB2312"/>
          <w:sz w:val="32"/>
          <w:szCs w:val="32"/>
        </w:rPr>
        <w:t>安里市场彩钢房顶修缮和农村集贸市场环境提升等项目。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强化市场综合管理，提高服务水平。一是继续推进扫黑除恶专项斗争行动</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是加强综合治理体系建设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三是加强市场环境建设。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加强市场队伍建设，提升工作效率。一是全面加强学习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二是全面提升业务素质；三是全面加强党的建设。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、实现年度发展规划目标的保障措施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面深入贯彻党的十九大和十九届三中全会精神，用习近平新时代中国特色社会主义思想武装头脑、指导实践、推动工作。采取日常自学与集中学习相结合、研讨学习与聘请专业人员讲解学习相结合的形式，认真学习习近平总书记系列讲话精神和省、市重要会议精神，进一步扎实开展“不忘初心、牢记使命”主题教育，坚定理想信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基层所办建设，全面增强把方向、带队伍、谋发展的能力。积极配合市干部培训工作，组织单位内部轮训机关和中层干部，支持业务条线专项培训，全面增强市场管理、市场建设、改革创新、狠抓落实等各项工作本领。加强业务指导，及时关切和回应基层工作中出现的新情况、新问题，维护队伍稳定。坚定不移推进党风廉政建设和反腐败斗争，严格落实“两个责任”和“一岗双责”，严格执行中央八项规定要求，并做好回头看”工作，防止“四风”反弹。</w:t>
      </w:r>
    </w:p>
    <w:p>
      <w:pPr>
        <w:ind w:firstLine="640" w:firstLineChars="200"/>
        <w:rPr>
          <w:rFonts w:hint="eastAsia" w:ascii="仿宋_GB2312" w:hAnsi="仿宋_GB2312" w:eastAsia="仿宋_GB2312" w:cs="仿宋_GB2312"/>
          <w:sz w:val="32"/>
          <w:szCs w:val="32"/>
        </w:rPr>
      </w:pPr>
    </w:p>
    <w:p>
      <w:pPr>
        <w:ind w:firstLine="560"/>
        <w:rPr>
          <w:rFonts w:hint="eastAsia" w:ascii="楷体_GB2312" w:hAnsi="黑体" w:eastAsia="楷体_GB2312" w:cs="楷体_GB2312"/>
          <w:b/>
          <w:bCs/>
          <w:sz w:val="32"/>
          <w:szCs w:val="32"/>
        </w:rPr>
      </w:pPr>
    </w:p>
    <w:p>
      <w:pPr>
        <w:ind w:firstLine="560"/>
        <w:rPr>
          <w:rFonts w:hint="eastAsia" w:ascii="楷体_GB2312" w:hAnsi="黑体" w:eastAsia="楷体_GB2312" w:cs="楷体_GB2312"/>
          <w:b/>
          <w:bCs/>
          <w:sz w:val="32"/>
          <w:szCs w:val="32"/>
        </w:rPr>
      </w:pPr>
    </w:p>
    <w:p>
      <w:pPr>
        <w:ind w:firstLine="560"/>
        <w:rPr>
          <w:rFonts w:hint="eastAsia" w:ascii="楷体_GB2312" w:hAnsi="黑体" w:eastAsia="楷体_GB2312" w:cs="楷体_GB2312"/>
          <w:b/>
          <w:bCs/>
          <w:sz w:val="32"/>
          <w:szCs w:val="32"/>
        </w:rPr>
      </w:pPr>
    </w:p>
    <w:p>
      <w:pPr>
        <w:ind w:firstLine="560"/>
        <w:rPr>
          <w:rFonts w:hint="eastAsia" w:ascii="楷体_GB2312" w:hAnsi="黑体" w:eastAsia="楷体_GB2312" w:cs="楷体_GB2312"/>
          <w:b/>
          <w:bCs/>
          <w:sz w:val="32"/>
          <w:szCs w:val="32"/>
        </w:rPr>
      </w:pPr>
    </w:p>
    <w:p>
      <w:pPr>
        <w:ind w:firstLine="560"/>
        <w:rPr>
          <w:rFonts w:hint="eastAsia" w:ascii="楷体_GB2312" w:hAnsi="黑体" w:eastAsia="楷体_GB2312" w:cs="楷体_GB2312"/>
          <w:b/>
          <w:bCs/>
          <w:sz w:val="32"/>
          <w:szCs w:val="32"/>
        </w:rPr>
      </w:pPr>
      <w:r>
        <w:rPr>
          <w:rFonts w:hint="eastAsia" w:ascii="楷体_GB2312" w:hAnsi="黑体" w:eastAsia="楷体_GB2312" w:cs="楷体_GB2312"/>
          <w:b/>
          <w:bCs/>
          <w:sz w:val="32"/>
          <w:szCs w:val="32"/>
        </w:rPr>
        <w:t>部门职责及工作活动绩效目标指标：</w:t>
      </w:r>
    </w:p>
    <w:p>
      <w:pPr>
        <w:ind w:firstLine="560"/>
        <w:rPr>
          <w:rFonts w:hint="eastAsia" w:ascii="楷体_GB2312" w:hAnsi="黑体" w:eastAsia="楷体_GB2312" w:cs="楷体_GB2312"/>
          <w:b/>
          <w:bCs/>
          <w:sz w:val="32"/>
          <w:szCs w:val="32"/>
        </w:rPr>
      </w:pPr>
    </w:p>
    <w:bookmarkEnd w:id="0"/>
    <w:p>
      <w:pPr>
        <w:jc w:val="center"/>
        <w:outlineLvl w:val="0"/>
        <w:rPr>
          <w:rFonts w:ascii="方正小标宋_GBK" w:eastAsia="方正小标宋_GBK" w:cs="Times New Roman"/>
          <w:sz w:val="32"/>
          <w:szCs w:val="32"/>
        </w:rPr>
      </w:pPr>
      <w:bookmarkStart w:id="1" w:name="_Toc505076457"/>
      <w:r>
        <w:rPr>
          <w:rFonts w:hint="eastAsia" w:ascii="方正小标宋_GBK" w:eastAsia="方正小标宋_GBK" w:cs="方正小标宋_GBK"/>
          <w:sz w:val="32"/>
          <w:szCs w:val="32"/>
        </w:rPr>
        <w:t>部门职责</w:t>
      </w:r>
      <w:r>
        <w:rPr>
          <w:rFonts w:ascii="方正小标宋_GBK" w:eastAsia="方正小标宋_GBK" w:cs="方正小标宋_GBK"/>
          <w:sz w:val="32"/>
          <w:szCs w:val="32"/>
        </w:rPr>
        <w:t>-</w:t>
      </w:r>
      <w:r>
        <w:rPr>
          <w:rFonts w:hint="eastAsia" w:ascii="方正小标宋_GBK" w:eastAsia="方正小标宋_GBK" w:cs="方正小标宋_GBK"/>
          <w:sz w:val="32"/>
          <w:szCs w:val="32"/>
        </w:rPr>
        <w:t>工作活动绩效目标</w:t>
      </w:r>
      <w:bookmarkEnd w:id="1"/>
    </w:p>
    <w:tbl>
      <w:tblPr>
        <w:tblStyle w:val="8"/>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vAlign w:val="center"/>
          </w:tcPr>
          <w:p>
            <w:pPr>
              <w:spacing w:line="3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w:t>
            </w:r>
            <w:r>
              <w:rPr>
                <w:rFonts w:hint="eastAsia" w:ascii="仿宋_GB2312" w:hAnsi="仿宋_GB2312" w:eastAsia="仿宋_GB2312" w:cs="仿宋_GB2312"/>
                <w:sz w:val="24"/>
                <w:szCs w:val="24"/>
                <w:lang w:val="en-US" w:eastAsia="zh-CN"/>
              </w:rPr>
              <w:t>14</w:t>
            </w:r>
            <w:r>
              <w:rPr>
                <w:rFonts w:hint="eastAsia" w:ascii="仿宋_GB2312" w:hAnsi="仿宋_GB2312" w:eastAsia="仿宋_GB2312" w:cs="仿宋_GB2312"/>
                <w:sz w:val="24"/>
                <w:szCs w:val="24"/>
                <w:lang w:eastAsia="zh-CN"/>
              </w:rPr>
              <w:t>滦州市市场建设发展局</w:t>
            </w:r>
          </w:p>
        </w:tc>
        <w:tc>
          <w:tcPr>
            <w:tcW w:w="2948" w:type="dxa"/>
            <w:gridSpan w:val="4"/>
            <w:tcBorders>
              <w:top w:val="single" w:color="FFFFFF" w:sz="6" w:space="0"/>
              <w:left w:val="single" w:color="FFFFFF" w:sz="6" w:space="0"/>
              <w:right w:val="single" w:color="FFFFFF" w:sz="6" w:space="0"/>
            </w:tcBorders>
            <w:vAlign w:val="center"/>
          </w:tcPr>
          <w:p>
            <w:pPr>
              <w:spacing w:line="300" w:lineRule="exact"/>
              <w:jc w:val="right"/>
              <w:rPr>
                <w:rFonts w:ascii="仿宋_GB2312" w:hAnsi="仿宋_GB2312" w:eastAsia="仿宋_GB2312" w:cs="仿宋_GB2312"/>
                <w:sz w:val="24"/>
                <w:szCs w:val="24"/>
              </w:rPr>
            </w:pPr>
            <w:r>
              <w:rPr>
                <w:rFonts w:hint="eastAsia" w:ascii="仿宋_GB2312" w:hAnsi="仿宋_GB2312" w:eastAsia="仿宋_GB2312" w:cs="仿宋_GB2312"/>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vAlign w:val="center"/>
          </w:tcPr>
          <w:p>
            <w:pPr>
              <w:spacing w:line="30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职责活动</w:t>
            </w:r>
          </w:p>
        </w:tc>
        <w:tc>
          <w:tcPr>
            <w:tcW w:w="1276" w:type="dxa"/>
            <w:vMerge w:val="restart"/>
            <w:vAlign w:val="center"/>
          </w:tcPr>
          <w:p>
            <w:pPr>
              <w:spacing w:line="30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年度预算数</w:t>
            </w:r>
          </w:p>
        </w:tc>
        <w:tc>
          <w:tcPr>
            <w:tcW w:w="2976" w:type="dxa"/>
            <w:vMerge w:val="restart"/>
            <w:vAlign w:val="center"/>
          </w:tcPr>
          <w:p>
            <w:pPr>
              <w:spacing w:line="30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内容描述</w:t>
            </w:r>
          </w:p>
        </w:tc>
        <w:tc>
          <w:tcPr>
            <w:tcW w:w="2976" w:type="dxa"/>
            <w:vMerge w:val="restart"/>
            <w:vAlign w:val="center"/>
          </w:tcPr>
          <w:p>
            <w:pPr>
              <w:spacing w:line="30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绩效目标</w:t>
            </w:r>
          </w:p>
        </w:tc>
        <w:tc>
          <w:tcPr>
            <w:tcW w:w="1417" w:type="dxa"/>
            <w:vMerge w:val="restart"/>
            <w:vAlign w:val="center"/>
          </w:tcPr>
          <w:p>
            <w:pPr>
              <w:spacing w:line="30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绩效指标</w:t>
            </w:r>
          </w:p>
        </w:tc>
        <w:tc>
          <w:tcPr>
            <w:tcW w:w="2948" w:type="dxa"/>
            <w:gridSpan w:val="4"/>
            <w:vAlign w:val="center"/>
          </w:tcPr>
          <w:p>
            <w:pPr>
              <w:spacing w:line="30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0" w:hRule="atLeast"/>
          <w:tblHeader/>
          <w:jc w:val="center"/>
        </w:trPr>
        <w:tc>
          <w:tcPr>
            <w:tcW w:w="2341" w:type="dxa"/>
            <w:vMerge w:val="continue"/>
            <w:vAlign w:val="center"/>
          </w:tcPr>
          <w:p>
            <w:pPr>
              <w:spacing w:line="300" w:lineRule="exact"/>
              <w:jc w:val="left"/>
              <w:outlineLvl w:val="0"/>
              <w:rPr>
                <w:rFonts w:ascii="仿宋_GB2312" w:hAnsi="仿宋_GB2312" w:eastAsia="仿宋_GB2312" w:cs="仿宋_GB2312"/>
                <w:sz w:val="24"/>
                <w:szCs w:val="24"/>
              </w:rPr>
            </w:pPr>
          </w:p>
        </w:tc>
        <w:tc>
          <w:tcPr>
            <w:tcW w:w="1276" w:type="dxa"/>
            <w:vMerge w:val="continue"/>
            <w:vAlign w:val="center"/>
          </w:tcPr>
          <w:p>
            <w:pPr>
              <w:spacing w:line="300" w:lineRule="exact"/>
              <w:jc w:val="left"/>
              <w:outlineLvl w:val="0"/>
              <w:rPr>
                <w:rFonts w:ascii="仿宋_GB2312" w:hAnsi="仿宋_GB2312" w:eastAsia="仿宋_GB2312" w:cs="仿宋_GB2312"/>
                <w:sz w:val="24"/>
                <w:szCs w:val="24"/>
              </w:rPr>
            </w:pPr>
          </w:p>
        </w:tc>
        <w:tc>
          <w:tcPr>
            <w:tcW w:w="2976" w:type="dxa"/>
            <w:vMerge w:val="continue"/>
            <w:vAlign w:val="center"/>
          </w:tcPr>
          <w:p>
            <w:pPr>
              <w:spacing w:line="300" w:lineRule="exact"/>
              <w:jc w:val="left"/>
              <w:outlineLvl w:val="0"/>
              <w:rPr>
                <w:rFonts w:ascii="仿宋_GB2312" w:hAnsi="仿宋_GB2312" w:eastAsia="仿宋_GB2312" w:cs="仿宋_GB2312"/>
                <w:sz w:val="24"/>
                <w:szCs w:val="24"/>
              </w:rPr>
            </w:pPr>
          </w:p>
        </w:tc>
        <w:tc>
          <w:tcPr>
            <w:tcW w:w="2976" w:type="dxa"/>
            <w:vMerge w:val="continue"/>
            <w:vAlign w:val="center"/>
          </w:tcPr>
          <w:p>
            <w:pPr>
              <w:spacing w:line="300" w:lineRule="exact"/>
              <w:jc w:val="left"/>
              <w:outlineLvl w:val="0"/>
              <w:rPr>
                <w:rFonts w:ascii="仿宋_GB2312" w:hAnsi="仿宋_GB2312" w:eastAsia="仿宋_GB2312" w:cs="仿宋_GB2312"/>
                <w:sz w:val="24"/>
                <w:szCs w:val="24"/>
              </w:rPr>
            </w:pPr>
          </w:p>
        </w:tc>
        <w:tc>
          <w:tcPr>
            <w:tcW w:w="1417" w:type="dxa"/>
            <w:vMerge w:val="continue"/>
            <w:vAlign w:val="center"/>
          </w:tcPr>
          <w:p>
            <w:pPr>
              <w:spacing w:line="300" w:lineRule="exact"/>
              <w:jc w:val="left"/>
              <w:outlineLvl w:val="0"/>
              <w:rPr>
                <w:rFonts w:ascii="仿宋_GB2312" w:hAnsi="仿宋_GB2312" w:eastAsia="仿宋_GB2312" w:cs="仿宋_GB2312"/>
                <w:sz w:val="24"/>
                <w:szCs w:val="24"/>
              </w:rPr>
            </w:pPr>
          </w:p>
        </w:tc>
        <w:tc>
          <w:tcPr>
            <w:tcW w:w="737" w:type="dxa"/>
            <w:vAlign w:val="center"/>
          </w:tcPr>
          <w:p>
            <w:pPr>
              <w:spacing w:line="30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优</w:t>
            </w:r>
          </w:p>
        </w:tc>
        <w:tc>
          <w:tcPr>
            <w:tcW w:w="737" w:type="dxa"/>
            <w:vAlign w:val="center"/>
          </w:tcPr>
          <w:p>
            <w:pPr>
              <w:spacing w:line="30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良</w:t>
            </w:r>
          </w:p>
        </w:tc>
        <w:tc>
          <w:tcPr>
            <w:tcW w:w="737" w:type="dxa"/>
            <w:vAlign w:val="center"/>
          </w:tcPr>
          <w:p>
            <w:pPr>
              <w:spacing w:line="30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中</w:t>
            </w:r>
          </w:p>
        </w:tc>
        <w:tc>
          <w:tcPr>
            <w:tcW w:w="737" w:type="dxa"/>
            <w:vAlign w:val="center"/>
          </w:tcPr>
          <w:p>
            <w:pPr>
              <w:spacing w:line="30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32" w:hRule="atLeast"/>
          <w:jc w:val="center"/>
        </w:trPr>
        <w:tc>
          <w:tcPr>
            <w:tcW w:w="2341" w:type="dxa"/>
            <w:vAlign w:val="center"/>
          </w:tcPr>
          <w:p>
            <w:pPr>
              <w:spacing w:line="300" w:lineRule="exact"/>
              <w:jc w:val="left"/>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一、</w:t>
            </w:r>
            <w:r>
              <w:rPr>
                <w:rFonts w:hint="eastAsia" w:ascii="仿宋_GB2312" w:hAnsi="仿宋_GB2312" w:eastAsia="仿宋_GB2312" w:cs="仿宋_GB2312"/>
                <w:b/>
                <w:bCs/>
                <w:sz w:val="24"/>
                <w:szCs w:val="24"/>
                <w:lang w:eastAsia="zh-CN"/>
              </w:rPr>
              <w:t>市场建设管理</w:t>
            </w:r>
          </w:p>
        </w:tc>
        <w:tc>
          <w:tcPr>
            <w:tcW w:w="1276" w:type="dxa"/>
            <w:vAlign w:val="center"/>
          </w:tcPr>
          <w:p>
            <w:pPr>
              <w:spacing w:line="300" w:lineRule="exac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220.00</w:t>
            </w:r>
          </w:p>
        </w:tc>
        <w:tc>
          <w:tcPr>
            <w:tcW w:w="2976" w:type="dxa"/>
            <w:vAlign w:val="center"/>
          </w:tcPr>
          <w:p>
            <w:pPr>
              <w:spacing w:line="300" w:lineRule="exact"/>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规划、建设、管理、服务市场</w:t>
            </w:r>
          </w:p>
        </w:tc>
        <w:tc>
          <w:tcPr>
            <w:tcW w:w="2976" w:type="dxa"/>
            <w:vAlign w:val="center"/>
          </w:tcPr>
          <w:p>
            <w:pPr>
              <w:spacing w:line="300" w:lineRule="exact"/>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科学合理建设发展市场，提供服务管理</w:t>
            </w:r>
          </w:p>
        </w:tc>
        <w:tc>
          <w:tcPr>
            <w:tcW w:w="1417" w:type="dxa"/>
            <w:vAlign w:val="center"/>
          </w:tcPr>
          <w:p>
            <w:pPr>
              <w:spacing w:line="300" w:lineRule="exact"/>
              <w:jc w:val="left"/>
              <w:rPr>
                <w:rFonts w:ascii="仿宋_GB2312" w:hAnsi="仿宋_GB2312" w:eastAsia="仿宋_GB2312" w:cs="仿宋_GB2312"/>
                <w:sz w:val="24"/>
                <w:szCs w:val="24"/>
              </w:rPr>
            </w:pPr>
          </w:p>
        </w:tc>
        <w:tc>
          <w:tcPr>
            <w:tcW w:w="737" w:type="dxa"/>
            <w:vAlign w:val="center"/>
          </w:tcPr>
          <w:p>
            <w:pPr>
              <w:spacing w:line="300" w:lineRule="exact"/>
              <w:jc w:val="center"/>
              <w:rPr>
                <w:rFonts w:ascii="仿宋_GB2312" w:hAnsi="仿宋_GB2312" w:eastAsia="仿宋_GB2312" w:cs="仿宋_GB2312"/>
                <w:sz w:val="24"/>
                <w:szCs w:val="24"/>
              </w:rPr>
            </w:pPr>
          </w:p>
        </w:tc>
        <w:tc>
          <w:tcPr>
            <w:tcW w:w="737" w:type="dxa"/>
            <w:vAlign w:val="center"/>
          </w:tcPr>
          <w:p>
            <w:pPr>
              <w:spacing w:line="300" w:lineRule="exact"/>
              <w:jc w:val="center"/>
              <w:rPr>
                <w:rFonts w:ascii="仿宋_GB2312" w:hAnsi="仿宋_GB2312" w:eastAsia="仿宋_GB2312" w:cs="仿宋_GB2312"/>
                <w:sz w:val="24"/>
                <w:szCs w:val="24"/>
              </w:rPr>
            </w:pPr>
          </w:p>
        </w:tc>
        <w:tc>
          <w:tcPr>
            <w:tcW w:w="737" w:type="dxa"/>
            <w:vAlign w:val="center"/>
          </w:tcPr>
          <w:p>
            <w:pPr>
              <w:spacing w:line="300" w:lineRule="exact"/>
              <w:jc w:val="center"/>
              <w:rPr>
                <w:rFonts w:ascii="仿宋_GB2312" w:hAnsi="仿宋_GB2312" w:eastAsia="仿宋_GB2312" w:cs="仿宋_GB2312"/>
                <w:sz w:val="24"/>
                <w:szCs w:val="24"/>
              </w:rPr>
            </w:pPr>
          </w:p>
        </w:tc>
        <w:tc>
          <w:tcPr>
            <w:tcW w:w="737" w:type="dxa"/>
            <w:vAlign w:val="center"/>
          </w:tcPr>
          <w:p>
            <w:pPr>
              <w:spacing w:line="300" w:lineRule="exact"/>
              <w:jc w:val="center"/>
              <w:rPr>
                <w:rFonts w:ascii="仿宋_GB2312" w:hAnsi="仿宋_GB2312" w:eastAsia="仿宋_GB2312" w:cs="仿宋_GB2312"/>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　　1、</w:t>
            </w:r>
            <w:r>
              <w:rPr>
                <w:rFonts w:hint="eastAsia" w:ascii="仿宋_GB2312" w:hAnsi="仿宋_GB2312" w:eastAsia="仿宋_GB2312" w:cs="仿宋_GB2312"/>
                <w:b/>
                <w:bCs/>
                <w:sz w:val="24"/>
                <w:szCs w:val="24"/>
                <w:lang w:eastAsia="zh-CN"/>
              </w:rPr>
              <w:t>建立和完善市场网络</w:t>
            </w:r>
          </w:p>
        </w:tc>
        <w:tc>
          <w:tcPr>
            <w:tcW w:w="1276" w:type="dxa"/>
            <w:vMerge w:val="restart"/>
            <w:vAlign w:val="center"/>
          </w:tcPr>
          <w:p>
            <w:pPr>
              <w:spacing w:line="300" w:lineRule="exac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220</w:t>
            </w:r>
          </w:p>
        </w:tc>
        <w:tc>
          <w:tcPr>
            <w:tcW w:w="2976" w:type="dxa"/>
            <w:vMerge w:val="restart"/>
            <w:vAlign w:val="center"/>
          </w:tcPr>
          <w:p>
            <w:pPr>
              <w:spacing w:line="300" w:lineRule="exact"/>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积极开发市场加强对市场建设的调控</w:t>
            </w:r>
          </w:p>
        </w:tc>
        <w:tc>
          <w:tcPr>
            <w:tcW w:w="2976" w:type="dxa"/>
            <w:vMerge w:val="restart"/>
            <w:vAlign w:val="center"/>
          </w:tcPr>
          <w:p>
            <w:pPr>
              <w:spacing w:line="300" w:lineRule="exact"/>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逐步建立和完善市场网络</w:t>
            </w:r>
          </w:p>
        </w:tc>
        <w:tc>
          <w:tcPr>
            <w:tcW w:w="1417" w:type="dxa"/>
            <w:vAlign w:val="center"/>
          </w:tcPr>
          <w:p>
            <w:pPr>
              <w:spacing w:line="300" w:lineRule="exact"/>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市场收费完成率</w:t>
            </w:r>
          </w:p>
        </w:tc>
        <w:tc>
          <w:tcPr>
            <w:tcW w:w="737" w:type="dxa"/>
            <w:vAlign w:val="center"/>
          </w:tcPr>
          <w:p>
            <w:pPr>
              <w:spacing w:line="30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100</w:t>
            </w:r>
            <w:r>
              <w:rPr>
                <w:rFonts w:hint="eastAsia" w:ascii="仿宋_GB2312" w:hAnsi="仿宋_GB2312" w:eastAsia="仿宋_GB2312" w:cs="仿宋_GB2312"/>
                <w:sz w:val="24"/>
                <w:szCs w:val="24"/>
              </w:rPr>
              <w:t>%</w:t>
            </w:r>
          </w:p>
        </w:tc>
        <w:tc>
          <w:tcPr>
            <w:tcW w:w="737" w:type="dxa"/>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90</w:t>
            </w:r>
            <w:r>
              <w:rPr>
                <w:rFonts w:hint="eastAsia" w:ascii="仿宋_GB2312" w:hAnsi="仿宋_GB2312" w:eastAsia="仿宋_GB2312" w:cs="仿宋_GB2312"/>
                <w:sz w:val="24"/>
                <w:szCs w:val="24"/>
              </w:rPr>
              <w:t>%</w:t>
            </w:r>
          </w:p>
        </w:tc>
        <w:tc>
          <w:tcPr>
            <w:tcW w:w="737" w:type="dxa"/>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80</w:t>
            </w:r>
            <w:r>
              <w:rPr>
                <w:rFonts w:hint="eastAsia" w:ascii="仿宋_GB2312" w:hAnsi="仿宋_GB2312" w:eastAsia="仿宋_GB2312" w:cs="仿宋_GB2312"/>
                <w:sz w:val="24"/>
                <w:szCs w:val="24"/>
              </w:rPr>
              <w:t>%</w:t>
            </w:r>
          </w:p>
        </w:tc>
        <w:tc>
          <w:tcPr>
            <w:tcW w:w="737" w:type="dxa"/>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&lt;</w:t>
            </w:r>
            <w:r>
              <w:rPr>
                <w:rFonts w:hint="eastAsia" w:ascii="仿宋_GB2312" w:hAnsi="仿宋_GB2312" w:eastAsia="仿宋_GB2312" w:cs="仿宋_GB2312"/>
                <w:sz w:val="24"/>
                <w:szCs w:val="24"/>
                <w:lang w:val="en-US" w:eastAsia="zh-CN"/>
              </w:rPr>
              <w:t>80</w:t>
            </w:r>
            <w:r>
              <w:rPr>
                <w:rFonts w:hint="eastAsia" w:ascii="仿宋_GB2312" w:hAnsi="仿宋_GB2312" w:eastAsia="仿宋_GB2312" w:cs="仿宋_GB2312"/>
                <w:sz w:val="24"/>
                <w:szCs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hAnsi="仿宋_GB2312" w:eastAsia="仿宋_GB2312" w:cs="仿宋_GB2312"/>
                <w:b/>
                <w:bCs/>
                <w:sz w:val="24"/>
                <w:szCs w:val="24"/>
              </w:rPr>
            </w:pPr>
          </w:p>
        </w:tc>
        <w:tc>
          <w:tcPr>
            <w:tcW w:w="1276" w:type="dxa"/>
            <w:vMerge w:val="continue"/>
            <w:vAlign w:val="center"/>
          </w:tcPr>
          <w:p>
            <w:pPr>
              <w:spacing w:line="300" w:lineRule="exact"/>
              <w:jc w:val="left"/>
              <w:rPr>
                <w:rFonts w:ascii="仿宋_GB2312" w:hAnsi="仿宋_GB2312" w:eastAsia="仿宋_GB2312" w:cs="仿宋_GB2312"/>
                <w:sz w:val="24"/>
                <w:szCs w:val="24"/>
              </w:rPr>
            </w:pPr>
          </w:p>
        </w:tc>
        <w:tc>
          <w:tcPr>
            <w:tcW w:w="2976" w:type="dxa"/>
            <w:vMerge w:val="continue"/>
            <w:vAlign w:val="center"/>
          </w:tcPr>
          <w:p>
            <w:pPr>
              <w:spacing w:line="300" w:lineRule="exact"/>
              <w:jc w:val="left"/>
              <w:rPr>
                <w:rFonts w:ascii="仿宋_GB2312" w:hAnsi="仿宋_GB2312" w:eastAsia="仿宋_GB2312" w:cs="仿宋_GB2312"/>
                <w:sz w:val="24"/>
                <w:szCs w:val="24"/>
              </w:rPr>
            </w:pPr>
          </w:p>
        </w:tc>
        <w:tc>
          <w:tcPr>
            <w:tcW w:w="2976" w:type="dxa"/>
            <w:vMerge w:val="continue"/>
            <w:vAlign w:val="center"/>
          </w:tcPr>
          <w:p>
            <w:pPr>
              <w:spacing w:line="300" w:lineRule="exact"/>
              <w:jc w:val="left"/>
              <w:rPr>
                <w:rFonts w:ascii="仿宋_GB2312" w:hAnsi="仿宋_GB2312" w:eastAsia="仿宋_GB2312" w:cs="仿宋_GB2312"/>
                <w:sz w:val="24"/>
                <w:szCs w:val="24"/>
              </w:rPr>
            </w:pPr>
          </w:p>
        </w:tc>
        <w:tc>
          <w:tcPr>
            <w:tcW w:w="1417" w:type="dxa"/>
            <w:vAlign w:val="center"/>
          </w:tcPr>
          <w:p>
            <w:pPr>
              <w:spacing w:line="300" w:lineRule="exact"/>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市场开发项目完工率</w:t>
            </w:r>
          </w:p>
        </w:tc>
        <w:tc>
          <w:tcPr>
            <w:tcW w:w="737" w:type="dxa"/>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100</w:t>
            </w:r>
            <w:r>
              <w:rPr>
                <w:rFonts w:hint="eastAsia" w:ascii="仿宋_GB2312" w:hAnsi="仿宋_GB2312" w:eastAsia="仿宋_GB2312" w:cs="仿宋_GB2312"/>
                <w:sz w:val="24"/>
                <w:szCs w:val="24"/>
              </w:rPr>
              <w:t>%</w:t>
            </w:r>
          </w:p>
        </w:tc>
        <w:tc>
          <w:tcPr>
            <w:tcW w:w="737" w:type="dxa"/>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90</w:t>
            </w:r>
            <w:r>
              <w:rPr>
                <w:rFonts w:hint="eastAsia" w:ascii="仿宋_GB2312" w:hAnsi="仿宋_GB2312" w:eastAsia="仿宋_GB2312" w:cs="仿宋_GB2312"/>
                <w:sz w:val="24"/>
                <w:szCs w:val="24"/>
              </w:rPr>
              <w:t>%</w:t>
            </w:r>
          </w:p>
        </w:tc>
        <w:tc>
          <w:tcPr>
            <w:tcW w:w="737" w:type="dxa"/>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80</w:t>
            </w:r>
            <w:r>
              <w:rPr>
                <w:rFonts w:hint="eastAsia" w:ascii="仿宋_GB2312" w:hAnsi="仿宋_GB2312" w:eastAsia="仿宋_GB2312" w:cs="仿宋_GB2312"/>
                <w:sz w:val="24"/>
                <w:szCs w:val="24"/>
              </w:rPr>
              <w:t>%</w:t>
            </w:r>
          </w:p>
        </w:tc>
        <w:tc>
          <w:tcPr>
            <w:tcW w:w="737" w:type="dxa"/>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&lt;</w:t>
            </w:r>
            <w:r>
              <w:rPr>
                <w:rFonts w:hint="eastAsia" w:ascii="仿宋_GB2312" w:hAnsi="仿宋_GB2312" w:eastAsia="仿宋_GB2312" w:cs="仿宋_GB2312"/>
                <w:sz w:val="24"/>
                <w:szCs w:val="24"/>
                <w:lang w:val="en-US" w:eastAsia="zh-CN"/>
              </w:rPr>
              <w:t>80</w:t>
            </w:r>
            <w:r>
              <w:rPr>
                <w:rFonts w:hint="eastAsia" w:ascii="仿宋_GB2312" w:hAnsi="仿宋_GB2312" w:eastAsia="仿宋_GB2312" w:cs="仿宋_GB2312"/>
                <w:sz w:val="24"/>
                <w:szCs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4" w:hRule="atLeast"/>
          <w:jc w:val="center"/>
        </w:trPr>
        <w:tc>
          <w:tcPr>
            <w:tcW w:w="2341" w:type="dxa"/>
            <w:vAlign w:val="center"/>
          </w:tcPr>
          <w:p>
            <w:pPr>
              <w:spacing w:line="300" w:lineRule="exact"/>
              <w:jc w:val="left"/>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二、市场建设管理服务</w:t>
            </w:r>
          </w:p>
        </w:tc>
        <w:tc>
          <w:tcPr>
            <w:tcW w:w="1276" w:type="dxa"/>
            <w:vAlign w:val="center"/>
          </w:tcPr>
          <w:p>
            <w:pPr>
              <w:spacing w:line="300" w:lineRule="exac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837.70</w:t>
            </w:r>
          </w:p>
        </w:tc>
        <w:tc>
          <w:tcPr>
            <w:tcW w:w="2976" w:type="dxa"/>
            <w:vAlign w:val="center"/>
          </w:tcPr>
          <w:p>
            <w:pPr>
              <w:spacing w:line="300" w:lineRule="exact"/>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根据县委县政府的统筹安排，开发建设市场，做好收费管理、服务工作。</w:t>
            </w:r>
          </w:p>
        </w:tc>
        <w:tc>
          <w:tcPr>
            <w:tcW w:w="2976" w:type="dxa"/>
            <w:vAlign w:val="center"/>
          </w:tcPr>
          <w:p>
            <w:pPr>
              <w:spacing w:line="300" w:lineRule="exact"/>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按县规划统筹开发市场、服务管理市场。</w:t>
            </w:r>
          </w:p>
        </w:tc>
        <w:tc>
          <w:tcPr>
            <w:tcW w:w="1417" w:type="dxa"/>
            <w:vAlign w:val="center"/>
          </w:tcPr>
          <w:p>
            <w:pPr>
              <w:spacing w:line="300" w:lineRule="exact"/>
              <w:jc w:val="left"/>
              <w:rPr>
                <w:rFonts w:hint="eastAsia" w:ascii="仿宋_GB2312" w:hAnsi="仿宋_GB2312" w:eastAsia="仿宋_GB2312" w:cs="仿宋_GB2312"/>
                <w:sz w:val="24"/>
                <w:szCs w:val="24"/>
                <w:lang w:eastAsia="zh-CN"/>
              </w:rPr>
            </w:pPr>
          </w:p>
        </w:tc>
        <w:tc>
          <w:tcPr>
            <w:tcW w:w="737" w:type="dxa"/>
            <w:vAlign w:val="center"/>
          </w:tcPr>
          <w:p>
            <w:pPr>
              <w:spacing w:line="300" w:lineRule="exact"/>
              <w:jc w:val="center"/>
              <w:rPr>
                <w:rFonts w:hint="eastAsia" w:ascii="仿宋_GB2312" w:hAnsi="仿宋_GB2312" w:eastAsia="仿宋_GB2312" w:cs="仿宋_GB2312"/>
                <w:sz w:val="24"/>
                <w:szCs w:val="24"/>
                <w:lang w:val="en-US" w:eastAsia="zh-CN"/>
              </w:rPr>
            </w:pPr>
          </w:p>
        </w:tc>
        <w:tc>
          <w:tcPr>
            <w:tcW w:w="737" w:type="dxa"/>
            <w:vAlign w:val="center"/>
          </w:tcPr>
          <w:p>
            <w:pPr>
              <w:spacing w:line="300" w:lineRule="exact"/>
              <w:jc w:val="center"/>
              <w:rPr>
                <w:rFonts w:hint="eastAsia" w:ascii="仿宋_GB2312" w:hAnsi="仿宋_GB2312" w:eastAsia="仿宋_GB2312" w:cs="仿宋_GB2312"/>
                <w:sz w:val="24"/>
                <w:szCs w:val="24"/>
              </w:rPr>
            </w:pPr>
          </w:p>
        </w:tc>
        <w:tc>
          <w:tcPr>
            <w:tcW w:w="737" w:type="dxa"/>
            <w:vAlign w:val="center"/>
          </w:tcPr>
          <w:p>
            <w:pPr>
              <w:spacing w:line="300" w:lineRule="exact"/>
              <w:jc w:val="center"/>
              <w:rPr>
                <w:rFonts w:hint="eastAsia" w:ascii="仿宋_GB2312" w:hAnsi="仿宋_GB2312" w:eastAsia="仿宋_GB2312" w:cs="仿宋_GB2312"/>
                <w:sz w:val="24"/>
                <w:szCs w:val="24"/>
              </w:rPr>
            </w:pPr>
          </w:p>
        </w:tc>
        <w:tc>
          <w:tcPr>
            <w:tcW w:w="737" w:type="dxa"/>
            <w:vAlign w:val="center"/>
          </w:tcPr>
          <w:p>
            <w:pPr>
              <w:spacing w:line="300" w:lineRule="exact"/>
              <w:jc w:val="center"/>
              <w:rPr>
                <w:rFonts w:hint="eastAsia" w:ascii="仿宋_GB2312" w:hAnsi="仿宋_GB2312" w:eastAsia="仿宋_GB2312" w:cs="仿宋_GB2312"/>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1、对市场开发、建设的宏观指导。</w:t>
            </w:r>
          </w:p>
        </w:tc>
        <w:tc>
          <w:tcPr>
            <w:tcW w:w="1276" w:type="dxa"/>
            <w:vAlign w:val="center"/>
          </w:tcPr>
          <w:p>
            <w:pPr>
              <w:spacing w:line="300" w:lineRule="exac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3.60</w:t>
            </w:r>
          </w:p>
        </w:tc>
        <w:tc>
          <w:tcPr>
            <w:tcW w:w="2976" w:type="dxa"/>
            <w:vAlign w:val="center"/>
          </w:tcPr>
          <w:p>
            <w:pPr>
              <w:spacing w:line="300" w:lineRule="exact"/>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制定市场总体规划。</w:t>
            </w:r>
          </w:p>
        </w:tc>
        <w:tc>
          <w:tcPr>
            <w:tcW w:w="2976" w:type="dxa"/>
            <w:vAlign w:val="center"/>
          </w:tcPr>
          <w:p>
            <w:pPr>
              <w:spacing w:line="300" w:lineRule="exact"/>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制安出台合适的总体规划</w:t>
            </w:r>
          </w:p>
        </w:tc>
        <w:tc>
          <w:tcPr>
            <w:tcW w:w="1417" w:type="dxa"/>
            <w:vAlign w:val="center"/>
          </w:tcPr>
          <w:p>
            <w:pPr>
              <w:spacing w:line="300" w:lineRule="exact"/>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市场管理服务覆盖率</w:t>
            </w:r>
          </w:p>
        </w:tc>
        <w:tc>
          <w:tcPr>
            <w:tcW w:w="737" w:type="dxa"/>
            <w:vAlign w:val="center"/>
          </w:tcPr>
          <w:p>
            <w:pPr>
              <w:spacing w:line="30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100</w:t>
            </w:r>
            <w:r>
              <w:rPr>
                <w:rFonts w:hint="eastAsia" w:ascii="仿宋_GB2312" w:hAnsi="仿宋_GB2312" w:eastAsia="仿宋_GB2312" w:cs="仿宋_GB2312"/>
                <w:sz w:val="24"/>
                <w:szCs w:val="24"/>
              </w:rPr>
              <w:t>%</w:t>
            </w:r>
          </w:p>
        </w:tc>
        <w:tc>
          <w:tcPr>
            <w:tcW w:w="737" w:type="dxa"/>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95</w:t>
            </w:r>
            <w:r>
              <w:rPr>
                <w:rFonts w:hint="eastAsia" w:ascii="仿宋_GB2312" w:hAnsi="仿宋_GB2312" w:eastAsia="仿宋_GB2312" w:cs="仿宋_GB2312"/>
                <w:sz w:val="24"/>
                <w:szCs w:val="24"/>
              </w:rPr>
              <w:t>%</w:t>
            </w:r>
          </w:p>
        </w:tc>
        <w:tc>
          <w:tcPr>
            <w:tcW w:w="737" w:type="dxa"/>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90</w:t>
            </w:r>
            <w:r>
              <w:rPr>
                <w:rFonts w:hint="eastAsia" w:ascii="仿宋_GB2312" w:hAnsi="仿宋_GB2312" w:eastAsia="仿宋_GB2312" w:cs="仿宋_GB2312"/>
                <w:sz w:val="24"/>
                <w:szCs w:val="24"/>
              </w:rPr>
              <w:t>%</w:t>
            </w:r>
          </w:p>
        </w:tc>
        <w:tc>
          <w:tcPr>
            <w:tcW w:w="737" w:type="dxa"/>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&lt;</w:t>
            </w:r>
            <w:r>
              <w:rPr>
                <w:rFonts w:hint="eastAsia" w:ascii="仿宋_GB2312" w:hAnsi="仿宋_GB2312" w:eastAsia="仿宋_GB2312" w:cs="仿宋_GB2312"/>
                <w:sz w:val="24"/>
                <w:szCs w:val="24"/>
                <w:lang w:val="en-US" w:eastAsia="zh-CN"/>
              </w:rPr>
              <w:t>90</w:t>
            </w:r>
            <w:r>
              <w:rPr>
                <w:rFonts w:hint="eastAsia" w:ascii="仿宋_GB2312" w:hAnsi="仿宋_GB2312" w:eastAsia="仿宋_GB2312" w:cs="仿宋_GB2312"/>
                <w:sz w:val="24"/>
                <w:szCs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2、负责市场经营、改造、经营市场资产</w:t>
            </w:r>
          </w:p>
        </w:tc>
        <w:tc>
          <w:tcPr>
            <w:tcW w:w="1276" w:type="dxa"/>
            <w:vAlign w:val="center"/>
          </w:tcPr>
          <w:p>
            <w:pPr>
              <w:spacing w:line="300" w:lineRule="exac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834.1</w:t>
            </w:r>
          </w:p>
        </w:tc>
        <w:tc>
          <w:tcPr>
            <w:tcW w:w="2976" w:type="dxa"/>
            <w:vAlign w:val="center"/>
          </w:tcPr>
          <w:p>
            <w:pPr>
              <w:spacing w:line="300" w:lineRule="exact"/>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管理市场物业及设施的维修，摊位场所租赁。</w:t>
            </w:r>
          </w:p>
        </w:tc>
        <w:tc>
          <w:tcPr>
            <w:tcW w:w="2976" w:type="dxa"/>
            <w:vAlign w:val="center"/>
          </w:tcPr>
          <w:p>
            <w:pPr>
              <w:spacing w:line="300" w:lineRule="exact"/>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建立各项制度，扎实开展市场服务工作。</w:t>
            </w:r>
          </w:p>
        </w:tc>
        <w:tc>
          <w:tcPr>
            <w:tcW w:w="1417" w:type="dxa"/>
            <w:vAlign w:val="center"/>
          </w:tcPr>
          <w:p>
            <w:pPr>
              <w:spacing w:line="300" w:lineRule="exact"/>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市场整治工作完成率</w:t>
            </w:r>
          </w:p>
        </w:tc>
        <w:tc>
          <w:tcPr>
            <w:tcW w:w="737" w:type="dxa"/>
            <w:vAlign w:val="center"/>
          </w:tcPr>
          <w:p>
            <w:pPr>
              <w:spacing w:line="30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100</w:t>
            </w:r>
            <w:r>
              <w:rPr>
                <w:rFonts w:hint="eastAsia" w:ascii="仿宋_GB2312" w:hAnsi="仿宋_GB2312" w:eastAsia="仿宋_GB2312" w:cs="仿宋_GB2312"/>
                <w:sz w:val="24"/>
                <w:szCs w:val="24"/>
              </w:rPr>
              <w:t>%</w:t>
            </w:r>
          </w:p>
        </w:tc>
        <w:tc>
          <w:tcPr>
            <w:tcW w:w="737" w:type="dxa"/>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90</w:t>
            </w:r>
            <w:r>
              <w:rPr>
                <w:rFonts w:hint="eastAsia" w:ascii="仿宋_GB2312" w:hAnsi="仿宋_GB2312" w:eastAsia="仿宋_GB2312" w:cs="仿宋_GB2312"/>
                <w:sz w:val="24"/>
                <w:szCs w:val="24"/>
              </w:rPr>
              <w:t>%</w:t>
            </w:r>
          </w:p>
        </w:tc>
        <w:tc>
          <w:tcPr>
            <w:tcW w:w="737" w:type="dxa"/>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80</w:t>
            </w:r>
            <w:r>
              <w:rPr>
                <w:rFonts w:hint="eastAsia" w:ascii="仿宋_GB2312" w:hAnsi="仿宋_GB2312" w:eastAsia="仿宋_GB2312" w:cs="仿宋_GB2312"/>
                <w:sz w:val="24"/>
                <w:szCs w:val="24"/>
              </w:rPr>
              <w:t>%</w:t>
            </w:r>
          </w:p>
        </w:tc>
        <w:tc>
          <w:tcPr>
            <w:tcW w:w="737" w:type="dxa"/>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&lt;</w:t>
            </w:r>
            <w:r>
              <w:rPr>
                <w:rFonts w:hint="eastAsia" w:ascii="仿宋_GB2312" w:hAnsi="仿宋_GB2312" w:eastAsia="仿宋_GB2312" w:cs="仿宋_GB2312"/>
                <w:sz w:val="24"/>
                <w:szCs w:val="24"/>
                <w:lang w:val="en-US" w:eastAsia="zh-CN"/>
              </w:rPr>
              <w:t>80</w:t>
            </w:r>
            <w:r>
              <w:rPr>
                <w:rFonts w:hint="eastAsia" w:ascii="仿宋_GB2312" w:hAnsi="仿宋_GB2312" w:eastAsia="仿宋_GB2312" w:cs="仿宋_GB2312"/>
                <w:sz w:val="24"/>
                <w:szCs w:val="24"/>
              </w:rPr>
              <w:t>%</w:t>
            </w:r>
          </w:p>
        </w:tc>
      </w:tr>
    </w:tbl>
    <w:p>
      <w:pPr>
        <w:spacing w:line="300" w:lineRule="exact"/>
        <w:jc w:val="left"/>
        <w:outlineLvl w:val="0"/>
        <w:rPr>
          <w:rFonts w:cs="Times New Roman"/>
        </w:rPr>
        <w:sectPr>
          <w:pgSz w:w="16839" w:h="11907" w:orient="landscape"/>
          <w:pgMar w:top="1020" w:right="1361" w:bottom="1020" w:left="1361" w:header="851" w:footer="992" w:gutter="0"/>
          <w:cols w:space="425" w:num="1"/>
          <w:docGrid w:type="lines" w:linePitch="312" w:charSpace="0"/>
        </w:sectPr>
      </w:pPr>
    </w:p>
    <w:p>
      <w:pPr>
        <w:autoSpaceDE w:val="0"/>
        <w:autoSpaceDN w:val="0"/>
        <w:adjustRightInd w:val="0"/>
        <w:jc w:val="left"/>
        <w:rPr>
          <w:rFonts w:ascii="黑体" w:hAnsi="黑体" w:eastAsia="黑体"/>
          <w:sz w:val="32"/>
          <w:szCs w:val="32"/>
        </w:rPr>
      </w:pPr>
      <w:r>
        <w:rPr>
          <w:rFonts w:hint="eastAsia" w:ascii="黑体" w:hAnsi="黑体" w:eastAsia="黑体"/>
          <w:sz w:val="32"/>
          <w:szCs w:val="32"/>
        </w:rPr>
        <w:t>六、政府采购预算情况</w:t>
      </w:r>
    </w:p>
    <w:p>
      <w:pPr>
        <w:ind w:firstLine="640" w:firstLineChars="200"/>
        <w:outlineLvl w:val="0"/>
        <w:rPr>
          <w:rFonts w:ascii="Times New Roman" w:hAnsi="Times New Roman" w:eastAsia="方正仿宋_GBK"/>
          <w:sz w:val="32"/>
          <w:szCs w:val="24"/>
        </w:rPr>
      </w:pPr>
      <w:r>
        <w:rPr>
          <w:rFonts w:ascii="Times New Roman" w:hAnsi="Times New Roman" w:eastAsia="方正仿宋_GBK"/>
          <w:sz w:val="32"/>
          <w:szCs w:val="24"/>
        </w:rPr>
        <w:t>201</w:t>
      </w:r>
      <w:r>
        <w:rPr>
          <w:rFonts w:hint="eastAsia" w:ascii="Times New Roman" w:hAnsi="Times New Roman" w:eastAsia="方正仿宋_GBK"/>
          <w:sz w:val="32"/>
          <w:szCs w:val="24"/>
          <w:lang w:val="en-US" w:eastAsia="zh-CN"/>
        </w:rPr>
        <w:t>9</w:t>
      </w:r>
      <w:r>
        <w:rPr>
          <w:rFonts w:hint="eastAsia" w:ascii="Times New Roman" w:hAnsi="Times New Roman" w:eastAsia="方正仿宋_GBK"/>
          <w:sz w:val="32"/>
          <w:szCs w:val="24"/>
        </w:rPr>
        <w:t>年，安排政府采购预算</w:t>
      </w:r>
      <w:r>
        <w:rPr>
          <w:rFonts w:hint="eastAsia" w:ascii="Times New Roman" w:hAnsi="Times New Roman" w:eastAsia="方正仿宋_GBK"/>
          <w:sz w:val="32"/>
          <w:szCs w:val="24"/>
          <w:lang w:val="en-US" w:eastAsia="zh-CN"/>
        </w:rPr>
        <w:t>30</w:t>
      </w:r>
      <w:r>
        <w:rPr>
          <w:rFonts w:ascii="Times New Roman" w:hAnsi="Times New Roman" w:eastAsia="方正仿宋_GBK"/>
          <w:sz w:val="32"/>
          <w:szCs w:val="24"/>
        </w:rPr>
        <w:t>0</w:t>
      </w:r>
      <w:r>
        <w:rPr>
          <w:rFonts w:hint="eastAsia" w:ascii="Times New Roman" w:hAnsi="Times New Roman" w:eastAsia="方正仿宋_GBK"/>
          <w:sz w:val="32"/>
          <w:szCs w:val="24"/>
        </w:rPr>
        <w:t>万元。具体内容见下表。</w:t>
      </w:r>
    </w:p>
    <w:p>
      <w:pPr>
        <w:jc w:val="center"/>
        <w:outlineLvl w:val="0"/>
        <w:rPr>
          <w:rFonts w:ascii="宋体"/>
          <w:sz w:val="32"/>
          <w:szCs w:val="24"/>
        </w:rPr>
      </w:pPr>
      <w:r>
        <w:rPr>
          <w:rFonts w:hint="eastAsia" w:ascii="宋体" w:hAnsi="宋体"/>
          <w:sz w:val="32"/>
          <w:szCs w:val="24"/>
        </w:rPr>
        <w:t>部门政府采购预算</w:t>
      </w:r>
    </w:p>
    <w:tbl>
      <w:tblPr>
        <w:tblStyle w:val="8"/>
        <w:tblW w:w="14542" w:type="dxa"/>
        <w:jc w:val="center"/>
        <w:tblInd w:w="-4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2"/>
        <w:gridCol w:w="1028"/>
        <w:gridCol w:w="945"/>
        <w:gridCol w:w="1020"/>
        <w:gridCol w:w="757"/>
        <w:gridCol w:w="825"/>
        <w:gridCol w:w="855"/>
        <w:gridCol w:w="922"/>
        <w:gridCol w:w="881"/>
        <w:gridCol w:w="881"/>
        <w:gridCol w:w="882"/>
        <w:gridCol w:w="882"/>
        <w:gridCol w:w="882"/>
        <w:gridCol w:w="8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3980" w:type="dxa"/>
            <w:gridSpan w:val="2"/>
            <w:vAlign w:val="center"/>
          </w:tcPr>
          <w:p>
            <w:pPr>
              <w:spacing w:line="300" w:lineRule="exact"/>
              <w:jc w:val="center"/>
              <w:rPr>
                <w:rFonts w:ascii="宋体"/>
                <w:b/>
              </w:rPr>
            </w:pPr>
            <w:r>
              <w:rPr>
                <w:rFonts w:hint="eastAsia" w:ascii="宋体" w:hAnsi="宋体"/>
                <w:b/>
              </w:rPr>
              <w:t>政府采购项目来源</w:t>
            </w:r>
          </w:p>
        </w:tc>
        <w:tc>
          <w:tcPr>
            <w:tcW w:w="945" w:type="dxa"/>
            <w:vMerge w:val="restart"/>
            <w:vAlign w:val="center"/>
          </w:tcPr>
          <w:p>
            <w:pPr>
              <w:spacing w:line="300" w:lineRule="exact"/>
              <w:jc w:val="center"/>
              <w:rPr>
                <w:rFonts w:ascii="宋体"/>
                <w:b/>
              </w:rPr>
            </w:pPr>
            <w:r>
              <w:rPr>
                <w:rFonts w:hint="eastAsia" w:ascii="宋体" w:hAnsi="宋体"/>
                <w:b/>
              </w:rPr>
              <w:t>采购物品名称</w:t>
            </w:r>
          </w:p>
        </w:tc>
        <w:tc>
          <w:tcPr>
            <w:tcW w:w="1020" w:type="dxa"/>
            <w:vMerge w:val="restart"/>
            <w:vAlign w:val="center"/>
          </w:tcPr>
          <w:p>
            <w:pPr>
              <w:spacing w:line="300" w:lineRule="exact"/>
              <w:jc w:val="center"/>
              <w:rPr>
                <w:rFonts w:ascii="宋体"/>
                <w:b/>
              </w:rPr>
            </w:pPr>
            <w:r>
              <w:rPr>
                <w:rFonts w:hint="eastAsia" w:ascii="宋体" w:hAnsi="宋体"/>
                <w:b/>
              </w:rPr>
              <w:t>政府采购目录序号</w:t>
            </w:r>
          </w:p>
        </w:tc>
        <w:tc>
          <w:tcPr>
            <w:tcW w:w="757" w:type="dxa"/>
            <w:vMerge w:val="restart"/>
            <w:vAlign w:val="center"/>
          </w:tcPr>
          <w:p>
            <w:pPr>
              <w:spacing w:line="300" w:lineRule="exact"/>
              <w:jc w:val="center"/>
              <w:rPr>
                <w:rFonts w:ascii="宋体"/>
                <w:b/>
              </w:rPr>
            </w:pPr>
            <w:r>
              <w:rPr>
                <w:rFonts w:hint="eastAsia" w:ascii="宋体" w:hAnsi="宋体"/>
                <w:b/>
              </w:rPr>
              <w:t>数量</w:t>
            </w:r>
            <w:r>
              <w:rPr>
                <w:rFonts w:ascii="宋体" w:hAnsi="宋体"/>
                <w:b/>
              </w:rPr>
              <w:t xml:space="preserve">  </w:t>
            </w:r>
            <w:r>
              <w:rPr>
                <w:rFonts w:hint="eastAsia" w:ascii="宋体" w:hAnsi="宋体"/>
                <w:b/>
              </w:rPr>
              <w:t>单位</w:t>
            </w:r>
          </w:p>
        </w:tc>
        <w:tc>
          <w:tcPr>
            <w:tcW w:w="825" w:type="dxa"/>
            <w:vMerge w:val="restart"/>
            <w:vAlign w:val="center"/>
          </w:tcPr>
          <w:p>
            <w:pPr>
              <w:spacing w:line="300" w:lineRule="exact"/>
              <w:jc w:val="center"/>
              <w:rPr>
                <w:rFonts w:ascii="宋体"/>
                <w:b/>
              </w:rPr>
            </w:pPr>
            <w:r>
              <w:rPr>
                <w:rFonts w:hint="eastAsia" w:ascii="宋体" w:hAnsi="宋体"/>
                <w:b/>
              </w:rPr>
              <w:t>数量</w:t>
            </w:r>
          </w:p>
        </w:tc>
        <w:tc>
          <w:tcPr>
            <w:tcW w:w="855" w:type="dxa"/>
            <w:vMerge w:val="restart"/>
            <w:vAlign w:val="center"/>
          </w:tcPr>
          <w:p>
            <w:pPr>
              <w:spacing w:line="300" w:lineRule="exact"/>
              <w:jc w:val="center"/>
              <w:rPr>
                <w:rFonts w:ascii="宋体"/>
                <w:b/>
              </w:rPr>
            </w:pPr>
            <w:r>
              <w:rPr>
                <w:rFonts w:hint="eastAsia" w:ascii="宋体" w:hAnsi="宋体"/>
                <w:b/>
              </w:rPr>
              <w:t>单价</w:t>
            </w:r>
          </w:p>
        </w:tc>
        <w:tc>
          <w:tcPr>
            <w:tcW w:w="6160" w:type="dxa"/>
            <w:gridSpan w:val="7"/>
            <w:vAlign w:val="center"/>
          </w:tcPr>
          <w:p>
            <w:pPr>
              <w:spacing w:line="300" w:lineRule="exact"/>
              <w:jc w:val="center"/>
              <w:rPr>
                <w:rFonts w:ascii="宋体"/>
                <w:b/>
              </w:rPr>
            </w:pPr>
            <w:r>
              <w:rPr>
                <w:rFonts w:hint="eastAsia" w:ascii="宋体" w:hAnsi="宋体"/>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2952" w:type="dxa"/>
            <w:vMerge w:val="restart"/>
            <w:vAlign w:val="center"/>
          </w:tcPr>
          <w:p>
            <w:pPr>
              <w:spacing w:line="300" w:lineRule="exact"/>
              <w:jc w:val="center"/>
              <w:rPr>
                <w:rFonts w:ascii="宋体"/>
                <w:b/>
              </w:rPr>
            </w:pPr>
            <w:r>
              <w:rPr>
                <w:rFonts w:hint="eastAsia" w:ascii="宋体" w:hAnsi="宋体"/>
                <w:b/>
              </w:rPr>
              <w:t>项目名称</w:t>
            </w:r>
          </w:p>
        </w:tc>
        <w:tc>
          <w:tcPr>
            <w:tcW w:w="1028" w:type="dxa"/>
            <w:vMerge w:val="restart"/>
            <w:vAlign w:val="center"/>
          </w:tcPr>
          <w:p>
            <w:pPr>
              <w:spacing w:line="300" w:lineRule="exact"/>
              <w:jc w:val="center"/>
              <w:rPr>
                <w:rFonts w:ascii="宋体"/>
                <w:b/>
              </w:rPr>
            </w:pPr>
            <w:r>
              <w:rPr>
                <w:rFonts w:hint="eastAsia" w:ascii="宋体" w:hAnsi="宋体"/>
                <w:b/>
              </w:rPr>
              <w:t>预算资金</w:t>
            </w:r>
          </w:p>
        </w:tc>
        <w:tc>
          <w:tcPr>
            <w:tcW w:w="945" w:type="dxa"/>
            <w:vMerge w:val="continue"/>
            <w:vAlign w:val="center"/>
          </w:tcPr>
          <w:p>
            <w:pPr>
              <w:spacing w:line="300" w:lineRule="exact"/>
              <w:jc w:val="left"/>
              <w:outlineLvl w:val="0"/>
              <w:rPr>
                <w:rFonts w:ascii="宋体"/>
              </w:rPr>
            </w:pPr>
          </w:p>
        </w:tc>
        <w:tc>
          <w:tcPr>
            <w:tcW w:w="1020" w:type="dxa"/>
            <w:vMerge w:val="continue"/>
            <w:vAlign w:val="center"/>
          </w:tcPr>
          <w:p>
            <w:pPr>
              <w:spacing w:line="300" w:lineRule="exact"/>
              <w:jc w:val="left"/>
              <w:outlineLvl w:val="0"/>
              <w:rPr>
                <w:rFonts w:ascii="宋体"/>
              </w:rPr>
            </w:pPr>
          </w:p>
        </w:tc>
        <w:tc>
          <w:tcPr>
            <w:tcW w:w="757" w:type="dxa"/>
            <w:vMerge w:val="continue"/>
            <w:vAlign w:val="center"/>
          </w:tcPr>
          <w:p>
            <w:pPr>
              <w:spacing w:line="300" w:lineRule="exact"/>
              <w:jc w:val="left"/>
              <w:outlineLvl w:val="0"/>
              <w:rPr>
                <w:rFonts w:ascii="宋体"/>
              </w:rPr>
            </w:pPr>
          </w:p>
        </w:tc>
        <w:tc>
          <w:tcPr>
            <w:tcW w:w="825" w:type="dxa"/>
            <w:vMerge w:val="continue"/>
            <w:vAlign w:val="center"/>
          </w:tcPr>
          <w:p>
            <w:pPr>
              <w:spacing w:line="300" w:lineRule="exact"/>
              <w:jc w:val="left"/>
              <w:outlineLvl w:val="0"/>
              <w:rPr>
                <w:rFonts w:ascii="宋体"/>
              </w:rPr>
            </w:pPr>
          </w:p>
        </w:tc>
        <w:tc>
          <w:tcPr>
            <w:tcW w:w="855" w:type="dxa"/>
            <w:vMerge w:val="continue"/>
            <w:vAlign w:val="center"/>
          </w:tcPr>
          <w:p>
            <w:pPr>
              <w:spacing w:line="300" w:lineRule="exact"/>
              <w:jc w:val="left"/>
              <w:outlineLvl w:val="0"/>
              <w:rPr>
                <w:rFonts w:ascii="宋体"/>
              </w:rPr>
            </w:pPr>
          </w:p>
        </w:tc>
        <w:tc>
          <w:tcPr>
            <w:tcW w:w="922" w:type="dxa"/>
            <w:vMerge w:val="restart"/>
            <w:vAlign w:val="center"/>
          </w:tcPr>
          <w:p>
            <w:pPr>
              <w:spacing w:line="300" w:lineRule="exact"/>
              <w:jc w:val="center"/>
              <w:rPr>
                <w:rFonts w:ascii="宋体"/>
                <w:b/>
              </w:rPr>
            </w:pPr>
            <w:r>
              <w:rPr>
                <w:rFonts w:hint="eastAsia" w:ascii="宋体" w:hAnsi="宋体"/>
                <w:b/>
              </w:rPr>
              <w:t>总计</w:t>
            </w:r>
          </w:p>
        </w:tc>
        <w:tc>
          <w:tcPr>
            <w:tcW w:w="4408" w:type="dxa"/>
            <w:gridSpan w:val="5"/>
            <w:vAlign w:val="center"/>
          </w:tcPr>
          <w:p>
            <w:pPr>
              <w:spacing w:line="300" w:lineRule="exact"/>
              <w:jc w:val="center"/>
              <w:rPr>
                <w:rFonts w:ascii="宋体"/>
                <w:b/>
              </w:rPr>
            </w:pPr>
            <w:r>
              <w:rPr>
                <w:rFonts w:hint="eastAsia" w:ascii="宋体" w:hAnsi="宋体"/>
                <w:b/>
              </w:rPr>
              <w:t>当年部门预算安排资金</w:t>
            </w:r>
          </w:p>
        </w:tc>
        <w:tc>
          <w:tcPr>
            <w:tcW w:w="830" w:type="dxa"/>
            <w:vMerge w:val="restart"/>
            <w:vAlign w:val="center"/>
          </w:tcPr>
          <w:p>
            <w:pPr>
              <w:spacing w:line="300" w:lineRule="exact"/>
              <w:jc w:val="center"/>
              <w:rPr>
                <w:rFonts w:ascii="宋体"/>
                <w:b/>
              </w:rPr>
            </w:pPr>
            <w:r>
              <w:rPr>
                <w:rFonts w:hint="eastAsia" w:ascii="宋体" w:hAnsi="宋体"/>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2952" w:type="dxa"/>
            <w:vMerge w:val="continue"/>
            <w:vAlign w:val="center"/>
          </w:tcPr>
          <w:p>
            <w:pPr>
              <w:spacing w:line="300" w:lineRule="exact"/>
              <w:jc w:val="left"/>
              <w:outlineLvl w:val="0"/>
              <w:rPr>
                <w:rFonts w:ascii="宋体"/>
              </w:rPr>
            </w:pPr>
          </w:p>
        </w:tc>
        <w:tc>
          <w:tcPr>
            <w:tcW w:w="1028" w:type="dxa"/>
            <w:vMerge w:val="continue"/>
            <w:vAlign w:val="center"/>
          </w:tcPr>
          <w:p>
            <w:pPr>
              <w:spacing w:line="300" w:lineRule="exact"/>
              <w:jc w:val="left"/>
              <w:outlineLvl w:val="0"/>
              <w:rPr>
                <w:rFonts w:ascii="宋体"/>
              </w:rPr>
            </w:pPr>
          </w:p>
        </w:tc>
        <w:tc>
          <w:tcPr>
            <w:tcW w:w="945" w:type="dxa"/>
            <w:vMerge w:val="continue"/>
            <w:vAlign w:val="center"/>
          </w:tcPr>
          <w:p>
            <w:pPr>
              <w:spacing w:line="300" w:lineRule="exact"/>
              <w:jc w:val="left"/>
              <w:outlineLvl w:val="0"/>
              <w:rPr>
                <w:rFonts w:ascii="宋体"/>
              </w:rPr>
            </w:pPr>
          </w:p>
        </w:tc>
        <w:tc>
          <w:tcPr>
            <w:tcW w:w="1020" w:type="dxa"/>
            <w:vMerge w:val="continue"/>
            <w:vAlign w:val="center"/>
          </w:tcPr>
          <w:p>
            <w:pPr>
              <w:spacing w:line="300" w:lineRule="exact"/>
              <w:jc w:val="left"/>
              <w:outlineLvl w:val="0"/>
              <w:rPr>
                <w:rFonts w:ascii="宋体"/>
              </w:rPr>
            </w:pPr>
          </w:p>
        </w:tc>
        <w:tc>
          <w:tcPr>
            <w:tcW w:w="757" w:type="dxa"/>
            <w:vMerge w:val="continue"/>
            <w:vAlign w:val="center"/>
          </w:tcPr>
          <w:p>
            <w:pPr>
              <w:spacing w:line="300" w:lineRule="exact"/>
              <w:jc w:val="left"/>
              <w:outlineLvl w:val="0"/>
              <w:rPr>
                <w:rFonts w:ascii="宋体"/>
              </w:rPr>
            </w:pPr>
          </w:p>
        </w:tc>
        <w:tc>
          <w:tcPr>
            <w:tcW w:w="825" w:type="dxa"/>
            <w:vMerge w:val="continue"/>
            <w:vAlign w:val="center"/>
          </w:tcPr>
          <w:p>
            <w:pPr>
              <w:spacing w:line="300" w:lineRule="exact"/>
              <w:jc w:val="left"/>
              <w:outlineLvl w:val="0"/>
              <w:rPr>
                <w:rFonts w:ascii="宋体"/>
              </w:rPr>
            </w:pPr>
          </w:p>
        </w:tc>
        <w:tc>
          <w:tcPr>
            <w:tcW w:w="855" w:type="dxa"/>
            <w:vMerge w:val="continue"/>
            <w:vAlign w:val="center"/>
          </w:tcPr>
          <w:p>
            <w:pPr>
              <w:spacing w:line="300" w:lineRule="exact"/>
              <w:jc w:val="left"/>
              <w:outlineLvl w:val="0"/>
              <w:rPr>
                <w:rFonts w:ascii="宋体"/>
              </w:rPr>
            </w:pPr>
          </w:p>
        </w:tc>
        <w:tc>
          <w:tcPr>
            <w:tcW w:w="922" w:type="dxa"/>
            <w:vMerge w:val="continue"/>
            <w:vAlign w:val="center"/>
          </w:tcPr>
          <w:p>
            <w:pPr>
              <w:spacing w:line="300" w:lineRule="exact"/>
              <w:jc w:val="left"/>
              <w:outlineLvl w:val="0"/>
              <w:rPr>
                <w:rFonts w:ascii="宋体"/>
              </w:rPr>
            </w:pPr>
          </w:p>
        </w:tc>
        <w:tc>
          <w:tcPr>
            <w:tcW w:w="881" w:type="dxa"/>
            <w:vAlign w:val="center"/>
          </w:tcPr>
          <w:p>
            <w:pPr>
              <w:spacing w:line="300" w:lineRule="exact"/>
              <w:jc w:val="center"/>
              <w:rPr>
                <w:rFonts w:ascii="宋体"/>
                <w:b/>
              </w:rPr>
            </w:pPr>
            <w:r>
              <w:rPr>
                <w:rFonts w:hint="eastAsia" w:ascii="宋体" w:hAnsi="宋体"/>
                <w:b/>
              </w:rPr>
              <w:t>合计</w:t>
            </w:r>
          </w:p>
        </w:tc>
        <w:tc>
          <w:tcPr>
            <w:tcW w:w="881" w:type="dxa"/>
            <w:vAlign w:val="center"/>
          </w:tcPr>
          <w:p>
            <w:pPr>
              <w:spacing w:line="300" w:lineRule="exact"/>
              <w:jc w:val="center"/>
              <w:rPr>
                <w:rFonts w:ascii="宋体"/>
                <w:b/>
              </w:rPr>
            </w:pPr>
            <w:r>
              <w:rPr>
                <w:rFonts w:hint="eastAsia" w:ascii="宋体" w:hAnsi="宋体"/>
                <w:b/>
              </w:rPr>
              <w:t>一般公共预算拨款</w:t>
            </w:r>
          </w:p>
        </w:tc>
        <w:tc>
          <w:tcPr>
            <w:tcW w:w="882" w:type="dxa"/>
            <w:vAlign w:val="center"/>
          </w:tcPr>
          <w:p>
            <w:pPr>
              <w:spacing w:line="300" w:lineRule="exact"/>
              <w:jc w:val="center"/>
              <w:rPr>
                <w:rFonts w:ascii="宋体"/>
                <w:b/>
              </w:rPr>
            </w:pPr>
            <w:r>
              <w:rPr>
                <w:rFonts w:hint="eastAsia" w:ascii="宋体" w:hAnsi="宋体"/>
                <w:b/>
              </w:rPr>
              <w:t>基金预算拨款</w:t>
            </w:r>
          </w:p>
        </w:tc>
        <w:tc>
          <w:tcPr>
            <w:tcW w:w="882" w:type="dxa"/>
            <w:vAlign w:val="center"/>
          </w:tcPr>
          <w:p>
            <w:pPr>
              <w:spacing w:line="300" w:lineRule="exact"/>
              <w:jc w:val="center"/>
              <w:rPr>
                <w:rFonts w:ascii="宋体"/>
                <w:b/>
              </w:rPr>
            </w:pPr>
            <w:r>
              <w:rPr>
                <w:rFonts w:hint="eastAsia" w:ascii="宋体" w:hAnsi="宋体"/>
                <w:b/>
              </w:rPr>
              <w:t>财政专户核拨</w:t>
            </w:r>
          </w:p>
        </w:tc>
        <w:tc>
          <w:tcPr>
            <w:tcW w:w="882" w:type="dxa"/>
            <w:vAlign w:val="center"/>
          </w:tcPr>
          <w:p>
            <w:pPr>
              <w:spacing w:line="300" w:lineRule="exact"/>
              <w:jc w:val="center"/>
              <w:rPr>
                <w:rFonts w:ascii="宋体"/>
                <w:b/>
              </w:rPr>
            </w:pPr>
            <w:r>
              <w:rPr>
                <w:rFonts w:hint="eastAsia" w:ascii="宋体" w:hAnsi="宋体"/>
                <w:b/>
              </w:rPr>
              <w:t>其他来源收入</w:t>
            </w:r>
          </w:p>
        </w:tc>
        <w:tc>
          <w:tcPr>
            <w:tcW w:w="830" w:type="dxa"/>
            <w:vMerge w:val="continue"/>
            <w:vAlign w:val="center"/>
          </w:tcPr>
          <w:p>
            <w:pPr>
              <w:spacing w:line="300" w:lineRule="exact"/>
              <w:jc w:val="left"/>
              <w:outlineLvl w:val="0"/>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0" w:hRule="atLeast"/>
          <w:jc w:val="center"/>
        </w:trPr>
        <w:tc>
          <w:tcPr>
            <w:tcW w:w="2952" w:type="dxa"/>
            <w:vAlign w:val="center"/>
          </w:tcPr>
          <w:p>
            <w:pPr>
              <w:spacing w:line="300" w:lineRule="exact"/>
              <w:jc w:val="center"/>
              <w:rPr>
                <w:rFonts w:ascii="宋体"/>
                <w:b/>
              </w:rPr>
            </w:pPr>
            <w:r>
              <w:rPr>
                <w:rFonts w:hint="eastAsia" w:ascii="宋体" w:hAnsi="宋体"/>
                <w:b/>
              </w:rPr>
              <w:t>合　计</w:t>
            </w:r>
          </w:p>
        </w:tc>
        <w:tc>
          <w:tcPr>
            <w:tcW w:w="1028" w:type="dxa"/>
            <w:vAlign w:val="center"/>
          </w:tcPr>
          <w:p>
            <w:pPr>
              <w:spacing w:line="300" w:lineRule="exact"/>
              <w:jc w:val="right"/>
              <w:rPr>
                <w:rFonts w:ascii="宋体"/>
                <w:b/>
              </w:rPr>
            </w:pPr>
          </w:p>
        </w:tc>
        <w:tc>
          <w:tcPr>
            <w:tcW w:w="945" w:type="dxa"/>
            <w:vAlign w:val="center"/>
          </w:tcPr>
          <w:p>
            <w:pPr>
              <w:spacing w:line="300" w:lineRule="exact"/>
              <w:jc w:val="left"/>
              <w:rPr>
                <w:rFonts w:ascii="宋体"/>
                <w:b/>
              </w:rPr>
            </w:pPr>
          </w:p>
        </w:tc>
        <w:tc>
          <w:tcPr>
            <w:tcW w:w="1020" w:type="dxa"/>
            <w:vAlign w:val="center"/>
          </w:tcPr>
          <w:p>
            <w:pPr>
              <w:spacing w:line="300" w:lineRule="exact"/>
              <w:jc w:val="left"/>
              <w:rPr>
                <w:rFonts w:ascii="宋体"/>
                <w:b/>
              </w:rPr>
            </w:pPr>
          </w:p>
        </w:tc>
        <w:tc>
          <w:tcPr>
            <w:tcW w:w="757" w:type="dxa"/>
            <w:vAlign w:val="center"/>
          </w:tcPr>
          <w:p>
            <w:pPr>
              <w:spacing w:line="300" w:lineRule="exact"/>
              <w:jc w:val="left"/>
              <w:rPr>
                <w:rFonts w:ascii="宋体"/>
                <w:b/>
              </w:rPr>
            </w:pPr>
          </w:p>
        </w:tc>
        <w:tc>
          <w:tcPr>
            <w:tcW w:w="825" w:type="dxa"/>
            <w:vAlign w:val="center"/>
          </w:tcPr>
          <w:p>
            <w:pPr>
              <w:spacing w:line="300" w:lineRule="exact"/>
              <w:jc w:val="right"/>
              <w:rPr>
                <w:rFonts w:ascii="宋体"/>
                <w:b/>
              </w:rPr>
            </w:pPr>
          </w:p>
        </w:tc>
        <w:tc>
          <w:tcPr>
            <w:tcW w:w="855" w:type="dxa"/>
            <w:vAlign w:val="center"/>
          </w:tcPr>
          <w:p>
            <w:pPr>
              <w:spacing w:line="300" w:lineRule="exact"/>
              <w:jc w:val="right"/>
              <w:rPr>
                <w:rFonts w:ascii="宋体"/>
                <w:b/>
              </w:rPr>
            </w:pPr>
          </w:p>
        </w:tc>
        <w:tc>
          <w:tcPr>
            <w:tcW w:w="922" w:type="dxa"/>
            <w:vAlign w:val="center"/>
          </w:tcPr>
          <w:p>
            <w:pPr>
              <w:spacing w:line="300" w:lineRule="exact"/>
              <w:jc w:val="right"/>
              <w:rPr>
                <w:rFonts w:ascii="宋体"/>
                <w:b/>
              </w:rPr>
            </w:pPr>
            <w:r>
              <w:rPr>
                <w:rFonts w:hint="eastAsia" w:ascii="宋体"/>
                <w:b/>
                <w:lang w:val="en-US" w:eastAsia="zh-CN"/>
              </w:rPr>
              <w:t>300.00</w:t>
            </w:r>
          </w:p>
        </w:tc>
        <w:tc>
          <w:tcPr>
            <w:tcW w:w="881" w:type="dxa"/>
            <w:vAlign w:val="center"/>
          </w:tcPr>
          <w:p>
            <w:pPr>
              <w:spacing w:line="300" w:lineRule="exact"/>
              <w:jc w:val="right"/>
              <w:rPr>
                <w:rFonts w:hint="eastAsia" w:ascii="宋体" w:eastAsia="宋体"/>
                <w:b/>
                <w:lang w:val="en-US" w:eastAsia="zh-CN"/>
              </w:rPr>
            </w:pPr>
            <w:r>
              <w:rPr>
                <w:rFonts w:hint="eastAsia" w:ascii="宋体"/>
                <w:b/>
                <w:lang w:val="en-US" w:eastAsia="zh-CN"/>
              </w:rPr>
              <w:t>300.00</w:t>
            </w:r>
          </w:p>
        </w:tc>
        <w:tc>
          <w:tcPr>
            <w:tcW w:w="881" w:type="dxa"/>
            <w:vAlign w:val="center"/>
          </w:tcPr>
          <w:p>
            <w:pPr>
              <w:spacing w:line="300" w:lineRule="exact"/>
              <w:jc w:val="right"/>
              <w:rPr>
                <w:rFonts w:ascii="宋体"/>
                <w:b/>
              </w:rPr>
            </w:pPr>
          </w:p>
        </w:tc>
        <w:tc>
          <w:tcPr>
            <w:tcW w:w="882" w:type="dxa"/>
            <w:vAlign w:val="center"/>
          </w:tcPr>
          <w:p>
            <w:pPr>
              <w:spacing w:line="300" w:lineRule="exact"/>
              <w:jc w:val="right"/>
              <w:rPr>
                <w:rFonts w:hint="eastAsia" w:ascii="宋体" w:eastAsia="宋体"/>
                <w:b/>
                <w:lang w:val="en-US" w:eastAsia="zh-CN"/>
              </w:rPr>
            </w:pPr>
            <w:r>
              <w:rPr>
                <w:rFonts w:hint="eastAsia" w:ascii="宋体"/>
                <w:b/>
                <w:lang w:val="en-US" w:eastAsia="zh-CN"/>
              </w:rPr>
              <w:t>300.00</w:t>
            </w:r>
          </w:p>
        </w:tc>
        <w:tc>
          <w:tcPr>
            <w:tcW w:w="882" w:type="dxa"/>
            <w:vAlign w:val="center"/>
          </w:tcPr>
          <w:p>
            <w:pPr>
              <w:spacing w:line="300" w:lineRule="exact"/>
              <w:jc w:val="right"/>
              <w:rPr>
                <w:rFonts w:ascii="宋体"/>
                <w:b/>
              </w:rPr>
            </w:pPr>
          </w:p>
        </w:tc>
        <w:tc>
          <w:tcPr>
            <w:tcW w:w="882" w:type="dxa"/>
            <w:vAlign w:val="center"/>
          </w:tcPr>
          <w:p>
            <w:pPr>
              <w:spacing w:line="300" w:lineRule="exact"/>
              <w:jc w:val="right"/>
              <w:rPr>
                <w:rFonts w:ascii="宋体"/>
                <w:b/>
              </w:rPr>
            </w:pPr>
          </w:p>
        </w:tc>
        <w:tc>
          <w:tcPr>
            <w:tcW w:w="830" w:type="dxa"/>
            <w:vAlign w:val="center"/>
          </w:tcPr>
          <w:p>
            <w:pPr>
              <w:spacing w:line="300" w:lineRule="exact"/>
              <w:jc w:val="right"/>
              <w:rPr>
                <w:rFonts w:ascii="宋体"/>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952" w:type="dxa"/>
            <w:vAlign w:val="center"/>
          </w:tcPr>
          <w:p>
            <w:pPr>
              <w:spacing w:line="300" w:lineRule="exact"/>
              <w:rPr>
                <w:rFonts w:hint="eastAsia" w:ascii="宋体" w:eastAsia="宋体"/>
                <w:b w:val="0"/>
                <w:bCs/>
                <w:lang w:eastAsia="zh-CN"/>
              </w:rPr>
            </w:pPr>
            <w:r>
              <w:rPr>
                <w:rFonts w:hint="eastAsia" w:ascii="宋体"/>
                <w:b w:val="0"/>
                <w:bCs/>
                <w:lang w:eastAsia="zh-CN"/>
              </w:rPr>
              <w:t>商业城市场修缮项目</w:t>
            </w:r>
          </w:p>
        </w:tc>
        <w:tc>
          <w:tcPr>
            <w:tcW w:w="1028" w:type="dxa"/>
            <w:vAlign w:val="center"/>
          </w:tcPr>
          <w:p>
            <w:pPr>
              <w:spacing w:line="300" w:lineRule="exact"/>
              <w:jc w:val="right"/>
              <w:rPr>
                <w:rFonts w:hint="eastAsia" w:ascii="宋体" w:eastAsia="宋体"/>
                <w:b w:val="0"/>
                <w:bCs/>
                <w:lang w:val="en-US" w:eastAsia="zh-CN"/>
              </w:rPr>
            </w:pPr>
            <w:r>
              <w:rPr>
                <w:rFonts w:hint="eastAsia" w:ascii="宋体"/>
                <w:b w:val="0"/>
                <w:bCs/>
                <w:lang w:val="en-US" w:eastAsia="zh-CN"/>
              </w:rPr>
              <w:t>180.00</w:t>
            </w:r>
          </w:p>
        </w:tc>
        <w:tc>
          <w:tcPr>
            <w:tcW w:w="945" w:type="dxa"/>
            <w:vAlign w:val="center"/>
          </w:tcPr>
          <w:p>
            <w:pPr>
              <w:spacing w:line="300" w:lineRule="exact"/>
              <w:jc w:val="left"/>
              <w:rPr>
                <w:rFonts w:hint="eastAsia" w:ascii="宋体" w:eastAsia="宋体"/>
                <w:b w:val="0"/>
                <w:bCs/>
                <w:lang w:eastAsia="zh-CN"/>
              </w:rPr>
            </w:pPr>
            <w:r>
              <w:rPr>
                <w:rFonts w:hint="eastAsia" w:ascii="宋体"/>
                <w:b w:val="0"/>
                <w:bCs/>
                <w:lang w:eastAsia="zh-CN"/>
              </w:rPr>
              <w:t>修缮工程</w:t>
            </w:r>
          </w:p>
        </w:tc>
        <w:tc>
          <w:tcPr>
            <w:tcW w:w="1020" w:type="dxa"/>
            <w:vAlign w:val="center"/>
          </w:tcPr>
          <w:p>
            <w:pPr>
              <w:spacing w:line="300" w:lineRule="exact"/>
              <w:jc w:val="left"/>
              <w:rPr>
                <w:rFonts w:hint="eastAsia" w:ascii="宋体" w:eastAsia="宋体"/>
                <w:b w:val="0"/>
                <w:bCs/>
                <w:lang w:val="en-US" w:eastAsia="zh-CN"/>
              </w:rPr>
            </w:pPr>
            <w:r>
              <w:rPr>
                <w:rFonts w:hint="eastAsia" w:ascii="宋体"/>
                <w:b w:val="0"/>
                <w:bCs/>
                <w:lang w:val="en-US" w:eastAsia="zh-CN"/>
              </w:rPr>
              <w:t>B08</w:t>
            </w:r>
          </w:p>
        </w:tc>
        <w:tc>
          <w:tcPr>
            <w:tcW w:w="757" w:type="dxa"/>
            <w:vAlign w:val="center"/>
          </w:tcPr>
          <w:p>
            <w:pPr>
              <w:spacing w:line="300" w:lineRule="exact"/>
              <w:jc w:val="left"/>
              <w:rPr>
                <w:rFonts w:hint="eastAsia" w:ascii="宋体" w:eastAsia="宋体"/>
                <w:b w:val="0"/>
                <w:bCs/>
                <w:lang w:val="en-US" w:eastAsia="zh-CN"/>
              </w:rPr>
            </w:pPr>
            <w:r>
              <w:rPr>
                <w:rFonts w:hint="eastAsia" w:ascii="宋体"/>
                <w:b w:val="0"/>
                <w:bCs/>
                <w:lang w:val="en-US" w:eastAsia="zh-CN"/>
              </w:rPr>
              <w:t>万元</w:t>
            </w:r>
          </w:p>
        </w:tc>
        <w:tc>
          <w:tcPr>
            <w:tcW w:w="825" w:type="dxa"/>
            <w:vAlign w:val="center"/>
          </w:tcPr>
          <w:p>
            <w:pPr>
              <w:spacing w:line="300" w:lineRule="exact"/>
              <w:jc w:val="right"/>
              <w:rPr>
                <w:rFonts w:hint="eastAsia" w:ascii="宋体" w:eastAsia="宋体"/>
                <w:b w:val="0"/>
                <w:bCs/>
                <w:lang w:val="en-US" w:eastAsia="zh-CN"/>
              </w:rPr>
            </w:pPr>
            <w:r>
              <w:rPr>
                <w:rFonts w:hint="eastAsia" w:ascii="宋体"/>
                <w:b w:val="0"/>
                <w:bCs/>
                <w:lang w:val="en-US" w:eastAsia="zh-CN"/>
              </w:rPr>
              <w:t>1</w:t>
            </w:r>
          </w:p>
        </w:tc>
        <w:tc>
          <w:tcPr>
            <w:tcW w:w="855" w:type="dxa"/>
            <w:vAlign w:val="center"/>
          </w:tcPr>
          <w:p>
            <w:pPr>
              <w:spacing w:line="300" w:lineRule="exact"/>
              <w:jc w:val="right"/>
              <w:rPr>
                <w:rFonts w:hint="eastAsia" w:ascii="宋体" w:eastAsia="宋体"/>
                <w:b w:val="0"/>
                <w:bCs/>
                <w:lang w:val="en-US" w:eastAsia="zh-CN"/>
              </w:rPr>
            </w:pPr>
            <w:r>
              <w:rPr>
                <w:rFonts w:hint="eastAsia" w:ascii="宋体"/>
                <w:b w:val="0"/>
                <w:bCs/>
                <w:lang w:val="en-US" w:eastAsia="zh-CN"/>
              </w:rPr>
              <w:t>180.00</w:t>
            </w:r>
          </w:p>
        </w:tc>
        <w:tc>
          <w:tcPr>
            <w:tcW w:w="922" w:type="dxa"/>
            <w:vAlign w:val="center"/>
          </w:tcPr>
          <w:p>
            <w:pPr>
              <w:spacing w:line="300" w:lineRule="exact"/>
              <w:jc w:val="right"/>
              <w:rPr>
                <w:rFonts w:ascii="宋体"/>
                <w:b w:val="0"/>
                <w:bCs/>
              </w:rPr>
            </w:pPr>
            <w:r>
              <w:rPr>
                <w:rFonts w:hint="eastAsia" w:ascii="宋体"/>
                <w:b w:val="0"/>
                <w:bCs/>
                <w:lang w:val="en-US" w:eastAsia="zh-CN"/>
              </w:rPr>
              <w:t>180.00</w:t>
            </w:r>
          </w:p>
        </w:tc>
        <w:tc>
          <w:tcPr>
            <w:tcW w:w="881" w:type="dxa"/>
            <w:vAlign w:val="center"/>
          </w:tcPr>
          <w:p>
            <w:pPr>
              <w:spacing w:line="300" w:lineRule="exact"/>
              <w:jc w:val="right"/>
              <w:rPr>
                <w:rFonts w:hint="eastAsia" w:ascii="宋体" w:eastAsia="宋体"/>
                <w:b w:val="0"/>
                <w:bCs/>
                <w:lang w:val="en-US" w:eastAsia="zh-CN"/>
              </w:rPr>
            </w:pPr>
            <w:r>
              <w:rPr>
                <w:rFonts w:hint="eastAsia" w:ascii="宋体"/>
                <w:b w:val="0"/>
                <w:bCs/>
                <w:lang w:val="en-US" w:eastAsia="zh-CN"/>
              </w:rPr>
              <w:t>180.00</w:t>
            </w:r>
          </w:p>
        </w:tc>
        <w:tc>
          <w:tcPr>
            <w:tcW w:w="881" w:type="dxa"/>
            <w:vAlign w:val="center"/>
          </w:tcPr>
          <w:p>
            <w:pPr>
              <w:spacing w:line="300" w:lineRule="exact"/>
              <w:jc w:val="right"/>
              <w:rPr>
                <w:rFonts w:ascii="宋体"/>
                <w:b w:val="0"/>
                <w:bCs/>
              </w:rPr>
            </w:pPr>
          </w:p>
        </w:tc>
        <w:tc>
          <w:tcPr>
            <w:tcW w:w="882" w:type="dxa"/>
            <w:vAlign w:val="center"/>
          </w:tcPr>
          <w:p>
            <w:pPr>
              <w:spacing w:line="300" w:lineRule="exact"/>
              <w:jc w:val="right"/>
              <w:rPr>
                <w:rFonts w:hint="eastAsia" w:ascii="宋体" w:eastAsia="宋体"/>
                <w:b w:val="0"/>
                <w:bCs/>
                <w:lang w:val="en-US" w:eastAsia="zh-CN"/>
              </w:rPr>
            </w:pPr>
            <w:r>
              <w:rPr>
                <w:rFonts w:hint="eastAsia" w:ascii="宋体"/>
                <w:b w:val="0"/>
                <w:bCs/>
                <w:lang w:val="en-US" w:eastAsia="zh-CN"/>
              </w:rPr>
              <w:t>180.00</w:t>
            </w:r>
          </w:p>
        </w:tc>
        <w:tc>
          <w:tcPr>
            <w:tcW w:w="882" w:type="dxa"/>
            <w:vAlign w:val="center"/>
          </w:tcPr>
          <w:p>
            <w:pPr>
              <w:spacing w:line="300" w:lineRule="exact"/>
              <w:jc w:val="right"/>
              <w:rPr>
                <w:rFonts w:ascii="宋体"/>
                <w:b w:val="0"/>
                <w:bCs/>
              </w:rPr>
            </w:pPr>
          </w:p>
        </w:tc>
        <w:tc>
          <w:tcPr>
            <w:tcW w:w="882" w:type="dxa"/>
            <w:vAlign w:val="center"/>
          </w:tcPr>
          <w:p>
            <w:pPr>
              <w:spacing w:line="300" w:lineRule="exact"/>
              <w:jc w:val="right"/>
              <w:rPr>
                <w:rFonts w:ascii="宋体"/>
                <w:b w:val="0"/>
                <w:bCs/>
              </w:rPr>
            </w:pPr>
          </w:p>
        </w:tc>
        <w:tc>
          <w:tcPr>
            <w:tcW w:w="830" w:type="dxa"/>
            <w:vAlign w:val="center"/>
          </w:tcPr>
          <w:p>
            <w:pPr>
              <w:spacing w:line="300" w:lineRule="exact"/>
              <w:jc w:val="right"/>
              <w:rPr>
                <w:rFonts w:ascii="宋体"/>
                <w:b w:val="0"/>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952" w:type="dxa"/>
            <w:vAlign w:val="center"/>
          </w:tcPr>
          <w:p>
            <w:pPr>
              <w:spacing w:line="300" w:lineRule="exact"/>
              <w:rPr>
                <w:rFonts w:hint="eastAsia" w:ascii="宋体" w:eastAsia="宋体"/>
                <w:b w:val="0"/>
                <w:bCs/>
                <w:lang w:eastAsia="zh-CN"/>
              </w:rPr>
            </w:pPr>
            <w:r>
              <w:rPr>
                <w:rFonts w:hint="eastAsia" w:ascii="宋体"/>
                <w:b w:val="0"/>
                <w:bCs/>
                <w:lang w:eastAsia="zh-CN"/>
              </w:rPr>
              <w:t>永安里市场修缮项目</w:t>
            </w:r>
          </w:p>
        </w:tc>
        <w:tc>
          <w:tcPr>
            <w:tcW w:w="1028" w:type="dxa"/>
            <w:vAlign w:val="center"/>
          </w:tcPr>
          <w:p>
            <w:pPr>
              <w:spacing w:line="300" w:lineRule="exact"/>
              <w:jc w:val="right"/>
              <w:rPr>
                <w:rFonts w:hint="eastAsia" w:ascii="宋体" w:eastAsia="宋体"/>
                <w:b w:val="0"/>
                <w:bCs/>
                <w:lang w:val="en-US" w:eastAsia="zh-CN"/>
              </w:rPr>
            </w:pPr>
            <w:r>
              <w:rPr>
                <w:rFonts w:hint="eastAsia" w:ascii="宋体"/>
                <w:b w:val="0"/>
                <w:bCs/>
                <w:lang w:val="en-US" w:eastAsia="zh-CN"/>
              </w:rPr>
              <w:t>40.00</w:t>
            </w:r>
          </w:p>
        </w:tc>
        <w:tc>
          <w:tcPr>
            <w:tcW w:w="945" w:type="dxa"/>
            <w:vAlign w:val="center"/>
          </w:tcPr>
          <w:p>
            <w:pPr>
              <w:spacing w:line="300" w:lineRule="exact"/>
              <w:jc w:val="left"/>
              <w:rPr>
                <w:rFonts w:ascii="宋体"/>
                <w:b w:val="0"/>
                <w:bCs/>
              </w:rPr>
            </w:pPr>
            <w:r>
              <w:rPr>
                <w:rFonts w:hint="eastAsia" w:ascii="宋体"/>
                <w:b w:val="0"/>
                <w:bCs/>
                <w:lang w:eastAsia="zh-CN"/>
              </w:rPr>
              <w:t>修缮工程</w:t>
            </w:r>
          </w:p>
        </w:tc>
        <w:tc>
          <w:tcPr>
            <w:tcW w:w="1020" w:type="dxa"/>
            <w:vAlign w:val="center"/>
          </w:tcPr>
          <w:p>
            <w:pPr>
              <w:spacing w:line="300" w:lineRule="exact"/>
              <w:jc w:val="left"/>
              <w:rPr>
                <w:rFonts w:ascii="宋体"/>
                <w:b w:val="0"/>
                <w:bCs/>
                <w:lang w:val="en-US"/>
              </w:rPr>
            </w:pPr>
            <w:r>
              <w:rPr>
                <w:rFonts w:hint="eastAsia" w:ascii="宋体"/>
                <w:b w:val="0"/>
                <w:bCs/>
                <w:lang w:val="en-US" w:eastAsia="zh-CN"/>
              </w:rPr>
              <w:t>B0103</w:t>
            </w:r>
          </w:p>
        </w:tc>
        <w:tc>
          <w:tcPr>
            <w:tcW w:w="757" w:type="dxa"/>
            <w:vAlign w:val="center"/>
          </w:tcPr>
          <w:p>
            <w:pPr>
              <w:spacing w:line="300" w:lineRule="exact"/>
              <w:jc w:val="left"/>
              <w:rPr>
                <w:rFonts w:ascii="宋体"/>
                <w:b w:val="0"/>
                <w:bCs/>
              </w:rPr>
            </w:pPr>
            <w:r>
              <w:rPr>
                <w:rFonts w:hint="eastAsia" w:ascii="宋体"/>
                <w:b w:val="0"/>
                <w:bCs/>
                <w:lang w:val="en-US" w:eastAsia="zh-CN"/>
              </w:rPr>
              <w:t>万元</w:t>
            </w:r>
          </w:p>
        </w:tc>
        <w:tc>
          <w:tcPr>
            <w:tcW w:w="825" w:type="dxa"/>
            <w:vAlign w:val="center"/>
          </w:tcPr>
          <w:p>
            <w:pPr>
              <w:spacing w:line="300" w:lineRule="exact"/>
              <w:jc w:val="right"/>
              <w:rPr>
                <w:rFonts w:hint="eastAsia" w:ascii="宋体" w:eastAsia="宋体"/>
                <w:b w:val="0"/>
                <w:bCs/>
                <w:lang w:val="en-US" w:eastAsia="zh-CN"/>
              </w:rPr>
            </w:pPr>
            <w:r>
              <w:rPr>
                <w:rFonts w:hint="eastAsia" w:ascii="宋体"/>
                <w:b w:val="0"/>
                <w:bCs/>
                <w:lang w:val="en-US" w:eastAsia="zh-CN"/>
              </w:rPr>
              <w:t>1</w:t>
            </w:r>
          </w:p>
        </w:tc>
        <w:tc>
          <w:tcPr>
            <w:tcW w:w="855" w:type="dxa"/>
            <w:vAlign w:val="center"/>
          </w:tcPr>
          <w:p>
            <w:pPr>
              <w:spacing w:line="300" w:lineRule="exact"/>
              <w:jc w:val="right"/>
              <w:rPr>
                <w:rFonts w:hint="eastAsia" w:ascii="宋体" w:eastAsia="宋体"/>
                <w:b w:val="0"/>
                <w:bCs/>
                <w:lang w:val="en-US" w:eastAsia="zh-CN"/>
              </w:rPr>
            </w:pPr>
            <w:r>
              <w:rPr>
                <w:rFonts w:hint="eastAsia" w:ascii="宋体"/>
                <w:b w:val="0"/>
                <w:bCs/>
                <w:lang w:val="en-US" w:eastAsia="zh-CN"/>
              </w:rPr>
              <w:t>40.00</w:t>
            </w:r>
          </w:p>
        </w:tc>
        <w:tc>
          <w:tcPr>
            <w:tcW w:w="922" w:type="dxa"/>
            <w:vAlign w:val="center"/>
          </w:tcPr>
          <w:p>
            <w:pPr>
              <w:spacing w:line="300" w:lineRule="exact"/>
              <w:jc w:val="right"/>
              <w:rPr>
                <w:rFonts w:ascii="宋体"/>
                <w:b w:val="0"/>
                <w:bCs/>
              </w:rPr>
            </w:pPr>
            <w:r>
              <w:rPr>
                <w:rFonts w:hint="eastAsia" w:ascii="宋体"/>
                <w:b w:val="0"/>
                <w:bCs/>
                <w:lang w:val="en-US" w:eastAsia="zh-CN"/>
              </w:rPr>
              <w:t>40.00</w:t>
            </w:r>
          </w:p>
        </w:tc>
        <w:tc>
          <w:tcPr>
            <w:tcW w:w="881" w:type="dxa"/>
            <w:vAlign w:val="center"/>
          </w:tcPr>
          <w:p>
            <w:pPr>
              <w:spacing w:line="300" w:lineRule="exact"/>
              <w:jc w:val="right"/>
              <w:rPr>
                <w:rFonts w:hint="eastAsia" w:ascii="宋体" w:eastAsia="宋体"/>
                <w:b w:val="0"/>
                <w:bCs/>
                <w:lang w:val="en-US" w:eastAsia="zh-CN"/>
              </w:rPr>
            </w:pPr>
            <w:r>
              <w:rPr>
                <w:rFonts w:hint="eastAsia" w:ascii="宋体"/>
                <w:b w:val="0"/>
                <w:bCs/>
                <w:lang w:val="en-US" w:eastAsia="zh-CN"/>
              </w:rPr>
              <w:t>40.00</w:t>
            </w:r>
          </w:p>
        </w:tc>
        <w:tc>
          <w:tcPr>
            <w:tcW w:w="881" w:type="dxa"/>
            <w:vAlign w:val="center"/>
          </w:tcPr>
          <w:p>
            <w:pPr>
              <w:spacing w:line="300" w:lineRule="exact"/>
              <w:jc w:val="right"/>
              <w:rPr>
                <w:rFonts w:ascii="宋体"/>
                <w:b w:val="0"/>
                <w:bCs/>
              </w:rPr>
            </w:pPr>
          </w:p>
        </w:tc>
        <w:tc>
          <w:tcPr>
            <w:tcW w:w="882" w:type="dxa"/>
            <w:vAlign w:val="center"/>
          </w:tcPr>
          <w:p>
            <w:pPr>
              <w:spacing w:line="300" w:lineRule="exact"/>
              <w:jc w:val="right"/>
              <w:rPr>
                <w:rFonts w:hint="eastAsia" w:ascii="宋体" w:eastAsia="宋体"/>
                <w:b w:val="0"/>
                <w:bCs/>
                <w:lang w:val="en-US" w:eastAsia="zh-CN"/>
              </w:rPr>
            </w:pPr>
            <w:r>
              <w:rPr>
                <w:rFonts w:hint="eastAsia" w:ascii="宋体"/>
                <w:b w:val="0"/>
                <w:bCs/>
                <w:lang w:val="en-US" w:eastAsia="zh-CN"/>
              </w:rPr>
              <w:t>40.00</w:t>
            </w:r>
          </w:p>
        </w:tc>
        <w:tc>
          <w:tcPr>
            <w:tcW w:w="882" w:type="dxa"/>
            <w:vAlign w:val="center"/>
          </w:tcPr>
          <w:p>
            <w:pPr>
              <w:spacing w:line="300" w:lineRule="exact"/>
              <w:jc w:val="right"/>
              <w:rPr>
                <w:rFonts w:ascii="宋体"/>
                <w:b w:val="0"/>
                <w:bCs/>
              </w:rPr>
            </w:pPr>
          </w:p>
        </w:tc>
        <w:tc>
          <w:tcPr>
            <w:tcW w:w="882" w:type="dxa"/>
            <w:vAlign w:val="center"/>
          </w:tcPr>
          <w:p>
            <w:pPr>
              <w:spacing w:line="300" w:lineRule="exact"/>
              <w:jc w:val="right"/>
              <w:rPr>
                <w:rFonts w:ascii="宋体"/>
                <w:b w:val="0"/>
                <w:bCs/>
              </w:rPr>
            </w:pPr>
          </w:p>
        </w:tc>
        <w:tc>
          <w:tcPr>
            <w:tcW w:w="830" w:type="dxa"/>
            <w:vAlign w:val="center"/>
          </w:tcPr>
          <w:p>
            <w:pPr>
              <w:spacing w:line="300" w:lineRule="exact"/>
              <w:jc w:val="right"/>
              <w:rPr>
                <w:rFonts w:ascii="宋体"/>
                <w:b w:val="0"/>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952" w:type="dxa"/>
            <w:vAlign w:val="center"/>
          </w:tcPr>
          <w:p>
            <w:pPr>
              <w:spacing w:line="300" w:lineRule="exact"/>
              <w:rPr>
                <w:rFonts w:hint="eastAsia" w:ascii="宋体" w:eastAsia="宋体"/>
                <w:b w:val="0"/>
                <w:bCs/>
                <w:lang w:eastAsia="zh-CN"/>
              </w:rPr>
            </w:pPr>
            <w:r>
              <w:rPr>
                <w:rFonts w:hint="eastAsia" w:ascii="宋体"/>
                <w:b w:val="0"/>
                <w:bCs/>
                <w:lang w:eastAsia="zh-CN"/>
              </w:rPr>
              <w:t>西高坎市场新建封闭大厅项目</w:t>
            </w:r>
          </w:p>
        </w:tc>
        <w:tc>
          <w:tcPr>
            <w:tcW w:w="1028" w:type="dxa"/>
            <w:vAlign w:val="center"/>
          </w:tcPr>
          <w:p>
            <w:pPr>
              <w:spacing w:line="300" w:lineRule="exact"/>
              <w:jc w:val="right"/>
              <w:rPr>
                <w:rFonts w:hint="eastAsia" w:ascii="宋体" w:eastAsia="宋体"/>
                <w:b w:val="0"/>
                <w:bCs/>
                <w:lang w:val="en-US" w:eastAsia="zh-CN"/>
              </w:rPr>
            </w:pPr>
            <w:r>
              <w:rPr>
                <w:rFonts w:hint="eastAsia" w:ascii="宋体"/>
                <w:b w:val="0"/>
                <w:bCs/>
                <w:lang w:val="en-US" w:eastAsia="zh-CN"/>
              </w:rPr>
              <w:t>80.00</w:t>
            </w:r>
          </w:p>
        </w:tc>
        <w:tc>
          <w:tcPr>
            <w:tcW w:w="945" w:type="dxa"/>
            <w:vAlign w:val="center"/>
          </w:tcPr>
          <w:p>
            <w:pPr>
              <w:spacing w:line="300" w:lineRule="exact"/>
              <w:jc w:val="left"/>
              <w:rPr>
                <w:rFonts w:ascii="宋体"/>
                <w:b w:val="0"/>
                <w:bCs/>
              </w:rPr>
            </w:pPr>
            <w:r>
              <w:rPr>
                <w:rFonts w:hint="eastAsia" w:ascii="宋体"/>
                <w:b w:val="0"/>
                <w:bCs/>
                <w:lang w:eastAsia="zh-CN"/>
              </w:rPr>
              <w:t>商业和服务业用房施工</w:t>
            </w:r>
          </w:p>
        </w:tc>
        <w:tc>
          <w:tcPr>
            <w:tcW w:w="1020" w:type="dxa"/>
            <w:vAlign w:val="center"/>
          </w:tcPr>
          <w:p>
            <w:pPr>
              <w:spacing w:line="300" w:lineRule="exact"/>
              <w:jc w:val="left"/>
              <w:rPr>
                <w:rFonts w:ascii="宋体"/>
                <w:b w:val="0"/>
                <w:bCs/>
                <w:lang w:val="en-US"/>
              </w:rPr>
            </w:pPr>
            <w:r>
              <w:rPr>
                <w:rFonts w:hint="eastAsia" w:ascii="宋体"/>
                <w:b w:val="0"/>
                <w:bCs/>
                <w:lang w:val="en-US" w:eastAsia="zh-CN"/>
              </w:rPr>
              <w:t>B0103</w:t>
            </w:r>
          </w:p>
        </w:tc>
        <w:tc>
          <w:tcPr>
            <w:tcW w:w="757" w:type="dxa"/>
            <w:vAlign w:val="center"/>
          </w:tcPr>
          <w:p>
            <w:pPr>
              <w:spacing w:line="300" w:lineRule="exact"/>
              <w:jc w:val="left"/>
              <w:rPr>
                <w:rFonts w:ascii="宋体"/>
                <w:b w:val="0"/>
                <w:bCs/>
              </w:rPr>
            </w:pPr>
            <w:r>
              <w:rPr>
                <w:rFonts w:hint="eastAsia" w:ascii="宋体"/>
                <w:b w:val="0"/>
                <w:bCs/>
                <w:lang w:val="en-US" w:eastAsia="zh-CN"/>
              </w:rPr>
              <w:t>万元</w:t>
            </w:r>
          </w:p>
        </w:tc>
        <w:tc>
          <w:tcPr>
            <w:tcW w:w="825" w:type="dxa"/>
            <w:vAlign w:val="center"/>
          </w:tcPr>
          <w:p>
            <w:pPr>
              <w:spacing w:line="300" w:lineRule="exact"/>
              <w:jc w:val="right"/>
              <w:rPr>
                <w:rFonts w:hint="eastAsia" w:ascii="宋体" w:eastAsia="宋体"/>
                <w:b w:val="0"/>
                <w:bCs/>
                <w:lang w:val="en-US" w:eastAsia="zh-CN"/>
              </w:rPr>
            </w:pPr>
            <w:r>
              <w:rPr>
                <w:rFonts w:hint="eastAsia" w:ascii="宋体"/>
                <w:b w:val="0"/>
                <w:bCs/>
                <w:lang w:val="en-US" w:eastAsia="zh-CN"/>
              </w:rPr>
              <w:t>1</w:t>
            </w:r>
          </w:p>
        </w:tc>
        <w:tc>
          <w:tcPr>
            <w:tcW w:w="855" w:type="dxa"/>
            <w:vAlign w:val="center"/>
          </w:tcPr>
          <w:p>
            <w:pPr>
              <w:spacing w:line="300" w:lineRule="exact"/>
              <w:jc w:val="right"/>
              <w:rPr>
                <w:rFonts w:hint="eastAsia" w:ascii="宋体" w:eastAsia="宋体"/>
                <w:b w:val="0"/>
                <w:bCs/>
                <w:lang w:val="en-US" w:eastAsia="zh-CN"/>
              </w:rPr>
            </w:pPr>
            <w:r>
              <w:rPr>
                <w:rFonts w:hint="eastAsia" w:ascii="宋体"/>
                <w:b w:val="0"/>
                <w:bCs/>
                <w:lang w:val="en-US" w:eastAsia="zh-CN"/>
              </w:rPr>
              <w:t>80.00</w:t>
            </w:r>
          </w:p>
        </w:tc>
        <w:tc>
          <w:tcPr>
            <w:tcW w:w="922" w:type="dxa"/>
            <w:vAlign w:val="center"/>
          </w:tcPr>
          <w:p>
            <w:pPr>
              <w:spacing w:line="300" w:lineRule="exact"/>
              <w:jc w:val="right"/>
              <w:rPr>
                <w:rFonts w:ascii="宋体"/>
                <w:b w:val="0"/>
                <w:bCs/>
              </w:rPr>
            </w:pPr>
            <w:r>
              <w:rPr>
                <w:rFonts w:hint="eastAsia" w:ascii="宋体"/>
                <w:b w:val="0"/>
                <w:bCs/>
                <w:lang w:val="en-US" w:eastAsia="zh-CN"/>
              </w:rPr>
              <w:t>80.00</w:t>
            </w:r>
          </w:p>
        </w:tc>
        <w:tc>
          <w:tcPr>
            <w:tcW w:w="881" w:type="dxa"/>
            <w:vAlign w:val="center"/>
          </w:tcPr>
          <w:p>
            <w:pPr>
              <w:spacing w:line="300" w:lineRule="exact"/>
              <w:jc w:val="right"/>
              <w:rPr>
                <w:rFonts w:hint="eastAsia" w:ascii="宋体" w:eastAsia="宋体"/>
                <w:b w:val="0"/>
                <w:bCs/>
                <w:lang w:val="en-US" w:eastAsia="zh-CN"/>
              </w:rPr>
            </w:pPr>
            <w:r>
              <w:rPr>
                <w:rFonts w:hint="eastAsia" w:ascii="宋体"/>
                <w:b w:val="0"/>
                <w:bCs/>
                <w:lang w:val="en-US" w:eastAsia="zh-CN"/>
              </w:rPr>
              <w:t>80.00</w:t>
            </w:r>
          </w:p>
        </w:tc>
        <w:tc>
          <w:tcPr>
            <w:tcW w:w="881" w:type="dxa"/>
            <w:vAlign w:val="center"/>
          </w:tcPr>
          <w:p>
            <w:pPr>
              <w:spacing w:line="300" w:lineRule="exact"/>
              <w:jc w:val="right"/>
              <w:rPr>
                <w:rFonts w:ascii="宋体"/>
                <w:b w:val="0"/>
                <w:bCs/>
              </w:rPr>
            </w:pPr>
          </w:p>
        </w:tc>
        <w:tc>
          <w:tcPr>
            <w:tcW w:w="882" w:type="dxa"/>
            <w:vAlign w:val="center"/>
          </w:tcPr>
          <w:p>
            <w:pPr>
              <w:spacing w:line="300" w:lineRule="exact"/>
              <w:jc w:val="right"/>
              <w:rPr>
                <w:rFonts w:hint="eastAsia" w:ascii="宋体" w:eastAsia="宋体"/>
                <w:b w:val="0"/>
                <w:bCs/>
                <w:lang w:val="en-US" w:eastAsia="zh-CN"/>
              </w:rPr>
            </w:pPr>
            <w:r>
              <w:rPr>
                <w:rFonts w:hint="eastAsia" w:ascii="宋体"/>
                <w:b w:val="0"/>
                <w:bCs/>
                <w:lang w:val="en-US" w:eastAsia="zh-CN"/>
              </w:rPr>
              <w:t>80.00</w:t>
            </w:r>
          </w:p>
        </w:tc>
        <w:tc>
          <w:tcPr>
            <w:tcW w:w="882" w:type="dxa"/>
            <w:vAlign w:val="center"/>
          </w:tcPr>
          <w:p>
            <w:pPr>
              <w:spacing w:line="300" w:lineRule="exact"/>
              <w:jc w:val="right"/>
              <w:rPr>
                <w:rFonts w:ascii="宋体"/>
                <w:b w:val="0"/>
                <w:bCs/>
              </w:rPr>
            </w:pPr>
          </w:p>
        </w:tc>
        <w:tc>
          <w:tcPr>
            <w:tcW w:w="882" w:type="dxa"/>
            <w:vAlign w:val="center"/>
          </w:tcPr>
          <w:p>
            <w:pPr>
              <w:spacing w:line="300" w:lineRule="exact"/>
              <w:jc w:val="right"/>
              <w:rPr>
                <w:rFonts w:ascii="宋体"/>
                <w:b w:val="0"/>
                <w:bCs/>
              </w:rPr>
            </w:pPr>
          </w:p>
        </w:tc>
        <w:tc>
          <w:tcPr>
            <w:tcW w:w="830" w:type="dxa"/>
            <w:vAlign w:val="center"/>
          </w:tcPr>
          <w:p>
            <w:pPr>
              <w:spacing w:line="300" w:lineRule="exact"/>
              <w:jc w:val="right"/>
              <w:rPr>
                <w:rFonts w:ascii="宋体"/>
                <w:b w:val="0"/>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952" w:type="dxa"/>
            <w:vAlign w:val="center"/>
          </w:tcPr>
          <w:p>
            <w:pPr>
              <w:spacing w:line="300" w:lineRule="exact"/>
              <w:jc w:val="left"/>
              <w:rPr>
                <w:rFonts w:ascii="宋体"/>
                <w:b w:val="0"/>
                <w:bCs/>
              </w:rPr>
            </w:pPr>
          </w:p>
        </w:tc>
        <w:tc>
          <w:tcPr>
            <w:tcW w:w="1028" w:type="dxa"/>
            <w:vAlign w:val="center"/>
          </w:tcPr>
          <w:p>
            <w:pPr>
              <w:spacing w:line="300" w:lineRule="exact"/>
              <w:jc w:val="right"/>
              <w:rPr>
                <w:rFonts w:ascii="宋体"/>
                <w:b w:val="0"/>
                <w:bCs/>
              </w:rPr>
            </w:pPr>
          </w:p>
        </w:tc>
        <w:tc>
          <w:tcPr>
            <w:tcW w:w="945" w:type="dxa"/>
            <w:vAlign w:val="center"/>
          </w:tcPr>
          <w:p>
            <w:pPr>
              <w:spacing w:line="300" w:lineRule="exact"/>
              <w:jc w:val="left"/>
              <w:rPr>
                <w:rFonts w:ascii="宋体"/>
                <w:b w:val="0"/>
                <w:bCs/>
              </w:rPr>
            </w:pPr>
          </w:p>
        </w:tc>
        <w:tc>
          <w:tcPr>
            <w:tcW w:w="1020" w:type="dxa"/>
            <w:vAlign w:val="center"/>
          </w:tcPr>
          <w:p>
            <w:pPr>
              <w:spacing w:line="300" w:lineRule="exact"/>
              <w:jc w:val="left"/>
              <w:rPr>
                <w:rFonts w:ascii="宋体"/>
                <w:b w:val="0"/>
                <w:bCs/>
              </w:rPr>
            </w:pPr>
          </w:p>
        </w:tc>
        <w:tc>
          <w:tcPr>
            <w:tcW w:w="757" w:type="dxa"/>
            <w:vAlign w:val="center"/>
          </w:tcPr>
          <w:p>
            <w:pPr>
              <w:spacing w:line="300" w:lineRule="exact"/>
              <w:jc w:val="left"/>
              <w:rPr>
                <w:rFonts w:ascii="宋体"/>
                <w:b w:val="0"/>
                <w:bCs/>
              </w:rPr>
            </w:pPr>
          </w:p>
        </w:tc>
        <w:tc>
          <w:tcPr>
            <w:tcW w:w="825" w:type="dxa"/>
            <w:vAlign w:val="center"/>
          </w:tcPr>
          <w:p>
            <w:pPr>
              <w:spacing w:line="300" w:lineRule="exact"/>
              <w:jc w:val="right"/>
              <w:rPr>
                <w:rFonts w:ascii="宋体"/>
                <w:b w:val="0"/>
                <w:bCs/>
              </w:rPr>
            </w:pPr>
          </w:p>
        </w:tc>
        <w:tc>
          <w:tcPr>
            <w:tcW w:w="855" w:type="dxa"/>
            <w:vAlign w:val="center"/>
          </w:tcPr>
          <w:p>
            <w:pPr>
              <w:spacing w:line="300" w:lineRule="exact"/>
              <w:jc w:val="right"/>
              <w:rPr>
                <w:rFonts w:ascii="宋体"/>
                <w:b w:val="0"/>
                <w:bCs/>
              </w:rPr>
            </w:pPr>
          </w:p>
        </w:tc>
        <w:tc>
          <w:tcPr>
            <w:tcW w:w="922" w:type="dxa"/>
            <w:vAlign w:val="center"/>
          </w:tcPr>
          <w:p>
            <w:pPr>
              <w:spacing w:line="300" w:lineRule="exact"/>
              <w:jc w:val="right"/>
              <w:rPr>
                <w:rFonts w:ascii="宋体"/>
                <w:b w:val="0"/>
                <w:bCs/>
              </w:rPr>
            </w:pPr>
          </w:p>
        </w:tc>
        <w:tc>
          <w:tcPr>
            <w:tcW w:w="881" w:type="dxa"/>
            <w:vAlign w:val="center"/>
          </w:tcPr>
          <w:p>
            <w:pPr>
              <w:spacing w:line="300" w:lineRule="exact"/>
              <w:jc w:val="right"/>
              <w:rPr>
                <w:rFonts w:ascii="宋体"/>
                <w:b w:val="0"/>
                <w:bCs/>
              </w:rPr>
            </w:pPr>
          </w:p>
        </w:tc>
        <w:tc>
          <w:tcPr>
            <w:tcW w:w="881" w:type="dxa"/>
            <w:vAlign w:val="center"/>
          </w:tcPr>
          <w:p>
            <w:pPr>
              <w:spacing w:line="300" w:lineRule="exact"/>
              <w:jc w:val="right"/>
              <w:rPr>
                <w:rFonts w:ascii="宋体"/>
                <w:b w:val="0"/>
                <w:bCs/>
              </w:rPr>
            </w:pPr>
          </w:p>
        </w:tc>
        <w:tc>
          <w:tcPr>
            <w:tcW w:w="882" w:type="dxa"/>
            <w:vAlign w:val="center"/>
          </w:tcPr>
          <w:p>
            <w:pPr>
              <w:spacing w:line="300" w:lineRule="exact"/>
              <w:jc w:val="right"/>
              <w:rPr>
                <w:rFonts w:ascii="宋体"/>
                <w:b w:val="0"/>
                <w:bCs/>
              </w:rPr>
            </w:pPr>
          </w:p>
        </w:tc>
        <w:tc>
          <w:tcPr>
            <w:tcW w:w="882" w:type="dxa"/>
            <w:vAlign w:val="center"/>
          </w:tcPr>
          <w:p>
            <w:pPr>
              <w:spacing w:line="300" w:lineRule="exact"/>
              <w:jc w:val="right"/>
              <w:rPr>
                <w:rFonts w:ascii="宋体"/>
                <w:b w:val="0"/>
                <w:bCs/>
              </w:rPr>
            </w:pPr>
          </w:p>
        </w:tc>
        <w:tc>
          <w:tcPr>
            <w:tcW w:w="882" w:type="dxa"/>
            <w:vAlign w:val="center"/>
          </w:tcPr>
          <w:p>
            <w:pPr>
              <w:spacing w:line="300" w:lineRule="exact"/>
              <w:jc w:val="right"/>
              <w:rPr>
                <w:rFonts w:ascii="宋体"/>
                <w:b w:val="0"/>
                <w:bCs/>
              </w:rPr>
            </w:pPr>
          </w:p>
        </w:tc>
        <w:tc>
          <w:tcPr>
            <w:tcW w:w="830" w:type="dxa"/>
            <w:vAlign w:val="center"/>
          </w:tcPr>
          <w:p>
            <w:pPr>
              <w:spacing w:line="300" w:lineRule="exact"/>
              <w:jc w:val="right"/>
              <w:rPr>
                <w:rFonts w:ascii="宋体"/>
                <w:b w:val="0"/>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952" w:type="dxa"/>
            <w:vAlign w:val="center"/>
          </w:tcPr>
          <w:p>
            <w:pPr>
              <w:spacing w:line="300" w:lineRule="exact"/>
              <w:jc w:val="left"/>
              <w:rPr>
                <w:rFonts w:ascii="宋体"/>
                <w:b w:val="0"/>
                <w:bCs/>
              </w:rPr>
            </w:pPr>
          </w:p>
        </w:tc>
        <w:tc>
          <w:tcPr>
            <w:tcW w:w="1028" w:type="dxa"/>
            <w:vAlign w:val="center"/>
          </w:tcPr>
          <w:p>
            <w:pPr>
              <w:spacing w:line="300" w:lineRule="exact"/>
              <w:jc w:val="right"/>
              <w:rPr>
                <w:rFonts w:ascii="宋体"/>
                <w:b w:val="0"/>
                <w:bCs/>
              </w:rPr>
            </w:pPr>
          </w:p>
        </w:tc>
        <w:tc>
          <w:tcPr>
            <w:tcW w:w="945" w:type="dxa"/>
            <w:vAlign w:val="center"/>
          </w:tcPr>
          <w:p>
            <w:pPr>
              <w:spacing w:line="300" w:lineRule="exact"/>
              <w:jc w:val="left"/>
              <w:rPr>
                <w:rFonts w:ascii="宋体"/>
                <w:b w:val="0"/>
                <w:bCs/>
              </w:rPr>
            </w:pPr>
          </w:p>
        </w:tc>
        <w:tc>
          <w:tcPr>
            <w:tcW w:w="1020" w:type="dxa"/>
            <w:vAlign w:val="center"/>
          </w:tcPr>
          <w:p>
            <w:pPr>
              <w:spacing w:line="300" w:lineRule="exact"/>
              <w:jc w:val="left"/>
              <w:rPr>
                <w:rFonts w:ascii="宋体"/>
                <w:b w:val="0"/>
                <w:bCs/>
              </w:rPr>
            </w:pPr>
          </w:p>
        </w:tc>
        <w:tc>
          <w:tcPr>
            <w:tcW w:w="757" w:type="dxa"/>
            <w:vAlign w:val="center"/>
          </w:tcPr>
          <w:p>
            <w:pPr>
              <w:spacing w:line="300" w:lineRule="exact"/>
              <w:jc w:val="left"/>
              <w:rPr>
                <w:rFonts w:ascii="宋体"/>
                <w:b w:val="0"/>
                <w:bCs/>
              </w:rPr>
            </w:pPr>
          </w:p>
        </w:tc>
        <w:tc>
          <w:tcPr>
            <w:tcW w:w="825" w:type="dxa"/>
            <w:vAlign w:val="center"/>
          </w:tcPr>
          <w:p>
            <w:pPr>
              <w:spacing w:line="300" w:lineRule="exact"/>
              <w:jc w:val="right"/>
              <w:rPr>
                <w:rFonts w:ascii="宋体"/>
                <w:b w:val="0"/>
                <w:bCs/>
              </w:rPr>
            </w:pPr>
          </w:p>
        </w:tc>
        <w:tc>
          <w:tcPr>
            <w:tcW w:w="855" w:type="dxa"/>
            <w:vAlign w:val="center"/>
          </w:tcPr>
          <w:p>
            <w:pPr>
              <w:spacing w:line="300" w:lineRule="exact"/>
              <w:jc w:val="right"/>
              <w:rPr>
                <w:rFonts w:ascii="宋体"/>
                <w:b w:val="0"/>
                <w:bCs/>
              </w:rPr>
            </w:pPr>
          </w:p>
        </w:tc>
        <w:tc>
          <w:tcPr>
            <w:tcW w:w="922" w:type="dxa"/>
            <w:vAlign w:val="center"/>
          </w:tcPr>
          <w:p>
            <w:pPr>
              <w:spacing w:line="300" w:lineRule="exact"/>
              <w:jc w:val="right"/>
              <w:rPr>
                <w:rFonts w:ascii="宋体"/>
                <w:b w:val="0"/>
                <w:bCs/>
              </w:rPr>
            </w:pPr>
          </w:p>
        </w:tc>
        <w:tc>
          <w:tcPr>
            <w:tcW w:w="881" w:type="dxa"/>
            <w:vAlign w:val="center"/>
          </w:tcPr>
          <w:p>
            <w:pPr>
              <w:spacing w:line="300" w:lineRule="exact"/>
              <w:jc w:val="right"/>
              <w:rPr>
                <w:rFonts w:ascii="宋体"/>
                <w:b w:val="0"/>
                <w:bCs/>
              </w:rPr>
            </w:pPr>
          </w:p>
        </w:tc>
        <w:tc>
          <w:tcPr>
            <w:tcW w:w="881" w:type="dxa"/>
            <w:vAlign w:val="center"/>
          </w:tcPr>
          <w:p>
            <w:pPr>
              <w:spacing w:line="300" w:lineRule="exact"/>
              <w:jc w:val="right"/>
              <w:rPr>
                <w:rFonts w:ascii="宋体"/>
                <w:b w:val="0"/>
                <w:bCs/>
              </w:rPr>
            </w:pPr>
          </w:p>
        </w:tc>
        <w:tc>
          <w:tcPr>
            <w:tcW w:w="882" w:type="dxa"/>
            <w:vAlign w:val="center"/>
          </w:tcPr>
          <w:p>
            <w:pPr>
              <w:spacing w:line="300" w:lineRule="exact"/>
              <w:jc w:val="right"/>
              <w:rPr>
                <w:rFonts w:ascii="宋体"/>
                <w:b w:val="0"/>
                <w:bCs/>
              </w:rPr>
            </w:pPr>
          </w:p>
        </w:tc>
        <w:tc>
          <w:tcPr>
            <w:tcW w:w="882" w:type="dxa"/>
            <w:vAlign w:val="center"/>
          </w:tcPr>
          <w:p>
            <w:pPr>
              <w:spacing w:line="300" w:lineRule="exact"/>
              <w:jc w:val="right"/>
              <w:rPr>
                <w:rFonts w:ascii="宋体"/>
                <w:b w:val="0"/>
                <w:bCs/>
              </w:rPr>
            </w:pPr>
          </w:p>
        </w:tc>
        <w:tc>
          <w:tcPr>
            <w:tcW w:w="882" w:type="dxa"/>
            <w:vAlign w:val="center"/>
          </w:tcPr>
          <w:p>
            <w:pPr>
              <w:spacing w:line="300" w:lineRule="exact"/>
              <w:jc w:val="right"/>
              <w:rPr>
                <w:rFonts w:ascii="宋体"/>
                <w:b w:val="0"/>
                <w:bCs/>
              </w:rPr>
            </w:pPr>
          </w:p>
        </w:tc>
        <w:tc>
          <w:tcPr>
            <w:tcW w:w="830" w:type="dxa"/>
            <w:vAlign w:val="center"/>
          </w:tcPr>
          <w:p>
            <w:pPr>
              <w:spacing w:line="300" w:lineRule="exact"/>
              <w:jc w:val="right"/>
              <w:rPr>
                <w:rFonts w:ascii="宋体"/>
                <w:b w:val="0"/>
                <w:bCs/>
              </w:rPr>
            </w:pPr>
          </w:p>
        </w:tc>
      </w:tr>
    </w:tbl>
    <w:p>
      <w:pPr>
        <w:autoSpaceDE w:val="0"/>
        <w:autoSpaceDN w:val="0"/>
        <w:adjustRightInd w:val="0"/>
        <w:ind w:firstLine="640" w:firstLineChars="200"/>
        <w:jc w:val="left"/>
        <w:rPr>
          <w:rFonts w:hint="eastAsia" w:ascii="宋体"/>
          <w:sz w:val="32"/>
          <w:szCs w:val="24"/>
          <w:lang w:val="en-US" w:eastAsia="zh-CN"/>
        </w:rPr>
      </w:pPr>
      <w:r>
        <w:rPr>
          <w:rFonts w:hint="eastAsia" w:ascii="宋体"/>
          <w:sz w:val="32"/>
          <w:szCs w:val="24"/>
          <w:lang w:eastAsia="zh-CN"/>
        </w:rPr>
        <w:t>注</w:t>
      </w:r>
      <w:r>
        <w:rPr>
          <w:rFonts w:hint="eastAsia" w:ascii="宋体"/>
          <w:sz w:val="32"/>
          <w:szCs w:val="24"/>
          <w:lang w:val="en-US" w:eastAsia="zh-CN"/>
        </w:rPr>
        <w:t>:我单位无部门政府采购，空表列示。</w:t>
      </w:r>
    </w:p>
    <w:p>
      <w:pPr>
        <w:autoSpaceDE w:val="0"/>
        <w:autoSpaceDN w:val="0"/>
        <w:adjustRightInd w:val="0"/>
        <w:ind w:firstLine="640" w:firstLineChars="200"/>
        <w:jc w:val="left"/>
        <w:rPr>
          <w:rFonts w:hint="eastAsia" w:ascii="宋体"/>
          <w:sz w:val="32"/>
          <w:szCs w:val="24"/>
          <w:lang w:val="en-US" w:eastAsia="zh-CN"/>
        </w:rPr>
      </w:pP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黑体"/>
          <w:sz w:val="32"/>
          <w:szCs w:val="32"/>
          <w:lang w:eastAsia="zh-CN"/>
        </w:rPr>
        <w:t>七</w:t>
      </w:r>
      <w:r>
        <w:rPr>
          <w:rFonts w:hint="eastAsia" w:ascii="黑体" w:hAnsi="黑体" w:eastAsia="黑体" w:cs="黑体"/>
          <w:sz w:val="32"/>
          <w:szCs w:val="32"/>
        </w:rPr>
        <w:t>、国有资产信息</w:t>
      </w:r>
    </w:p>
    <w:p>
      <w:pPr>
        <w:ind w:firstLine="640" w:firstLineChars="200"/>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滦州市市场建设发展局</w:t>
      </w:r>
      <w:r>
        <w:rPr>
          <w:rFonts w:hint="eastAsia" w:ascii="仿宋_GB2312" w:hAnsi="仿宋_GB2312" w:eastAsia="仿宋_GB2312" w:cs="仿宋_GB2312"/>
          <w:sz w:val="32"/>
          <w:szCs w:val="32"/>
        </w:rPr>
        <w:t>上年末固定资产金额为</w:t>
      </w:r>
      <w:r>
        <w:rPr>
          <w:rFonts w:hint="eastAsia" w:ascii="仿宋_GB2312" w:hAnsi="仿宋_GB2312" w:eastAsia="仿宋_GB2312" w:cs="仿宋_GB2312"/>
          <w:sz w:val="32"/>
          <w:szCs w:val="32"/>
          <w:lang w:val="en-US" w:eastAsia="zh-CN"/>
        </w:rPr>
        <w:t>725.5043</w:t>
      </w:r>
      <w:r>
        <w:rPr>
          <w:rFonts w:hint="eastAsia" w:ascii="仿宋_GB2312" w:hAnsi="仿宋_GB2312" w:eastAsia="仿宋_GB2312" w:cs="仿宋_GB2312"/>
          <w:sz w:val="32"/>
          <w:szCs w:val="32"/>
        </w:rPr>
        <w:t>万元（详见下表）</w:t>
      </w:r>
      <w:r>
        <w:rPr>
          <w:rFonts w:hint="eastAsia" w:ascii="仿宋_GB2312" w:hAnsi="仿宋_GB2312" w:eastAsia="仿宋_GB2312" w:cs="仿宋_GB2312"/>
          <w:sz w:val="32"/>
          <w:szCs w:val="32"/>
          <w:lang w:eastAsia="zh-CN"/>
        </w:rPr>
        <w:t>。本年预算增加金额为</w:t>
      </w:r>
      <w:r>
        <w:rPr>
          <w:rFonts w:hint="eastAsia" w:ascii="仿宋_GB2312" w:hAnsi="仿宋_GB2312" w:eastAsia="仿宋_GB2312" w:cs="仿宋_GB2312"/>
          <w:sz w:val="32"/>
          <w:szCs w:val="32"/>
          <w:lang w:val="en-US" w:eastAsia="zh-CN"/>
        </w:rPr>
        <w:t>3.06万元，原因为业务用房面积增加。</w:t>
      </w:r>
    </w:p>
    <w:tbl>
      <w:tblPr>
        <w:tblStyle w:val="8"/>
        <w:tblW w:w="13482" w:type="dxa"/>
        <w:tblInd w:w="-106"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ind w:firstLine="5140" w:firstLineChars="1600"/>
              <w:jc w:val="both"/>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编制部门：</w:t>
            </w:r>
            <w:r>
              <w:rPr>
                <w:rFonts w:hint="eastAsia" w:ascii="仿宋_GB2312" w:hAnsi="仿宋_GB2312" w:eastAsia="仿宋_GB2312" w:cs="仿宋_GB2312"/>
                <w:sz w:val="32"/>
                <w:szCs w:val="32"/>
                <w:lang w:eastAsia="zh-CN"/>
              </w:rPr>
              <w:t>滦县市场建设发展局</w:t>
            </w:r>
          </w:p>
        </w:tc>
        <w:tc>
          <w:tcPr>
            <w:tcW w:w="5103" w:type="dxa"/>
            <w:tcBorders>
              <w:top w:val="nil"/>
              <w:left w:val="nil"/>
              <w:bottom w:val="nil"/>
              <w:right w:val="nil"/>
            </w:tcBorders>
            <w:vAlign w:val="center"/>
          </w:tcPr>
          <w:p>
            <w:pPr>
              <w:widowControl/>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截止时间：201</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 xml:space="preserve">年12月31日  </w:t>
            </w:r>
          </w:p>
        </w:tc>
      </w:tr>
      <w:tr>
        <w:tblPrEx>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项   目</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数量</w:t>
            </w:r>
          </w:p>
        </w:tc>
        <w:tc>
          <w:tcPr>
            <w:tcW w:w="5103"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价值（金额单位：万元）</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资产总额</w:t>
            </w:r>
          </w:p>
        </w:tc>
        <w:tc>
          <w:tcPr>
            <w:tcW w:w="3155"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10386</w:t>
            </w:r>
          </w:p>
        </w:tc>
        <w:tc>
          <w:tcPr>
            <w:tcW w:w="5103"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725.5043</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1、房屋（平方米）</w:t>
            </w:r>
          </w:p>
        </w:tc>
        <w:tc>
          <w:tcPr>
            <w:tcW w:w="3155"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6600</w:t>
            </w:r>
          </w:p>
        </w:tc>
        <w:tc>
          <w:tcPr>
            <w:tcW w:w="5103"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672.8643</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其中：办公用房（平方米）</w:t>
            </w:r>
          </w:p>
        </w:tc>
        <w:tc>
          <w:tcPr>
            <w:tcW w:w="3155"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2000</w:t>
            </w:r>
          </w:p>
        </w:tc>
        <w:tc>
          <w:tcPr>
            <w:tcW w:w="5103"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52</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eastAsia="zh-CN"/>
              </w:rPr>
              <w:t>通用设备（个、台、辆等）</w:t>
            </w:r>
          </w:p>
        </w:tc>
        <w:tc>
          <w:tcPr>
            <w:tcW w:w="3155"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p>
        </w:tc>
        <w:tc>
          <w:tcPr>
            <w:tcW w:w="5103"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52.64</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其中：</w:t>
            </w:r>
            <w:r>
              <w:rPr>
                <w:rFonts w:hint="eastAsia" w:ascii="仿宋_GB2312" w:hAnsi="仿宋_GB2312" w:eastAsia="仿宋_GB2312" w:cs="仿宋_GB2312"/>
                <w:kern w:val="0"/>
                <w:sz w:val="32"/>
                <w:szCs w:val="32"/>
              </w:rPr>
              <w:t>车辆（台、辆）</w:t>
            </w:r>
          </w:p>
        </w:tc>
        <w:tc>
          <w:tcPr>
            <w:tcW w:w="3155"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p>
        </w:tc>
        <w:tc>
          <w:tcPr>
            <w:tcW w:w="5103"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52.64</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、其他固定资产</w:t>
            </w:r>
          </w:p>
        </w:tc>
        <w:tc>
          <w:tcPr>
            <w:tcW w:w="3155"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5103"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0</w:t>
            </w:r>
          </w:p>
        </w:tc>
      </w:tr>
    </w:tbl>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黑体"/>
          <w:sz w:val="32"/>
          <w:szCs w:val="32"/>
          <w:lang w:eastAsia="zh-CN"/>
        </w:rPr>
        <w:t>八</w:t>
      </w:r>
      <w:r>
        <w:rPr>
          <w:rFonts w:hint="eastAsia" w:ascii="黑体" w:hAnsi="黑体" w:eastAsia="黑体" w:cs="黑体"/>
          <w:sz w:val="32"/>
          <w:szCs w:val="32"/>
        </w:rPr>
        <w:t>、名词解释</w:t>
      </w:r>
    </w:p>
    <w:p>
      <w:pPr>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1、一般公共预算拨款收入：</w:t>
      </w:r>
      <w:r>
        <w:rPr>
          <w:rFonts w:hint="eastAsia" w:ascii="仿宋_GB2312" w:hAnsi="仿宋_GB2312" w:eastAsia="仿宋_GB2312" w:cs="仿宋_GB2312"/>
          <w:sz w:val="32"/>
          <w:szCs w:val="32"/>
        </w:rPr>
        <w:t>指</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级财政当年拨付的资金。</w:t>
      </w:r>
    </w:p>
    <w:p>
      <w:pPr>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2、事业收入：</w:t>
      </w:r>
      <w:r>
        <w:rPr>
          <w:rFonts w:hint="eastAsia" w:ascii="仿宋_GB2312" w:hAnsi="仿宋_GB2312" w:eastAsia="仿宋_GB2312" w:cs="仿宋_GB2312"/>
          <w:sz w:val="32"/>
          <w:szCs w:val="32"/>
        </w:rPr>
        <w:t>指事业单位开展专业业务活动及辅助活动所取得的收入。</w:t>
      </w:r>
    </w:p>
    <w:p>
      <w:pPr>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3、其他收入：</w:t>
      </w:r>
      <w:r>
        <w:rPr>
          <w:rFonts w:hint="eastAsia" w:ascii="仿宋_GB2312" w:hAnsi="仿宋_GB2312" w:eastAsia="仿宋_GB2312" w:cs="仿宋_GB2312"/>
          <w:sz w:val="32"/>
          <w:szCs w:val="32"/>
        </w:rPr>
        <w:t>指除“一般公共预算拨款收入”、“事业收入”等以外的收入。主要是按规定动用的租房收入、存款利息收入等。</w:t>
      </w:r>
    </w:p>
    <w:p>
      <w:pPr>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4、基本支出：</w:t>
      </w:r>
      <w:r>
        <w:rPr>
          <w:rFonts w:hint="eastAsia" w:ascii="仿宋_GB2312" w:hAnsi="仿宋_GB2312" w:eastAsia="仿宋_GB2312" w:cs="仿宋_GB2312"/>
          <w:sz w:val="32"/>
          <w:szCs w:val="32"/>
        </w:rPr>
        <w:t>指为保障机构正常运转、完成日常工作任务而发生的人员支出和公用支出。</w:t>
      </w:r>
    </w:p>
    <w:p>
      <w:pPr>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5、项目支出：</w:t>
      </w:r>
      <w:r>
        <w:rPr>
          <w:rFonts w:hint="eastAsia" w:ascii="仿宋_GB2312" w:hAnsi="仿宋_GB2312" w:eastAsia="仿宋_GB2312" w:cs="仿宋_GB2312"/>
          <w:sz w:val="32"/>
          <w:szCs w:val="32"/>
        </w:rPr>
        <w:t>指在基本支出之外为完成特定行政任务和事业发展目标所发生的支出。</w:t>
      </w:r>
    </w:p>
    <w:p>
      <w:pPr>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6、上缴上级支出：</w:t>
      </w:r>
      <w:r>
        <w:rPr>
          <w:rFonts w:hint="eastAsia" w:ascii="仿宋_GB2312" w:hAnsi="仿宋_GB2312" w:eastAsia="仿宋_GB2312" w:cs="仿宋_GB2312"/>
          <w:sz w:val="32"/>
          <w:szCs w:val="32"/>
        </w:rPr>
        <w:t>指下级单位上缴上级的支出。</w:t>
      </w:r>
    </w:p>
    <w:p>
      <w:pPr>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7、“三公”经费：</w:t>
      </w:r>
      <w:r>
        <w:rPr>
          <w:rFonts w:hint="eastAsia" w:ascii="仿宋_GB2312" w:hAnsi="仿宋_GB2312" w:eastAsia="仿宋_GB2312" w:cs="仿宋_GB2312"/>
          <w:sz w:val="32"/>
          <w:szCs w:val="32"/>
        </w:rPr>
        <w:t>纳入</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级财政预算管理的“三公”经费，是指</w:t>
      </w:r>
      <w:r>
        <w:rPr>
          <w:rFonts w:hint="eastAsia" w:ascii="仿宋_GB2312" w:hAnsi="仿宋_GB2312" w:eastAsia="仿宋_GB2312" w:cs="仿宋_GB2312"/>
          <w:sz w:val="32"/>
          <w:szCs w:val="32"/>
          <w:lang w:eastAsia="zh-CN"/>
        </w:rPr>
        <w:t>县级</w:t>
      </w:r>
      <w:r>
        <w:rPr>
          <w:rFonts w:hint="eastAsia" w:ascii="仿宋_GB2312" w:hAnsi="仿宋_GB2312" w:eastAsia="仿宋_GB2312" w:cs="仿宋_GB2312"/>
          <w:sz w:val="32"/>
          <w:szCs w:val="32"/>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8、机关运行</w:t>
      </w:r>
      <w:r>
        <w:rPr>
          <w:rFonts w:hint="eastAsia" w:ascii="楷体_GB2312" w:hAnsi="楷体_GB2312" w:eastAsia="楷体_GB2312" w:cs="楷体_GB2312"/>
          <w:b/>
          <w:bCs/>
          <w:sz w:val="32"/>
          <w:szCs w:val="32"/>
          <w:lang w:eastAsia="zh-CN"/>
        </w:rPr>
        <w:t>经</w:t>
      </w:r>
      <w:r>
        <w:rPr>
          <w:rFonts w:hint="eastAsia" w:ascii="楷体_GB2312" w:hAnsi="楷体_GB2312" w:eastAsia="楷体_GB2312" w:cs="楷体_GB2312"/>
          <w:b/>
          <w:bCs/>
          <w:sz w:val="32"/>
          <w:szCs w:val="32"/>
        </w:rPr>
        <w:t>费：</w:t>
      </w:r>
      <w:r>
        <w:rPr>
          <w:rFonts w:hint="eastAsia" w:ascii="仿宋_GB2312" w:hAnsi="仿宋_GB2312" w:eastAsia="仿宋_GB2312" w:cs="仿宋_GB2312"/>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9、上年结转：</w:t>
      </w:r>
      <w:r>
        <w:rPr>
          <w:rFonts w:hint="eastAsia" w:ascii="仿宋_GB2312" w:hAnsi="仿宋_GB2312" w:eastAsia="仿宋_GB2312" w:cs="仿宋_GB2312"/>
          <w:sz w:val="32"/>
          <w:szCs w:val="32"/>
        </w:rPr>
        <w:t>指以前年度尚未完成、结转到本年仍按原规定用途继续使用的资金。</w:t>
      </w:r>
    </w:p>
    <w:p>
      <w:pPr>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10、事业单位经营支出：</w:t>
      </w:r>
      <w:r>
        <w:rPr>
          <w:rFonts w:hint="eastAsia" w:ascii="仿宋_GB2312" w:hAnsi="仿宋_GB2312" w:eastAsia="仿宋_GB2312" w:cs="仿宋_GB2312"/>
          <w:sz w:val="32"/>
          <w:szCs w:val="32"/>
        </w:rPr>
        <w:t>指事业单位在专业业务活动及其辅助活动之外开展非独立核算经营活动发生的支出。</w:t>
      </w:r>
    </w:p>
    <w:p>
      <w:pPr>
        <w:autoSpaceDE w:val="0"/>
        <w:autoSpaceDN w:val="0"/>
        <w:adjustRightInd w:val="0"/>
        <w:ind w:firstLine="640" w:firstLineChars="200"/>
        <w:jc w:val="left"/>
        <w:rPr>
          <w:rFonts w:ascii="黑体" w:hAnsi="黑体" w:eastAsia="黑体" w:cs="Times New Roman"/>
          <w:sz w:val="32"/>
          <w:szCs w:val="32"/>
        </w:rPr>
      </w:pPr>
      <w:bookmarkStart w:id="2" w:name="_GoBack"/>
      <w:bookmarkEnd w:id="2"/>
      <w:r>
        <w:rPr>
          <w:rFonts w:hint="eastAsia" w:ascii="黑体" w:hAnsi="黑体" w:eastAsia="黑体" w:cs="黑体"/>
          <w:sz w:val="32"/>
          <w:szCs w:val="32"/>
          <w:lang w:eastAsia="zh-CN"/>
        </w:rPr>
        <w:t>九</w:t>
      </w:r>
      <w:r>
        <w:rPr>
          <w:rFonts w:hint="eastAsia" w:ascii="黑体" w:hAnsi="黑体" w:eastAsia="黑体" w:cs="黑体"/>
          <w:sz w:val="32"/>
          <w:szCs w:val="32"/>
        </w:rPr>
        <w:t>、其他需要说明的事项</w:t>
      </w:r>
    </w:p>
    <w:p>
      <w:pPr>
        <w:adjustRightInd w:val="0"/>
        <w:snapToGrid w:val="0"/>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我单位201</w:t>
      </w:r>
      <w:r>
        <w:rPr>
          <w:rFonts w:hint="eastAsia" w:ascii="仿宋_GB2312" w:hAnsi="仿宋_GB2312" w:eastAsia="仿宋_GB2312" w:cs="仿宋_GB2312"/>
          <w:b w:val="0"/>
          <w:bCs w:val="0"/>
          <w:sz w:val="32"/>
          <w:szCs w:val="32"/>
          <w:lang w:val="en-US" w:eastAsia="zh-CN"/>
        </w:rPr>
        <w:t>9</w:t>
      </w:r>
      <w:r>
        <w:rPr>
          <w:rFonts w:hint="eastAsia" w:ascii="仿宋_GB2312" w:hAnsi="仿宋_GB2312" w:eastAsia="仿宋_GB2312" w:cs="仿宋_GB2312"/>
          <w:b w:val="0"/>
          <w:bCs w:val="0"/>
          <w:sz w:val="32"/>
          <w:szCs w:val="32"/>
        </w:rPr>
        <w:t>年部门预算中未安排国有资本经营预算，故国有资本经营预算支出表为空。</w:t>
      </w:r>
    </w:p>
    <w:p>
      <w:pPr>
        <w:ind w:firstLine="640" w:firstLineChars="200"/>
        <w:rPr>
          <w:rFonts w:ascii="仿宋_GB2312" w:hAnsi="仿宋_GB2312" w:eastAsia="仿宋_GB2312" w:cs="仿宋_GB2312"/>
          <w:sz w:val="32"/>
          <w:szCs w:val="32"/>
        </w:rPr>
      </w:pPr>
    </w:p>
    <w:sectPr>
      <w:pgSz w:w="16783" w:h="11850"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MS PGothic">
    <w:panose1 w:val="020B0600070205080204"/>
    <w:charset w:val="80"/>
    <w:family w:val="auto"/>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51649"/>
    <w:multiLevelType w:val="singleLevel"/>
    <w:tmpl w:val="5A951649"/>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NotTrackMoves/>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32"/>
    <w:rsid w:val="00037AF6"/>
    <w:rsid w:val="000428D7"/>
    <w:rsid w:val="00075D5F"/>
    <w:rsid w:val="000B529B"/>
    <w:rsid w:val="000C3A19"/>
    <w:rsid w:val="000D6D55"/>
    <w:rsid w:val="000F0B67"/>
    <w:rsid w:val="001245BB"/>
    <w:rsid w:val="001251A3"/>
    <w:rsid w:val="0014335A"/>
    <w:rsid w:val="001F7873"/>
    <w:rsid w:val="00233A91"/>
    <w:rsid w:val="00241FD4"/>
    <w:rsid w:val="00251B12"/>
    <w:rsid w:val="0027263A"/>
    <w:rsid w:val="00295493"/>
    <w:rsid w:val="00296113"/>
    <w:rsid w:val="002A673A"/>
    <w:rsid w:val="002C5E13"/>
    <w:rsid w:val="002C62BC"/>
    <w:rsid w:val="002E0EB8"/>
    <w:rsid w:val="002F3E58"/>
    <w:rsid w:val="0030542C"/>
    <w:rsid w:val="00311B7A"/>
    <w:rsid w:val="003A3A98"/>
    <w:rsid w:val="003F5E05"/>
    <w:rsid w:val="00424943"/>
    <w:rsid w:val="0043175C"/>
    <w:rsid w:val="00437296"/>
    <w:rsid w:val="00451590"/>
    <w:rsid w:val="00451871"/>
    <w:rsid w:val="0046528E"/>
    <w:rsid w:val="004706DE"/>
    <w:rsid w:val="00472923"/>
    <w:rsid w:val="00497201"/>
    <w:rsid w:val="004B0C3A"/>
    <w:rsid w:val="004C3C07"/>
    <w:rsid w:val="004D5788"/>
    <w:rsid w:val="004E3066"/>
    <w:rsid w:val="004E74CD"/>
    <w:rsid w:val="005204D4"/>
    <w:rsid w:val="0052190D"/>
    <w:rsid w:val="00572067"/>
    <w:rsid w:val="00573562"/>
    <w:rsid w:val="00590ECE"/>
    <w:rsid w:val="00614A29"/>
    <w:rsid w:val="00647FB6"/>
    <w:rsid w:val="00673D76"/>
    <w:rsid w:val="006854F0"/>
    <w:rsid w:val="006B1C4A"/>
    <w:rsid w:val="006B2372"/>
    <w:rsid w:val="006B610D"/>
    <w:rsid w:val="006D04D3"/>
    <w:rsid w:val="006E49F5"/>
    <w:rsid w:val="006E6C0F"/>
    <w:rsid w:val="007013C8"/>
    <w:rsid w:val="00753836"/>
    <w:rsid w:val="0075393C"/>
    <w:rsid w:val="00754592"/>
    <w:rsid w:val="00776C08"/>
    <w:rsid w:val="00796916"/>
    <w:rsid w:val="007C219A"/>
    <w:rsid w:val="007D43B7"/>
    <w:rsid w:val="007E1DA8"/>
    <w:rsid w:val="007F6C26"/>
    <w:rsid w:val="0080591E"/>
    <w:rsid w:val="00813208"/>
    <w:rsid w:val="008334AE"/>
    <w:rsid w:val="00836FED"/>
    <w:rsid w:val="0083724E"/>
    <w:rsid w:val="00845CD2"/>
    <w:rsid w:val="00852B0D"/>
    <w:rsid w:val="00863ACD"/>
    <w:rsid w:val="00881692"/>
    <w:rsid w:val="008A6576"/>
    <w:rsid w:val="008B3CC5"/>
    <w:rsid w:val="008B52CD"/>
    <w:rsid w:val="008C711E"/>
    <w:rsid w:val="008E4261"/>
    <w:rsid w:val="008F4662"/>
    <w:rsid w:val="00905D08"/>
    <w:rsid w:val="00925753"/>
    <w:rsid w:val="009425F4"/>
    <w:rsid w:val="00955DF4"/>
    <w:rsid w:val="009615CE"/>
    <w:rsid w:val="00966C5C"/>
    <w:rsid w:val="00973104"/>
    <w:rsid w:val="00995BF0"/>
    <w:rsid w:val="009A16D5"/>
    <w:rsid w:val="009A353D"/>
    <w:rsid w:val="009B0B77"/>
    <w:rsid w:val="009B1E8A"/>
    <w:rsid w:val="009B391C"/>
    <w:rsid w:val="009B511E"/>
    <w:rsid w:val="009F03EF"/>
    <w:rsid w:val="009F1537"/>
    <w:rsid w:val="00A44E3D"/>
    <w:rsid w:val="00A72D2E"/>
    <w:rsid w:val="00A74447"/>
    <w:rsid w:val="00A74C3B"/>
    <w:rsid w:val="00A74CE5"/>
    <w:rsid w:val="00A911E7"/>
    <w:rsid w:val="00A939D9"/>
    <w:rsid w:val="00AA0468"/>
    <w:rsid w:val="00B157E6"/>
    <w:rsid w:val="00B20712"/>
    <w:rsid w:val="00B333BF"/>
    <w:rsid w:val="00B43238"/>
    <w:rsid w:val="00B45DD3"/>
    <w:rsid w:val="00B75216"/>
    <w:rsid w:val="00B91D52"/>
    <w:rsid w:val="00B9490F"/>
    <w:rsid w:val="00BA082A"/>
    <w:rsid w:val="00BA1ACD"/>
    <w:rsid w:val="00BD09F8"/>
    <w:rsid w:val="00BF1BFE"/>
    <w:rsid w:val="00C71DDD"/>
    <w:rsid w:val="00C850A6"/>
    <w:rsid w:val="00CA7176"/>
    <w:rsid w:val="00CC75B0"/>
    <w:rsid w:val="00CD1111"/>
    <w:rsid w:val="00CD2773"/>
    <w:rsid w:val="00CE143B"/>
    <w:rsid w:val="00D01B0A"/>
    <w:rsid w:val="00D15975"/>
    <w:rsid w:val="00D27003"/>
    <w:rsid w:val="00D91FA6"/>
    <w:rsid w:val="00DA4D6D"/>
    <w:rsid w:val="00DE7697"/>
    <w:rsid w:val="00E167C7"/>
    <w:rsid w:val="00E26AED"/>
    <w:rsid w:val="00E32AD7"/>
    <w:rsid w:val="00E573CB"/>
    <w:rsid w:val="00E60720"/>
    <w:rsid w:val="00E738FA"/>
    <w:rsid w:val="00EB3AB0"/>
    <w:rsid w:val="00EC47F6"/>
    <w:rsid w:val="00ED2F78"/>
    <w:rsid w:val="00F12AFF"/>
    <w:rsid w:val="00F66032"/>
    <w:rsid w:val="00F87C1E"/>
    <w:rsid w:val="00F958C2"/>
    <w:rsid w:val="00FD402E"/>
    <w:rsid w:val="016442AE"/>
    <w:rsid w:val="019C35E0"/>
    <w:rsid w:val="03420831"/>
    <w:rsid w:val="035B0D14"/>
    <w:rsid w:val="055F3A37"/>
    <w:rsid w:val="05D500BD"/>
    <w:rsid w:val="069A6FD2"/>
    <w:rsid w:val="07E87C63"/>
    <w:rsid w:val="0F8C715E"/>
    <w:rsid w:val="12BE4A12"/>
    <w:rsid w:val="166D6C7E"/>
    <w:rsid w:val="1B594BA8"/>
    <w:rsid w:val="1CBF7D93"/>
    <w:rsid w:val="1D265044"/>
    <w:rsid w:val="1F671355"/>
    <w:rsid w:val="1F810E2E"/>
    <w:rsid w:val="215D4208"/>
    <w:rsid w:val="21B60991"/>
    <w:rsid w:val="23AD48F3"/>
    <w:rsid w:val="251C7599"/>
    <w:rsid w:val="272E7799"/>
    <w:rsid w:val="27D658C1"/>
    <w:rsid w:val="280F3E38"/>
    <w:rsid w:val="28114292"/>
    <w:rsid w:val="29726596"/>
    <w:rsid w:val="2C9B7034"/>
    <w:rsid w:val="2CE177BE"/>
    <w:rsid w:val="2D082213"/>
    <w:rsid w:val="2F205D55"/>
    <w:rsid w:val="305452AA"/>
    <w:rsid w:val="348A4271"/>
    <w:rsid w:val="352519F4"/>
    <w:rsid w:val="35B90A3F"/>
    <w:rsid w:val="37E3008F"/>
    <w:rsid w:val="383D29FD"/>
    <w:rsid w:val="385024BD"/>
    <w:rsid w:val="389C1317"/>
    <w:rsid w:val="397E0637"/>
    <w:rsid w:val="3A764A44"/>
    <w:rsid w:val="3B184B0A"/>
    <w:rsid w:val="3E1B0FF9"/>
    <w:rsid w:val="417F5732"/>
    <w:rsid w:val="436974D9"/>
    <w:rsid w:val="43A24FC5"/>
    <w:rsid w:val="43D96044"/>
    <w:rsid w:val="444C4ADE"/>
    <w:rsid w:val="456D5DA0"/>
    <w:rsid w:val="48FB4EF4"/>
    <w:rsid w:val="4A0B2CE5"/>
    <w:rsid w:val="4AE40CD4"/>
    <w:rsid w:val="4BE9435E"/>
    <w:rsid w:val="4D2C6476"/>
    <w:rsid w:val="4D7A5958"/>
    <w:rsid w:val="4FE76B0E"/>
    <w:rsid w:val="5040639F"/>
    <w:rsid w:val="519A3B78"/>
    <w:rsid w:val="54A902D3"/>
    <w:rsid w:val="5522002C"/>
    <w:rsid w:val="56234CF8"/>
    <w:rsid w:val="579E33E7"/>
    <w:rsid w:val="57AC68E4"/>
    <w:rsid w:val="589412E0"/>
    <w:rsid w:val="5AC73AC5"/>
    <w:rsid w:val="5ACB52BD"/>
    <w:rsid w:val="619E66B1"/>
    <w:rsid w:val="641E121C"/>
    <w:rsid w:val="64A54E26"/>
    <w:rsid w:val="666D259C"/>
    <w:rsid w:val="67D714FB"/>
    <w:rsid w:val="68F72FDE"/>
    <w:rsid w:val="6CCF47C3"/>
    <w:rsid w:val="6FE97D04"/>
    <w:rsid w:val="7061626B"/>
    <w:rsid w:val="70C74035"/>
    <w:rsid w:val="73107D0C"/>
    <w:rsid w:val="73BC401C"/>
    <w:rsid w:val="746C5D3C"/>
    <w:rsid w:val="77C213F2"/>
    <w:rsid w:val="7AA85841"/>
    <w:rsid w:val="7B2156D5"/>
    <w:rsid w:val="7B8A4582"/>
    <w:rsid w:val="7D195496"/>
    <w:rsid w:val="7DA91A64"/>
    <w:rsid w:val="7EE361C9"/>
    <w:rsid w:val="7F795FF4"/>
    <w:rsid w:val="7FDB19A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99"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semiHidden/>
    <w:qFormat/>
    <w:uiPriority w:val="99"/>
    <w:rPr>
      <w:rFonts w:ascii="Times New Roman" w:hAnsi="Times New Roman" w:cs="Times New Roman"/>
    </w:rPr>
  </w:style>
  <w:style w:type="paragraph" w:styleId="6">
    <w:name w:val="toc 2"/>
    <w:basedOn w:val="1"/>
    <w:next w:val="1"/>
    <w:semiHidden/>
    <w:qFormat/>
    <w:uiPriority w:val="99"/>
    <w:pPr>
      <w:ind w:left="420" w:leftChars="200"/>
    </w:pPr>
    <w:rPr>
      <w:rFonts w:ascii="Times New Roman" w:hAnsi="Times New Roman" w:cs="Times New Roman"/>
    </w:rPr>
  </w:style>
  <w:style w:type="character" w:customStyle="1" w:styleId="9">
    <w:name w:val="页眉 Char"/>
    <w:link w:val="4"/>
    <w:qFormat/>
    <w:locked/>
    <w:uiPriority w:val="99"/>
    <w:rPr>
      <w:rFonts w:ascii="Times New Roman" w:hAnsi="Times New Roman" w:eastAsia="宋体" w:cs="Times New Roman"/>
      <w:sz w:val="18"/>
      <w:szCs w:val="18"/>
    </w:rPr>
  </w:style>
  <w:style w:type="character" w:customStyle="1" w:styleId="10">
    <w:name w:val="页脚 Char"/>
    <w:link w:val="3"/>
    <w:qFormat/>
    <w:locked/>
    <w:uiPriority w:val="99"/>
    <w:rPr>
      <w:rFonts w:ascii="Times New Roman" w:hAnsi="Times New Roman" w:eastAsia="宋体" w:cs="Times New Roman"/>
      <w:sz w:val="18"/>
      <w:szCs w:val="18"/>
    </w:rPr>
  </w:style>
  <w:style w:type="character" w:customStyle="1" w:styleId="11">
    <w:name w:val="批注框文本 Char"/>
    <w:link w:val="2"/>
    <w:semiHidden/>
    <w:qFormat/>
    <w:locked/>
    <w:uiPriority w:val="99"/>
    <w:rPr>
      <w:sz w:val="18"/>
      <w:szCs w:val="18"/>
    </w:rPr>
  </w:style>
  <w:style w:type="paragraph" w:customStyle="1" w:styleId="12">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5051</Words>
  <Characters>1005</Characters>
  <Lines>8</Lines>
  <Paragraphs>12</Paragraphs>
  <TotalTime>10</TotalTime>
  <ScaleCrop>false</ScaleCrop>
  <LinksUpToDate>false</LinksUpToDate>
  <CharactersWithSpaces>6044</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2017-01-13T03:22:00Z</dcterms:created>
  <dc:creator>guest</dc:creator>
  <cp:lastModifiedBy>Administrator</cp:lastModifiedBy>
  <cp:lastPrinted>2019-02-18T09:19:00Z</cp:lastPrinted>
  <dcterms:modified xsi:type="dcterms:W3CDTF">2019-02-19T01:38:23Z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