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60" w:firstLineChars="200"/>
        <w:rPr>
          <w:rFonts w:ascii="Times New Roman" w:hAnsi="Times New Roman" w:eastAsia="黑体" w:cs="Times New Roman"/>
          <w:sz w:val="28"/>
          <w:szCs w:val="28"/>
        </w:rPr>
      </w:pPr>
    </w:p>
    <w:p>
      <w:pPr>
        <w:ind w:firstLine="720" w:firstLineChars="200"/>
        <w:jc w:val="center"/>
        <w:rPr>
          <w:rFonts w:ascii="Times New Roman" w:hAnsi="Times New Roman" w:eastAsia="方正小标宋_GBK" w:cs="Times New Roman"/>
          <w:sz w:val="36"/>
          <w:szCs w:val="36"/>
        </w:rPr>
      </w:pPr>
    </w:p>
    <w:p>
      <w:pPr>
        <w:ind w:firstLine="720" w:firstLineChars="200"/>
        <w:jc w:val="center"/>
        <w:rPr>
          <w:rFonts w:ascii="Times New Roman" w:hAnsi="Times New Roman" w:eastAsia="方正小标宋_GBK" w:cs="Times New Roman"/>
          <w:sz w:val="36"/>
          <w:szCs w:val="36"/>
        </w:rPr>
      </w:pPr>
    </w:p>
    <w:p>
      <w:pPr>
        <w:spacing w:line="1000" w:lineRule="exact"/>
        <w:jc w:val="center"/>
        <w:rPr>
          <w:rFonts w:ascii="宋体" w:hAnsi="宋体" w:cs="宋体"/>
          <w:b/>
          <w:bCs/>
          <w:w w:val="90"/>
          <w:sz w:val="84"/>
          <w:szCs w:val="84"/>
        </w:rPr>
      </w:pPr>
      <w:r>
        <w:rPr>
          <w:rFonts w:hint="eastAsia" w:ascii="宋体" w:hAnsi="宋体" w:cs="宋体"/>
          <w:b/>
          <w:bCs/>
          <w:w w:val="90"/>
          <w:sz w:val="84"/>
          <w:szCs w:val="84"/>
        </w:rPr>
        <w:t>滦县人大常委会</w:t>
      </w:r>
    </w:p>
    <w:p>
      <w:pPr>
        <w:spacing w:line="1000" w:lineRule="exact"/>
        <w:jc w:val="center"/>
        <w:rPr>
          <w:rFonts w:ascii="宋体" w:hAnsi="宋体" w:cs="宋体"/>
          <w:b/>
          <w:bCs/>
          <w:w w:val="90"/>
          <w:sz w:val="84"/>
          <w:szCs w:val="84"/>
        </w:rPr>
      </w:pPr>
      <w:r>
        <w:rPr>
          <w:rFonts w:hint="eastAsia" w:ascii="宋体" w:hAnsi="宋体" w:cs="宋体"/>
          <w:b/>
          <w:bCs/>
          <w:w w:val="90"/>
          <w:sz w:val="84"/>
          <w:szCs w:val="84"/>
        </w:rPr>
        <w:t>2017年度部门决算公开</w:t>
      </w:r>
    </w:p>
    <w:p>
      <w:pPr>
        <w:ind w:firstLine="720" w:firstLineChars="200"/>
        <w:jc w:val="center"/>
        <w:rPr>
          <w:rFonts w:ascii="Times New Roman" w:hAnsi="Times New Roman" w:eastAsia="方正小标宋_GBK" w:cs="Times New Roman"/>
          <w:sz w:val="36"/>
          <w:szCs w:val="36"/>
        </w:rPr>
      </w:pPr>
    </w:p>
    <w:p>
      <w:pPr>
        <w:spacing w:line="560" w:lineRule="exact"/>
        <w:ind w:firstLine="720" w:firstLineChars="200"/>
        <w:jc w:val="center"/>
        <w:rPr>
          <w:rFonts w:ascii="Times New Roman" w:hAnsi="Times New Roman" w:eastAsia="方正小标宋_GBK" w:cs="Times New Roman"/>
          <w:sz w:val="36"/>
          <w:szCs w:val="36"/>
        </w:rPr>
      </w:pPr>
    </w:p>
    <w:p>
      <w:pPr>
        <w:spacing w:line="560" w:lineRule="exact"/>
        <w:ind w:firstLine="720" w:firstLineChars="200"/>
        <w:jc w:val="center"/>
        <w:rPr>
          <w:rFonts w:ascii="Times New Roman" w:hAnsi="Times New Roman" w:eastAsia="方正小标宋_GBK" w:cs="Times New Roman"/>
          <w:sz w:val="36"/>
          <w:szCs w:val="36"/>
        </w:rPr>
      </w:pPr>
    </w:p>
    <w:p>
      <w:pPr>
        <w:spacing w:line="560" w:lineRule="exact"/>
        <w:ind w:firstLine="720" w:firstLineChars="200"/>
        <w:jc w:val="center"/>
        <w:rPr>
          <w:rFonts w:ascii="Times New Roman" w:hAnsi="Times New Roman" w:eastAsia="方正小标宋_GBK" w:cs="Times New Roman"/>
          <w:sz w:val="36"/>
          <w:szCs w:val="36"/>
        </w:rPr>
      </w:pPr>
    </w:p>
    <w:p>
      <w:pPr>
        <w:spacing w:line="560" w:lineRule="exact"/>
        <w:ind w:firstLine="720" w:firstLineChars="200"/>
        <w:jc w:val="center"/>
        <w:rPr>
          <w:rFonts w:ascii="Times New Roman" w:hAnsi="Times New Roman" w:eastAsia="方正小标宋_GBK" w:cs="Times New Roman"/>
          <w:sz w:val="36"/>
          <w:szCs w:val="36"/>
          <w:vertAlign w:val="subscript"/>
        </w:rPr>
      </w:pPr>
    </w:p>
    <w:p>
      <w:pPr>
        <w:spacing w:line="560" w:lineRule="exact"/>
        <w:ind w:firstLine="720" w:firstLineChars="200"/>
        <w:jc w:val="center"/>
        <w:rPr>
          <w:rFonts w:ascii="Times New Roman" w:hAnsi="Times New Roman" w:eastAsia="方正小标宋_GBK" w:cs="Times New Roman"/>
          <w:sz w:val="36"/>
          <w:szCs w:val="36"/>
        </w:rPr>
      </w:pPr>
    </w:p>
    <w:p>
      <w:pPr>
        <w:spacing w:line="560" w:lineRule="exact"/>
        <w:ind w:firstLine="1680" w:firstLineChars="200"/>
        <w:jc w:val="center"/>
        <w:rPr>
          <w:rFonts w:ascii="Times New Roman" w:hAnsi="Times New Roman" w:eastAsia="方正小标宋_GBK" w:cs="Times New Roman"/>
          <w:sz w:val="84"/>
          <w:szCs w:val="84"/>
        </w:rPr>
      </w:pPr>
    </w:p>
    <w:p>
      <w:pPr>
        <w:spacing w:line="560" w:lineRule="exact"/>
        <w:ind w:firstLine="1044" w:firstLineChars="200"/>
        <w:jc w:val="center"/>
        <w:rPr>
          <w:rFonts w:ascii="宋体" w:hAnsi="宋体" w:cs="宋体"/>
          <w:b/>
          <w:bCs/>
          <w:sz w:val="52"/>
          <w:szCs w:val="52"/>
        </w:rPr>
      </w:pPr>
    </w:p>
    <w:p>
      <w:pPr>
        <w:spacing w:line="560" w:lineRule="exact"/>
        <w:ind w:firstLine="1044" w:firstLineChars="200"/>
        <w:jc w:val="center"/>
        <w:rPr>
          <w:rFonts w:ascii="宋体" w:hAnsi="宋体" w:cs="宋体"/>
          <w:b/>
          <w:bCs/>
          <w:sz w:val="52"/>
          <w:szCs w:val="52"/>
        </w:rPr>
      </w:pPr>
    </w:p>
    <w:p>
      <w:pPr>
        <w:spacing w:line="560" w:lineRule="exact"/>
        <w:ind w:firstLine="1044" w:firstLineChars="200"/>
        <w:jc w:val="center"/>
        <w:rPr>
          <w:rFonts w:ascii="宋体" w:hAnsi="宋体" w:cs="宋体"/>
          <w:b/>
          <w:bCs/>
          <w:sz w:val="52"/>
          <w:szCs w:val="52"/>
        </w:rPr>
      </w:pPr>
    </w:p>
    <w:p>
      <w:pPr>
        <w:spacing w:line="560" w:lineRule="exact"/>
        <w:ind w:firstLine="1044" w:firstLineChars="200"/>
        <w:jc w:val="center"/>
        <w:rPr>
          <w:rFonts w:ascii="宋体" w:hAnsi="宋体" w:cs="宋体"/>
          <w:b/>
          <w:bCs/>
          <w:sz w:val="52"/>
          <w:szCs w:val="52"/>
        </w:rPr>
      </w:pPr>
    </w:p>
    <w:p>
      <w:pPr>
        <w:spacing w:line="560" w:lineRule="exact"/>
        <w:ind w:firstLine="1044" w:firstLineChars="200"/>
        <w:jc w:val="center"/>
        <w:rPr>
          <w:rFonts w:ascii="宋体" w:hAnsi="宋体" w:cs="宋体"/>
          <w:sz w:val="52"/>
          <w:szCs w:val="52"/>
        </w:rPr>
      </w:pPr>
      <w:r>
        <w:rPr>
          <w:rFonts w:hint="eastAsia" w:ascii="宋体" w:hAnsi="宋体" w:cs="宋体"/>
          <w:b/>
          <w:bCs/>
          <w:sz w:val="52"/>
          <w:szCs w:val="52"/>
        </w:rPr>
        <w:t>2018年6月</w:t>
      </w:r>
      <w:r>
        <w:rPr>
          <w:rFonts w:hint="eastAsia" w:ascii="宋体" w:hAnsi="宋体" w:cs="宋体"/>
          <w:b/>
          <w:bCs/>
          <w:sz w:val="52"/>
          <w:szCs w:val="52"/>
          <w:lang w:val="en-US" w:eastAsia="zh-CN"/>
        </w:rPr>
        <w:t>1</w:t>
      </w:r>
      <w:r>
        <w:rPr>
          <w:rFonts w:hint="eastAsia" w:ascii="宋体" w:hAnsi="宋体" w:cs="宋体"/>
          <w:b/>
          <w:bCs/>
          <w:sz w:val="52"/>
          <w:szCs w:val="52"/>
        </w:rPr>
        <w:t>8日</w:t>
      </w:r>
      <w:r>
        <w:rPr>
          <w:rFonts w:hint="eastAsia" w:ascii="宋体" w:hAnsi="宋体" w:cs="宋体"/>
          <w:sz w:val="52"/>
          <w:szCs w:val="52"/>
        </w:rPr>
        <w:br w:type="page"/>
      </w:r>
    </w:p>
    <w:p>
      <w:pPr>
        <w:spacing w:line="56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决算公开目录</w:t>
      </w:r>
    </w:p>
    <w:p>
      <w:pPr>
        <w:spacing w:line="560" w:lineRule="exact"/>
        <w:ind w:firstLine="420" w:firstLineChars="200"/>
        <w:rPr>
          <w:rFonts w:ascii="黑体" w:hAnsi="黑体" w:eastAsia="黑体"/>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第一部分   滦县人大概况</w:t>
      </w:r>
    </w:p>
    <w:p>
      <w:pPr>
        <w:numPr>
          <w:ilvl w:val="0"/>
          <w:numId w:val="1"/>
        </w:num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部门职责</w:t>
      </w:r>
    </w:p>
    <w:p>
      <w:pPr>
        <w:numPr>
          <w:ilvl w:val="0"/>
          <w:numId w:val="1"/>
        </w:num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机构设置</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滦县人大2017年度部门决算报表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收入决算表  </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财政拨款收入支出决算总表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一般公共预算财政拨款收入支出决算表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一般公共预算财政拨款基本支出决算经济分类表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政府性基金预算财政拨款收入支出决算表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国有资本经营预算财政拨款支出决算表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“三公”经费及相关信息统计表</w:t>
      </w:r>
    </w:p>
    <w:p>
      <w:pPr>
        <w:numPr>
          <w:ilvl w:val="0"/>
          <w:numId w:val="2"/>
        </w:numPr>
        <w:tabs>
          <w:tab w:val="left" w:pos="420"/>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政府采购情况表</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滦县人大2017年部门决算情况说明</w:t>
      </w:r>
    </w:p>
    <w:p>
      <w:pPr>
        <w:adjustRightInd w:val="0"/>
        <w:snapToGrid w:val="0"/>
        <w:spacing w:line="560" w:lineRule="exact"/>
        <w:ind w:left="641"/>
        <w:rPr>
          <w:rFonts w:ascii="仿宋_GB2312" w:eastAsia="仿宋_GB2312"/>
          <w:sz w:val="32"/>
          <w:szCs w:val="32"/>
        </w:rPr>
      </w:pPr>
      <w:r>
        <w:rPr>
          <w:rFonts w:hint="eastAsia" w:ascii="仿宋_GB2312" w:eastAsia="仿宋_GB2312"/>
          <w:sz w:val="32"/>
          <w:szCs w:val="32"/>
        </w:rPr>
        <w:t>一、预算绩效管理工作开展情况说明</w:t>
      </w:r>
    </w:p>
    <w:p>
      <w:pPr>
        <w:adjustRightInd w:val="0"/>
        <w:snapToGrid w:val="0"/>
        <w:spacing w:line="560" w:lineRule="exact"/>
        <w:ind w:left="641"/>
        <w:rPr>
          <w:rFonts w:ascii="仿宋_GB2312" w:eastAsia="仿宋_GB2312"/>
          <w:sz w:val="32"/>
          <w:szCs w:val="32"/>
        </w:rPr>
      </w:pPr>
      <w:r>
        <w:rPr>
          <w:rFonts w:hint="eastAsia" w:ascii="仿宋_GB2312" w:eastAsia="仿宋_GB2312"/>
          <w:sz w:val="32"/>
          <w:szCs w:val="32"/>
        </w:rPr>
        <w:t>二、政府采购情况的说明</w:t>
      </w:r>
    </w:p>
    <w:p>
      <w:pPr>
        <w:adjustRightInd w:val="0"/>
        <w:snapToGrid w:val="0"/>
        <w:spacing w:line="560" w:lineRule="exact"/>
        <w:ind w:left="641"/>
        <w:rPr>
          <w:rFonts w:ascii="仿宋_GB2312" w:eastAsia="仿宋_GB2312"/>
          <w:sz w:val="32"/>
          <w:szCs w:val="32"/>
        </w:rPr>
      </w:pPr>
      <w:r>
        <w:rPr>
          <w:rFonts w:hint="eastAsia" w:ascii="仿宋_GB2312" w:eastAsia="仿宋_GB2312"/>
          <w:sz w:val="32"/>
          <w:szCs w:val="32"/>
        </w:rPr>
        <w:t>三、国有资产信息</w:t>
      </w:r>
    </w:p>
    <w:p>
      <w:pPr>
        <w:numPr>
          <w:ilvl w:val="0"/>
          <w:numId w:val="3"/>
        </w:numPr>
        <w:adjustRightInd w:val="0"/>
        <w:snapToGrid w:val="0"/>
        <w:spacing w:line="560" w:lineRule="exact"/>
        <w:ind w:left="641"/>
        <w:rPr>
          <w:rFonts w:ascii="仿宋_GB2312" w:eastAsia="仿宋_GB2312"/>
          <w:sz w:val="32"/>
          <w:szCs w:val="32"/>
        </w:rPr>
      </w:pPr>
      <w:r>
        <w:rPr>
          <w:rFonts w:hint="eastAsia" w:ascii="仿宋_GB2312" w:eastAsia="仿宋_GB2312"/>
          <w:sz w:val="32"/>
          <w:szCs w:val="32"/>
        </w:rPr>
        <w:t>其他重要事项的情况说明</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ind w:firstLine="420" w:firstLineChars="200"/>
      </w:pPr>
    </w:p>
    <w:p>
      <w:pPr>
        <w:ind w:firstLine="420" w:firstLineChars="200"/>
      </w:pPr>
    </w:p>
    <w:p>
      <w:pPr>
        <w:ind w:firstLine="420" w:firstLineChars="200"/>
      </w:pPr>
    </w:p>
    <w:p>
      <w:pPr>
        <w:ind w:firstLine="420" w:firstLineChars="200"/>
      </w:pPr>
    </w:p>
    <w:p>
      <w:pPr>
        <w:adjustRightInd w:val="0"/>
        <w:snapToGrid w:val="0"/>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第一部分   滦县人大概况</w:t>
      </w:r>
    </w:p>
    <w:p>
      <w:pPr>
        <w:adjustRightInd w:val="0"/>
        <w:snapToGrid w:val="0"/>
        <w:spacing w:line="560" w:lineRule="exact"/>
        <w:ind w:firstLine="602" w:firstLineChars="200"/>
        <w:rPr>
          <w:rFonts w:ascii="仿宋_GB2312" w:hAnsi="黑体" w:eastAsia="仿宋_GB2312"/>
          <w:b/>
          <w:bCs/>
          <w:sz w:val="30"/>
          <w:szCs w:val="30"/>
        </w:rPr>
      </w:pPr>
    </w:p>
    <w:p>
      <w:pPr>
        <w:adjustRightInd w:val="0"/>
        <w:snapToGrid w:val="0"/>
        <w:spacing w:line="560" w:lineRule="exact"/>
        <w:ind w:firstLine="602" w:firstLineChars="200"/>
        <w:rPr>
          <w:rFonts w:ascii="仿宋_GB2312" w:hAnsi="黑体" w:eastAsia="仿宋_GB2312"/>
          <w:b/>
          <w:bCs/>
          <w:sz w:val="32"/>
          <w:szCs w:val="32"/>
        </w:rPr>
      </w:pPr>
      <w:r>
        <w:rPr>
          <w:rFonts w:hint="eastAsia" w:ascii="仿宋_GB2312" w:hAnsi="黑体" w:eastAsia="仿宋_GB2312"/>
          <w:b/>
          <w:bCs/>
          <w:sz w:val="30"/>
          <w:szCs w:val="30"/>
        </w:rPr>
        <w:t>一、部门职责</w:t>
      </w:r>
    </w:p>
    <w:p>
      <w:pPr>
        <w:ind w:firstLine="560"/>
        <w:rPr>
          <w:rFonts w:ascii="仿宋_GB2312" w:hAnsi="仿宋_GB2312" w:eastAsia="仿宋_GB2312" w:cs="仿宋_GB2312"/>
          <w:sz w:val="32"/>
          <w:szCs w:val="32"/>
        </w:rPr>
      </w:pPr>
      <w:r>
        <w:rPr>
          <w:rFonts w:hint="eastAsia" w:ascii="仿宋_GB2312" w:hAnsi="仿宋_GB2312" w:eastAsia="仿宋_GB2312" w:cs="仿宋_GB2312"/>
          <w:b/>
          <w:sz w:val="32"/>
          <w:szCs w:val="32"/>
        </w:rPr>
        <w:t>部门职责：</w:t>
      </w:r>
      <w:r>
        <w:rPr>
          <w:rFonts w:hint="eastAsia" w:ascii="仿宋_GB2312" w:hAnsi="仿宋_GB2312" w:eastAsia="仿宋_GB2312" w:cs="仿宋_GB2312"/>
          <w:sz w:val="32"/>
          <w:szCs w:val="32"/>
        </w:rPr>
        <w:t>进行调研和执法检查；围绕政府工作报告和“一府两院”专项工作报告涉及内容开展调查研究，开展专题询问和工作评议；对“一府两院”进行监督。组织专门委员会委员、各工作委员会及特聘专家对法律实施情况进行执法检查；组织县人大常委及县人大代表进行执法检查和集中视察；开展代表建议督办；组织对常委及代表培训。承担县人民代表大会和常务委员会各种会议的筹备、会务工作，负责常委会文件起草、审核把关，常委会会议、主任会议及常委会党组会议决定事项、工作部署、重要文件及领导批示的传达和督办。检查监督代表法、选举法及其实施办法的贯彻实施；承担人大换届选举及人事任免服务工作；负责对县政府组成人员和县级人民法院、县人民检察院主要负责人的目标责任书、述职报告的督办工作。承担县人大换届选举、县级国家机关领导人的选举和常委会人事任免的服务工作；指导乡人大换届选举工作；负责对县政府组成人员和县人民法院、县人民检察院主要负责人的目标责任书、述职报告的督办工作；对换届选举人员进行培训。</w:t>
      </w:r>
    </w:p>
    <w:p>
      <w:pPr>
        <w:adjustRightInd w:val="0"/>
        <w:snapToGrid w:val="0"/>
        <w:spacing w:line="560" w:lineRule="exact"/>
        <w:ind w:firstLine="602" w:firstLineChars="200"/>
        <w:rPr>
          <w:rFonts w:ascii="仿宋_GB2312" w:hAnsi="黑体" w:eastAsia="仿宋_GB2312"/>
          <w:b/>
          <w:bCs/>
          <w:sz w:val="30"/>
          <w:szCs w:val="30"/>
        </w:rPr>
      </w:pPr>
      <w:r>
        <w:rPr>
          <w:rFonts w:hint="eastAsia" w:ascii="仿宋_GB2312" w:hAnsi="黑体" w:eastAsia="仿宋_GB2312"/>
          <w:b/>
          <w:bCs/>
          <w:sz w:val="30"/>
          <w:szCs w:val="30"/>
        </w:rPr>
        <w:t>二、 机构设置</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滦县人大常委会设置一个办公室，四个工作委员会，分别是法制工作委员会、财政经济工作委员会，选举任免代表工作委员会，教育科技文化卫生工作委员会。</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办公室</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承担县人代会和常委会会议的筹备工作；负责常委会例行公文起草和审核把关，机关文书处理、档案管理、信印管理和保密工作。</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负责各项会议决定事项、工作部署、重要文件及领导批示的传达督办。</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承担县人大常委会重要报告、领导讲话和文件的起草，负责县人大常委会工作理论研讨、宣传信息工作的综合协调。</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负责机关人事劳资、机构编制管理和离退休人员的服务工作，负责机关财务、后勤服务和安全保卫工作。</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选举任免代表工作委员会</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依法制定、修改联系代表、人事任免工作的具体办法。</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负责与县人大代表及省、市人大代表的联络工作；收集、整理、督办县人大代表议案、建议、批评和意见。</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承担县人大换届选举、县级国家机关领导人选举和常委会人事任免的服务工作；指导镇人大换届选举工作。</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法制工作委员会</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承担常委会法制建设方面的执法检查、视察、评议、调查等活动的组织工作。</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负责联系相关部门，听取汇报，了解情况、进行调研，为主任会议、常委会议和代表大会提供调查报告及相关资料；并负责相关决定事项的督办落实工作。</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受理代表和人民群众对司法机关的申诉和意见，负责相关信访工作。</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教育科技文化卫生工作委员会</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承担常委会科技、教育、文化、卫生等方面的执法检查、视察、评议、调查等活动的组织工作。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、负责联系相关部门，听取汇报，了解情况、进行调研，为主任会议、常委会议和代表大会提供调查报告及相关资料；并负责相关决定事项的督办落实工作。</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财政经济工作委员会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、承担常委会财贸、经济等方面的执法检查、视察、评议、调查等活动的组织工作。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、负责联系相关部门，听取汇报，了解情况、进行调研，为主任会议、常委会议和代表大会提供调查报告及相关资料；并负责相关决定事项的督办落实工作。</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adjustRightInd w:val="0"/>
        <w:snapToGrid w:val="0"/>
        <w:spacing w:line="560" w:lineRule="exact"/>
        <w:ind w:firstLine="640" w:firstLineChars="200"/>
        <w:jc w:val="center"/>
        <w:rPr>
          <w:rFonts w:hint="eastAsia" w:ascii="黑体" w:hAnsi="黑体" w:eastAsia="黑体"/>
          <w:sz w:val="32"/>
          <w:szCs w:val="32"/>
        </w:rPr>
      </w:pPr>
    </w:p>
    <w:p>
      <w:pPr>
        <w:adjustRightInd w:val="0"/>
        <w:snapToGrid w:val="0"/>
        <w:spacing w:line="560" w:lineRule="exact"/>
        <w:ind w:firstLine="640" w:firstLineChars="200"/>
        <w:jc w:val="center"/>
        <w:rPr>
          <w:rFonts w:hint="eastAsia" w:ascii="黑体" w:hAnsi="黑体" w:eastAsia="黑体"/>
          <w:sz w:val="32"/>
          <w:szCs w:val="32"/>
        </w:rPr>
      </w:pPr>
    </w:p>
    <w:p>
      <w:pPr>
        <w:adjustRightInd w:val="0"/>
        <w:snapToGrid w:val="0"/>
        <w:spacing w:line="560" w:lineRule="exact"/>
        <w:ind w:firstLine="640" w:firstLineChars="200"/>
        <w:jc w:val="center"/>
        <w:rPr>
          <w:rFonts w:hint="eastAsia" w:ascii="黑体" w:hAnsi="黑体" w:eastAsia="黑体"/>
          <w:sz w:val="32"/>
          <w:szCs w:val="32"/>
        </w:rPr>
      </w:pPr>
    </w:p>
    <w:p>
      <w:pPr>
        <w:adjustRightInd w:val="0"/>
        <w:snapToGrid w:val="0"/>
        <w:spacing w:line="560" w:lineRule="exact"/>
        <w:ind w:firstLine="640" w:firstLineChars="200"/>
        <w:jc w:val="center"/>
        <w:rPr>
          <w:rFonts w:hint="eastAsia" w:ascii="黑体" w:hAnsi="黑体" w:eastAsia="黑体"/>
          <w:sz w:val="32"/>
          <w:szCs w:val="32"/>
        </w:rPr>
      </w:pPr>
    </w:p>
    <w:p>
      <w:pPr>
        <w:adjustRightInd w:val="0"/>
        <w:snapToGrid w:val="0"/>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20</w:t>
      </w:r>
      <w:r>
        <w:rPr>
          <w:rFonts w:hint="eastAsia" w:ascii="黑体" w:hAnsi="黑体" w:eastAsia="黑体"/>
          <w:sz w:val="32"/>
          <w:szCs w:val="32"/>
        </w:rPr>
        <w:t>17</w:t>
      </w:r>
      <w:r>
        <w:rPr>
          <w:rFonts w:ascii="黑体" w:hAnsi="黑体" w:eastAsia="黑体"/>
          <w:sz w:val="32"/>
          <w:szCs w:val="32"/>
        </w:rPr>
        <w:t>年度部门决算报表</w:t>
      </w:r>
    </w:p>
    <w:p>
      <w:pPr>
        <w:ind w:firstLine="420" w:firstLineChars="200"/>
      </w:pPr>
    </w:p>
    <w:p>
      <w:pPr>
        <w:ind w:firstLine="640" w:firstLineChars="200"/>
        <w:jc w:val="center"/>
        <w:rPr>
          <w:sz w:val="32"/>
          <w:szCs w:val="32"/>
        </w:rPr>
      </w:pPr>
      <w:r>
        <w:rPr>
          <w:rFonts w:hint="eastAsia"/>
          <w:sz w:val="32"/>
          <w:szCs w:val="32"/>
        </w:rPr>
        <w:t>（详情见附表）</w:t>
      </w:r>
    </w:p>
    <w:p>
      <w:pPr>
        <w:ind w:firstLine="640" w:firstLineChars="200"/>
        <w:rPr>
          <w:sz w:val="32"/>
          <w:szCs w:val="32"/>
        </w:rPr>
      </w:pPr>
    </w:p>
    <w:p>
      <w:pPr>
        <w:ind w:firstLine="640" w:firstLineChars="200"/>
        <w:rPr>
          <w:sz w:val="32"/>
          <w:szCs w:val="32"/>
        </w:rPr>
      </w:pPr>
    </w:p>
    <w:p>
      <w:pPr>
        <w:adjustRightInd w:val="0"/>
        <w:snapToGrid w:val="0"/>
        <w:spacing w:beforeLines="150" w:afterLines="150" w:line="6" w:lineRule="atLeast"/>
        <w:ind w:firstLine="640" w:firstLineChars="200"/>
        <w:jc w:val="center"/>
        <w:rPr>
          <w:rFonts w:ascii="黑体" w:hAnsi="黑体" w:eastAsia="黑体"/>
          <w:sz w:val="32"/>
          <w:szCs w:val="32"/>
        </w:rPr>
      </w:pPr>
      <w:r>
        <w:rPr>
          <w:rFonts w:hint="eastAsia" w:ascii="黑体" w:hAnsi="黑体" w:eastAsia="黑体"/>
          <w:sz w:val="32"/>
          <w:szCs w:val="32"/>
        </w:rPr>
        <w:br w:type="page"/>
      </w:r>
    </w:p>
    <w:p>
      <w:pPr>
        <w:adjustRightInd w:val="0"/>
        <w:snapToGrid w:val="0"/>
        <w:spacing w:beforeLines="150" w:afterLines="150" w:line="6" w:lineRule="atLeast"/>
        <w:ind w:firstLine="640" w:firstLineChars="200"/>
        <w:jc w:val="center"/>
        <w:rPr>
          <w:rFonts w:ascii="黑体" w:hAnsi="黑体" w:eastAsia="黑体"/>
          <w:sz w:val="32"/>
          <w:szCs w:val="32"/>
        </w:rPr>
      </w:pPr>
      <w:r>
        <w:rPr>
          <w:rFonts w:hint="eastAsia" w:ascii="黑体" w:hAnsi="黑体" w:eastAsia="黑体"/>
          <w:sz w:val="32"/>
          <w:szCs w:val="32"/>
        </w:rPr>
        <w:t>第三部分 滦县人大2017年部门决算情况说明</w:t>
      </w:r>
    </w:p>
    <w:p>
      <w:pPr>
        <w:ind w:firstLine="643" w:firstLineChars="200"/>
        <w:jc w:val="left"/>
        <w:rPr>
          <w:rFonts w:ascii="仿宋_GB2312" w:eastAsia="仿宋_GB2312"/>
          <w:b/>
          <w:bCs/>
          <w:sz w:val="32"/>
          <w:szCs w:val="32"/>
          <w:highlight w:val="red"/>
        </w:rPr>
      </w:pPr>
      <w:r>
        <w:rPr>
          <w:rFonts w:hint="eastAsia" w:ascii="仿宋" w:hAnsi="仿宋" w:eastAsia="仿宋" w:cs="仿宋"/>
          <w:b/>
          <w:bCs/>
          <w:sz w:val="32"/>
          <w:szCs w:val="32"/>
        </w:rPr>
        <w:t xml:space="preserve"> 一</w:t>
      </w:r>
      <w:r>
        <w:rPr>
          <w:rFonts w:hint="eastAsia" w:ascii="黑体" w:hAnsi="黑体" w:eastAsia="黑体"/>
          <w:sz w:val="32"/>
          <w:szCs w:val="32"/>
        </w:rPr>
        <w:t>、</w:t>
      </w:r>
      <w:r>
        <w:rPr>
          <w:rFonts w:hint="eastAsia" w:ascii="仿宋_GB2312" w:eastAsia="仿宋_GB2312"/>
          <w:b/>
          <w:bCs/>
          <w:sz w:val="32"/>
          <w:szCs w:val="32"/>
        </w:rPr>
        <w:t>绩效管理工作开展情况说明</w:t>
      </w:r>
    </w:p>
    <w:p>
      <w:pPr>
        <w:pStyle w:val="4"/>
        <w:spacing w:line="560" w:lineRule="exact"/>
        <w:ind w:firstLine="640" w:firstLineChars="200"/>
        <w:jc w:val="left"/>
        <w:rPr>
          <w:rFonts w:ascii="仿宋_GB2312" w:hAnsi="Calibri" w:eastAsia="仿宋_GB2312" w:cs="黑体"/>
          <w:b w:val="0"/>
          <w:bCs w:val="0"/>
          <w:kern w:val="2"/>
          <w:sz w:val="32"/>
          <w:szCs w:val="32"/>
        </w:rPr>
      </w:pPr>
      <w:r>
        <w:rPr>
          <w:rFonts w:hint="eastAsia" w:ascii="仿宋_GB2312" w:hAnsi="Calibri" w:eastAsia="仿宋_GB2312" w:cs="黑体"/>
          <w:b w:val="0"/>
          <w:bCs w:val="0"/>
          <w:kern w:val="2"/>
          <w:sz w:val="32"/>
          <w:szCs w:val="32"/>
        </w:rPr>
        <w:t>我部门认真按照</w:t>
      </w:r>
      <w:r>
        <w:rPr>
          <w:rFonts w:hint="eastAsia" w:ascii="仿宋_GB2312" w:hAnsi="Calibri" w:eastAsia="仿宋_GB2312" w:cs="黑体"/>
          <w:b w:val="0"/>
          <w:bCs w:val="0"/>
          <w:kern w:val="2"/>
          <w:sz w:val="32"/>
          <w:szCs w:val="32"/>
          <w:lang w:eastAsia="zh-CN"/>
        </w:rPr>
        <w:t>绩效管理</w:t>
      </w:r>
      <w:r>
        <w:rPr>
          <w:rFonts w:hint="eastAsia" w:ascii="仿宋_GB2312" w:hAnsi="Calibri" w:eastAsia="仿宋_GB2312" w:cs="黑体"/>
          <w:b w:val="0"/>
          <w:bCs w:val="0"/>
          <w:kern w:val="2"/>
          <w:sz w:val="32"/>
          <w:szCs w:val="32"/>
        </w:rPr>
        <w:t>评价标准，准确把握绩效评价的内容与方法，确保评价质量。在财政的具体指导下，按方案规定的步骤开展绩效管理工作。</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以党的十八届五中全会精神为指导，认真贯彻落实省、市委人大工作会议精神和县党代会精神，强化全方位监督一条主线，突出经济发展、民生改善两大重点，抓住重点项目推进、实事工程落实、代表建议办理三个关键，依法履职，大力推进社会主义民主法制和政治制度建设，为我县经济社会转型升级、实现新常态发展，为完成“十三五”规划目标提供有力保障。</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职责分类绩效目标：抓主抓重，更加有效地监督服务发展大局；履职尽责，更加扎实地加强民主法制建设；牢记宗旨，更加主动地关注民生改善；夯实基础，更加充分地发挥代表主体作用；务实创新，更加全面地加强自身建设。</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实现年度发展规划目标的保障措施：</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抓主抓重，更加有效地监督服务发展大局</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突出重点抓监督。听取审议上半年计划执行情况的报告，开展重点项目建设视察和园区经济建设情况专题调研，促进经济社会发展稳中求进。围绕难点抓监督。听取审议安全生产工作情况的报告，防治和减少安全生产事故，为经济社会健康发展提供强大的安全保障。聚焦热点抓监督。听取审议住建工作报告，推动城乡统筹发展和中等城市建设。把握要点抓监督。听取审议财政预算执行和审计报告，审查批准县本级决算、预算调整方案，加强部门预算审查监督，督促尽快启动建立全口径财政预算决算体系，推动财政预算管理科学化、精细化、透明化。</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履职尽责，更加扎实地加强民主法制建设</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督促政府及司法行政机关深入开展法治宣传活动，增强各级领导干部和执法人员依法决策、依法行政、依法办事的观念，引导群众崇尚法治、遵守法治、捍卫法治，为全县科学发展营造良好的法制环境。加强执法、司法工作监督。开展公安消防工作视察，提高全社会对《消防法》的认识，提高综合消防服务能力。视察调研看守所监管执法和社区矫正及安置帮教工作情况，倡导全社会树立信仰法律、敬畏法律、尊重法律的观念，形成崇尚法治的良好氛围。听取审议执行工作和反贪污贿赂工作情况的报告，促进提高执行和反贪污贿赂水平，推动公正司法和作风转变。加强规范性文件备案审查。进一步做好政府规范性文件备案审查工作，及时纠正审查发现的问题，从源头上规范行政行为。加强人大信访工作。继续加强涉法涉诉信访案件督办，做好信访信息梳理分析，努力化解信访积案，推动解决群众合理诉求。</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牢记宗旨，更加主动地关注民生改善</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突出对实事工程的全程关注。关注实事工程项目的选定和进展，推进政府提高实事工程的运作效果和群众满意度。关注教育发展。听取教师队伍长效机制建设情况报告，推动科学配置教育资源，满足教育持续健康发展需求。关注体育事业。听取审议开展全民健身工作情况报告，推动全民健身活动深入开展。关注卫生事业。听取民营医疗机构管理情况的报告，促进民营医疗机构依法规范执业，提高社会信誉度。关注食品安全。开展学校食品安全工作视察，保障师生身体健康。关注生态建设，听取环境保护工作情况的报告，推动加快发展方式转变，加强生活环境和生态环境保护。关注防震减灾。开展防震减灾“一法一条例”执法检查，规范和促进我县防震减灾工作，有效保护人民的生命财产安全。</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（四）夯实基础，更加充分地发挥代表主体作用</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加强代表履职培训。通过举办专题讲座、外出学习考察等形式，有计划地组织代表分行业开展培训，提高代表政治素质和履职能力。密切与代表、群众的联系。深入落实《关于开展双联双百活动实施意见》，健全网络平台，拓展联系和沟通渠道，加强常委会组成人员与代表、代表与选民的联系。推进代表列席常委会会议常态化，扩大代表对常委会工作的参与面，充分发挥代表作用。继续开展人大代表述职活动，增强代表为民履职意识。加大代表建议督办力度。改变代表建议交办形式，常委会将作为交办主体，确定交办时间，主持召开交办会议。坚持和强化领导领衔、联合督查、媒体跟踪、集中点评等行之有效的方式，创新推进现场督办、延伸督办、结果测评等新举措，提高代表建议办理实效。组织开展代表活动。指导镇人大主席团组织县、镇两级人大代表，集中开展评议基层所站和专题调研活动。邀请更多的代表参加常委会组织的视察、调研、执法检查等活动，实现代表参与的全覆盖，让代表更多地了解全县发展大局，参与经济社会建设。</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（五）务实创新，更加全面地加强自身建设</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加强思想建设，坚持人大工作正确的政治方向。深入学习贯彻落实党的十八届四中全会精神和习近平总书记系列重要讲话精神，并切实用以指导人大工作的实践，增强做好人大工作的责任感和使命感，在行使各项职权过程中积极体现党的主张和意图，保证依法治国基本方略的实施。加强作风建设，不断增强人大工作实效。进一步巩固和深化群众路线教育实践活动成果，改进“四风”，坚持“一线”标准、“一线”状态、“一线”作为和民主法制“一线”职责，不断增强学习思考的能力、依法履职的能力、群众工作的能力。加强制度建设，推进人大工作规范化和程序化。在履职过程中注重总结经验，摸索规律，坚持制度创新、方法创新，进一步完善常委会议事决策和机关工作制度，优化工作流程，发挥制度对人大工作的规范和引导作用，使人大工作有章可循，不断提升履职水平。</w:t>
      </w:r>
    </w:p>
    <w:p>
      <w:pPr>
        <w:numPr>
          <w:ilvl w:val="0"/>
          <w:numId w:val="8"/>
        </w:num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绩效评价结果。</w:t>
      </w:r>
    </w:p>
    <w:tbl>
      <w:tblPr>
        <w:tblStyle w:val="7"/>
        <w:tblW w:w="103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组织专门委员会委员、各工作委员会及特聘专家进行对法律实施情况进行执法检查；组织县人大常委及县人大代表进行执法检查和集中视察；开展代表建议督办；组织对常委及代表培训。</w:t>
            </w:r>
          </w:p>
        </w:tc>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发挥常委及代表的作用，集中反映民意，促进依法履职。</w:t>
            </w:r>
          </w:p>
        </w:tc>
        <w:tc>
          <w:tcPr>
            <w:tcW w:w="1417"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建议督办完成率</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70%</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sz w:val="18"/>
                <w:szCs w:val="18"/>
              </w:rPr>
              <w:t>执法检查任务完成率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70%</w:t>
            </w:r>
          </w:p>
        </w:tc>
        <w:tc>
          <w:tcPr>
            <w:tcW w:w="737" w:type="dxa"/>
            <w:vAlign w:val="center"/>
          </w:tcPr>
          <w:p>
            <w:pPr>
              <w:spacing w:line="300" w:lineRule="exact"/>
              <w:jc w:val="center"/>
              <w:rPr>
                <w:rFonts w:ascii="方正书宋_GBK" w:eastAsia="方正书宋_GBK"/>
              </w:rPr>
            </w:pPr>
            <w:r>
              <w:rPr>
                <w:rFonts w:ascii="方正书宋_GBK" w:eastAsia="方正书宋_GBK"/>
                <w:sz w:val="18"/>
                <w:szCs w:val="18"/>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承担县人民代表大会和常务委员会各种会议的筹备、会务工作，负责常委会文件起草、审核把关，常委会会议、主任会议及常委会党组会议决定事项、工作部署、重要文件及领导批示的传达和督办。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完善各项会议制度，规范会议程序，提高会议质量，提高人大代表及常委会审议水平。</w:t>
            </w:r>
          </w:p>
        </w:tc>
        <w:tc>
          <w:tcPr>
            <w:tcW w:w="1417"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会议筹备及会务工作的完成率</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100%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承担县人大换届选举、县级国家机关领导人的选举和常委会人事任免的服务工作；指导市、县、乡人大换届选举工作；负责对县政府组成人员和县高级人民法院、县人民检察院主要负责人的目标责任书、述职报告的督办工作；对换届选举人员进行培训。</w:t>
            </w:r>
          </w:p>
        </w:tc>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确保县人大和乡人大换届选举工作顺利完成，提高组织换届选举工作水平；高质量完成国家机关领导人选举和常委会人事任免服务工作；高效督办有关部门负责人的目标责任书和述职报告。</w:t>
            </w:r>
          </w:p>
        </w:tc>
        <w:tc>
          <w:tcPr>
            <w:tcW w:w="1417"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政治任务实现率</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100%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sz w:val="18"/>
                <w:szCs w:val="18"/>
              </w:rPr>
              <w:t>换届选举工作完成率</w:t>
            </w:r>
          </w:p>
        </w:tc>
        <w:tc>
          <w:tcPr>
            <w:tcW w:w="737" w:type="dxa"/>
            <w:vAlign w:val="center"/>
          </w:tcPr>
          <w:p>
            <w:pPr>
              <w:spacing w:line="300" w:lineRule="exact"/>
              <w:jc w:val="center"/>
              <w:rPr>
                <w:rFonts w:ascii="方正书宋_GBK" w:eastAsia="方正书宋_GBK"/>
              </w:rPr>
            </w:pPr>
            <w:r>
              <w:rPr>
                <w:rFonts w:ascii="方正书宋_GBK" w:eastAsia="方正书宋_GBK"/>
                <w:sz w:val="18"/>
                <w:szCs w:val="18"/>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办理来信来访，日常外事活动和县人大代表团出访事务，内外宾接待，常委会新闻发布和对外宣传，人大系列工作的宣传报道；会议表决系统建设与维护；代表大会和常委会会议公报、人大工作年鉴、大事记和组织史的编写及印刷；负责县内外人大常委会联系；重大课题调研。</w:t>
            </w:r>
          </w:p>
        </w:tc>
        <w:tc>
          <w:tcPr>
            <w:tcW w:w="2976" w:type="dxa"/>
            <w:vMerge w:val="restart"/>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保障新闻宣传与新闻发布工作正常开展，提高人大信息透明度和影响力；保障会议表决系统正常运转；网络与办公平台正常运行；促进社会和谐稳定。</w:t>
            </w:r>
          </w:p>
        </w:tc>
        <w:tc>
          <w:tcPr>
            <w:tcW w:w="1417"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表决系统完好率</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100%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3" w:hRule="atLeast"/>
          <w:jc w:val="center"/>
        </w:trPr>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tcBorders>
              <w:bottom w:val="single" w:color="auto" w:sz="4" w:space="0"/>
            </w:tcBorders>
            <w:vAlign w:val="center"/>
          </w:tcPr>
          <w:p>
            <w:pPr>
              <w:spacing w:line="300" w:lineRule="exact"/>
              <w:jc w:val="left"/>
              <w:rPr>
                <w:rFonts w:ascii="方正书宋_GBK" w:eastAsia="方正书宋_GBK"/>
              </w:rPr>
            </w:pPr>
            <w:r>
              <w:rPr>
                <w:rFonts w:hint="eastAsia" w:ascii="方正书宋_GBK" w:eastAsia="方正书宋_GBK"/>
                <w:sz w:val="18"/>
                <w:szCs w:val="18"/>
              </w:rPr>
              <w:t>会议表决系统建设与维护工作完成率</w:t>
            </w:r>
          </w:p>
        </w:tc>
        <w:tc>
          <w:tcPr>
            <w:tcW w:w="737"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100%</w:t>
            </w:r>
          </w:p>
        </w:tc>
        <w:tc>
          <w:tcPr>
            <w:tcW w:w="737"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95%</w:t>
            </w:r>
          </w:p>
        </w:tc>
        <w:tc>
          <w:tcPr>
            <w:tcW w:w="737"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90%</w:t>
            </w:r>
          </w:p>
        </w:tc>
        <w:tc>
          <w:tcPr>
            <w:tcW w:w="737" w:type="dxa"/>
            <w:tcBorders>
              <w:bottom w:val="single" w:color="auto" w:sz="4" w:space="0"/>
            </w:tcBorders>
            <w:vAlign w:val="center"/>
          </w:tcPr>
          <w:p>
            <w:pPr>
              <w:spacing w:line="300" w:lineRule="exact"/>
              <w:jc w:val="center"/>
              <w:rPr>
                <w:rFonts w:ascii="方正书宋_GBK" w:eastAsia="方正书宋_GBK"/>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tcBorders>
              <w:top w:val="single" w:color="auto" w:sz="4" w:space="0"/>
            </w:tcBorders>
            <w:vAlign w:val="center"/>
          </w:tcPr>
          <w:p>
            <w:pPr>
              <w:spacing w:line="300" w:lineRule="exact"/>
              <w:jc w:val="left"/>
              <w:rPr>
                <w:rFonts w:ascii="方正书宋_GBK" w:eastAsia="方正书宋_GBK"/>
              </w:rPr>
            </w:pPr>
            <w:r>
              <w:rPr>
                <w:rFonts w:hint="eastAsia" w:ascii="方正书宋_GBK" w:eastAsia="方正书宋_GBK"/>
                <w:sz w:val="18"/>
                <w:szCs w:val="18"/>
              </w:rPr>
              <w:t>综合业务管理工作完成率</w:t>
            </w:r>
          </w:p>
        </w:tc>
        <w:tc>
          <w:tcPr>
            <w:tcW w:w="737" w:type="dxa"/>
            <w:tcBorders>
              <w:top w:val="single" w:color="auto" w:sz="4" w:space="0"/>
            </w:tcBorders>
            <w:vAlign w:val="center"/>
          </w:tcPr>
          <w:p>
            <w:pPr>
              <w:spacing w:line="300" w:lineRule="exact"/>
              <w:jc w:val="center"/>
              <w:rPr>
                <w:rFonts w:ascii="方正书宋_GBK" w:eastAsia="方正书宋_GBK"/>
              </w:rPr>
            </w:pPr>
            <w:r>
              <w:rPr>
                <w:rFonts w:ascii="方正书宋_GBK" w:eastAsia="方正书宋_GBK"/>
                <w:sz w:val="18"/>
                <w:szCs w:val="18"/>
              </w:rPr>
              <w:t>100%</w:t>
            </w:r>
          </w:p>
        </w:tc>
        <w:tc>
          <w:tcPr>
            <w:tcW w:w="737" w:type="dxa"/>
            <w:tcBorders>
              <w:top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95%</w:t>
            </w:r>
          </w:p>
        </w:tc>
        <w:tc>
          <w:tcPr>
            <w:tcW w:w="737" w:type="dxa"/>
            <w:tcBorders>
              <w:top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sz w:val="18"/>
                <w:szCs w:val="18"/>
              </w:rPr>
              <w:t>≥</w:t>
            </w:r>
            <w:r>
              <w:rPr>
                <w:rFonts w:ascii="方正书宋_GBK" w:eastAsia="方正书宋_GBK"/>
                <w:sz w:val="18"/>
                <w:szCs w:val="18"/>
              </w:rPr>
              <w:t>90%</w:t>
            </w:r>
          </w:p>
        </w:tc>
        <w:tc>
          <w:tcPr>
            <w:tcW w:w="737" w:type="dxa"/>
            <w:tcBorders>
              <w:top w:val="single" w:color="auto" w:sz="4" w:space="0"/>
            </w:tcBorders>
            <w:vAlign w:val="center"/>
          </w:tcPr>
          <w:p>
            <w:pPr>
              <w:spacing w:line="300" w:lineRule="exact"/>
              <w:jc w:val="center"/>
              <w:rPr>
                <w:rFonts w:ascii="方正书宋_GBK" w:eastAsia="方正书宋_GBK"/>
              </w:rPr>
            </w:pPr>
            <w:r>
              <w:rPr>
                <w:rFonts w:ascii="方正书宋_GBK" w:eastAsia="方正书宋_GBK"/>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9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w:t>
            </w:r>
          </w:p>
        </w:tc>
        <w:tc>
          <w:tcPr>
            <w:tcW w:w="29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机关基础设施设备正常运转，信息化保障、老干部服务保障能力进一步提高。</w:t>
            </w:r>
          </w:p>
        </w:tc>
        <w:tc>
          <w:tcPr>
            <w:tcW w:w="1417"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综合事务管理工作完成率</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737" w:type="dxa"/>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73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&lt;90%</w:t>
            </w:r>
          </w:p>
        </w:tc>
      </w:tr>
    </w:tbl>
    <w:p>
      <w:pPr>
        <w:adjustRightInd w:val="0"/>
        <w:snapToGrid w:val="0"/>
        <w:spacing w:line="560" w:lineRule="exact"/>
        <w:ind w:left="-899" w:leftChars="-428" w:right="-540" w:rightChars="-257" w:firstLine="900" w:firstLineChars="320"/>
        <w:rPr>
          <w:rFonts w:ascii="仿宋_GB2312" w:eastAsia="仿宋_GB2312"/>
          <w:b/>
          <w:bCs/>
          <w:sz w:val="28"/>
          <w:szCs w:val="28"/>
        </w:rPr>
      </w:pPr>
    </w:p>
    <w:p>
      <w:pPr>
        <w:adjustRightInd w:val="0"/>
        <w:snapToGrid w:val="0"/>
        <w:spacing w:line="560" w:lineRule="exact"/>
        <w:ind w:firstLine="843" w:firstLineChars="300"/>
        <w:rPr>
          <w:rFonts w:ascii="仿宋_GB2312" w:eastAsia="仿宋_GB2312"/>
          <w:b/>
          <w:bCs/>
          <w:sz w:val="30"/>
          <w:szCs w:val="30"/>
        </w:rPr>
      </w:pPr>
      <w:r>
        <w:rPr>
          <w:rFonts w:hint="eastAsia" w:ascii="仿宋_GB2312" w:eastAsia="仿宋_GB2312"/>
          <w:b/>
          <w:bCs/>
          <w:sz w:val="28"/>
          <w:szCs w:val="28"/>
        </w:rPr>
        <w:t>二、</w:t>
      </w:r>
      <w:r>
        <w:rPr>
          <w:rFonts w:hint="eastAsia" w:ascii="仿宋_GB2312" w:eastAsia="仿宋_GB2312"/>
          <w:b/>
          <w:bCs/>
          <w:sz w:val="30"/>
          <w:szCs w:val="30"/>
        </w:rPr>
        <w:t>政府采购情况的说明</w:t>
      </w:r>
    </w:p>
    <w:p>
      <w:pPr>
        <w:spacing w:line="6" w:lineRule="atLeast"/>
        <w:ind w:firstLine="560" w:firstLineChars="200"/>
        <w:rPr>
          <w:rFonts w:ascii="仿宋_GB2312" w:eastAsia="仿宋_GB2312"/>
          <w:sz w:val="32"/>
          <w:szCs w:val="32"/>
        </w:rPr>
      </w:pPr>
      <w:r>
        <w:rPr>
          <w:rFonts w:hint="eastAsia" w:ascii="仿宋_GB2312" w:eastAsia="仿宋_GB2312"/>
          <w:sz w:val="28"/>
          <w:szCs w:val="28"/>
        </w:rPr>
        <w:t xml:space="preserve"> 201</w:t>
      </w:r>
      <w:r>
        <w:rPr>
          <w:rFonts w:hint="eastAsia" w:ascii="仿宋_GB2312" w:eastAsia="仿宋_GB2312"/>
          <w:sz w:val="28"/>
          <w:szCs w:val="28"/>
          <w:lang w:val="en-US" w:eastAsia="zh-CN"/>
        </w:rPr>
        <w:t>7</w:t>
      </w:r>
      <w:bookmarkStart w:id="0" w:name="_GoBack"/>
      <w:bookmarkEnd w:id="0"/>
      <w:r>
        <w:rPr>
          <w:rFonts w:hint="eastAsia" w:ascii="仿宋_GB2312" w:eastAsia="仿宋_GB2312"/>
          <w:sz w:val="28"/>
          <w:szCs w:val="28"/>
        </w:rPr>
        <w:t>年本部门政府采购支出总额19.7381万元，全部用于购买电脑、电子大屏、打印机、办公厅桌椅等。</w:t>
      </w:r>
    </w:p>
    <w:p>
      <w:pPr>
        <w:ind w:firstLine="602" w:firstLineChars="200"/>
        <w:rPr>
          <w:rFonts w:ascii="仿宋_GB2312" w:eastAsia="仿宋_GB2312"/>
          <w:b/>
          <w:bCs/>
          <w:sz w:val="30"/>
          <w:szCs w:val="30"/>
        </w:rPr>
      </w:pPr>
      <w:r>
        <w:rPr>
          <w:rFonts w:hint="eastAsia" w:ascii="仿宋_GB2312" w:eastAsia="仿宋_GB2312"/>
          <w:b/>
          <w:bCs/>
          <w:sz w:val="30"/>
          <w:szCs w:val="30"/>
        </w:rPr>
        <w:t xml:space="preserve">三、国有资产占用情况 </w:t>
      </w:r>
    </w:p>
    <w:p>
      <w:pPr>
        <w:adjustRightInd w:val="0"/>
        <w:snapToGrid w:val="0"/>
        <w:spacing w:line="560" w:lineRule="exact"/>
        <w:ind w:firstLine="560" w:firstLineChars="200"/>
        <w:rPr>
          <w:rFonts w:ascii="仿宋_GB2312" w:hAnsi="BatangChe" w:eastAsia="仿宋_GB2312"/>
          <w:sz w:val="28"/>
          <w:szCs w:val="28"/>
        </w:rPr>
      </w:pPr>
      <w:r>
        <w:rPr>
          <w:rFonts w:hint="eastAsia" w:ascii="仿宋_GB2312" w:hAnsi="BatangChe" w:eastAsia="仿宋_GB2312"/>
          <w:sz w:val="28"/>
          <w:szCs w:val="28"/>
        </w:rPr>
        <w:t>截至2017年12月31日，本部门共有车辆4辆，其中一般公务用车4辆。</w:t>
      </w:r>
    </w:p>
    <w:p>
      <w:pPr>
        <w:numPr>
          <w:ilvl w:val="0"/>
          <w:numId w:val="9"/>
        </w:numPr>
        <w:ind w:firstLine="602" w:firstLineChars="200"/>
        <w:rPr>
          <w:rFonts w:ascii="仿宋_GB2312" w:eastAsia="仿宋_GB2312"/>
          <w:b/>
          <w:bCs/>
          <w:sz w:val="30"/>
          <w:szCs w:val="30"/>
        </w:rPr>
      </w:pPr>
      <w:r>
        <w:rPr>
          <w:rFonts w:hint="eastAsia" w:ascii="仿宋_GB2312" w:eastAsia="仿宋_GB2312"/>
          <w:b/>
          <w:bCs/>
          <w:sz w:val="30"/>
          <w:szCs w:val="30"/>
        </w:rPr>
        <w:t>其他重要事项的情况说明</w:t>
      </w:r>
    </w:p>
    <w:p>
      <w:pPr>
        <w:adjustRightInd w:val="0"/>
        <w:snapToGrid w:val="0"/>
        <w:spacing w:line="560" w:lineRule="exact"/>
        <w:ind w:left="640" w:firstLine="602" w:firstLineChars="200"/>
        <w:jc w:val="left"/>
        <w:rPr>
          <w:rFonts w:ascii="仿宋_GB2312" w:eastAsia="仿宋_GB2312"/>
          <w:b/>
          <w:bCs/>
          <w:sz w:val="30"/>
          <w:szCs w:val="30"/>
        </w:rPr>
      </w:pPr>
      <w:r>
        <w:rPr>
          <w:rFonts w:hint="eastAsia" w:ascii="仿宋_GB2312" w:eastAsia="仿宋_GB2312"/>
          <w:b/>
          <w:bCs/>
          <w:sz w:val="30"/>
          <w:szCs w:val="30"/>
        </w:rPr>
        <w:t>（一）关于预算执行情况分析</w:t>
      </w:r>
    </w:p>
    <w:p>
      <w:pPr>
        <w:autoSpaceDN w:val="0"/>
        <w:ind w:firstLine="560" w:firstLineChars="200"/>
        <w:jc w:val="left"/>
        <w:rPr>
          <w:rFonts w:ascii="仿宋_GB2312" w:hAnsi="BatangChe" w:eastAsia="仿宋_GB2312"/>
          <w:sz w:val="28"/>
          <w:szCs w:val="28"/>
        </w:rPr>
      </w:pPr>
      <w:r>
        <w:rPr>
          <w:rFonts w:hint="eastAsia" w:ascii="仿宋_GB2312" w:hAnsi="BatangChe" w:eastAsia="仿宋_GB2312"/>
          <w:sz w:val="28"/>
          <w:szCs w:val="28"/>
        </w:rPr>
        <w:tab/>
      </w:r>
      <w:r>
        <w:rPr>
          <w:rFonts w:hint="eastAsia" w:ascii="仿宋_GB2312" w:hAnsi="BatangChe" w:eastAsia="仿宋_GB2312"/>
          <w:sz w:val="28"/>
          <w:szCs w:val="28"/>
        </w:rPr>
        <w:tab/>
      </w:r>
      <w:r>
        <w:rPr>
          <w:rFonts w:hint="eastAsia" w:ascii="仿宋_GB2312" w:hAnsi="BatangChe" w:eastAsia="仿宋_GB2312"/>
          <w:sz w:val="28"/>
          <w:szCs w:val="28"/>
        </w:rPr>
        <w:tab/>
      </w:r>
      <w:r>
        <w:rPr>
          <w:rFonts w:hint="eastAsia" w:ascii="仿宋_GB2312" w:hAnsi="BatangChe" w:eastAsia="仿宋_GB2312"/>
          <w:sz w:val="28"/>
          <w:szCs w:val="28"/>
        </w:rPr>
        <w:t>1</w:t>
      </w:r>
      <w:r>
        <w:rPr>
          <w:rFonts w:hint="eastAsia" w:ascii="仿宋" w:hAnsi="仿宋" w:eastAsia="仿宋"/>
          <w:sz w:val="28"/>
          <w:szCs w:val="28"/>
        </w:rPr>
        <w:t>、支出与预算对比分析</w:t>
      </w:r>
    </w:p>
    <w:p>
      <w:pPr>
        <w:ind w:firstLine="560" w:firstLineChars="200"/>
        <w:rPr>
          <w:rFonts w:ascii="仿宋_GB2312" w:hAnsi="BatangChe" w:eastAsia="仿宋_GB2312"/>
          <w:sz w:val="28"/>
          <w:szCs w:val="28"/>
        </w:rPr>
      </w:pPr>
    </w:p>
    <w:p>
      <w:pPr>
        <w:ind w:firstLine="560" w:firstLineChars="200"/>
        <w:rPr>
          <w:rFonts w:ascii="仿宋_GB2312" w:hAnsi="BatangChe" w:eastAsia="仿宋_GB2312"/>
          <w:sz w:val="28"/>
          <w:szCs w:val="28"/>
        </w:rPr>
      </w:pPr>
      <w:r>
        <w:rPr>
          <w:rFonts w:hint="eastAsia" w:ascii="仿宋_GB2312" w:hAnsi="BatangChe" w:eastAsia="仿宋_GB2312"/>
          <w:sz w:val="28"/>
          <w:szCs w:val="28"/>
        </w:rPr>
        <w:t xml:space="preserve">                                           单位： 万元                               </w:t>
      </w:r>
    </w:p>
    <w:tbl>
      <w:tblPr>
        <w:tblStyle w:val="7"/>
        <w:tblW w:w="8356" w:type="dxa"/>
        <w:tblInd w:w="0" w:type="dxa"/>
        <w:tblLayout w:type="fixed"/>
        <w:tblCellMar>
          <w:top w:w="0" w:type="dxa"/>
          <w:left w:w="108" w:type="dxa"/>
          <w:bottom w:w="0" w:type="dxa"/>
          <w:right w:w="108" w:type="dxa"/>
        </w:tblCellMar>
      </w:tblPr>
      <w:tblGrid>
        <w:gridCol w:w="1996"/>
        <w:gridCol w:w="1935"/>
        <w:gridCol w:w="2430"/>
        <w:gridCol w:w="1995"/>
      </w:tblGrid>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textAlignment w:val="center"/>
              <w:rPr>
                <w:rFonts w:ascii="宋体" w:hAnsi="宋体"/>
                <w:color w:val="000000"/>
                <w:sz w:val="22"/>
              </w:rPr>
            </w:pPr>
            <w:r>
              <w:rPr>
                <w:rFonts w:ascii="宋体" w:hAnsi="宋体"/>
                <w:color w:val="000000"/>
                <w:sz w:val="22"/>
              </w:rPr>
              <w:t>项目(按支出性质和经济分类)</w:t>
            </w:r>
          </w:p>
        </w:tc>
        <w:tc>
          <w:tcPr>
            <w:tcW w:w="1935" w:type="dxa"/>
            <w:tcBorders>
              <w:top w:val="single" w:color="000000" w:sz="4" w:space="0"/>
              <w:bottom w:val="single" w:color="000000" w:sz="4" w:space="0"/>
              <w:right w:val="single" w:color="000000" w:sz="4" w:space="0"/>
            </w:tcBorders>
            <w:vAlign w:val="center"/>
          </w:tcPr>
          <w:p>
            <w:pPr>
              <w:autoSpaceDN w:val="0"/>
              <w:textAlignment w:val="center"/>
              <w:rPr>
                <w:rFonts w:ascii="宋体" w:hAnsi="宋体"/>
                <w:color w:val="000000"/>
                <w:sz w:val="22"/>
              </w:rPr>
            </w:pPr>
            <w:r>
              <w:rPr>
                <w:rFonts w:ascii="宋体" w:hAnsi="宋体"/>
                <w:color w:val="000000"/>
                <w:sz w:val="22"/>
              </w:rPr>
              <w:t>年初预算数</w:t>
            </w:r>
          </w:p>
        </w:tc>
        <w:tc>
          <w:tcPr>
            <w:tcW w:w="2430" w:type="dxa"/>
            <w:tcBorders>
              <w:top w:val="single" w:color="000000" w:sz="4" w:space="0"/>
              <w:bottom w:val="single" w:color="000000" w:sz="4" w:space="0"/>
              <w:right w:val="single" w:color="000000" w:sz="4" w:space="0"/>
            </w:tcBorders>
            <w:vAlign w:val="center"/>
          </w:tcPr>
          <w:p>
            <w:pPr>
              <w:autoSpaceDN w:val="0"/>
              <w:textAlignment w:val="center"/>
              <w:rPr>
                <w:rFonts w:ascii="宋体" w:hAnsi="宋体"/>
                <w:color w:val="000000"/>
                <w:sz w:val="22"/>
              </w:rPr>
            </w:pPr>
            <w:r>
              <w:rPr>
                <w:rFonts w:ascii="宋体" w:hAnsi="宋体"/>
                <w:color w:val="000000"/>
                <w:sz w:val="22"/>
              </w:rPr>
              <w:t>调整预算数</w:t>
            </w:r>
          </w:p>
        </w:tc>
        <w:tc>
          <w:tcPr>
            <w:tcW w:w="1995" w:type="dxa"/>
            <w:tcBorders>
              <w:top w:val="single" w:color="000000" w:sz="4" w:space="0"/>
              <w:bottom w:val="single" w:color="000000" w:sz="4" w:space="0"/>
              <w:right w:val="single" w:color="000000" w:sz="8" w:space="0"/>
            </w:tcBorders>
            <w:vAlign w:val="center"/>
          </w:tcPr>
          <w:p>
            <w:pPr>
              <w:autoSpaceDN w:val="0"/>
              <w:textAlignment w:val="center"/>
              <w:rPr>
                <w:rFonts w:ascii="宋体" w:hAnsi="宋体"/>
                <w:color w:val="000000"/>
                <w:sz w:val="22"/>
              </w:rPr>
            </w:pPr>
            <w:r>
              <w:rPr>
                <w:rFonts w:ascii="宋体" w:hAnsi="宋体"/>
                <w:color w:val="000000"/>
                <w:sz w:val="22"/>
              </w:rPr>
              <w:t>决算数</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一、基本支出</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431.6</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492.17</w:t>
            </w:r>
          </w:p>
        </w:tc>
        <w:tc>
          <w:tcPr>
            <w:tcW w:w="1995" w:type="dxa"/>
            <w:tcBorders>
              <w:top w:val="single" w:color="000000" w:sz="4" w:space="0"/>
              <w:bottom w:val="single" w:color="000000" w:sz="4" w:space="0"/>
              <w:right w:val="single" w:color="000000" w:sz="8" w:space="0"/>
            </w:tcBorders>
            <w:vAlign w:val="center"/>
          </w:tcPr>
          <w:p>
            <w:pPr>
              <w:autoSpaceDN w:val="0"/>
              <w:ind w:right="330" w:firstLine="440" w:firstLineChars="200"/>
              <w:jc w:val="right"/>
              <w:textAlignment w:val="center"/>
              <w:rPr>
                <w:rFonts w:ascii="宋体" w:hAnsi="宋体"/>
                <w:color w:val="000000"/>
                <w:sz w:val="22"/>
              </w:rPr>
            </w:pPr>
            <w:r>
              <w:rPr>
                <w:rFonts w:hint="eastAsia" w:ascii="宋体" w:hAnsi="宋体"/>
                <w:color w:val="000000"/>
                <w:sz w:val="22"/>
              </w:rPr>
              <w:t>492.17</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人员经费</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214.89</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265.79</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265.79</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日常公用经费</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127.85</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226.38</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226.38</w:t>
            </w:r>
          </w:p>
        </w:tc>
      </w:tr>
      <w:tr>
        <w:tblPrEx>
          <w:tblLayout w:type="fixed"/>
          <w:tblCellMar>
            <w:top w:w="0" w:type="dxa"/>
            <w:left w:w="108" w:type="dxa"/>
            <w:bottom w:w="0" w:type="dxa"/>
            <w:right w:w="108" w:type="dxa"/>
          </w:tblCellMar>
        </w:tblPrEx>
        <w:trPr>
          <w:trHeight w:val="315" w:hRule="atLeast"/>
        </w:trPr>
        <w:tc>
          <w:tcPr>
            <w:tcW w:w="1996"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二、项目支出</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基本建设类项目</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行政事业类项目</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三、上缴上级支出</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center"/>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四、经营支出</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1996"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五、对附属单位补助支出</w:t>
            </w:r>
          </w:p>
        </w:tc>
        <w:tc>
          <w:tcPr>
            <w:tcW w:w="193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2430"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995" w:type="dxa"/>
            <w:tcBorders>
              <w:top w:val="single" w:color="000000" w:sz="4" w:space="0"/>
              <w:bottom w:val="single" w:color="000000" w:sz="4" w:space="0"/>
              <w:right w:val="single" w:color="000000" w:sz="8"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bl>
    <w:p>
      <w:pPr>
        <w:ind w:firstLine="560" w:firstLineChars="200"/>
        <w:rPr>
          <w:rFonts w:ascii="仿宋_GB2312" w:hAnsi="BatangChe" w:eastAsia="仿宋_GB2312"/>
          <w:sz w:val="28"/>
          <w:szCs w:val="28"/>
        </w:rPr>
      </w:pPr>
      <w:r>
        <w:rPr>
          <w:rFonts w:hint="eastAsia" w:ascii="仿宋_GB2312" w:hAnsi="BatangChe" w:eastAsia="仿宋_GB2312"/>
          <w:sz w:val="28"/>
          <w:szCs w:val="28"/>
        </w:rPr>
        <w:t>2017年总支出为492.17万元，基本支出为492.17万元，占总支出的100%,比2017年初预算增加60.57万元，主要原因是人员工资调整人员经费增加。</w:t>
      </w:r>
    </w:p>
    <w:p>
      <w:pPr>
        <w:rPr>
          <w:rFonts w:ascii="仿宋_GB2312" w:hAnsi="BatangChe" w:eastAsia="仿宋_GB2312"/>
          <w:sz w:val="28"/>
          <w:szCs w:val="28"/>
        </w:rPr>
      </w:pPr>
      <w:r>
        <w:rPr>
          <w:rFonts w:hint="eastAsia" w:ascii="仿宋_GB2312" w:hAnsi="BatangChe" w:eastAsia="仿宋_GB2312"/>
          <w:sz w:val="28"/>
          <w:szCs w:val="28"/>
        </w:rPr>
        <w:t xml:space="preserve"> 2、 收入支出结构分析                       </w:t>
      </w:r>
    </w:p>
    <w:tbl>
      <w:tblPr>
        <w:tblStyle w:val="7"/>
        <w:tblW w:w="7651" w:type="dxa"/>
        <w:tblInd w:w="0" w:type="dxa"/>
        <w:tblLayout w:type="fixed"/>
        <w:tblCellMar>
          <w:top w:w="0" w:type="dxa"/>
          <w:left w:w="108" w:type="dxa"/>
          <w:bottom w:w="0" w:type="dxa"/>
          <w:right w:w="108" w:type="dxa"/>
        </w:tblCellMar>
      </w:tblPr>
      <w:tblGrid>
        <w:gridCol w:w="2326"/>
        <w:gridCol w:w="1785"/>
        <w:gridCol w:w="1875"/>
        <w:gridCol w:w="1665"/>
      </w:tblGrid>
      <w:tr>
        <w:tblPrEx>
          <w:tblLayout w:type="fixed"/>
          <w:tblCellMar>
            <w:top w:w="0" w:type="dxa"/>
            <w:left w:w="108" w:type="dxa"/>
            <w:bottom w:w="0" w:type="dxa"/>
            <w:right w:w="108" w:type="dxa"/>
          </w:tblCellMar>
        </w:tblPrEx>
        <w:trPr>
          <w:trHeight w:val="312" w:hRule="atLeast"/>
        </w:trPr>
        <w:tc>
          <w:tcPr>
            <w:tcW w:w="2326" w:type="dxa"/>
            <w:vMerge w:val="restart"/>
            <w:tcBorders>
              <w:top w:val="single" w:color="000000" w:sz="8" w:space="0"/>
              <w:left w:val="single" w:color="000000" w:sz="8"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指    标</w:t>
            </w:r>
          </w:p>
        </w:tc>
        <w:tc>
          <w:tcPr>
            <w:tcW w:w="1785" w:type="dxa"/>
            <w:vMerge w:val="restart"/>
            <w:tcBorders>
              <w:top w:val="single" w:color="000000" w:sz="8"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本年度</w:t>
            </w:r>
          </w:p>
        </w:tc>
        <w:tc>
          <w:tcPr>
            <w:tcW w:w="1875" w:type="dxa"/>
            <w:vMerge w:val="restart"/>
            <w:tcBorders>
              <w:top w:val="single" w:color="000000" w:sz="8"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上年度</w:t>
            </w:r>
          </w:p>
        </w:tc>
        <w:tc>
          <w:tcPr>
            <w:tcW w:w="1665" w:type="dxa"/>
            <w:vMerge w:val="restart"/>
            <w:tcBorders>
              <w:top w:val="single" w:color="000000" w:sz="8"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比上年增减</w:t>
            </w:r>
          </w:p>
        </w:tc>
      </w:tr>
      <w:tr>
        <w:tblPrEx>
          <w:tblLayout w:type="fixed"/>
          <w:tblCellMar>
            <w:top w:w="0" w:type="dxa"/>
            <w:left w:w="108" w:type="dxa"/>
            <w:bottom w:w="0" w:type="dxa"/>
            <w:right w:w="108" w:type="dxa"/>
          </w:tblCellMar>
        </w:tblPrEx>
        <w:trPr>
          <w:trHeight w:val="312" w:hRule="atLeast"/>
        </w:trPr>
        <w:tc>
          <w:tcPr>
            <w:tcW w:w="2326" w:type="dxa"/>
            <w:vMerge w:val="continue"/>
            <w:tcBorders>
              <w:top w:val="single" w:color="000000" w:sz="8" w:space="0"/>
              <w:left w:val="single" w:color="000000" w:sz="8" w:space="0"/>
              <w:bottom w:val="single" w:color="000000" w:sz="4" w:space="0"/>
              <w:right w:val="single" w:color="000000" w:sz="4" w:space="0"/>
            </w:tcBorders>
            <w:vAlign w:val="center"/>
          </w:tcPr>
          <w:p>
            <w:pPr>
              <w:autoSpaceDN w:val="0"/>
              <w:ind w:firstLine="420" w:firstLineChars="200"/>
            </w:pPr>
          </w:p>
        </w:tc>
        <w:tc>
          <w:tcPr>
            <w:tcW w:w="1785" w:type="dxa"/>
            <w:vMerge w:val="continue"/>
            <w:tcBorders>
              <w:top w:val="single" w:color="000000" w:sz="8" w:space="0"/>
              <w:bottom w:val="single" w:color="000000" w:sz="4" w:space="0"/>
              <w:right w:val="single" w:color="000000" w:sz="4" w:space="0"/>
            </w:tcBorders>
            <w:vAlign w:val="center"/>
          </w:tcPr>
          <w:p>
            <w:pPr>
              <w:autoSpaceDN w:val="0"/>
              <w:ind w:firstLine="420" w:firstLineChars="200"/>
            </w:pPr>
          </w:p>
        </w:tc>
        <w:tc>
          <w:tcPr>
            <w:tcW w:w="1875" w:type="dxa"/>
            <w:vMerge w:val="continue"/>
            <w:tcBorders>
              <w:top w:val="single" w:color="000000" w:sz="8" w:space="0"/>
              <w:bottom w:val="single" w:color="000000" w:sz="4" w:space="0"/>
              <w:right w:val="single" w:color="000000" w:sz="4" w:space="0"/>
            </w:tcBorders>
            <w:vAlign w:val="center"/>
          </w:tcPr>
          <w:p>
            <w:pPr>
              <w:autoSpaceDN w:val="0"/>
              <w:ind w:firstLine="420" w:firstLineChars="200"/>
            </w:pPr>
          </w:p>
        </w:tc>
        <w:tc>
          <w:tcPr>
            <w:tcW w:w="1665" w:type="dxa"/>
            <w:vMerge w:val="continue"/>
            <w:tcBorders>
              <w:top w:val="single" w:color="000000" w:sz="8" w:space="0"/>
              <w:bottom w:val="single" w:color="000000" w:sz="4" w:space="0"/>
              <w:right w:val="single" w:color="000000" w:sz="4" w:space="0"/>
            </w:tcBorders>
            <w:vAlign w:val="center"/>
          </w:tcPr>
          <w:p>
            <w:pPr>
              <w:autoSpaceDN w:val="0"/>
              <w:ind w:firstLine="420" w:firstLineChars="200"/>
            </w:pP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一、年度收支情况（单位：</w:t>
            </w:r>
            <w:r>
              <w:rPr>
                <w:rFonts w:hint="eastAsia" w:ascii="宋体" w:hAnsi="宋体"/>
                <w:color w:val="000000"/>
                <w:sz w:val="22"/>
              </w:rPr>
              <w:t>万</w:t>
            </w:r>
            <w:r>
              <w:rPr>
                <w:rFonts w:ascii="宋体" w:hAnsi="宋体"/>
                <w:color w:val="000000"/>
                <w:sz w:val="22"/>
              </w:rPr>
              <w:t>元）</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center"/>
              <w:textAlignment w:val="center"/>
              <w:rPr>
                <w:rFonts w:ascii="宋体" w:hAnsi="宋体"/>
                <w:color w:val="000000"/>
                <w:sz w:val="22"/>
              </w:rPr>
            </w:pPr>
            <w:r>
              <w:rPr>
                <w:rFonts w:ascii="宋体" w:hAnsi="宋体"/>
                <w:color w:val="000000"/>
                <w:sz w:val="22"/>
              </w:rPr>
              <w:t>—</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1.本年收入</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492.17</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317.45</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174.72</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其中：一般公共预算财政拨款</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492.17</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317.45</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174.72</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政府性基金预算财政拨款</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*事业收入</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经营收入</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*其他收入</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 xml:space="preserve"> 2.本年支出</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492.17</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317.45</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174.72</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其中：基本支出</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textAlignment w:val="center"/>
              <w:rPr>
                <w:rFonts w:ascii="宋体" w:hAnsi="宋体"/>
                <w:color w:val="000000"/>
                <w:sz w:val="22"/>
              </w:rPr>
            </w:pPr>
            <w:r>
              <w:rPr>
                <w:rFonts w:hint="eastAsia" w:ascii="宋体" w:hAnsi="宋体"/>
                <w:color w:val="000000"/>
                <w:sz w:val="22"/>
              </w:rPr>
              <w:t xml:space="preserve">    492.17</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317.45</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174.72</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（1）人员经费</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265.79</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189.6</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76.19</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（2）日常公用经费</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226.38</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127.85</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98.53</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项目支出</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（1）基本建设类项目</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（2）行政事业类项目</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 xml:space="preserve"> 经营支出</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color w:val="000000"/>
                <w:sz w:val="22"/>
              </w:rPr>
            </w:pPr>
            <w:r>
              <w:rPr>
                <w:rFonts w:ascii="宋体" w:hAnsi="宋体"/>
                <w:color w:val="000000"/>
                <w:sz w:val="22"/>
              </w:rPr>
              <w:t>3.年末结转和结余</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其中：一般公共预算财政拨款</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r>
        <w:tblPrEx>
          <w:tblLayout w:type="fixed"/>
          <w:tblCellMar>
            <w:top w:w="0" w:type="dxa"/>
            <w:left w:w="108" w:type="dxa"/>
            <w:bottom w:w="0" w:type="dxa"/>
            <w:right w:w="108" w:type="dxa"/>
          </w:tblCellMar>
        </w:tblPrEx>
        <w:trPr>
          <w:trHeight w:val="300" w:hRule="atLeast"/>
        </w:trPr>
        <w:tc>
          <w:tcPr>
            <w:tcW w:w="2326" w:type="dxa"/>
            <w:tcBorders>
              <w:top w:val="single" w:color="000000" w:sz="4" w:space="0"/>
              <w:left w:val="single" w:color="000000" w:sz="8" w:space="0"/>
              <w:bottom w:val="single" w:color="000000" w:sz="4" w:space="0"/>
              <w:right w:val="single" w:color="000000" w:sz="4" w:space="0"/>
            </w:tcBorders>
            <w:vAlign w:val="center"/>
          </w:tcPr>
          <w:p>
            <w:pPr>
              <w:autoSpaceDN w:val="0"/>
              <w:ind w:firstLine="440" w:firstLineChars="200"/>
              <w:jc w:val="left"/>
              <w:textAlignment w:val="center"/>
              <w:rPr>
                <w:rFonts w:ascii="宋体" w:hAnsi="宋体"/>
                <w:color w:val="000000"/>
                <w:sz w:val="22"/>
              </w:rPr>
            </w:pPr>
            <w:r>
              <w:rPr>
                <w:rFonts w:ascii="宋体" w:hAnsi="宋体"/>
                <w:color w:val="000000"/>
                <w:sz w:val="22"/>
              </w:rPr>
              <w:t>政府性基金预算财政拨款</w:t>
            </w:r>
          </w:p>
        </w:tc>
        <w:tc>
          <w:tcPr>
            <w:tcW w:w="178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87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c>
          <w:tcPr>
            <w:tcW w:w="1665" w:type="dxa"/>
            <w:tcBorders>
              <w:top w:val="single" w:color="000000" w:sz="4" w:space="0"/>
              <w:bottom w:val="single" w:color="000000" w:sz="4" w:space="0"/>
              <w:right w:val="single" w:color="000000" w:sz="4" w:space="0"/>
            </w:tcBorders>
            <w:vAlign w:val="center"/>
          </w:tcPr>
          <w:p>
            <w:pPr>
              <w:autoSpaceDN w:val="0"/>
              <w:ind w:firstLine="440" w:firstLineChars="200"/>
              <w:jc w:val="right"/>
              <w:textAlignment w:val="center"/>
              <w:rPr>
                <w:rFonts w:ascii="宋体" w:hAnsi="宋体"/>
                <w:color w:val="000000"/>
                <w:sz w:val="22"/>
              </w:rPr>
            </w:pPr>
            <w:r>
              <w:rPr>
                <w:rFonts w:hint="eastAsia" w:ascii="宋体" w:hAnsi="宋体"/>
                <w:color w:val="000000"/>
                <w:sz w:val="22"/>
              </w:rPr>
              <w:t>0</w:t>
            </w:r>
          </w:p>
        </w:tc>
      </w:tr>
    </w:tbl>
    <w:p>
      <w:pPr>
        <w:ind w:firstLine="560" w:firstLineChars="200"/>
        <w:rPr>
          <w:rFonts w:ascii="仿宋_GB2312" w:hAnsi="BatangChe" w:eastAsia="仿宋_GB2312"/>
          <w:sz w:val="28"/>
          <w:szCs w:val="28"/>
        </w:rPr>
      </w:pPr>
      <w:r>
        <w:rPr>
          <w:rFonts w:hint="eastAsia" w:ascii="仿宋_GB2312" w:hAnsi="BatangChe" w:eastAsia="仿宋_GB2312"/>
          <w:sz w:val="28"/>
          <w:szCs w:val="28"/>
        </w:rPr>
        <w:t>2017年收入为492.17万元，比2016年决算收入增加174.72万元，主要原因是调整工资，换届选举；2017年决算支出492.17万元，其中基本支出492.17万元，占总支出的100%,比2016年决算支出增加174.72  万元，主要原因是调整工资，换届选举。比2017年预算增加60.57万元，主要原因是人员工资调整人员经费增加。</w:t>
      </w:r>
    </w:p>
    <w:p>
      <w:pPr>
        <w:adjustRightInd w:val="0"/>
        <w:snapToGrid w:val="0"/>
        <w:spacing w:line="560" w:lineRule="exact"/>
        <w:ind w:firstLine="602" w:firstLineChars="200"/>
        <w:rPr>
          <w:rFonts w:ascii="仿宋_GB2312" w:eastAsia="仿宋_GB2312"/>
          <w:b/>
          <w:bCs/>
          <w:sz w:val="32"/>
          <w:szCs w:val="32"/>
        </w:rPr>
      </w:pPr>
      <w:r>
        <w:rPr>
          <w:rFonts w:hint="eastAsia" w:ascii="仿宋_GB2312" w:eastAsia="仿宋_GB2312"/>
          <w:b/>
          <w:bCs/>
          <w:sz w:val="30"/>
          <w:szCs w:val="30"/>
        </w:rPr>
        <w:t>（二）机关运行经费的支出情况的说明</w:t>
      </w:r>
    </w:p>
    <w:p>
      <w:pPr>
        <w:adjustRightInd w:val="0"/>
        <w:snapToGrid w:val="0"/>
        <w:spacing w:line="560" w:lineRule="exact"/>
        <w:ind w:firstLine="560" w:firstLineChars="200"/>
        <w:rPr>
          <w:rFonts w:ascii="仿宋_GB2312" w:eastAsia="仿宋_GB2312"/>
          <w:b/>
          <w:bCs/>
          <w:sz w:val="30"/>
          <w:szCs w:val="30"/>
        </w:rPr>
      </w:pPr>
      <w:r>
        <w:rPr>
          <w:rFonts w:hint="eastAsia" w:ascii="仿宋_GB2312" w:hAnsi="BatangChe" w:eastAsia="仿宋_GB2312"/>
          <w:sz w:val="28"/>
          <w:szCs w:val="28"/>
        </w:rPr>
        <w:t>我部门基本支出492.17万元，其中人员经费265.79万元，占基本支出的54 %，日常公用经费226.38万元，占基本支出的46%。公用经费用于保障机关运行，其中：办公费29.64万元、印刷费14.91万元、邮电费5.05万元、差旅费10.98万元、会议费40万元、日常维修费14万元、一般设备购置费19.74万元、办公用房水电费2.26万元，公务接待费2.2万元，办公用房取暖费3.71万元、物业服务费10.11万元，公务用车运行维护费10万元。</w:t>
      </w:r>
    </w:p>
    <w:p>
      <w:pPr>
        <w:adjustRightInd w:val="0"/>
        <w:snapToGrid w:val="0"/>
        <w:spacing w:line="560" w:lineRule="exact"/>
        <w:ind w:firstLine="602" w:firstLineChars="200"/>
        <w:rPr>
          <w:rFonts w:ascii="仿宋_GB2312" w:hAnsi="BatangChe" w:eastAsia="仿宋_GB2312"/>
          <w:sz w:val="28"/>
          <w:szCs w:val="28"/>
        </w:rPr>
      </w:pPr>
      <w:r>
        <w:rPr>
          <w:rFonts w:hint="eastAsia" w:ascii="仿宋_GB2312" w:eastAsia="仿宋_GB2312"/>
          <w:b/>
          <w:bCs/>
          <w:sz w:val="30"/>
          <w:szCs w:val="30"/>
        </w:rPr>
        <w:t>（三）一般公共预算财政拨款“三公”经费支出决算情况说明</w:t>
      </w:r>
    </w:p>
    <w:p>
      <w:pPr>
        <w:ind w:firstLine="560" w:firstLineChars="200"/>
        <w:rPr>
          <w:rFonts w:ascii="仿宋_GB2312" w:eastAsia="仿宋_GB2312"/>
          <w:sz w:val="28"/>
          <w:szCs w:val="28"/>
        </w:rPr>
      </w:pPr>
      <w:r>
        <w:rPr>
          <w:rFonts w:hint="eastAsia" w:ascii="仿宋_GB2312" w:eastAsia="仿宋_GB2312"/>
          <w:sz w:val="28"/>
          <w:szCs w:val="28"/>
        </w:rPr>
        <w:t>我单位2017年“三公”经费决算12.2元，比2016预算</w:t>
      </w:r>
      <w:r>
        <w:rPr>
          <w:rFonts w:hint="eastAsia" w:ascii="仿宋_GB2312" w:eastAsia="仿宋_GB2312"/>
          <w:sz w:val="28"/>
          <w:szCs w:val="28"/>
          <w:lang w:eastAsia="zh-CN"/>
        </w:rPr>
        <w:t>无增减变化</w:t>
      </w:r>
      <w:r>
        <w:rPr>
          <w:rFonts w:hint="eastAsia" w:ascii="仿宋_GB2312" w:eastAsia="仿宋_GB2312"/>
          <w:sz w:val="28"/>
          <w:szCs w:val="28"/>
        </w:rPr>
        <w:t>，比2016年决算减少29.62元，其中：</w:t>
      </w:r>
    </w:p>
    <w:p>
      <w:pPr>
        <w:ind w:firstLine="560" w:firstLineChars="200"/>
        <w:rPr>
          <w:rFonts w:ascii="仿宋_GB2312" w:eastAsia="仿宋_GB2312"/>
          <w:sz w:val="28"/>
          <w:szCs w:val="28"/>
        </w:rPr>
      </w:pPr>
      <w:r>
        <w:rPr>
          <w:rFonts w:hint="eastAsia" w:ascii="仿宋_GB2312" w:eastAsia="仿宋_GB2312"/>
          <w:sz w:val="28"/>
          <w:szCs w:val="28"/>
        </w:rPr>
        <w:t>2017年公务接待费2.2万元，比2017年预算</w:t>
      </w:r>
      <w:r>
        <w:rPr>
          <w:rFonts w:hint="eastAsia" w:ascii="仿宋_GB2312" w:eastAsia="仿宋_GB2312"/>
          <w:sz w:val="28"/>
          <w:szCs w:val="28"/>
          <w:lang w:eastAsia="zh-CN"/>
        </w:rPr>
        <w:t>无增减变化</w:t>
      </w:r>
      <w:r>
        <w:rPr>
          <w:rFonts w:hint="eastAsia" w:ascii="仿宋_GB2312" w:eastAsia="仿宋_GB2312"/>
          <w:sz w:val="28"/>
          <w:szCs w:val="28"/>
        </w:rPr>
        <w:t>，原因是正常公务接待支出；比2016年</w:t>
      </w:r>
      <w:r>
        <w:rPr>
          <w:rFonts w:hint="eastAsia" w:ascii="仿宋_GB2312" w:eastAsia="仿宋_GB2312"/>
          <w:sz w:val="28"/>
          <w:szCs w:val="28"/>
          <w:lang w:eastAsia="zh-CN"/>
        </w:rPr>
        <w:t>决算无增减变化</w:t>
      </w:r>
      <w:r>
        <w:rPr>
          <w:rFonts w:hint="eastAsia" w:ascii="仿宋_GB2312" w:eastAsia="仿宋_GB2312"/>
          <w:sz w:val="28"/>
          <w:szCs w:val="28"/>
        </w:rPr>
        <w:t>。国内公务接待批次25次，共接待285人次。</w:t>
      </w:r>
    </w:p>
    <w:p>
      <w:pPr>
        <w:ind w:firstLine="560" w:firstLineChars="200"/>
        <w:rPr>
          <w:rFonts w:ascii="仿宋_GB2312" w:eastAsia="仿宋_GB2312"/>
          <w:sz w:val="28"/>
          <w:szCs w:val="28"/>
        </w:rPr>
      </w:pPr>
      <w:r>
        <w:rPr>
          <w:rFonts w:hint="eastAsia" w:ascii="仿宋_GB2312" w:eastAsia="仿宋_GB2312"/>
          <w:sz w:val="28"/>
          <w:szCs w:val="28"/>
        </w:rPr>
        <w:t>2017年公车保有量4辆。2017年公务用车运行维护费10万元，比2017年预算</w:t>
      </w:r>
      <w:r>
        <w:rPr>
          <w:rFonts w:hint="eastAsia" w:ascii="仿宋_GB2312" w:eastAsia="仿宋_GB2312"/>
          <w:sz w:val="28"/>
          <w:szCs w:val="28"/>
          <w:lang w:eastAsia="zh-CN"/>
        </w:rPr>
        <w:t>无增减变化</w:t>
      </w:r>
      <w:r>
        <w:rPr>
          <w:rFonts w:hint="eastAsia" w:ascii="仿宋_GB2312" w:eastAsia="仿宋_GB2312"/>
          <w:sz w:val="28"/>
          <w:szCs w:val="28"/>
        </w:rPr>
        <w:t>，原因是正常开支；比2016年决算减少29.62万元，原因是在上年度公车已做大修，本年度维修费用减少，本年度公务活动减少，严格执行实公车使用条例，节约开支。</w:t>
      </w:r>
    </w:p>
    <w:p>
      <w:pPr>
        <w:ind w:firstLine="560" w:firstLineChars="200"/>
        <w:rPr>
          <w:rFonts w:ascii="仿宋_GB2312" w:eastAsia="仿宋_GB2312"/>
          <w:sz w:val="28"/>
          <w:szCs w:val="28"/>
        </w:rPr>
      </w:pPr>
      <w:r>
        <w:rPr>
          <w:rFonts w:hint="eastAsia" w:ascii="仿宋_GB2312" w:eastAsia="仿宋_GB2312"/>
          <w:sz w:val="28"/>
          <w:szCs w:val="28"/>
        </w:rPr>
        <w:t>2017年公车购置费0元，比2017年预算</w:t>
      </w:r>
      <w:r>
        <w:rPr>
          <w:rFonts w:hint="eastAsia" w:ascii="仿宋_GB2312" w:eastAsia="仿宋_GB2312"/>
          <w:sz w:val="28"/>
          <w:szCs w:val="28"/>
          <w:lang w:eastAsia="zh-CN"/>
        </w:rPr>
        <w:t>无增减变化</w:t>
      </w:r>
      <w:r>
        <w:rPr>
          <w:rFonts w:hint="eastAsia" w:ascii="仿宋_GB2312" w:eastAsia="仿宋_GB2312"/>
          <w:sz w:val="28"/>
          <w:szCs w:val="28"/>
        </w:rPr>
        <w:t>，原因是没发生公车购置支出；比2016年决算</w:t>
      </w:r>
      <w:r>
        <w:rPr>
          <w:rFonts w:hint="eastAsia" w:ascii="仿宋_GB2312" w:eastAsia="仿宋_GB2312"/>
          <w:sz w:val="28"/>
          <w:szCs w:val="28"/>
          <w:lang w:eastAsia="zh-CN"/>
        </w:rPr>
        <w:t>无增减变化</w:t>
      </w:r>
      <w:r>
        <w:rPr>
          <w:rFonts w:hint="eastAsia" w:ascii="仿宋_GB2312" w:eastAsia="仿宋_GB2312"/>
          <w:sz w:val="28"/>
          <w:szCs w:val="28"/>
        </w:rPr>
        <w:t>，原因是没发生公车购置支出。2017年公车购置0辆。</w:t>
      </w:r>
    </w:p>
    <w:p>
      <w:pPr>
        <w:ind w:firstLine="560" w:firstLineChars="200"/>
        <w:rPr>
          <w:rFonts w:ascii="仿宋_GB2312" w:eastAsia="仿宋_GB2312"/>
          <w:sz w:val="28"/>
          <w:szCs w:val="28"/>
        </w:rPr>
      </w:pPr>
      <w:r>
        <w:rPr>
          <w:rFonts w:hint="eastAsia" w:ascii="仿宋_GB2312" w:eastAsia="仿宋_GB2312"/>
          <w:sz w:val="28"/>
          <w:szCs w:val="28"/>
        </w:rPr>
        <w:t>2017年因公出国（境）费0元，比2017年预算</w:t>
      </w:r>
      <w:r>
        <w:rPr>
          <w:rFonts w:hint="eastAsia" w:ascii="仿宋_GB2312" w:eastAsia="仿宋_GB2312"/>
          <w:sz w:val="28"/>
          <w:szCs w:val="28"/>
          <w:lang w:eastAsia="zh-CN"/>
        </w:rPr>
        <w:t>无增减变化</w:t>
      </w:r>
      <w:r>
        <w:rPr>
          <w:rFonts w:hint="eastAsia" w:ascii="仿宋_GB2312" w:eastAsia="仿宋_GB2312"/>
          <w:sz w:val="28"/>
          <w:szCs w:val="28"/>
        </w:rPr>
        <w:t>，原因是没发生因公出国（境）费支出；比2016年决算</w:t>
      </w:r>
      <w:r>
        <w:rPr>
          <w:rFonts w:hint="eastAsia" w:ascii="仿宋_GB2312" w:eastAsia="仿宋_GB2312"/>
          <w:sz w:val="28"/>
          <w:szCs w:val="28"/>
          <w:lang w:eastAsia="zh-CN"/>
        </w:rPr>
        <w:t>无增减变化</w:t>
      </w:r>
      <w:r>
        <w:rPr>
          <w:rFonts w:hint="eastAsia" w:ascii="仿宋_GB2312" w:eastAsia="仿宋_GB2312"/>
          <w:sz w:val="28"/>
          <w:szCs w:val="28"/>
        </w:rPr>
        <w:t>，原因是没发生因公出国（境）费支出。2017年没有组织因公出国，出国人数为0。</w:t>
      </w:r>
    </w:p>
    <w:p>
      <w:pPr>
        <w:ind w:firstLine="560" w:firstLineChars="200"/>
        <w:jc w:val="center"/>
        <w:rPr>
          <w:rFonts w:ascii="仿宋_GB2312" w:hAnsi="BatangChe" w:eastAsia="仿宋_GB2312"/>
          <w:sz w:val="28"/>
          <w:szCs w:val="28"/>
        </w:rPr>
      </w:pPr>
      <w:r>
        <w:rPr>
          <w:rFonts w:hint="eastAsia" w:ascii="仿宋_GB2312" w:hAnsi="BatangChe" w:eastAsia="仿宋_GB2312"/>
          <w:sz w:val="28"/>
          <w:szCs w:val="28"/>
        </w:rPr>
        <w:t>“三公”经费财政拨款支出情况表</w:t>
      </w:r>
    </w:p>
    <w:p>
      <w:pPr>
        <w:ind w:firstLine="420" w:firstLineChars="200"/>
        <w:rPr>
          <w:rFonts w:ascii="仿宋_GB2312" w:hAnsi="BatangChe" w:eastAsia="仿宋_GB2312"/>
          <w:szCs w:val="21"/>
        </w:rPr>
      </w:pPr>
      <w:r>
        <w:rPr>
          <w:rFonts w:hint="eastAsia" w:ascii="仿宋_GB2312" w:hAnsi="BatangChe" w:eastAsia="仿宋_GB2312"/>
          <w:szCs w:val="21"/>
        </w:rPr>
        <w:t xml:space="preserve"> 单位 ：万元</w:t>
      </w:r>
    </w:p>
    <w:tbl>
      <w:tblPr>
        <w:tblStyle w:val="7"/>
        <w:tblW w:w="7671" w:type="dxa"/>
        <w:jc w:val="center"/>
        <w:tblInd w:w="0" w:type="dxa"/>
        <w:tblLayout w:type="fixed"/>
        <w:tblCellMar>
          <w:top w:w="0" w:type="dxa"/>
          <w:left w:w="108" w:type="dxa"/>
          <w:bottom w:w="0" w:type="dxa"/>
          <w:right w:w="108" w:type="dxa"/>
        </w:tblCellMar>
      </w:tblPr>
      <w:tblGrid>
        <w:gridCol w:w="2321"/>
        <w:gridCol w:w="1275"/>
        <w:gridCol w:w="975"/>
        <w:gridCol w:w="1050"/>
        <w:gridCol w:w="2050"/>
      </w:tblGrid>
      <w:tr>
        <w:tblPrEx>
          <w:tblLayout w:type="fixed"/>
          <w:tblCellMar>
            <w:top w:w="0" w:type="dxa"/>
            <w:left w:w="108" w:type="dxa"/>
            <w:bottom w:w="0" w:type="dxa"/>
            <w:right w:w="108" w:type="dxa"/>
          </w:tblCellMar>
        </w:tblPrEx>
        <w:trPr>
          <w:trHeight w:val="855" w:hRule="atLeast"/>
          <w:jc w:val="center"/>
        </w:trPr>
        <w:tc>
          <w:tcPr>
            <w:tcW w:w="2321" w:type="dxa"/>
            <w:tcBorders>
              <w:top w:val="single" w:color="auto" w:sz="4" w:space="0"/>
              <w:left w:val="single" w:color="auto" w:sz="4" w:space="0"/>
              <w:bottom w:val="single" w:color="auto" w:sz="4" w:space="0"/>
              <w:right w:val="single" w:color="auto" w:sz="4" w:space="0"/>
            </w:tcBorders>
            <w:vAlign w:val="center"/>
          </w:tcPr>
          <w:p>
            <w:pPr>
              <w:autoSpaceDN w:val="0"/>
              <w:ind w:firstLine="482" w:firstLineChars="200"/>
              <w:jc w:val="center"/>
              <w:textAlignment w:val="center"/>
              <w:rPr>
                <w:rFonts w:ascii="仿宋" w:hAnsi="仿宋" w:eastAsia="仿宋" w:cs="仿宋"/>
                <w:b/>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预算数</w:t>
            </w:r>
          </w:p>
        </w:tc>
        <w:tc>
          <w:tcPr>
            <w:tcW w:w="97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2017年支出数</w:t>
            </w:r>
          </w:p>
        </w:tc>
        <w:tc>
          <w:tcPr>
            <w:tcW w:w="1050"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2016年支出数</w:t>
            </w:r>
          </w:p>
        </w:tc>
        <w:tc>
          <w:tcPr>
            <w:tcW w:w="2050"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2017与2016年决算增减变化</w:t>
            </w:r>
          </w:p>
        </w:tc>
      </w:tr>
      <w:tr>
        <w:tblPrEx>
          <w:tblLayout w:type="fixed"/>
          <w:tblCellMar>
            <w:top w:w="0" w:type="dxa"/>
            <w:left w:w="108" w:type="dxa"/>
            <w:bottom w:w="0" w:type="dxa"/>
            <w:right w:w="108" w:type="dxa"/>
          </w:tblCellMar>
        </w:tblPrEx>
        <w:trPr>
          <w:trHeight w:val="510" w:hRule="atLeast"/>
          <w:jc w:val="center"/>
        </w:trPr>
        <w:tc>
          <w:tcPr>
            <w:tcW w:w="2321" w:type="dxa"/>
            <w:tcBorders>
              <w:top w:val="single" w:color="auto"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因公出国（境）费</w:t>
            </w:r>
          </w:p>
        </w:tc>
        <w:tc>
          <w:tcPr>
            <w:tcW w:w="1275" w:type="dxa"/>
            <w:tcBorders>
              <w:top w:val="single" w:color="auto"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975" w:type="dxa"/>
            <w:tcBorders>
              <w:top w:val="single" w:color="auto"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1050" w:type="dxa"/>
            <w:tcBorders>
              <w:top w:val="single" w:color="auto"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2050" w:type="dxa"/>
            <w:tcBorders>
              <w:top w:val="single" w:color="auto"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Layout w:type="fixed"/>
          <w:tblCellMar>
            <w:top w:w="0" w:type="dxa"/>
            <w:left w:w="108" w:type="dxa"/>
            <w:bottom w:w="0" w:type="dxa"/>
            <w:right w:w="108" w:type="dxa"/>
          </w:tblCellMar>
        </w:tblPrEx>
        <w:trPr>
          <w:trHeight w:val="510"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公务用车运行维护费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color w:val="000000"/>
                <w:sz w:val="24"/>
                <w:szCs w:val="24"/>
              </w:rPr>
            </w:pPr>
            <w:r>
              <w:rPr>
                <w:rFonts w:hint="eastAsia" w:ascii="仿宋" w:hAnsi="仿宋" w:eastAsia="仿宋" w:cs="仿宋"/>
                <w:color w:val="000000"/>
                <w:sz w:val="24"/>
                <w:szCs w:val="24"/>
              </w:rPr>
              <w:t>39.62</w:t>
            </w:r>
          </w:p>
        </w:tc>
        <w:tc>
          <w:tcPr>
            <w:tcW w:w="2050" w:type="dxa"/>
            <w:tcBorders>
              <w:top w:val="single" w:color="000000" w:sz="4" w:space="0"/>
              <w:left w:val="single" w:color="000000" w:sz="4" w:space="0"/>
              <w:bottom w:val="single" w:color="000000" w:sz="4" w:space="0"/>
              <w:right w:val="single" w:color="000000" w:sz="4" w:space="0"/>
            </w:tcBorders>
            <w:vAlign w:val="center"/>
          </w:tcPr>
          <w:p>
            <w:pPr>
              <w:autoSpaceDN w:val="0"/>
              <w:ind w:firstLine="960" w:firstLineChars="400"/>
              <w:textAlignment w:val="center"/>
              <w:rPr>
                <w:rFonts w:ascii="仿宋" w:hAnsi="仿宋" w:eastAsia="仿宋" w:cs="仿宋"/>
                <w:color w:val="000000"/>
                <w:sz w:val="24"/>
                <w:szCs w:val="24"/>
              </w:rPr>
            </w:pPr>
            <w:r>
              <w:rPr>
                <w:rFonts w:hint="eastAsia" w:ascii="仿宋" w:hAnsi="仿宋" w:eastAsia="仿宋" w:cs="仿宋"/>
                <w:color w:val="000000"/>
                <w:sz w:val="24"/>
                <w:szCs w:val="24"/>
              </w:rPr>
              <w:t>-29.62</w:t>
            </w:r>
          </w:p>
        </w:tc>
      </w:tr>
      <w:tr>
        <w:tblPrEx>
          <w:tblLayout w:type="fixed"/>
          <w:tblCellMar>
            <w:top w:w="0" w:type="dxa"/>
            <w:left w:w="108" w:type="dxa"/>
            <w:bottom w:w="0" w:type="dxa"/>
            <w:right w:w="108" w:type="dxa"/>
          </w:tblCellMar>
        </w:tblPrEx>
        <w:trPr>
          <w:trHeight w:val="285"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公车购置费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2050"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Layout w:type="fixed"/>
          <w:tblCellMar>
            <w:top w:w="0" w:type="dxa"/>
            <w:left w:w="108" w:type="dxa"/>
            <w:bottom w:w="0" w:type="dxa"/>
            <w:right w:w="108" w:type="dxa"/>
          </w:tblCellMar>
        </w:tblPrEx>
        <w:trPr>
          <w:trHeight w:val="285"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公务接待费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2050" w:type="dxa"/>
            <w:tcBorders>
              <w:top w:val="single" w:color="000000" w:sz="4" w:space="0"/>
              <w:left w:val="single" w:color="000000" w:sz="4" w:space="0"/>
              <w:bottom w:val="single" w:color="000000" w:sz="4" w:space="0"/>
              <w:right w:val="single" w:color="000000" w:sz="4" w:space="0"/>
            </w:tcBorders>
            <w:vAlign w:val="center"/>
          </w:tcPr>
          <w:p>
            <w:pPr>
              <w:autoSpaceDN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bl>
    <w:p>
      <w:pPr>
        <w:spacing w:beforeLines="150" w:afterLines="150" w:line="560" w:lineRule="exact"/>
        <w:ind w:firstLine="640" w:firstLineChars="200"/>
        <w:jc w:val="center"/>
        <w:rPr>
          <w:rFonts w:ascii="黑体" w:hAnsi="宋体" w:eastAsia="黑体"/>
          <w:sz w:val="32"/>
          <w:szCs w:val="32"/>
        </w:rPr>
      </w:pPr>
      <w:r>
        <w:rPr>
          <w:rFonts w:hint="eastAsia" w:ascii="黑体" w:hAnsi="宋体" w:eastAsia="黑体"/>
          <w:sz w:val="32"/>
          <w:szCs w:val="32"/>
        </w:rPr>
        <w:t>第四部分 名词解释</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一、财政拨款收入：</w:t>
      </w:r>
      <w:r>
        <w:rPr>
          <w:rFonts w:hint="eastAsia" w:ascii="仿宋_GB2312" w:hAnsi="仿宋_GB2312" w:eastAsia="仿宋_GB2312"/>
          <w:sz w:val="28"/>
          <w:szCs w:val="28"/>
        </w:rPr>
        <w:t>指中央或省、市、县财政当年拨付的资金，包含一般公共预算财政拨款和政府性基金预算财政拨款。</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二、上级补助收入：</w:t>
      </w:r>
      <w:r>
        <w:rPr>
          <w:rFonts w:hint="eastAsia" w:ascii="仿宋_GB2312" w:hAnsi="仿宋_GB2312" w:eastAsia="仿宋_GB2312"/>
          <w:sz w:val="28"/>
          <w:szCs w:val="28"/>
        </w:rPr>
        <w:t>事业单位从主管部门和上级单位取得的非</w:t>
      </w:r>
      <w:r>
        <w:fldChar w:fldCharType="begin"/>
      </w:r>
      <w:r>
        <w:instrText xml:space="preserve"> HYPERLINK "http://baike.baidu.com/view/435699.htm" \t "http://baike.baidu.com/_blank" </w:instrText>
      </w:r>
      <w:r>
        <w:fldChar w:fldCharType="separate"/>
      </w:r>
      <w:r>
        <w:rPr>
          <w:rFonts w:hint="eastAsia" w:ascii="仿宋_GB2312" w:hAnsi="仿宋_GB2312" w:eastAsia="仿宋_GB2312"/>
          <w:sz w:val="28"/>
          <w:szCs w:val="28"/>
        </w:rPr>
        <w:t>财政补助收入</w:t>
      </w:r>
      <w:r>
        <w:rPr>
          <w:rFonts w:hint="eastAsia" w:ascii="仿宋_GB2312" w:hAnsi="仿宋_GB2312" w:eastAsia="仿宋_GB2312"/>
          <w:sz w:val="28"/>
          <w:szCs w:val="28"/>
        </w:rPr>
        <w:fldChar w:fldCharType="end"/>
      </w:r>
      <w:r>
        <w:rPr>
          <w:rFonts w:hint="eastAsia" w:ascii="仿宋_GB2312" w:hAnsi="仿宋_GB2312" w:eastAsia="仿宋_GB2312"/>
          <w:sz w:val="28"/>
          <w:szCs w:val="28"/>
        </w:rPr>
        <w:t>。</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三、事业收入：</w:t>
      </w:r>
      <w:r>
        <w:rPr>
          <w:rFonts w:hint="eastAsia" w:ascii="仿宋_GB2312" w:hAnsi="仿宋_GB2312" w:eastAsia="仿宋_GB2312"/>
          <w:sz w:val="28"/>
          <w:szCs w:val="28"/>
        </w:rPr>
        <w:t>指事业单位开展专业业务活动及辅助活动所取得的收入。</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四、经营收入：</w:t>
      </w:r>
      <w:r>
        <w:rPr>
          <w:rFonts w:hint="eastAsia" w:ascii="仿宋_GB2312" w:hAnsi="仿宋_GB2312" w:eastAsia="仿宋_GB2312"/>
          <w:sz w:val="28"/>
          <w:szCs w:val="28"/>
        </w:rPr>
        <w:t>指事业单位在专业业务活动及其辅助活动之外开展非独立核算经营活动取得的收入。</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五、其他收入：</w:t>
      </w:r>
      <w:r>
        <w:rPr>
          <w:rFonts w:hint="eastAsia" w:ascii="仿宋_GB2312" w:hAnsi="仿宋_GB2312" w:eastAsia="仿宋_GB2312"/>
          <w:sz w:val="28"/>
          <w:szCs w:val="28"/>
        </w:rPr>
        <w:t>指除上述“财政拨款收入”、“事业收入”、“经营收入”等以外的收入。主要是存款利息收入等。</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六、用事业基金弥补收支差额：</w:t>
      </w:r>
      <w:r>
        <w:rPr>
          <w:rFonts w:hint="eastAsia" w:ascii="仿宋_GB2312" w:hAnsi="仿宋_GB2312" w:eastAsia="仿宋_GB2312"/>
          <w:sz w:val="28"/>
          <w:szCs w:val="28"/>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七、年初结转和结余：</w:t>
      </w:r>
      <w:r>
        <w:rPr>
          <w:rFonts w:hint="eastAsia" w:ascii="仿宋_GB2312" w:hAnsi="仿宋_GB2312" w:eastAsia="仿宋_GB2312"/>
          <w:sz w:val="28"/>
          <w:szCs w:val="28"/>
        </w:rPr>
        <w:t>指以前年度尚未完成、结转到本年按有关规定继续使用的资金。</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八、年末结转和结余：</w:t>
      </w:r>
      <w:r>
        <w:rPr>
          <w:rFonts w:hint="eastAsia" w:ascii="仿宋_GB2312" w:hAnsi="仿宋_GB2312" w:eastAsia="仿宋_GB2312"/>
          <w:sz w:val="28"/>
          <w:szCs w:val="28"/>
        </w:rPr>
        <w:t>指本年度或以前年度预算安排、因客观条件发生变化无法按原计划实施，需要延迟到以后年度按有关规定继续使用的资金。</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九、基本支出：</w:t>
      </w:r>
      <w:r>
        <w:rPr>
          <w:rFonts w:hint="eastAsia" w:ascii="仿宋_GB2312" w:hAnsi="仿宋_GB2312" w:eastAsia="仿宋_GB2312"/>
          <w:sz w:val="28"/>
          <w:szCs w:val="28"/>
        </w:rPr>
        <w:t>指为保障机构正常运转、完成日常工作任务而发生的人员支出和公用支出。</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十、项目支出：</w:t>
      </w:r>
      <w:r>
        <w:rPr>
          <w:rFonts w:hint="eastAsia" w:ascii="仿宋_GB2312" w:hAnsi="仿宋_GB2312" w:eastAsia="仿宋_GB2312"/>
          <w:sz w:val="28"/>
          <w:szCs w:val="28"/>
        </w:rPr>
        <w:t>指在基本支出之外为完成特定行政任务和事业发展目标所发生的支出。</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十一、经营支出：</w:t>
      </w:r>
      <w:r>
        <w:rPr>
          <w:rFonts w:hint="eastAsia" w:ascii="仿宋_GB2312" w:hAnsi="仿宋_GB2312" w:eastAsia="仿宋_GB2312"/>
          <w:sz w:val="28"/>
          <w:szCs w:val="28"/>
        </w:rPr>
        <w:t>指事业单位在专业业务活动及其辅助活动之外开展非独立核算经营活动发生的支出。</w:t>
      </w:r>
    </w:p>
    <w:p>
      <w:pPr>
        <w:ind w:firstLine="562" w:firstLineChars="200"/>
        <w:jc w:val="left"/>
        <w:rPr>
          <w:rFonts w:ascii="仿宋_GB2312" w:hAnsi="仿宋_GB2312" w:eastAsia="仿宋_GB2312"/>
          <w:sz w:val="28"/>
          <w:szCs w:val="28"/>
        </w:rPr>
      </w:pPr>
      <w:r>
        <w:rPr>
          <w:rFonts w:hint="eastAsia" w:ascii="仿宋_GB2312" w:hAnsi="仿宋_GB2312" w:eastAsia="仿宋_GB2312"/>
          <w:b/>
          <w:bCs/>
          <w:sz w:val="28"/>
          <w:szCs w:val="28"/>
        </w:rPr>
        <w:t>十二、“三公”经费：</w:t>
      </w:r>
      <w:r>
        <w:rPr>
          <w:rFonts w:hint="eastAsia" w:ascii="仿宋_GB2312" w:hAnsi="仿宋_GB2312" w:eastAsia="仿宋_GB2312"/>
          <w:sz w:val="28"/>
          <w:szCs w:val="28"/>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562" w:firstLineChars="200"/>
        <w:jc w:val="left"/>
        <w:rPr>
          <w:rFonts w:ascii="仿宋" w:hAnsi="仿宋" w:eastAsia="仿宋" w:cs="仿宋"/>
          <w:sz w:val="32"/>
          <w:szCs w:val="32"/>
        </w:rPr>
      </w:pPr>
      <w:r>
        <w:rPr>
          <w:rFonts w:hint="eastAsia" w:ascii="仿宋_GB2312" w:hAnsi="仿宋_GB2312" w:eastAsia="仿宋_GB2312"/>
          <w:b/>
          <w:bCs/>
          <w:sz w:val="28"/>
          <w:szCs w:val="28"/>
        </w:rPr>
        <w:t>十三、机关运行经费：</w:t>
      </w:r>
      <w:r>
        <w:rPr>
          <w:rFonts w:hint="eastAsia" w:ascii="仿宋_GB2312" w:hAnsi="仿宋_GB2312" w:eastAsia="仿宋_GB2312"/>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_GB2312" w:hAnsi="仿宋_GB2312" w:eastAsia="仿宋_GB2312"/>
          <w:sz w:val="32"/>
        </w:rPr>
      </w:pPr>
    </w:p>
    <w:p>
      <w:pPr>
        <w:ind w:firstLine="560" w:firstLineChars="200"/>
        <w:rPr>
          <w:rFonts w:ascii="仿宋_GB2312" w:hAnsi="BatangChe" w:eastAsia="仿宋_GB2312"/>
          <w:sz w:val="28"/>
          <w:szCs w:val="28"/>
        </w:rPr>
      </w:pPr>
    </w:p>
    <w:p>
      <w:pPr>
        <w:ind w:firstLine="420" w:firstLineChars="200"/>
      </w:pPr>
    </w:p>
    <w:sectPr>
      <w:footerReference r:id="rId3" w:type="default"/>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lvl>
  </w:abstractNum>
  <w:abstractNum w:abstractNumId="1">
    <w:nsid w:val="58DA2232"/>
    <w:multiLevelType w:val="singleLevel"/>
    <w:tmpl w:val="58DA2232"/>
    <w:lvl w:ilvl="0" w:tentative="0">
      <w:start w:val="1"/>
      <w:numFmt w:val="decimal"/>
      <w:suff w:val="nothing"/>
      <w:lvlText w:val="%1、"/>
      <w:lvlJc w:val="left"/>
      <w:rPr>
        <w:rFonts w:cs="Times New Roman"/>
      </w:rPr>
    </w:lvl>
  </w:abstractNum>
  <w:abstractNum w:abstractNumId="2">
    <w:nsid w:val="58DA2303"/>
    <w:multiLevelType w:val="singleLevel"/>
    <w:tmpl w:val="58DA2303"/>
    <w:lvl w:ilvl="0" w:tentative="0">
      <w:start w:val="1"/>
      <w:numFmt w:val="decimal"/>
      <w:suff w:val="nothing"/>
      <w:lvlText w:val="%1、"/>
      <w:lvlJc w:val="left"/>
      <w:rPr>
        <w:rFonts w:cs="Times New Roman"/>
      </w:rPr>
    </w:lvl>
  </w:abstractNum>
  <w:abstractNum w:abstractNumId="3">
    <w:nsid w:val="58DA2445"/>
    <w:multiLevelType w:val="singleLevel"/>
    <w:tmpl w:val="58DA2445"/>
    <w:lvl w:ilvl="0" w:tentative="0">
      <w:start w:val="1"/>
      <w:numFmt w:val="decimal"/>
      <w:suff w:val="nothing"/>
      <w:lvlText w:val="%1、"/>
      <w:lvlJc w:val="left"/>
      <w:rPr>
        <w:rFonts w:cs="Times New Roman"/>
      </w:rPr>
    </w:lvl>
  </w:abstractNum>
  <w:abstractNum w:abstractNumId="4">
    <w:nsid w:val="58DA2567"/>
    <w:multiLevelType w:val="singleLevel"/>
    <w:tmpl w:val="58DA2567"/>
    <w:lvl w:ilvl="0" w:tentative="0">
      <w:start w:val="1"/>
      <w:numFmt w:val="decimal"/>
      <w:suff w:val="nothing"/>
      <w:lvlText w:val="%1、"/>
      <w:lvlJc w:val="left"/>
      <w:rPr>
        <w:rFonts w:cs="Times New Roman"/>
      </w:rPr>
    </w:lvl>
  </w:abstractNum>
  <w:abstractNum w:abstractNumId="5">
    <w:nsid w:val="598AB988"/>
    <w:multiLevelType w:val="singleLevel"/>
    <w:tmpl w:val="598AB988"/>
    <w:lvl w:ilvl="0" w:tentative="0">
      <w:start w:val="4"/>
      <w:numFmt w:val="chineseCounting"/>
      <w:suff w:val="nothing"/>
      <w:lvlText w:val="%1、"/>
      <w:lvlJc w:val="left"/>
    </w:lvl>
  </w:abstractNum>
  <w:abstractNum w:abstractNumId="6">
    <w:nsid w:val="598D5AF1"/>
    <w:multiLevelType w:val="singleLevel"/>
    <w:tmpl w:val="598D5AF1"/>
    <w:lvl w:ilvl="0" w:tentative="0">
      <w:start w:val="1"/>
      <w:numFmt w:val="chineseCounting"/>
      <w:suff w:val="nothing"/>
      <w:lvlText w:val="%1、"/>
      <w:lvlJc w:val="left"/>
    </w:lvl>
  </w:abstractNum>
  <w:abstractNum w:abstractNumId="7">
    <w:nsid w:val="598D5EFB"/>
    <w:multiLevelType w:val="singleLevel"/>
    <w:tmpl w:val="598D5EFB"/>
    <w:lvl w:ilvl="0" w:tentative="0">
      <w:start w:val="4"/>
      <w:numFmt w:val="chineseCounting"/>
      <w:suff w:val="nothing"/>
      <w:lvlText w:val="%1、"/>
      <w:lvlJc w:val="left"/>
    </w:lvl>
  </w:abstractNum>
  <w:abstractNum w:abstractNumId="8">
    <w:nsid w:val="598D7704"/>
    <w:multiLevelType w:val="singleLevel"/>
    <w:tmpl w:val="598D7704"/>
    <w:lvl w:ilvl="0" w:tentative="0">
      <w:start w:val="2"/>
      <w:numFmt w:val="decimal"/>
      <w:suff w:val="nothing"/>
      <w:lvlText w:val="%1、"/>
      <w:lvlJc w:val="left"/>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7B34"/>
    <w:rsid w:val="000B77DB"/>
    <w:rsid w:val="000C4613"/>
    <w:rsid w:val="00172A27"/>
    <w:rsid w:val="00196845"/>
    <w:rsid w:val="0024014F"/>
    <w:rsid w:val="00241A8D"/>
    <w:rsid w:val="00246A32"/>
    <w:rsid w:val="0025239C"/>
    <w:rsid w:val="00310A13"/>
    <w:rsid w:val="003456CF"/>
    <w:rsid w:val="003F7BBE"/>
    <w:rsid w:val="004008F3"/>
    <w:rsid w:val="00404048"/>
    <w:rsid w:val="00462FC0"/>
    <w:rsid w:val="00476536"/>
    <w:rsid w:val="00556AF3"/>
    <w:rsid w:val="00670737"/>
    <w:rsid w:val="00681C61"/>
    <w:rsid w:val="006B1A37"/>
    <w:rsid w:val="007013C3"/>
    <w:rsid w:val="007677BB"/>
    <w:rsid w:val="007F3008"/>
    <w:rsid w:val="00850D98"/>
    <w:rsid w:val="00895F8E"/>
    <w:rsid w:val="008E31EF"/>
    <w:rsid w:val="008E3ACD"/>
    <w:rsid w:val="00924D1A"/>
    <w:rsid w:val="00A00CD6"/>
    <w:rsid w:val="00AB5B62"/>
    <w:rsid w:val="00AC304F"/>
    <w:rsid w:val="00B0562A"/>
    <w:rsid w:val="00C60EB9"/>
    <w:rsid w:val="00CB13EC"/>
    <w:rsid w:val="00D279B3"/>
    <w:rsid w:val="00D43B59"/>
    <w:rsid w:val="00D515EE"/>
    <w:rsid w:val="00D74B6B"/>
    <w:rsid w:val="00DB1E3A"/>
    <w:rsid w:val="00DD45FF"/>
    <w:rsid w:val="00F15461"/>
    <w:rsid w:val="00FC1DF3"/>
    <w:rsid w:val="00FD7209"/>
    <w:rsid w:val="04CC161E"/>
    <w:rsid w:val="06EF3962"/>
    <w:rsid w:val="0E322B20"/>
    <w:rsid w:val="0E906C1F"/>
    <w:rsid w:val="1CD75695"/>
    <w:rsid w:val="1E011E9E"/>
    <w:rsid w:val="2383212B"/>
    <w:rsid w:val="26D9354F"/>
    <w:rsid w:val="2B951026"/>
    <w:rsid w:val="2E022ECC"/>
    <w:rsid w:val="31700C1F"/>
    <w:rsid w:val="39EC78FD"/>
    <w:rsid w:val="46974FD8"/>
    <w:rsid w:val="4AEE55DF"/>
    <w:rsid w:val="535727CE"/>
    <w:rsid w:val="55D8365E"/>
    <w:rsid w:val="566A111B"/>
    <w:rsid w:val="58307225"/>
    <w:rsid w:val="5BEF6173"/>
    <w:rsid w:val="5FE84FB3"/>
    <w:rsid w:val="61D5012D"/>
    <w:rsid w:val="62D93B7D"/>
    <w:rsid w:val="654C5017"/>
    <w:rsid w:val="68180886"/>
    <w:rsid w:val="68676B46"/>
    <w:rsid w:val="69DA1FCA"/>
    <w:rsid w:val="73866779"/>
    <w:rsid w:val="74572834"/>
    <w:rsid w:val="7A434693"/>
    <w:rsid w:val="7D817FC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Subtitle"/>
    <w:basedOn w:val="1"/>
    <w:next w:val="1"/>
    <w:qFormat/>
    <w:uiPriority w:val="0"/>
    <w:pPr>
      <w:spacing w:line="312" w:lineRule="auto"/>
      <w:jc w:val="center"/>
      <w:outlineLvl w:val="1"/>
    </w:pPr>
    <w:rPr>
      <w:rFonts w:ascii="Cambria" w:hAnsi="Cambria" w:cs="Times New Roman"/>
      <w:b/>
      <w:bCs/>
      <w:kern w:val="28"/>
      <w:sz w:val="32"/>
      <w:szCs w:val="32"/>
    </w:rPr>
  </w:style>
  <w:style w:type="paragraph" w:styleId="5">
    <w:name w:val="Normal (Web)"/>
    <w:basedOn w:val="1"/>
    <w:unhideWhenUsed/>
    <w:qFormat/>
    <w:uiPriority w:val="99"/>
    <w:pPr>
      <w:widowControl/>
      <w:jc w:val="left"/>
    </w:pPr>
    <w:rPr>
      <w:rFonts w:ascii="宋体" w:hAnsi="宋体"/>
      <w:kern w:val="0"/>
      <w:sz w:val="24"/>
      <w:szCs w:val="20"/>
      <w:lang w:eastAsia="en-US"/>
    </w:rPr>
  </w:style>
  <w:style w:type="paragraph" w:customStyle="1" w:styleId="8">
    <w:name w:val="普通(网站)1"/>
    <w:basedOn w:val="1"/>
    <w:uiPriority w:val="0"/>
    <w:pPr>
      <w:widowControl/>
      <w:spacing w:beforeAutospacing="1" w:afterAutospacing="1"/>
      <w:jc w:val="left"/>
    </w:pPr>
    <w:rPr>
      <w:rFonts w:ascii="宋体" w:hAnsi="宋体" w:cs="宋体"/>
      <w:kern w:val="0"/>
      <w:sz w:val="24"/>
    </w:rPr>
  </w:style>
  <w:style w:type="character" w:customStyle="1" w:styleId="9">
    <w:name w:val="jian1"/>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1195</Words>
  <Characters>6813</Characters>
  <Lines>56</Lines>
  <Paragraphs>15</Paragraphs>
  <TotalTime>114</TotalTime>
  <ScaleCrop>false</ScaleCrop>
  <LinksUpToDate>false</LinksUpToDate>
  <CharactersWithSpaces>7993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2016-08-18T01:27:00Z</dcterms:created>
  <dc:creator>未定义</dc:creator>
  <cp:lastModifiedBy>gkc</cp:lastModifiedBy>
  <cp:lastPrinted>2018-07-30T11:38:00Z</cp:lastPrinted>
  <dcterms:modified xsi:type="dcterms:W3CDTF">2019-02-15T07:52:53Z</dcterms:modified>
  <dc:title>河北省粮食局决算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